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8441"/>
      <w:bookmarkStart w:id="2" w:name="_Toc15377193"/>
      <w:bookmarkStart w:id="3" w:name="_Toc15396475"/>
      <w:bookmarkStart w:id="4"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5" w:name="_Toc15378442"/>
      <w:bookmarkStart w:id="6" w:name="_Toc15396598"/>
      <w:bookmarkStart w:id="7" w:name="_Toc15377426"/>
      <w:bookmarkStart w:id="8" w:name="_Toc15377194"/>
      <w:bookmarkStart w:id="9" w:name="_Toc15396476"/>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国土事务所</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7"/>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8"/>
        <w:adjustRightInd w:val="0"/>
        <w:snapToGrid w:val="0"/>
        <w:spacing w:line="440" w:lineRule="exact"/>
        <w:jc w:val="left"/>
        <w:rPr>
          <w:rFonts w:ascii="仿宋" w:hAnsi="仿宋" w:eastAsia="仿宋"/>
          <w:sz w:val="24"/>
        </w:rPr>
      </w:pPr>
      <w:r>
        <w:rPr>
          <w:rFonts w:hint="eastAsia"/>
          <w:sz w:val="24"/>
        </w:rPr>
        <w:t>一、基本职能及主要工作</w:t>
      </w:r>
    </w:p>
    <w:p>
      <w:pPr>
        <w:pStyle w:val="8"/>
        <w:adjustRightInd w:val="0"/>
        <w:snapToGrid w:val="0"/>
        <w:spacing w:line="440" w:lineRule="exact"/>
        <w:jc w:val="left"/>
        <w:rPr>
          <w:rFonts w:ascii="仿宋" w:hAnsi="仿宋" w:eastAsia="仿宋" w:cstheme="minorBidi"/>
          <w:sz w:val="24"/>
        </w:rPr>
      </w:pPr>
      <w:r>
        <w:rPr>
          <w:rFonts w:hint="eastAsia"/>
          <w:sz w:val="24"/>
        </w:rPr>
        <w:t>二、机构设置</w:t>
      </w:r>
    </w:p>
    <w:p>
      <w:pPr>
        <w:pStyle w:val="7"/>
        <w:adjustRightInd w:val="0"/>
        <w:snapToGrid w:val="0"/>
        <w:spacing w:before="0" w:line="440" w:lineRule="exact"/>
        <w:jc w:val="left"/>
        <w:rPr>
          <w:sz w:val="24"/>
          <w:szCs w:val="24"/>
        </w:rPr>
      </w:pPr>
      <w:r>
        <w:rPr>
          <w:rFonts w:hint="eastAsia"/>
          <w:sz w:val="24"/>
        </w:rPr>
        <w:t>第二部分度部门决算情况说明</w:t>
      </w:r>
    </w:p>
    <w:p>
      <w:pPr>
        <w:pStyle w:val="8"/>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8"/>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8"/>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2"/>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7"/>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7"/>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7"/>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pStyle w:val="2"/>
        <w:jc w:val="center"/>
        <w:rPr>
          <w:rStyle w:val="13"/>
          <w:rFonts w:ascii="黑体" w:hAnsi="黑体" w:eastAsia="黑体"/>
          <w:b/>
          <w:bCs w:val="0"/>
        </w:rPr>
      </w:pPr>
      <w:r>
        <w:rPr>
          <w:rFonts w:hint="eastAsia" w:ascii="黑体" w:hAnsi="黑体" w:eastAsia="黑体"/>
          <w:b w:val="0"/>
        </w:rPr>
        <w:t xml:space="preserve">第一部分 </w:t>
      </w:r>
      <w:r>
        <w:rPr>
          <w:rStyle w:val="13"/>
          <w:rFonts w:hint="eastAsia" w:ascii="黑体" w:hAnsi="黑体" w:eastAsia="黑体"/>
          <w:b w:val="0"/>
          <w:bCs w:val="0"/>
        </w:rPr>
        <w:t>部门概况</w:t>
      </w:r>
      <w:bookmarkEnd w:id="11"/>
      <w:bookmarkEnd w:id="12"/>
    </w:p>
    <w:p>
      <w:pPr>
        <w:widowControl/>
        <w:jc w:val="left"/>
        <w:rPr>
          <w:rFonts w:ascii="黑体" w:eastAsia="黑体"/>
          <w:color w:val="000000"/>
          <w:sz w:val="32"/>
          <w:szCs w:val="32"/>
        </w:rPr>
      </w:pPr>
    </w:p>
    <w:p>
      <w:pPr>
        <w:pStyle w:val="3"/>
        <w:rPr>
          <w:rStyle w:val="14"/>
          <w:rFonts w:ascii="仿宋" w:hAnsi="仿宋" w:eastAsia="仿宋"/>
          <w:b w:val="0"/>
          <w:bCs w:val="0"/>
        </w:rPr>
      </w:pPr>
      <w:bookmarkStart w:id="13" w:name="_Toc15396600"/>
      <w:bookmarkStart w:id="14" w:name="_Toc15377197"/>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3"/>
      <w:bookmarkEnd w:id="14"/>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8446"/>
      <w:bookmarkStart w:id="18" w:name="_Toc15377199"/>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hAnsi="仿宋" w:eastAsia="仿宋_GB2312"/>
          <w:sz w:val="32"/>
          <w:szCs w:val="32"/>
        </w:rPr>
        <w:t>峨眉山市国土管理事务所主要职能是负责峨眉山市集体土地范围内的征地、拆迁、安置工作。</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7"/>
      <w:bookmarkEnd w:id="18"/>
    </w:p>
    <w:p>
      <w:pPr>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本年度事务所主要开展了</w:t>
      </w:r>
      <w:r>
        <w:rPr>
          <w:rFonts w:hint="eastAsia" w:ascii="仿宋_GB2312" w:hAnsi="仿宋" w:eastAsia="仿宋_GB2312"/>
          <w:sz w:val="32"/>
          <w:szCs w:val="32"/>
          <w:lang w:eastAsia="zh-CN"/>
        </w:rPr>
        <w:t>全市被拆迁户的过渡费、利息、本金兑付及</w:t>
      </w:r>
      <w:r>
        <w:rPr>
          <w:rFonts w:hint="eastAsia" w:ascii="仿宋_GB2312" w:hAnsi="仿宋" w:eastAsia="仿宋_GB2312"/>
          <w:sz w:val="32"/>
          <w:szCs w:val="32"/>
        </w:rPr>
        <w:t>安置工作。</w:t>
      </w:r>
    </w:p>
    <w:p>
      <w:pPr>
        <w:pStyle w:val="3"/>
        <w:rPr>
          <w:rStyle w:val="14"/>
          <w:b w:val="0"/>
          <w:bCs w:val="0"/>
        </w:rPr>
      </w:pPr>
      <w:bookmarkStart w:id="19" w:name="_Toc15396601"/>
      <w:bookmarkStart w:id="20" w:name="_Toc15377200"/>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19"/>
      <w:bookmarkEnd w:id="20"/>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峨眉山市</w:t>
      </w:r>
      <w:r>
        <w:rPr>
          <w:rFonts w:hint="eastAsia" w:ascii="仿宋_GB2312" w:eastAsia="仿宋_GB2312"/>
          <w:sz w:val="32"/>
          <w:szCs w:val="32"/>
          <w:lang w:eastAsia="zh-CN"/>
        </w:rPr>
        <w:t>国土事务所为市自然资源局管理的自收自支事业单位</w:t>
      </w:r>
      <w:r>
        <w:rPr>
          <w:rFonts w:hint="eastAsia" w:ascii="仿宋_GB2312" w:eastAsia="仿宋_GB2312"/>
          <w:sz w:val="32"/>
          <w:szCs w:val="32"/>
          <w:lang w:val="en-US"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3"/>
          <w:rFonts w:ascii="黑体" w:hAnsi="黑体" w:eastAsia="黑体"/>
          <w:b w:val="0"/>
          <w:bCs w:val="0"/>
        </w:rPr>
      </w:pPr>
      <w:bookmarkStart w:id="21" w:name="_Toc15396602"/>
      <w:bookmarkStart w:id="2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3"/>
          <w:rFonts w:hint="eastAsia" w:ascii="黑体" w:hAnsi="黑体" w:eastAsia="黑体"/>
          <w:b w:val="0"/>
          <w:bCs w:val="0"/>
        </w:rPr>
        <w:t>2019年度部门决算情况说明</w:t>
      </w:r>
      <w:bookmarkEnd w:id="21"/>
      <w:bookmarkEnd w:id="22"/>
    </w:p>
    <w:p>
      <w:pPr>
        <w:pStyle w:val="15"/>
        <w:numPr>
          <w:ilvl w:val="0"/>
          <w:numId w:val="1"/>
        </w:numPr>
        <w:spacing w:line="600" w:lineRule="exact"/>
        <w:ind w:firstLineChars="0"/>
        <w:outlineLvl w:val="1"/>
        <w:rPr>
          <w:rStyle w:val="14"/>
          <w:rFonts w:ascii="黑体" w:hAnsi="黑体" w:eastAsia="黑体"/>
          <w:b w:val="0"/>
        </w:rPr>
      </w:pPr>
      <w:bookmarkStart w:id="23" w:name="_Toc15377205"/>
      <w:bookmarkStart w:id="24" w:name="_Toc15396603"/>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3"/>
      <w:bookmarkEnd w:id="24"/>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36358.1</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28845.51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征地拆迁补偿增加。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5"/>
        <w:numPr>
          <w:ilvl w:val="0"/>
          <w:numId w:val="1"/>
        </w:numPr>
        <w:spacing w:line="600" w:lineRule="exact"/>
        <w:ind w:firstLineChars="0"/>
        <w:outlineLvl w:val="1"/>
        <w:rPr>
          <w:rStyle w:val="14"/>
          <w:rFonts w:ascii="黑体" w:hAnsi="黑体" w:eastAsia="黑体"/>
          <w:b w:val="0"/>
        </w:rPr>
      </w:pPr>
      <w:bookmarkStart w:id="25" w:name="_Toc15396604"/>
      <w:bookmarkStart w:id="26" w:name="_Toc15377206"/>
      <w:r>
        <w:rPr>
          <w:rFonts w:hint="eastAsia" w:ascii="黑体" w:hAnsi="黑体" w:eastAsia="黑体"/>
          <w:color w:val="000000"/>
          <w:sz w:val="32"/>
          <w:szCs w:val="32"/>
        </w:rPr>
        <w:t>收</w:t>
      </w:r>
      <w:r>
        <w:rPr>
          <w:rStyle w:val="14"/>
          <w:rFonts w:hint="eastAsia" w:ascii="黑体" w:hAnsi="黑体" w:eastAsia="黑体"/>
          <w:b w:val="0"/>
        </w:rPr>
        <w:t>入决算情况说明</w:t>
      </w:r>
      <w:bookmarkEnd w:id="25"/>
      <w:bookmarkEnd w:id="26"/>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36357.83</w:t>
      </w:r>
      <w:r>
        <w:rPr>
          <w:rFonts w:hint="eastAsia" w:ascii="仿宋" w:hAnsi="仿宋" w:eastAsia="仿宋"/>
          <w:color w:val="000000"/>
          <w:sz w:val="32"/>
          <w:szCs w:val="32"/>
        </w:rPr>
        <w:t>万元，其中：政府性基金预算财政拨款收入</w:t>
      </w:r>
      <w:r>
        <w:rPr>
          <w:rFonts w:hint="eastAsia" w:ascii="仿宋" w:hAnsi="仿宋" w:eastAsia="仿宋"/>
          <w:color w:val="000000"/>
          <w:sz w:val="32"/>
          <w:szCs w:val="32"/>
          <w:lang w:val="en-US" w:eastAsia="zh-CN"/>
        </w:rPr>
        <w:t>36357.83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5"/>
        <w:numPr>
          <w:ilvl w:val="0"/>
          <w:numId w:val="1"/>
        </w:numPr>
        <w:spacing w:line="600" w:lineRule="exact"/>
        <w:ind w:firstLineChars="0"/>
        <w:outlineLvl w:val="1"/>
        <w:rPr>
          <w:rStyle w:val="14"/>
          <w:rFonts w:ascii="黑体" w:hAnsi="黑体" w:eastAsia="黑体"/>
          <w:b w:val="0"/>
        </w:rPr>
      </w:pPr>
      <w:r>
        <w:rPr>
          <w:rFonts w:hint="eastAsia" w:ascii="黑体" w:hAnsi="黑体" w:eastAsia="黑体"/>
          <w:color w:val="000000"/>
          <w:sz w:val="32"/>
          <w:szCs w:val="32"/>
        </w:rPr>
        <w:t>支</w:t>
      </w:r>
      <w:r>
        <w:rPr>
          <w:rStyle w:val="14"/>
          <w:rFonts w:hint="eastAsia" w:ascii="黑体" w:hAnsi="黑体" w:eastAsia="黑体"/>
          <w:b w:val="0"/>
        </w:rPr>
        <w:t>出决算情况说明</w:t>
      </w:r>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36355.94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万元；项目支出</w:t>
      </w:r>
      <w:r>
        <w:rPr>
          <w:rFonts w:hint="eastAsia" w:ascii="仿宋" w:hAnsi="仿宋" w:eastAsia="仿宋"/>
          <w:color w:val="000000"/>
          <w:sz w:val="32"/>
          <w:szCs w:val="32"/>
          <w:lang w:val="en-US" w:eastAsia="zh-CN"/>
        </w:rPr>
        <w:t>36355.94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hint="eastAsia" w:eastAsia="宋体"/>
          <w:lang w:eastAsia="zh-CN"/>
        </w:rPr>
      </w:pPr>
    </w:p>
    <w:p>
      <w:pPr>
        <w:spacing w:line="600" w:lineRule="exact"/>
        <w:ind w:firstLine="320" w:firstLineChars="100"/>
        <w:outlineLvl w:val="1"/>
        <w:rPr>
          <w:rStyle w:val="14"/>
          <w:rFonts w:ascii="黑体" w:hAnsi="黑体" w:eastAsia="黑体"/>
          <w:b w:val="0"/>
        </w:rPr>
      </w:pPr>
      <w:r>
        <w:rPr>
          <w:rFonts w:hint="eastAsia" w:ascii="黑体" w:hAnsi="黑体" w:eastAsia="黑体"/>
          <w:color w:val="000000"/>
          <w:sz w:val="32"/>
          <w:szCs w:val="32"/>
        </w:rPr>
        <w:t>财</w:t>
      </w:r>
      <w:r>
        <w:rPr>
          <w:rStyle w:val="14"/>
          <w:rFonts w:hint="eastAsia" w:ascii="黑体" w:hAnsi="黑体" w:eastAsia="黑体"/>
          <w:b w:val="0"/>
        </w:rPr>
        <w:t>政拨款收入支出决算总体情况说明</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2019年度财政拨款收、支总计</w:t>
      </w:r>
      <w:r>
        <w:rPr>
          <w:rFonts w:hint="eastAsia" w:ascii="仿宋" w:hAnsi="仿宋" w:eastAsia="仿宋"/>
          <w:color w:val="000000"/>
          <w:sz w:val="32"/>
          <w:szCs w:val="32"/>
          <w:lang w:val="en-US" w:eastAsia="zh-CN"/>
        </w:rPr>
        <w:t>36358.1</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28845.51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征地拆迁补偿增加。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4"/>
          <w:rFonts w:ascii="黑体" w:hAnsi="黑体" w:eastAsia="黑体"/>
          <w:b w:val="0"/>
        </w:rPr>
      </w:pPr>
      <w:bookmarkStart w:id="27" w:name="_Toc15396607"/>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27"/>
      <w:bookmarkEnd w:id="28"/>
    </w:p>
    <w:p>
      <w:pPr>
        <w:tabs>
          <w:tab w:val="right" w:pos="8306"/>
        </w:tabs>
        <w:spacing w:line="600" w:lineRule="exact"/>
        <w:ind w:firstLine="640"/>
        <w:outlineLvl w:val="1"/>
        <w:rPr>
          <w:rFonts w:hint="eastAsia" w:ascii="仿宋" w:hAnsi="仿宋" w:eastAsia="仿宋" w:cs="仿宋"/>
          <w:color w:val="000000"/>
          <w:sz w:val="32"/>
          <w:szCs w:val="32"/>
          <w:lang w:eastAsia="zh-CN"/>
        </w:rPr>
      </w:pPr>
      <w:bookmarkStart w:id="29" w:name="_Toc15377214"/>
      <w:bookmarkStart w:id="30" w:name="_Toc15396608"/>
      <w:r>
        <w:rPr>
          <w:rFonts w:hint="eastAsia" w:ascii="仿宋" w:hAnsi="仿宋" w:eastAsia="仿宋" w:cs="仿宋"/>
          <w:color w:val="000000"/>
          <w:sz w:val="32"/>
          <w:szCs w:val="32"/>
          <w:lang w:eastAsia="zh-CN"/>
        </w:rPr>
        <w:t>本年没有一般公共预算拨款支出。</w:t>
      </w:r>
    </w:p>
    <w:p>
      <w:pPr>
        <w:tabs>
          <w:tab w:val="right" w:pos="8306"/>
        </w:tabs>
        <w:spacing w:line="600" w:lineRule="exact"/>
        <w:ind w:firstLine="640"/>
        <w:outlineLvl w:val="1"/>
        <w:rPr>
          <w:rStyle w:val="14"/>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29"/>
      <w:bookmarkEnd w:id="30"/>
      <w:r>
        <w:rPr>
          <w:rStyle w:val="14"/>
          <w:rFonts w:ascii="黑体" w:hAnsi="黑体" w:eastAsia="黑体"/>
          <w:b w:val="0"/>
        </w:rPr>
        <w:tab/>
      </w:r>
    </w:p>
    <w:p>
      <w:pPr>
        <w:tabs>
          <w:tab w:val="right" w:pos="8306"/>
        </w:tabs>
        <w:spacing w:line="600" w:lineRule="exact"/>
        <w:ind w:firstLine="640"/>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本年没有一般公共预算拨款支出。</w:t>
      </w:r>
    </w:p>
    <w:p>
      <w:pPr>
        <w:spacing w:line="600" w:lineRule="exact"/>
        <w:ind w:firstLine="640"/>
        <w:outlineLvl w:val="1"/>
        <w:rPr>
          <w:rStyle w:val="14"/>
          <w:rFonts w:ascii="黑体" w:hAnsi="黑体" w:eastAsia="黑体"/>
          <w:b w:val="0"/>
        </w:rPr>
      </w:pPr>
      <w:bookmarkStart w:id="31" w:name="_Toc15396609"/>
      <w:bookmarkStart w:id="32" w:name="_Toc15377215"/>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31"/>
      <w:bookmarkEnd w:id="32"/>
    </w:p>
    <w:p>
      <w:pPr>
        <w:spacing w:line="600" w:lineRule="exact"/>
        <w:ind w:firstLine="640"/>
        <w:outlineLvl w:val="2"/>
        <w:rPr>
          <w:rFonts w:ascii="仿宋" w:hAnsi="仿宋" w:eastAsia="仿宋"/>
          <w:b/>
          <w:color w:val="000000"/>
          <w:sz w:val="32"/>
          <w:szCs w:val="32"/>
        </w:rPr>
      </w:pPr>
      <w:bookmarkStart w:id="33" w:name="_Toc15377216"/>
      <w:r>
        <w:rPr>
          <w:rFonts w:hint="eastAsia" w:ascii="仿宋" w:hAnsi="仿宋" w:eastAsia="仿宋"/>
          <w:b/>
          <w:color w:val="000000"/>
          <w:sz w:val="32"/>
          <w:szCs w:val="32"/>
        </w:rPr>
        <w:t>（一）“三公”经费财政拨款支出决算总体情况说明</w:t>
      </w:r>
      <w:bookmarkEnd w:id="33"/>
    </w:p>
    <w:p>
      <w:pPr>
        <w:spacing w:line="600" w:lineRule="exact"/>
        <w:ind w:firstLine="640"/>
        <w:rPr>
          <w:rFonts w:hint="eastAsia" w:ascii="仿宋_GB2312" w:eastAsia="仿宋_GB2312"/>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8.6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86</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333333"/>
          <w:sz w:val="32"/>
          <w:szCs w:val="32"/>
        </w:rPr>
        <w:t>认真贯彻落实厉行节约各项规定，加强</w:t>
      </w:r>
      <w:r>
        <w:rPr>
          <w:rFonts w:hint="eastAsia" w:ascii="仿宋_GB2312" w:eastAsia="仿宋_GB2312"/>
          <w:color w:val="333333"/>
          <w:sz w:val="32"/>
          <w:szCs w:val="32"/>
          <w:lang w:eastAsia="zh-CN"/>
        </w:rPr>
        <w:t>了</w:t>
      </w:r>
      <w:r>
        <w:rPr>
          <w:rFonts w:hint="eastAsia" w:ascii="仿宋_GB2312" w:eastAsia="仿宋_GB2312"/>
          <w:color w:val="333333"/>
          <w:sz w:val="32"/>
          <w:szCs w:val="32"/>
        </w:rPr>
        <w:t>“三公”经费管理。</w:t>
      </w:r>
    </w:p>
    <w:p>
      <w:pPr>
        <w:spacing w:line="600" w:lineRule="exact"/>
        <w:ind w:firstLine="640"/>
        <w:outlineLvl w:val="2"/>
        <w:rPr>
          <w:rFonts w:ascii="仿宋" w:hAnsi="仿宋" w:eastAsia="仿宋"/>
          <w:b/>
          <w:color w:val="000000"/>
          <w:sz w:val="32"/>
          <w:szCs w:val="32"/>
        </w:rPr>
      </w:pPr>
      <w:bookmarkStart w:id="34" w:name="_Toc15377217"/>
      <w:r>
        <w:rPr>
          <w:rFonts w:hint="eastAsia" w:ascii="仿宋" w:hAnsi="仿宋" w:eastAsia="仿宋"/>
          <w:b/>
          <w:color w:val="000000"/>
          <w:sz w:val="32"/>
          <w:szCs w:val="32"/>
        </w:rPr>
        <w:t>（二）“三公”经费财政拨款支出决算具体情况说明</w:t>
      </w:r>
      <w:bookmarkEnd w:id="34"/>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8.6</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完成预算</w:t>
      </w:r>
      <w:r>
        <w:rPr>
          <w:rStyle w:val="11"/>
          <w:rFonts w:hint="eastAsia" w:ascii="仿宋" w:hAnsi="仿宋" w:eastAsia="仿宋"/>
          <w:b w:val="0"/>
          <w:bCs/>
          <w:color w:val="000000"/>
          <w:sz w:val="32"/>
          <w:szCs w:val="32"/>
          <w:lang w:val="en-US" w:eastAsia="zh-CN"/>
        </w:rPr>
        <w:t>86</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8.6</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征地拆迁工作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主要用于执行公务、开展业务活动开支的交通费、住宿费、用餐费等。国内公务接待0批次0人，共计支出0万元。</w:t>
      </w:r>
    </w:p>
    <w:p>
      <w:pPr>
        <w:spacing w:line="600" w:lineRule="exact"/>
        <w:ind w:firstLine="640"/>
        <w:outlineLvl w:val="1"/>
        <w:rPr>
          <w:rStyle w:val="14"/>
          <w:rFonts w:ascii="黑体" w:hAnsi="黑体" w:eastAsia="黑体"/>
        </w:rPr>
      </w:pPr>
      <w:bookmarkStart w:id="35" w:name="_Toc15396610"/>
      <w:bookmarkStart w:id="36" w:name="_Toc15377218"/>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35"/>
      <w:bookmarkEnd w:id="3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36355.94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2"/>
        </w:numPr>
        <w:spacing w:line="600" w:lineRule="exact"/>
        <w:ind w:firstLine="640"/>
        <w:outlineLvl w:val="1"/>
        <w:rPr>
          <w:rStyle w:val="14"/>
          <w:rFonts w:ascii="黑体" w:hAnsi="黑体" w:eastAsia="黑体"/>
          <w:b w:val="0"/>
        </w:rPr>
      </w:pPr>
      <w:bookmarkStart w:id="37" w:name="_Toc15396611"/>
      <w:bookmarkStart w:id="38" w:name="_Toc15377219"/>
      <w:r>
        <w:rPr>
          <w:rStyle w:val="14"/>
          <w:rFonts w:hint="eastAsia" w:ascii="黑体" w:hAnsi="黑体" w:eastAsia="黑体"/>
          <w:b w:val="0"/>
        </w:rPr>
        <w:t>国有资本经营预算支出决算情况说明</w:t>
      </w:r>
      <w:bookmarkEnd w:id="37"/>
      <w:bookmarkEnd w:id="38"/>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firstLineChars="200"/>
        <w:outlineLvl w:val="1"/>
        <w:rPr>
          <w:rStyle w:val="14"/>
          <w:rFonts w:ascii="黑体" w:hAnsi="黑体" w:eastAsia="黑体"/>
          <w:highlight w:val="none"/>
        </w:rPr>
      </w:pPr>
      <w:bookmarkStart w:id="39" w:name="_Toc15377221"/>
      <w:bookmarkStart w:id="40" w:name="_Toc15396612"/>
      <w:r>
        <w:rPr>
          <w:rFonts w:hint="eastAsia" w:ascii="黑体" w:hAnsi="黑体" w:eastAsia="黑体"/>
          <w:color w:val="000000"/>
          <w:sz w:val="32"/>
          <w:szCs w:val="32"/>
          <w:highlight w:val="none"/>
        </w:rPr>
        <w:t>十</w:t>
      </w:r>
      <w:r>
        <w:rPr>
          <w:rStyle w:val="14"/>
          <w:rFonts w:hint="eastAsia" w:ascii="黑体" w:hAnsi="黑体" w:eastAsia="黑体"/>
          <w:highlight w:val="none"/>
        </w:rPr>
        <w:t>、</w:t>
      </w:r>
      <w:r>
        <w:rPr>
          <w:rStyle w:val="14"/>
          <w:rFonts w:hint="eastAsia" w:ascii="黑体" w:hAnsi="黑体" w:eastAsia="黑体"/>
          <w:b w:val="0"/>
          <w:highlight w:val="none"/>
        </w:rPr>
        <w:t>其他重要事项的情况说明</w:t>
      </w:r>
      <w:bookmarkEnd w:id="39"/>
      <w:bookmarkEnd w:id="40"/>
    </w:p>
    <w:p>
      <w:pPr>
        <w:spacing w:line="600" w:lineRule="exact"/>
        <w:ind w:firstLine="643" w:firstLineChars="200"/>
        <w:outlineLvl w:val="2"/>
        <w:rPr>
          <w:rFonts w:ascii="仿宋" w:hAnsi="仿宋" w:eastAsia="仿宋"/>
          <w:color w:val="000000"/>
          <w:sz w:val="32"/>
          <w:szCs w:val="32"/>
        </w:rPr>
      </w:pPr>
      <w:bookmarkStart w:id="41" w:name="_Toc15377222"/>
      <w:r>
        <w:rPr>
          <w:rFonts w:hint="eastAsia" w:ascii="仿宋" w:hAnsi="仿宋" w:eastAsia="仿宋"/>
          <w:b/>
          <w:color w:val="000000"/>
          <w:sz w:val="32"/>
          <w:szCs w:val="32"/>
        </w:rPr>
        <w:t>（一）机关运行经费支出情况</w:t>
      </w:r>
      <w:bookmarkEnd w:id="41"/>
    </w:p>
    <w:p>
      <w:pPr>
        <w:spacing w:line="580" w:lineRule="exact"/>
        <w:ind w:firstLine="640" w:firstLineChars="200"/>
        <w:rPr>
          <w:rFonts w:hint="eastAsia" w:ascii="仿宋_GB2312" w:eastAsia="仿宋_GB2312"/>
          <w:color w:val="000000"/>
          <w:sz w:val="32"/>
          <w:szCs w:val="32"/>
        </w:rPr>
      </w:pPr>
      <w:bookmarkStart w:id="42" w:name="_Toc15377223"/>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年度，土地和房屋征收局机关运行经费支出0万元，与201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2"/>
    </w:p>
    <w:p>
      <w:pPr>
        <w:spacing w:line="58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国土事务所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3" w:name="_Toc15377224"/>
      <w:r>
        <w:rPr>
          <w:rFonts w:hint="eastAsia" w:ascii="仿宋" w:hAnsi="仿宋" w:eastAsia="仿宋"/>
          <w:b/>
          <w:color w:val="000000"/>
          <w:sz w:val="32"/>
          <w:szCs w:val="32"/>
        </w:rPr>
        <w:t>（三）国有资产占有使用情况</w:t>
      </w:r>
      <w:bookmarkEnd w:id="4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国土事务所共</w:t>
      </w:r>
      <w:r>
        <w:rPr>
          <w:rFonts w:hint="eastAsia" w:ascii="仿宋_GB2312" w:eastAsia="仿宋_GB2312"/>
          <w:color w:val="000000"/>
          <w:sz w:val="32"/>
          <w:szCs w:val="32"/>
        </w:rPr>
        <w:t>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辆，其中：省部级领导干部用车0辆、一般公务用车0辆；</w:t>
      </w:r>
      <w:r>
        <w:rPr>
          <w:rFonts w:hint="eastAsia" w:ascii="仿宋_GB2312" w:eastAsia="仿宋_GB2312"/>
          <w:color w:val="000000"/>
          <w:sz w:val="32"/>
          <w:szCs w:val="32"/>
          <w:lang w:eastAsia="zh-CN"/>
        </w:rPr>
        <w:t>其他公车</w:t>
      </w:r>
      <w:r>
        <w:rPr>
          <w:rFonts w:hint="eastAsia" w:ascii="仿宋_GB2312" w:eastAsia="仿宋_GB2312"/>
          <w:color w:val="000000"/>
          <w:sz w:val="32"/>
          <w:szCs w:val="32"/>
          <w:lang w:val="en-US" w:eastAsia="zh-CN"/>
        </w:rPr>
        <w:t>4辆；</w:t>
      </w:r>
      <w:r>
        <w:rPr>
          <w:rFonts w:hint="eastAsia" w:ascii="仿宋_GB2312" w:eastAsia="仿宋_GB2312"/>
          <w:color w:val="000000"/>
          <w:sz w:val="32"/>
          <w:szCs w:val="32"/>
        </w:rPr>
        <w:t>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rPr>
          <w:rFonts w:hint="eastAsia" w:eastAsia="宋体"/>
          <w:lang w:eastAsia="zh-CN"/>
        </w:rPr>
      </w:pPr>
    </w:p>
    <w:p>
      <w:pPr>
        <w:spacing w:line="600" w:lineRule="exact"/>
        <w:jc w:val="center"/>
        <w:outlineLvl w:val="0"/>
        <w:rPr>
          <w:rStyle w:val="13"/>
          <w:rFonts w:ascii="黑体" w:hAnsi="黑体" w:eastAsia="黑体"/>
          <w:b w:val="0"/>
        </w:rPr>
      </w:pPr>
      <w:r>
        <w:rPr>
          <w:rFonts w:hint="eastAsia" w:ascii="黑体" w:hAnsi="黑体" w:eastAsia="黑体"/>
          <w:color w:val="000000"/>
          <w:sz w:val="44"/>
          <w:szCs w:val="44"/>
        </w:rPr>
        <w:t>第</w:t>
      </w:r>
      <w:r>
        <w:rPr>
          <w:rStyle w:val="13"/>
          <w:rFonts w:hint="eastAsia" w:ascii="黑体" w:hAnsi="黑体" w:eastAsia="黑体"/>
          <w:b w:val="0"/>
        </w:rPr>
        <w:t>四部分 附件</w:t>
      </w:r>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pStyle w:val="16"/>
        <w:spacing w:line="600" w:lineRule="exact"/>
        <w:ind w:firstLine="883"/>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项目支出绩效自评报告范本</w:t>
      </w:r>
      <w:r>
        <w:rPr>
          <w:rFonts w:hint="eastAsia" w:ascii="仿宋_GB2312" w:hAnsi="宋体" w:eastAsia="仿宋_GB2312"/>
          <w:color w:val="auto"/>
          <w:kern w:val="2"/>
          <w:sz w:val="32"/>
          <w:szCs w:val="32"/>
        </w:rPr>
        <w:t>（项目单位自评）</w:t>
      </w:r>
    </w:p>
    <w:p>
      <w:pPr>
        <w:spacing w:line="600" w:lineRule="exact"/>
        <w:jc w:val="center"/>
        <w:rPr>
          <w:rFonts w:ascii="仿宋_GB2312" w:hAnsi="宋体"/>
        </w:rPr>
      </w:pPr>
      <w:r>
        <w:rPr>
          <w:rFonts w:hint="eastAsia" w:ascii="仿宋_GB2312" w:hAnsi="宋体"/>
        </w:rPr>
        <w:t>（拆迁户过渡费、利息、本金项目）</w:t>
      </w:r>
    </w:p>
    <w:p>
      <w:pPr>
        <w:pStyle w:val="16"/>
        <w:spacing w:line="600" w:lineRule="exact"/>
        <w:ind w:firstLine="640"/>
        <w:jc w:val="center"/>
        <w:rPr>
          <w:rFonts w:ascii="宋体" w:hAnsi="宋体"/>
          <w:color w:val="auto"/>
          <w:kern w:val="2"/>
          <w:sz w:val="32"/>
          <w:szCs w:val="32"/>
        </w:rPr>
      </w:pPr>
    </w:p>
    <w:p>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（一）项目资金申报及批复情况</w:t>
      </w:r>
    </w:p>
    <w:p>
      <w:pPr>
        <w:adjustRightInd w:val="0"/>
        <w:snapToGrid w:val="0"/>
        <w:spacing w:line="600" w:lineRule="exact"/>
        <w:ind w:firstLine="720"/>
        <w:rPr>
          <w:rFonts w:ascii="仿宋_GB2312" w:hAnsi="仿宋_GB2312" w:cs="仿宋_GB2312"/>
          <w:lang w:val="zh-CN"/>
        </w:rPr>
      </w:pPr>
      <w:r>
        <w:rPr>
          <w:rFonts w:hint="eastAsia" w:ascii="仿宋_GB2312" w:hAnsi="仿宋_GB2312" w:cs="仿宋_GB2312"/>
          <w:lang w:val="zh-CN"/>
        </w:rPr>
        <w:t>我所资金均通过向财政申请指标申报，符合资金管理办法等相关规定。</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（二）项目绩效目标</w:t>
      </w:r>
    </w:p>
    <w:p>
      <w:pPr>
        <w:adjustRightInd w:val="0"/>
        <w:snapToGrid w:val="0"/>
        <w:spacing w:line="600" w:lineRule="exact"/>
        <w:ind w:firstLine="720"/>
        <w:rPr>
          <w:rFonts w:ascii="仿宋_GB2312" w:hAnsi="仿宋_GB2312" w:cs="仿宋_GB2312"/>
          <w:lang w:val="zh-CN"/>
        </w:rPr>
      </w:pPr>
      <w:r>
        <w:rPr>
          <w:rFonts w:hint="eastAsia" w:ascii="仿宋_GB2312" w:hAnsi="仿宋_GB2312" w:cs="仿宋_GB2312"/>
        </w:rPr>
        <w:t>我所主要负责开展全市已拆迁未安置户的过渡费及挂账资金的支付工作。</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（三）项目资金申报相符性</w:t>
      </w:r>
    </w:p>
    <w:p>
      <w:pPr>
        <w:spacing w:line="700" w:lineRule="exact"/>
        <w:ind w:firstLine="420" w:firstLineChars="200"/>
        <w:rPr>
          <w:rFonts w:ascii="仿宋_GB2312" w:hAnsi="仿宋_GB2312" w:cs="仿宋_GB2312"/>
          <w:sz w:val="44"/>
          <w:szCs w:val="44"/>
        </w:rPr>
      </w:pPr>
      <w:r>
        <w:rPr>
          <w:rFonts w:hint="eastAsia" w:ascii="仿宋_GB2312" w:hAnsi="仿宋_GB2312" w:cs="仿宋_GB2312"/>
          <w:color w:val="000000"/>
        </w:rPr>
        <w:t>申报项目资金到达后，及时通过“一卡通”平台支付被拆迁户过渡费、挂账等资金。</w:t>
      </w:r>
    </w:p>
    <w:p>
      <w:pPr>
        <w:adjustRightInd w:val="0"/>
        <w:snapToGrid w:val="0"/>
        <w:spacing w:line="60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600" w:lineRule="exact"/>
        <w:ind w:firstLine="720"/>
        <w:rPr>
          <w:rFonts w:ascii="楷体_GB2312" w:hAnsi="宋体" w:eastAsia="楷体_GB2312"/>
          <w:lang w:val="zh-CN"/>
        </w:rPr>
      </w:pPr>
      <w:r>
        <w:rPr>
          <w:rFonts w:hint="eastAsia" w:ascii="仿宋_GB2312" w:hAnsi="宋体"/>
          <w:lang w:val="zh-CN"/>
        </w:rPr>
        <w:tab/>
      </w:r>
      <w:r>
        <w:rPr>
          <w:rFonts w:hint="eastAsia" w:ascii="楷体_GB2312" w:hAnsi="宋体" w:eastAsia="楷体_GB2312"/>
          <w:lang w:val="zh-CN"/>
        </w:rPr>
        <w:t>（一）资金计划、到位及使用情况</w:t>
      </w:r>
    </w:p>
    <w:p>
      <w:pPr>
        <w:adjustRightInd w:val="0"/>
        <w:snapToGrid w:val="0"/>
        <w:spacing w:line="600" w:lineRule="exact"/>
        <w:ind w:firstLine="420" w:firstLineChars="200"/>
        <w:rPr>
          <w:rFonts w:ascii="仿宋_GB2312" w:hAnsi="仿宋_GB2312" w:cs="仿宋_GB2312"/>
          <w:lang w:val="zh-CN"/>
        </w:rPr>
      </w:pPr>
      <w:r>
        <w:rPr>
          <w:rFonts w:hint="eastAsia" w:ascii="仿宋_GB2312" w:hAnsi="仿宋_GB2312" w:cs="仿宋_GB2312"/>
          <w:lang w:val="zh-CN"/>
        </w:rPr>
        <w:t>1．资金计划及到位。年初下达指标</w:t>
      </w:r>
      <w:r>
        <w:rPr>
          <w:rFonts w:ascii="仿宋_GB2312" w:hAnsi="仿宋_GB2312" w:cs="仿宋_GB2312"/>
          <w:lang w:val="zh-CN"/>
        </w:rPr>
        <w:t>28500</w:t>
      </w:r>
      <w:r>
        <w:rPr>
          <w:rFonts w:hint="eastAsia" w:ascii="仿宋_GB2312" w:hAnsi="仿宋_GB2312" w:cs="仿宋_GB2312"/>
          <w:lang w:val="zh-CN"/>
        </w:rPr>
        <w:t>万，年底收回44.13万元，共计拨付本级资金28455.87万元。</w:t>
      </w:r>
    </w:p>
    <w:p>
      <w:pPr>
        <w:adjustRightInd w:val="0"/>
        <w:snapToGrid w:val="0"/>
        <w:spacing w:line="600" w:lineRule="exact"/>
        <w:ind w:firstLine="420" w:firstLineChars="200"/>
        <w:rPr>
          <w:rFonts w:ascii="仿宋_GB2312" w:hAnsi="仿宋_GB2312" w:cs="仿宋_GB2312"/>
          <w:lang w:val="zh-CN"/>
        </w:rPr>
      </w:pPr>
      <w:r>
        <w:rPr>
          <w:rFonts w:hint="eastAsia" w:ascii="仿宋_GB2312" w:hAnsi="仿宋_GB2312" w:cs="仿宋_GB2312"/>
          <w:lang w:val="zh-CN"/>
        </w:rPr>
        <w:t>2．资金使用。财政资金拨付后，我所将所有申请资金足额用于全市过渡费、挂账资金支付，共支付28455.87万元。</w:t>
      </w:r>
    </w:p>
    <w:p>
      <w:pPr>
        <w:adjustRightInd w:val="0"/>
        <w:snapToGrid w:val="0"/>
        <w:spacing w:line="600" w:lineRule="exact"/>
        <w:ind w:firstLine="630" w:firstLineChars="300"/>
        <w:rPr>
          <w:rFonts w:ascii="仿宋_GB2312" w:hAnsi="仿宋_GB2312" w:cs="仿宋_GB2312"/>
          <w:lang w:val="zh-CN"/>
        </w:rPr>
      </w:pPr>
      <w:r>
        <w:rPr>
          <w:rFonts w:hint="eastAsia" w:ascii="仿宋_GB2312" w:hAnsi="仿宋_GB2312" w:cs="仿宋_GB2312"/>
          <w:lang w:val="zh-CN"/>
        </w:rPr>
        <w:t>2019.6.4直接支付255.87万元；</w:t>
      </w:r>
    </w:p>
    <w:p>
      <w:pPr>
        <w:adjustRightInd w:val="0"/>
        <w:snapToGrid w:val="0"/>
        <w:spacing w:line="600" w:lineRule="exact"/>
        <w:ind w:firstLine="630" w:firstLineChars="300"/>
        <w:rPr>
          <w:rFonts w:ascii="仿宋_GB2312" w:hAnsi="仿宋_GB2312" w:cs="仿宋_GB2312"/>
          <w:lang w:val="zh-CN"/>
        </w:rPr>
      </w:pPr>
      <w:r>
        <w:rPr>
          <w:rFonts w:hint="eastAsia" w:ascii="仿宋_GB2312" w:hAnsi="仿宋_GB2312" w:cs="仿宋_GB2312"/>
          <w:lang w:val="zh-CN"/>
        </w:rPr>
        <w:t>2019.10.12直接支付46.450945万元，2019.10.19直接支付2473.909129万元；</w:t>
      </w:r>
    </w:p>
    <w:p>
      <w:pPr>
        <w:adjustRightInd w:val="0"/>
        <w:snapToGrid w:val="0"/>
        <w:spacing w:line="600" w:lineRule="exact"/>
        <w:ind w:firstLine="630" w:firstLineChars="300"/>
        <w:rPr>
          <w:rFonts w:ascii="仿宋_GB2312" w:hAnsi="仿宋_GB2312" w:cs="仿宋_GB2312"/>
          <w:lang w:val="zh-CN"/>
        </w:rPr>
      </w:pPr>
      <w:r>
        <w:rPr>
          <w:rFonts w:hint="eastAsia" w:ascii="仿宋_GB2312" w:hAnsi="仿宋_GB2312" w:cs="仿宋_GB2312"/>
          <w:lang w:val="zh-CN"/>
        </w:rPr>
        <w:t>2019.11.12直接支付27.59133万元，2019.11.13直接支付0.5万元，2019.11.25直接支付81.983739万元；</w:t>
      </w:r>
    </w:p>
    <w:p>
      <w:pPr>
        <w:adjustRightInd w:val="0"/>
        <w:snapToGrid w:val="0"/>
        <w:spacing w:line="600" w:lineRule="exact"/>
        <w:ind w:firstLine="630" w:firstLineChars="300"/>
        <w:rPr>
          <w:rFonts w:ascii="仿宋_GB2312" w:hAnsi="仿宋_GB2312" w:cs="仿宋_GB2312"/>
          <w:lang w:val="zh-CN"/>
        </w:rPr>
      </w:pPr>
      <w:r>
        <w:rPr>
          <w:rFonts w:hint="eastAsia" w:ascii="仿宋_GB2312" w:hAnsi="仿宋_GB2312" w:cs="仿宋_GB2312"/>
          <w:lang w:val="zh-CN"/>
        </w:rPr>
        <w:t>2019.12.1支5.575608万元，2019.12.19直接支付12400万元，2019.12.23分别直接支付3.00024万元和460.989009万元，2019.12.24分别直接支付2.9943万元和12697.0057万元。</w:t>
      </w:r>
    </w:p>
    <w:p>
      <w:pPr>
        <w:adjustRightInd w:val="0"/>
        <w:snapToGrid w:val="0"/>
        <w:spacing w:line="60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600" w:lineRule="exact"/>
        <w:ind w:firstLine="720"/>
        <w:rPr>
          <w:rFonts w:hint="eastAsia"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按进度拨付村民过渡费、利息本金等。</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（二）项目效益情况</w:t>
      </w:r>
    </w:p>
    <w:p>
      <w:pPr>
        <w:adjustRightInd w:val="0"/>
        <w:snapToGrid w:val="0"/>
        <w:spacing w:line="600" w:lineRule="exact"/>
        <w:ind w:firstLine="720"/>
        <w:rPr>
          <w:rFonts w:ascii="仿宋_GB2312" w:hAnsi="仿宋_GB2312" w:cs="仿宋_GB2312"/>
          <w:lang w:val="zh-CN"/>
        </w:rPr>
      </w:pPr>
      <w:r>
        <w:rPr>
          <w:rFonts w:hint="eastAsia" w:ascii="仿宋_GB2312" w:hAnsi="仿宋_GB2312" w:cs="仿宋_GB2312"/>
          <w:lang w:val="zh-CN"/>
        </w:rPr>
        <w:t>保障群众利益，在未安置前均支付过渡费用于自行过渡。</w:t>
      </w:r>
    </w:p>
    <w:p>
      <w:pPr>
        <w:adjustRightInd w:val="0"/>
        <w:snapToGrid w:val="0"/>
        <w:spacing w:line="600" w:lineRule="exact"/>
        <w:ind w:firstLine="720"/>
        <w:rPr>
          <w:rFonts w:ascii="黑体" w:hAnsi="宋体" w:eastAsia="黑体"/>
        </w:rPr>
      </w:pPr>
      <w:r>
        <w:rPr>
          <w:rFonts w:hint="eastAsia" w:ascii="黑体" w:hAnsi="宋体" w:eastAsia="黑体"/>
        </w:rPr>
        <w:t>四、问题及建议</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（一）存在的问题</w:t>
      </w:r>
    </w:p>
    <w:p>
      <w:pPr>
        <w:adjustRightInd w:val="0"/>
        <w:snapToGrid w:val="0"/>
        <w:spacing w:line="600" w:lineRule="exact"/>
        <w:ind w:firstLine="720"/>
        <w:rPr>
          <w:rFonts w:ascii="仿宋_GB2312" w:hAnsi="仿宋_GB2312" w:cs="仿宋_GB2312"/>
          <w:lang w:val="zh-CN"/>
        </w:rPr>
      </w:pPr>
      <w:r>
        <w:rPr>
          <w:rFonts w:hint="eastAsia" w:ascii="仿宋_GB2312" w:hAnsi="仿宋_GB2312" w:cs="仿宋_GB2312"/>
          <w:lang w:val="zh-CN"/>
        </w:rPr>
        <w:t>已办理资金未及时支付引起信访问题。</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（二）相关建议</w:t>
      </w:r>
    </w:p>
    <w:p>
      <w:pPr>
        <w:adjustRightInd w:val="0"/>
        <w:snapToGrid w:val="0"/>
        <w:spacing w:line="600" w:lineRule="exact"/>
        <w:ind w:firstLine="720"/>
        <w:rPr>
          <w:rFonts w:ascii="仿宋_GB2312" w:hAnsi="仿宋_GB2312" w:cs="仿宋_GB2312"/>
          <w:lang w:val="zh-CN"/>
        </w:rPr>
      </w:pPr>
      <w:r>
        <w:rPr>
          <w:rFonts w:hint="eastAsia" w:ascii="仿宋_GB2312" w:hAnsi="仿宋_GB2312" w:cs="仿宋_GB2312"/>
          <w:lang w:val="zh-CN"/>
        </w:rPr>
        <w:t>财政筹措资金，及时到位。</w:t>
      </w:r>
    </w:p>
    <w:p>
      <w:pPr>
        <w:spacing w:line="600" w:lineRule="exact"/>
        <w:jc w:val="left"/>
        <w:outlineLvl w:val="0"/>
        <w:rPr>
          <w:rFonts w:hint="eastAsia" w:ascii="黑体" w:hAnsi="黑体" w:eastAsia="黑体" w:cs="黑体"/>
          <w:sz w:val="32"/>
          <w:szCs w:val="32"/>
        </w:rPr>
      </w:pPr>
      <w:bookmarkStart w:id="57" w:name="_GoBack"/>
      <w:bookmarkEnd w:id="57"/>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lang w:eastAsia="zh-CN"/>
        </w:rPr>
        <w:t>峨眉山市国土事务所</w:t>
      </w:r>
      <w:r>
        <w:rPr>
          <w:rFonts w:ascii="方正小标宋简体" w:hAnsi="宋体" w:eastAsia="方正小标宋简体"/>
          <w:color w:val="000000"/>
          <w:kern w:val="0"/>
          <w:sz w:val="40"/>
          <w:szCs w:val="44"/>
        </w:rPr>
        <w:t>2019年</w:t>
      </w:r>
    </w:p>
    <w:p>
      <w:pPr>
        <w:spacing w:line="600" w:lineRule="exact"/>
        <w:jc w:val="center"/>
        <w:rPr>
          <w:rFonts w:hint="eastAsia"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整体支出绩效报告</w:t>
      </w:r>
    </w:p>
    <w:p>
      <w:pPr>
        <w:widowControl/>
        <w:adjustRightInd w:val="0"/>
        <w:snapToGrid w:val="0"/>
        <w:spacing w:line="560" w:lineRule="exact"/>
        <w:ind w:firstLine="42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（一）机构组成：事务所1个。</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（二）机构职能</w:t>
      </w:r>
    </w:p>
    <w:p>
      <w:pPr>
        <w:adjustRightInd w:val="0"/>
        <w:snapToGrid w:val="0"/>
        <w:spacing w:line="600" w:lineRule="exact"/>
        <w:ind w:firstLine="720"/>
        <w:rPr>
          <w:rFonts w:ascii="仿宋_GB2312" w:hAnsi="仿宋_GB2312" w:cs="仿宋_GB2312"/>
          <w:szCs w:val="32"/>
          <w:lang w:val="zh-CN"/>
        </w:rPr>
      </w:pPr>
      <w:r>
        <w:rPr>
          <w:rFonts w:hint="eastAsia" w:ascii="仿宋_GB2312" w:hAnsi="仿宋_GB2312" w:cs="仿宋_GB2312"/>
          <w:szCs w:val="32"/>
        </w:rPr>
        <w:t>主要负责开展全市已拆迁未安置户的过渡费及挂账资金的支付工作。</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2020年共有在职人员18人。</w:t>
      </w:r>
    </w:p>
    <w:p>
      <w:pPr>
        <w:widowControl/>
        <w:adjustRightInd w:val="0"/>
        <w:snapToGrid w:val="0"/>
        <w:spacing w:line="560" w:lineRule="exact"/>
        <w:ind w:firstLine="42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截止2020年7月31日，财政共划拨14669.388649万元。</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截止2020年7月31日，已支付14668.911354万元。</w:t>
      </w:r>
    </w:p>
    <w:p>
      <w:pPr>
        <w:widowControl/>
        <w:adjustRightInd w:val="0"/>
        <w:snapToGrid w:val="0"/>
        <w:spacing w:line="560" w:lineRule="exact"/>
        <w:ind w:firstLine="42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三、部门整体预算绩效管理情况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1.预算执行管理情况。</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截止2020年7月31日，余0.47万元未支付，将按实际情况陆续付款。</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包括6月、9月、11月、全年执行进度、中期评估等。</w:t>
      </w:r>
    </w:p>
    <w:p>
      <w:pPr>
        <w:adjustRightInd w:val="0"/>
        <w:snapToGrid w:val="0"/>
        <w:spacing w:line="600" w:lineRule="exact"/>
        <w:ind w:firstLine="630" w:firstLineChars="300"/>
        <w:rPr>
          <w:rFonts w:ascii="仿宋_GB2312" w:hAnsi="仿宋_GB2312" w:cs="仿宋_GB2312"/>
          <w:szCs w:val="32"/>
          <w:lang w:val="zh-CN"/>
        </w:rPr>
      </w:pPr>
      <w:r>
        <w:rPr>
          <w:rFonts w:hint="eastAsia" w:ascii="仿宋_GB2312" w:hAnsi="仿宋_GB2312" w:cs="仿宋_GB2312"/>
          <w:szCs w:val="32"/>
          <w:lang w:val="zh-CN"/>
        </w:rPr>
        <w:t>财政资金拨付后，我所将所有申请资金足额用于全市过渡费、挂账资金支付</w:t>
      </w:r>
      <w:r>
        <w:rPr>
          <w:rFonts w:hint="eastAsia" w:ascii="仿宋_GB2312" w:hAnsi="宋体" w:cs="宋体"/>
          <w:color w:val="000000"/>
          <w:kern w:val="0"/>
          <w:szCs w:val="32"/>
          <w:shd w:val="clear" w:color="auto" w:fill="FFFFFF"/>
          <w:lang w:val="zh-CN"/>
        </w:rPr>
        <w:t>，确保都达到预期目的。</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2.绩效目标完成。</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项目实施完成后预期经济、社会效益等绩效目标实现情况。项目实施均达到了预期的经济、生态、社会效益。</w:t>
      </w:r>
    </w:p>
    <w:p>
      <w:pPr>
        <w:widowControl/>
        <w:adjustRightInd w:val="0"/>
        <w:snapToGrid w:val="0"/>
        <w:spacing w:line="560" w:lineRule="exact"/>
        <w:ind w:firstLine="420" w:firstLineChars="200"/>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（二）结果应用情况</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部门自评工作开展和评价结果运用情况。按规定开展了项目绩效自评，评价结果将运用到项目申报、资金使用和以后的绩效评价中。</w:t>
      </w:r>
    </w:p>
    <w:p>
      <w:pPr>
        <w:widowControl/>
        <w:adjustRightInd w:val="0"/>
        <w:snapToGrid w:val="0"/>
        <w:spacing w:line="560" w:lineRule="exact"/>
        <w:ind w:firstLine="42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（一）评价结论。项目资金按规定使用，结果符合预期。</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（二）存在问题。绩效评价机制尚不健全。</w:t>
      </w:r>
    </w:p>
    <w:p>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（三）改进建议。加强业务培训，树立绩效意识，加强业务、财务人员的协作、配合。</w:t>
      </w:r>
    </w:p>
    <w:p>
      <w:pPr>
        <w:spacing w:line="600" w:lineRule="exact"/>
        <w:jc w:val="center"/>
        <w:outlineLvl w:val="0"/>
        <w:rPr>
          <w:rStyle w:val="13"/>
          <w:rFonts w:ascii="黑体" w:hAnsi="黑体" w:eastAsia="黑体"/>
          <w:b w:val="0"/>
        </w:rPr>
      </w:pPr>
      <w:r>
        <w:rPr>
          <w:rFonts w:hint="eastAsia" w:ascii="黑体" w:hAnsi="黑体" w:eastAsia="黑体"/>
          <w:color w:val="000000"/>
          <w:sz w:val="44"/>
          <w:szCs w:val="44"/>
        </w:rPr>
        <w:t>第</w:t>
      </w:r>
      <w:r>
        <w:rPr>
          <w:rStyle w:val="13"/>
          <w:rFonts w:hint="eastAsia" w:ascii="黑体" w:hAnsi="黑体" w:eastAsia="黑体"/>
          <w:b w:val="0"/>
        </w:rPr>
        <w:t>五部分 附表</w:t>
      </w:r>
    </w:p>
    <w:p>
      <w:pPr>
        <w:pStyle w:val="3"/>
        <w:rPr>
          <w:rFonts w:ascii="仿宋" w:hAnsi="仿宋" w:eastAsia="仿宋"/>
          <w:color w:val="000000"/>
        </w:rPr>
      </w:pPr>
      <w:bookmarkStart w:id="44"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44"/>
    </w:p>
    <w:p>
      <w:pPr>
        <w:pStyle w:val="3"/>
        <w:rPr>
          <w:rFonts w:ascii="仿宋" w:hAnsi="仿宋" w:eastAsia="仿宋"/>
          <w:color w:val="000000"/>
        </w:rPr>
      </w:pPr>
      <w:bookmarkStart w:id="45" w:name="_Toc15396620"/>
      <w:r>
        <w:rPr>
          <w:rFonts w:hint="eastAsia" w:ascii="仿宋" w:hAnsi="仿宋" w:eastAsia="仿宋"/>
          <w:b w:val="0"/>
          <w:color w:val="000000"/>
        </w:rPr>
        <w:t>二、收</w:t>
      </w:r>
      <w:r>
        <w:rPr>
          <w:rStyle w:val="14"/>
          <w:rFonts w:hint="eastAsia" w:ascii="仿宋" w:hAnsi="仿宋" w:eastAsia="仿宋"/>
          <w:b w:val="0"/>
          <w:bCs w:val="0"/>
        </w:rPr>
        <w:t>入决算表</w:t>
      </w:r>
      <w:bookmarkEnd w:id="45"/>
    </w:p>
    <w:p>
      <w:pPr>
        <w:pStyle w:val="3"/>
        <w:rPr>
          <w:rFonts w:ascii="仿宋" w:hAnsi="仿宋" w:eastAsia="仿宋"/>
          <w:color w:val="000000"/>
        </w:rPr>
      </w:pPr>
      <w:bookmarkStart w:id="46"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出决算表</w:t>
      </w:r>
      <w:bookmarkEnd w:id="46"/>
    </w:p>
    <w:p>
      <w:pPr>
        <w:pStyle w:val="3"/>
        <w:rPr>
          <w:rFonts w:ascii="仿宋" w:hAnsi="仿宋" w:eastAsia="仿宋"/>
          <w:b w:val="0"/>
          <w:color w:val="000000"/>
        </w:rPr>
      </w:pPr>
      <w:bookmarkStart w:id="47"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47"/>
    </w:p>
    <w:p>
      <w:pPr>
        <w:pStyle w:val="3"/>
        <w:rPr>
          <w:rStyle w:val="14"/>
          <w:rFonts w:ascii="仿宋" w:hAnsi="仿宋" w:eastAsia="仿宋"/>
          <w:b w:val="0"/>
          <w:bCs w:val="0"/>
        </w:rPr>
      </w:pPr>
      <w:bookmarkStart w:id="48"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w:t>
      </w:r>
      <w:bookmarkEnd w:id="48"/>
      <w:bookmarkStart w:id="49" w:name="_Toc15396624"/>
    </w:p>
    <w:p>
      <w:pPr>
        <w:pStyle w:val="3"/>
        <w:rPr>
          <w:rFonts w:ascii="仿宋" w:hAnsi="仿宋" w:eastAsia="仿宋"/>
          <w:color w:val="000000"/>
        </w:rPr>
      </w:pPr>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49"/>
    </w:p>
    <w:p>
      <w:pPr>
        <w:pStyle w:val="3"/>
        <w:rPr>
          <w:rFonts w:ascii="仿宋" w:hAnsi="仿宋" w:eastAsia="仿宋"/>
          <w:color w:val="000000"/>
        </w:rPr>
      </w:pPr>
      <w:bookmarkStart w:id="50"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50"/>
    </w:p>
    <w:p>
      <w:pPr>
        <w:pStyle w:val="3"/>
        <w:rPr>
          <w:rFonts w:ascii="仿宋" w:hAnsi="仿宋" w:eastAsia="仿宋"/>
          <w:color w:val="000000"/>
        </w:rPr>
      </w:pPr>
      <w:bookmarkStart w:id="51"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51"/>
    </w:p>
    <w:p>
      <w:pPr>
        <w:pStyle w:val="3"/>
        <w:rPr>
          <w:rFonts w:ascii="仿宋" w:hAnsi="仿宋" w:eastAsia="仿宋"/>
          <w:color w:val="000000"/>
        </w:rPr>
      </w:pPr>
      <w:bookmarkStart w:id="52"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52"/>
    </w:p>
    <w:p>
      <w:pPr>
        <w:pStyle w:val="3"/>
        <w:rPr>
          <w:rFonts w:ascii="仿宋" w:hAnsi="仿宋" w:eastAsia="仿宋"/>
          <w:color w:val="000000"/>
        </w:rPr>
      </w:pPr>
      <w:bookmarkStart w:id="53"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53"/>
    </w:p>
    <w:p>
      <w:pPr>
        <w:pStyle w:val="3"/>
        <w:rPr>
          <w:rFonts w:ascii="仿宋" w:hAnsi="仿宋" w:eastAsia="仿宋"/>
          <w:color w:val="000000"/>
        </w:rPr>
      </w:pPr>
      <w:bookmarkStart w:id="54"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54"/>
    </w:p>
    <w:p>
      <w:pPr>
        <w:pStyle w:val="3"/>
        <w:rPr>
          <w:rFonts w:ascii="仿宋" w:hAnsi="仿宋" w:eastAsia="仿宋"/>
          <w:color w:val="000000"/>
        </w:rPr>
      </w:pPr>
      <w:bookmarkStart w:id="55"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55"/>
    </w:p>
    <w:p>
      <w:pPr>
        <w:pStyle w:val="3"/>
        <w:rPr>
          <w:rFonts w:ascii="仿宋" w:hAnsi="仿宋" w:eastAsia="仿宋"/>
          <w:color w:val="000000" w:themeColor="text1"/>
          <w14:textFill>
            <w14:solidFill>
              <w14:schemeClr w14:val="tx1"/>
            </w14:solidFill>
          </w14:textFill>
        </w:rPr>
      </w:pPr>
      <w:bookmarkStart w:id="56"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有资本经营预算支出决算表</w:t>
      </w:r>
      <w:bookmarkEnd w:id="56"/>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22850"/>
    <w:rsid w:val="0A82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四号正文"/>
    <w:basedOn w:val="1"/>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7512.59</c:v>
                </c:pt>
                <c:pt idx="1">
                  <c:v>36358.1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69957012"/>
        <c:axId val="858310683"/>
      </c:barChart>
      <c:catAx>
        <c:axId val="769957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310683"/>
        <c:crosses val="autoZero"/>
        <c:auto val="1"/>
        <c:lblAlgn val="ctr"/>
        <c:lblOffset val="100"/>
        <c:noMultiLvlLbl val="0"/>
      </c:catAx>
      <c:valAx>
        <c:axId val="8583106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957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收入决算总计</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36357.83</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：支出决算结构</a:t>
            </a:r>
            <a:endParaRPr altLang="en-US"/>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36355.94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：财政拨款收支总计变动</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7512.59</c:v>
                </c:pt>
                <c:pt idx="1">
                  <c:v>36358.1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768607764"/>
        <c:axId val="558888268"/>
      </c:barChart>
      <c:catAx>
        <c:axId val="7686077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888268"/>
        <c:crosses val="autoZero"/>
        <c:auto val="1"/>
        <c:lblAlgn val="ctr"/>
        <c:lblOffset val="100"/>
        <c:noMultiLvlLbl val="0"/>
      </c:catAx>
      <c:valAx>
        <c:axId val="5588882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6077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三公经费财政拨款收支结构</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三公经费（万元）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公务用车运行购置费</c:v>
                </c:pt>
              </c:strCache>
            </c:strRef>
          </c:cat>
          <c:val>
            <c:numRef>
              <c:f>Sheet1!$B$2</c:f>
              <c:numCache>
                <c:formatCode>General</c:formatCode>
                <c:ptCount val="1"/>
                <c:pt idx="0">
                  <c:v>8.6</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2020-10-30T09:39:00Z</dcterms:created>
  <dc:creator>Administrator</dc:creator>
  <cp:lastModifiedBy>Administrator</cp:lastModifiedBy>
  <dcterms:modified xsi:type="dcterms:W3CDTF">2020-10-30T09:57:30Z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