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0" w:name="_Toc15377425"/>
      <w:bookmarkStart w:id="1" w:name="_Toc15378441"/>
      <w:bookmarkStart w:id="2" w:name="_Toc15396475"/>
      <w:bookmarkStart w:id="3" w:name="_Toc15396597"/>
      <w:bookmarkStart w:id="4" w:name="_Toc15377193"/>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0"/>
      <w:bookmarkEnd w:id="1"/>
      <w:bookmarkEnd w:id="2"/>
      <w:bookmarkEnd w:id="3"/>
      <w:bookmarkEnd w:id="4"/>
    </w:p>
    <w:p>
      <w:pPr>
        <w:adjustRightInd w:val="0"/>
        <w:snapToGrid w:val="0"/>
        <w:spacing w:line="360" w:lineRule="auto"/>
        <w:jc w:val="center"/>
        <w:outlineLvl w:val="0"/>
        <w:rPr>
          <w:rFonts w:hint="eastAsia" w:ascii="方正小标宋简体" w:hAnsi="宋体" w:eastAsia="方正小标宋简体"/>
          <w:color w:val="000000"/>
          <w:sz w:val="72"/>
          <w:szCs w:val="72"/>
          <w:lang w:eastAsia="zh-CN"/>
        </w:rPr>
      </w:pPr>
      <w:bookmarkStart w:id="5" w:name="_Toc15378442"/>
      <w:bookmarkStart w:id="6" w:name="_Toc15377194"/>
      <w:bookmarkStart w:id="7" w:name="_Toc15377426"/>
      <w:bookmarkStart w:id="8" w:name="_Toc15396598"/>
      <w:bookmarkStart w:id="9" w:name="_Toc15396476"/>
      <w:r>
        <w:rPr>
          <w:rFonts w:hint="eastAsia" w:ascii="方正小标宋简体" w:hAnsi="宋体" w:eastAsia="方正小标宋简体"/>
          <w:color w:val="000000"/>
          <w:sz w:val="72"/>
          <w:szCs w:val="72"/>
        </w:rPr>
        <w:t>四川省</w:t>
      </w:r>
      <w:bookmarkStart w:id="10" w:name="_Toc15306268"/>
      <w:r>
        <w:rPr>
          <w:rFonts w:hint="eastAsia" w:ascii="方正小标宋简体" w:hAnsi="宋体" w:eastAsia="方正小标宋简体"/>
          <w:color w:val="000000"/>
          <w:sz w:val="72"/>
          <w:szCs w:val="72"/>
          <w:lang w:eastAsia="zh-CN"/>
        </w:rPr>
        <w:t>峨眉山市</w:t>
      </w:r>
    </w:p>
    <w:p>
      <w:pPr>
        <w:adjustRightInd w:val="0"/>
        <w:snapToGrid w:val="0"/>
        <w:spacing w:line="360" w:lineRule="auto"/>
        <w:jc w:val="center"/>
        <w:outlineLvl w:val="0"/>
        <w:rPr>
          <w:rFonts w:ascii="方正小标宋简体" w:hAnsi="宋体" w:eastAsia="方正小标宋简体"/>
          <w:color w:val="000000"/>
          <w:sz w:val="72"/>
          <w:szCs w:val="72"/>
        </w:rPr>
      </w:pPr>
      <w:r>
        <w:rPr>
          <w:rFonts w:hint="eastAsia" w:ascii="方正小标宋简体" w:hAnsi="宋体" w:eastAsia="方正小标宋简体"/>
          <w:color w:val="000000"/>
          <w:sz w:val="72"/>
          <w:szCs w:val="72"/>
          <w:lang w:eastAsia="zh-CN"/>
        </w:rPr>
        <w:t>土地储备整理中心</w:t>
      </w:r>
      <w:r>
        <w:rPr>
          <w:rFonts w:hint="eastAsia" w:ascii="方正小标宋简体" w:hAnsi="宋体" w:eastAsia="方正小标宋简体"/>
          <w:color w:val="000000"/>
          <w:sz w:val="72"/>
          <w:szCs w:val="72"/>
        </w:rPr>
        <w:t>部门决算</w:t>
      </w:r>
      <w:bookmarkEnd w:id="5"/>
      <w:bookmarkEnd w:id="6"/>
      <w:bookmarkEnd w:id="7"/>
      <w:bookmarkEnd w:id="8"/>
      <w:bookmarkEnd w:id="9"/>
      <w:bookmarkEnd w:id="10"/>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w:t>
      </w:r>
      <w:r>
        <w:rPr>
          <w:rFonts w:hint="eastAsia" w:ascii="黑体" w:hAnsi="黑体" w:eastAsia="黑体"/>
          <w:color w:val="000000"/>
          <w:sz w:val="48"/>
          <w:szCs w:val="48"/>
          <w:lang w:val="en-US" w:eastAsia="zh-CN"/>
        </w:rPr>
        <w:t xml:space="preserve"> </w:t>
      </w:r>
      <w:r>
        <w:rPr>
          <w:rFonts w:hint="eastAsia" w:ascii="黑体" w:hAnsi="黑体" w:eastAsia="黑体"/>
          <w:color w:val="000000"/>
          <w:sz w:val="48"/>
          <w:szCs w:val="48"/>
        </w:rPr>
        <w:t>录</w:t>
      </w:r>
    </w:p>
    <w:p/>
    <w:p>
      <w:pPr>
        <w:pStyle w:val="7"/>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部门概况</w:t>
      </w:r>
    </w:p>
    <w:p>
      <w:pPr>
        <w:pStyle w:val="8"/>
        <w:adjustRightInd w:val="0"/>
        <w:snapToGrid w:val="0"/>
        <w:spacing w:line="440" w:lineRule="exact"/>
        <w:jc w:val="left"/>
        <w:rPr>
          <w:rFonts w:ascii="仿宋" w:hAnsi="仿宋" w:eastAsia="仿宋"/>
          <w:sz w:val="24"/>
        </w:rPr>
      </w:pPr>
      <w:r>
        <w:rPr>
          <w:rFonts w:hint="eastAsia"/>
          <w:sz w:val="24"/>
        </w:rPr>
        <w:t>一、基本职能及主要工作</w:t>
      </w:r>
    </w:p>
    <w:p>
      <w:pPr>
        <w:pStyle w:val="8"/>
        <w:adjustRightInd w:val="0"/>
        <w:snapToGrid w:val="0"/>
        <w:spacing w:line="440" w:lineRule="exact"/>
        <w:jc w:val="left"/>
        <w:rPr>
          <w:rFonts w:ascii="仿宋" w:hAnsi="仿宋" w:eastAsia="仿宋" w:cstheme="minorBidi"/>
          <w:sz w:val="24"/>
        </w:rPr>
      </w:pPr>
      <w:r>
        <w:rPr>
          <w:rFonts w:hint="eastAsia"/>
          <w:sz w:val="24"/>
        </w:rPr>
        <w:t>二、机构设置</w:t>
      </w:r>
    </w:p>
    <w:p>
      <w:pPr>
        <w:pStyle w:val="7"/>
        <w:adjustRightInd w:val="0"/>
        <w:snapToGrid w:val="0"/>
        <w:spacing w:before="0" w:line="440" w:lineRule="exact"/>
        <w:jc w:val="left"/>
        <w:rPr>
          <w:sz w:val="24"/>
          <w:szCs w:val="24"/>
        </w:rPr>
      </w:pPr>
      <w:r>
        <w:rPr>
          <w:rFonts w:hint="eastAsia"/>
          <w:sz w:val="24"/>
        </w:rPr>
        <w:t>第二部分度部门决算情况说明</w:t>
      </w:r>
    </w:p>
    <w:p>
      <w:pPr>
        <w:pStyle w:val="8"/>
        <w:adjustRightInd w:val="0"/>
        <w:snapToGrid w:val="0"/>
        <w:spacing w:line="440" w:lineRule="exact"/>
        <w:jc w:val="left"/>
        <w:rPr>
          <w:rFonts w:ascii="仿宋" w:hAnsi="仿宋" w:eastAsia="仿宋" w:cstheme="minorBidi"/>
          <w:sz w:val="24"/>
        </w:rPr>
      </w:pPr>
      <w:r>
        <w:rPr>
          <w:rFonts w:hint="eastAsia"/>
          <w:sz w:val="24"/>
        </w:rPr>
        <w:t>一、收入支出决算总体情况说明</w:t>
      </w:r>
    </w:p>
    <w:p>
      <w:pPr>
        <w:pStyle w:val="8"/>
        <w:adjustRightInd w:val="0"/>
        <w:snapToGrid w:val="0"/>
        <w:spacing w:line="440" w:lineRule="exact"/>
        <w:jc w:val="left"/>
        <w:rPr>
          <w:rFonts w:ascii="仿宋" w:hAnsi="仿宋" w:eastAsia="仿宋" w:cstheme="minorBidi"/>
          <w:sz w:val="24"/>
        </w:rPr>
      </w:pPr>
      <w:r>
        <w:rPr>
          <w:rFonts w:hint="eastAsia"/>
          <w:sz w:val="24"/>
        </w:rPr>
        <w:t>二、收入决算情况说明</w:t>
      </w:r>
    </w:p>
    <w:p>
      <w:pPr>
        <w:pStyle w:val="8"/>
        <w:adjustRightInd w:val="0"/>
        <w:snapToGrid w:val="0"/>
        <w:spacing w:line="440" w:lineRule="exact"/>
        <w:jc w:val="left"/>
        <w:rPr>
          <w:rFonts w:ascii="仿宋" w:hAnsi="仿宋" w:eastAsia="仿宋" w:cstheme="minorBidi"/>
          <w:sz w:val="24"/>
        </w:rPr>
      </w:pPr>
      <w:r>
        <w:rPr>
          <w:rFonts w:hint="eastAsia"/>
          <w:sz w:val="24"/>
        </w:rPr>
        <w:t>三、支出决算情况说明</w:t>
      </w:r>
    </w:p>
    <w:p>
      <w:pPr>
        <w:pStyle w:val="8"/>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p>
    <w:p>
      <w:pPr>
        <w:pStyle w:val="8"/>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p>
    <w:p>
      <w:pPr>
        <w:pStyle w:val="8"/>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p>
    <w:p>
      <w:pPr>
        <w:pStyle w:val="8"/>
        <w:adjustRightInd w:val="0"/>
        <w:snapToGrid w:val="0"/>
        <w:spacing w:line="440" w:lineRule="exact"/>
        <w:jc w:val="left"/>
        <w:rPr>
          <w:rFonts w:ascii="仿宋" w:hAnsi="仿宋" w:eastAsia="仿宋" w:cstheme="minorBidi"/>
          <w:sz w:val="24"/>
        </w:rPr>
      </w:pPr>
      <w:r>
        <w:rPr>
          <w:rFonts w:hint="eastAsia"/>
          <w:sz w:val="24"/>
        </w:rPr>
        <w:t>七、</w:t>
      </w:r>
      <w:r>
        <w:rPr>
          <w:sz w:val="24"/>
        </w:rPr>
        <w:t>“</w:t>
      </w:r>
      <w:r>
        <w:rPr>
          <w:rFonts w:hint="eastAsia"/>
          <w:sz w:val="24"/>
        </w:rPr>
        <w:t>三公”经费财政拨款支出决算情况说明</w:t>
      </w:r>
    </w:p>
    <w:p>
      <w:pPr>
        <w:pStyle w:val="8"/>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p>
    <w:p>
      <w:pPr>
        <w:pStyle w:val="8"/>
        <w:adjustRightInd w:val="0"/>
        <w:snapToGrid w:val="0"/>
        <w:spacing w:line="440" w:lineRule="exact"/>
        <w:ind w:leftChars="0"/>
        <w:jc w:val="left"/>
        <w:rPr>
          <w:rFonts w:ascii="仿宋" w:hAnsi="仿宋" w:eastAsia="仿宋"/>
          <w:sz w:val="24"/>
        </w:rPr>
      </w:pPr>
      <w:r>
        <w:rPr>
          <w:rFonts w:hint="eastAsia" w:ascii="仿宋" w:hAnsi="仿宋" w:eastAsia="仿宋"/>
          <w:sz w:val="24"/>
        </w:rPr>
        <w:t>九、</w:t>
      </w:r>
      <w:r>
        <w:rPr>
          <w:sz w:val="24"/>
        </w:rPr>
        <w:t xml:space="preserve"> 国</w:t>
      </w:r>
      <w:r>
        <w:rPr>
          <w:rFonts w:hint="eastAsia"/>
          <w:sz w:val="24"/>
        </w:rPr>
        <w:t>有资本经营预算支出决算情况说明</w:t>
      </w:r>
    </w:p>
    <w:p>
      <w:pPr>
        <w:adjustRightInd w:val="0"/>
        <w:snapToGrid w:val="0"/>
        <w:spacing w:line="440" w:lineRule="exact"/>
        <w:ind w:firstLine="480" w:firstLineChars="200"/>
        <w:jc w:val="left"/>
        <w:rPr>
          <w:rFonts w:ascii="仿宋" w:hAnsi="仿宋" w:eastAsia="仿宋" w:cstheme="minorBidi"/>
          <w:sz w:val="24"/>
        </w:rPr>
      </w:pPr>
      <w:r>
        <w:rPr>
          <w:rStyle w:val="12"/>
          <w:rFonts w:hint="eastAsia" w:ascii="仿宋" w:hAnsi="仿宋" w:eastAsia="仿宋"/>
          <w:color w:val="000000" w:themeColor="text1"/>
          <w:sz w:val="24"/>
          <w:u w:val="none"/>
          <w14:textFill>
            <w14:solidFill>
              <w14:schemeClr w14:val="tx1"/>
            </w14:solidFill>
          </w14:textFill>
        </w:rPr>
        <w:t>十、</w:t>
      </w:r>
      <w:r>
        <w:rPr>
          <w:rFonts w:hint="eastAsia"/>
          <w:sz w:val="24"/>
        </w:rPr>
        <w:t>其他重要事项的情况说明</w:t>
      </w:r>
      <w:r>
        <w:rPr>
          <w:rFonts w:ascii="仿宋" w:hAnsi="仿宋" w:eastAsia="仿宋"/>
          <w:sz w:val="24"/>
        </w:rPr>
        <w:tab/>
      </w:r>
    </w:p>
    <w:p>
      <w:pPr>
        <w:pStyle w:val="7"/>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p>
    <w:p>
      <w:pPr>
        <w:pStyle w:val="7"/>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pPr>
        <w:pStyle w:val="8"/>
        <w:adjustRightInd w:val="0"/>
        <w:snapToGrid w:val="0"/>
        <w:spacing w:line="440" w:lineRule="exact"/>
        <w:jc w:val="left"/>
        <w:rPr>
          <w:rFonts w:ascii="仿宋" w:hAnsi="仿宋" w:eastAsia="仿宋" w:cstheme="minorBidi"/>
          <w:sz w:val="24"/>
        </w:rPr>
      </w:pPr>
      <w:r>
        <w:rPr>
          <w:rFonts w:hint="eastAsia"/>
          <w:sz w:val="24"/>
        </w:rPr>
        <w:t>附件</w:t>
      </w:r>
      <w:r>
        <w:rPr>
          <w:sz w:val="24"/>
        </w:rPr>
        <w:t>1</w:t>
      </w:r>
    </w:p>
    <w:p>
      <w:pPr>
        <w:pStyle w:val="8"/>
        <w:adjustRightInd w:val="0"/>
        <w:snapToGrid w:val="0"/>
        <w:spacing w:line="440" w:lineRule="exact"/>
        <w:jc w:val="left"/>
        <w:rPr>
          <w:rFonts w:ascii="仿宋" w:hAnsi="仿宋" w:eastAsia="仿宋" w:cstheme="minorBidi"/>
          <w:sz w:val="24"/>
        </w:rPr>
      </w:pPr>
      <w:r>
        <w:rPr>
          <w:rFonts w:hint="eastAsia"/>
          <w:sz w:val="24"/>
        </w:rPr>
        <w:t>附件</w:t>
      </w:r>
      <w:r>
        <w:rPr>
          <w:sz w:val="24"/>
        </w:rPr>
        <w:t>2</w:t>
      </w:r>
    </w:p>
    <w:p>
      <w:pPr>
        <w:pStyle w:val="7"/>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p>
    <w:p>
      <w:pPr>
        <w:pStyle w:val="8"/>
        <w:adjustRightInd w:val="0"/>
        <w:snapToGrid w:val="0"/>
        <w:spacing w:line="440" w:lineRule="exact"/>
        <w:jc w:val="left"/>
        <w:rPr>
          <w:rFonts w:ascii="仿宋" w:hAnsi="仿宋" w:eastAsia="仿宋" w:cstheme="minorBidi"/>
          <w:sz w:val="24"/>
        </w:rPr>
      </w:pPr>
      <w:r>
        <w:rPr>
          <w:rFonts w:hint="eastAsia" w:ascii="仿宋" w:hAnsi="仿宋" w:eastAsia="仿宋"/>
          <w:sz w:val="24"/>
        </w:rPr>
        <w:t>一、</w:t>
      </w:r>
      <w:r>
        <w:rPr>
          <w:rFonts w:hint="eastAsia"/>
          <w:sz w:val="24"/>
        </w:rPr>
        <w:t>收入支出决算总表</w:t>
      </w:r>
    </w:p>
    <w:p>
      <w:pPr>
        <w:pStyle w:val="8"/>
        <w:adjustRightInd w:val="0"/>
        <w:snapToGrid w:val="0"/>
        <w:spacing w:line="440" w:lineRule="exact"/>
        <w:jc w:val="left"/>
        <w:rPr>
          <w:rFonts w:ascii="仿宋" w:hAnsi="仿宋" w:eastAsia="仿宋" w:cstheme="minorBidi"/>
          <w:sz w:val="24"/>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w:t>
      </w:r>
    </w:p>
    <w:p>
      <w:pPr>
        <w:pStyle w:val="8"/>
        <w:adjustRightInd w:val="0"/>
        <w:snapToGrid w:val="0"/>
        <w:spacing w:line="440" w:lineRule="exact"/>
        <w:jc w:val="left"/>
        <w:rPr>
          <w:rFonts w:ascii="仿宋" w:hAnsi="仿宋" w:eastAsia="仿宋" w:cstheme="minorBidi"/>
          <w:sz w:val="24"/>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w:t>
      </w:r>
    </w:p>
    <w:p>
      <w:pPr>
        <w:pStyle w:val="8"/>
        <w:adjustRightInd w:val="0"/>
        <w:snapToGrid w:val="0"/>
        <w:spacing w:line="440" w:lineRule="exact"/>
        <w:jc w:val="left"/>
        <w:rPr>
          <w:rFonts w:ascii="仿宋" w:hAnsi="仿宋" w:eastAsia="仿宋" w:cstheme="minorBidi"/>
          <w:sz w:val="24"/>
        </w:rPr>
      </w:pPr>
      <w:r>
        <w:rPr>
          <w:rFonts w:hint="eastAsia" w:ascii="仿宋" w:hAnsi="仿宋" w:eastAsia="仿宋"/>
          <w:sz w:val="24"/>
        </w:rPr>
        <w:t>四、</w:t>
      </w:r>
      <w:r>
        <w:rPr>
          <w:rFonts w:hint="eastAsia"/>
          <w:sz w:val="24"/>
        </w:rPr>
        <w:t>财政拨款收入支出决算总表</w:t>
      </w:r>
    </w:p>
    <w:p>
      <w:pPr>
        <w:pStyle w:val="8"/>
        <w:adjustRightInd w:val="0"/>
        <w:snapToGrid w:val="0"/>
        <w:spacing w:line="440" w:lineRule="exact"/>
        <w:jc w:val="left"/>
        <w:rPr>
          <w:rFonts w:ascii="仿宋" w:hAnsi="仿宋" w:eastAsia="仿宋"/>
          <w:sz w:val="24"/>
        </w:rPr>
      </w:pPr>
      <w:r>
        <w:rPr>
          <w:rFonts w:hint="eastAsia" w:ascii="仿宋" w:hAnsi="仿宋" w:eastAsia="仿宋"/>
          <w:sz w:val="24"/>
        </w:rPr>
        <w:t>五、财政拨款支出决算明细表</w:t>
      </w:r>
    </w:p>
    <w:p>
      <w:pPr>
        <w:pStyle w:val="8"/>
        <w:adjustRightInd w:val="0"/>
        <w:snapToGrid w:val="0"/>
        <w:spacing w:line="440" w:lineRule="exact"/>
        <w:jc w:val="left"/>
        <w:rPr>
          <w:rFonts w:ascii="仿宋" w:hAnsi="仿宋" w:eastAsia="仿宋" w:cstheme="minorBidi"/>
          <w:sz w:val="24"/>
        </w:rPr>
      </w:pPr>
      <w:r>
        <w:rPr>
          <w:rFonts w:hint="eastAsia" w:ascii="仿宋" w:hAnsi="仿宋" w:eastAsia="仿宋"/>
          <w:sz w:val="24"/>
        </w:rPr>
        <w:t>六、</w:t>
      </w:r>
      <w:r>
        <w:rPr>
          <w:rFonts w:hint="eastAsia"/>
          <w:sz w:val="24"/>
        </w:rPr>
        <w:t>一般公共预算财政拨款支出决算表</w:t>
      </w:r>
    </w:p>
    <w:p>
      <w:pPr>
        <w:pStyle w:val="8"/>
        <w:adjustRightInd w:val="0"/>
        <w:snapToGrid w:val="0"/>
        <w:spacing w:line="440" w:lineRule="exact"/>
        <w:jc w:val="left"/>
        <w:rPr>
          <w:rFonts w:ascii="仿宋" w:hAnsi="仿宋" w:eastAsia="仿宋" w:cstheme="minorBidi"/>
          <w:sz w:val="24"/>
        </w:rPr>
      </w:pPr>
      <w:r>
        <w:rPr>
          <w:rFonts w:hint="eastAsia" w:ascii="仿宋" w:hAnsi="仿宋" w:eastAsia="仿宋"/>
          <w:sz w:val="24"/>
        </w:rPr>
        <w:t>七、</w:t>
      </w:r>
      <w:r>
        <w:rPr>
          <w:rFonts w:hint="eastAsia"/>
          <w:sz w:val="24"/>
        </w:rPr>
        <w:t>一般公共预算财政拨款支出决算明细表</w:t>
      </w:r>
    </w:p>
    <w:p>
      <w:pPr>
        <w:pStyle w:val="8"/>
        <w:adjustRightInd w:val="0"/>
        <w:snapToGrid w:val="0"/>
        <w:spacing w:line="440" w:lineRule="exact"/>
        <w:jc w:val="left"/>
        <w:rPr>
          <w:rFonts w:ascii="仿宋" w:hAnsi="仿宋" w:eastAsia="仿宋" w:cstheme="minorBidi"/>
          <w:sz w:val="24"/>
        </w:rPr>
      </w:pPr>
      <w:r>
        <w:rPr>
          <w:rFonts w:hint="eastAsia" w:ascii="仿宋" w:hAnsi="仿宋" w:eastAsia="仿宋"/>
          <w:sz w:val="24"/>
        </w:rPr>
        <w:t>八、</w:t>
      </w:r>
      <w:r>
        <w:rPr>
          <w:rFonts w:hint="eastAsia"/>
          <w:sz w:val="24"/>
        </w:rPr>
        <w:t>一般公共预算财政拨款基本支出决算表</w:t>
      </w:r>
    </w:p>
    <w:p>
      <w:pPr>
        <w:pStyle w:val="8"/>
        <w:adjustRightInd w:val="0"/>
        <w:snapToGrid w:val="0"/>
        <w:spacing w:line="440" w:lineRule="exact"/>
        <w:jc w:val="left"/>
        <w:rPr>
          <w:rFonts w:ascii="仿宋" w:hAnsi="仿宋" w:eastAsia="仿宋" w:cstheme="minorBidi"/>
          <w:sz w:val="24"/>
        </w:rPr>
      </w:pPr>
      <w:r>
        <w:rPr>
          <w:rFonts w:hint="eastAsia" w:ascii="仿宋" w:hAnsi="仿宋" w:eastAsia="仿宋"/>
          <w:sz w:val="24"/>
        </w:rPr>
        <w:t>九、</w:t>
      </w:r>
      <w:r>
        <w:rPr>
          <w:rFonts w:hint="eastAsia"/>
          <w:sz w:val="24"/>
        </w:rPr>
        <w:t>一般公共预算财政拨款项目支出决算表</w:t>
      </w:r>
    </w:p>
    <w:p>
      <w:pPr>
        <w:pStyle w:val="8"/>
        <w:adjustRightInd w:val="0"/>
        <w:snapToGrid w:val="0"/>
        <w:spacing w:line="440" w:lineRule="exact"/>
        <w:jc w:val="left"/>
        <w:rPr>
          <w:rFonts w:ascii="仿宋" w:hAnsi="仿宋" w:eastAsia="仿宋" w:cstheme="minorBidi"/>
          <w:sz w:val="24"/>
        </w:rPr>
      </w:pPr>
      <w:r>
        <w:rPr>
          <w:rFonts w:hint="eastAsia" w:ascii="仿宋" w:hAnsi="仿宋" w:eastAsia="仿宋"/>
          <w:sz w:val="24"/>
        </w:rPr>
        <w:t>十、</w:t>
      </w:r>
      <w:r>
        <w:rPr>
          <w:rFonts w:hint="eastAsia"/>
          <w:sz w:val="24"/>
        </w:rPr>
        <w:t>一般公共预算财政拨款“三公”经费支出决算表</w:t>
      </w:r>
    </w:p>
    <w:p>
      <w:pPr>
        <w:pStyle w:val="8"/>
        <w:adjustRightInd w:val="0"/>
        <w:snapToGrid w:val="0"/>
        <w:spacing w:line="440" w:lineRule="exact"/>
        <w:jc w:val="left"/>
        <w:rPr>
          <w:rFonts w:ascii="仿宋" w:hAnsi="仿宋" w:eastAsia="仿宋" w:cstheme="minorBidi"/>
          <w:sz w:val="24"/>
        </w:rPr>
      </w:pPr>
      <w:r>
        <w:rPr>
          <w:rFonts w:hint="eastAsia" w:ascii="仿宋" w:hAnsi="仿宋" w:eastAsia="仿宋"/>
          <w:sz w:val="24"/>
        </w:rPr>
        <w:t>十一、</w:t>
      </w:r>
      <w:r>
        <w:rPr>
          <w:rFonts w:hint="eastAsia"/>
          <w:sz w:val="24"/>
        </w:rPr>
        <w:t>政府性基金预算财政拨款收入支出决算表</w:t>
      </w:r>
    </w:p>
    <w:p>
      <w:pPr>
        <w:pStyle w:val="8"/>
        <w:adjustRightInd w:val="0"/>
        <w:snapToGrid w:val="0"/>
        <w:spacing w:line="440" w:lineRule="exact"/>
        <w:jc w:val="left"/>
        <w:rPr>
          <w:rFonts w:ascii="仿宋" w:hAnsi="仿宋" w:eastAsia="仿宋" w:cstheme="minorBidi"/>
          <w:sz w:val="24"/>
        </w:rPr>
      </w:pPr>
      <w:r>
        <w:rPr>
          <w:rFonts w:hint="eastAsia" w:ascii="仿宋" w:hAnsi="仿宋" w:eastAsia="仿宋"/>
          <w:sz w:val="24"/>
        </w:rPr>
        <w:t>十二、</w:t>
      </w:r>
      <w:r>
        <w:rPr>
          <w:rFonts w:hint="eastAsia"/>
          <w:sz w:val="24"/>
        </w:rPr>
        <w:t>政府性基金预算财政拨款“三公”经费支出决算表</w:t>
      </w:r>
    </w:p>
    <w:p>
      <w:pPr>
        <w:pStyle w:val="8"/>
        <w:adjustRightInd w:val="0"/>
        <w:snapToGrid w:val="0"/>
        <w:spacing w:line="440" w:lineRule="exact"/>
        <w:jc w:val="left"/>
        <w:rPr>
          <w:rFonts w:ascii="仿宋" w:hAnsi="仿宋" w:eastAsia="仿宋" w:cstheme="minorBidi"/>
          <w:sz w:val="24"/>
        </w:rPr>
      </w:pPr>
      <w:r>
        <w:rPr>
          <w:rFonts w:hint="eastAsia" w:ascii="仿宋" w:hAnsi="仿宋" w:eastAsia="仿宋"/>
          <w:sz w:val="24"/>
        </w:rPr>
        <w:t>十三、</w:t>
      </w:r>
      <w:r>
        <w:rPr>
          <w:rFonts w:hint="eastAsia"/>
          <w:sz w:val="24"/>
        </w:rPr>
        <w:t>国有资本经营预算支出决算表</w:t>
      </w:r>
    </w:p>
    <w:p>
      <w:pPr>
        <w:widowControl/>
        <w:spacing w:line="440" w:lineRule="exact"/>
        <w:jc w:val="left"/>
        <w:rPr>
          <w:rFonts w:ascii="仿宋" w:hAnsi="仿宋" w:eastAsia="仿宋"/>
          <w:bCs/>
          <w:kern w:val="44"/>
          <w:sz w:val="24"/>
        </w:rPr>
      </w:pPr>
      <w:bookmarkStart w:id="11" w:name="_Toc15396599"/>
      <w:bookmarkStart w:id="12" w:name="_Toc15377196"/>
      <w:r>
        <w:rPr>
          <w:rFonts w:ascii="仿宋" w:hAnsi="仿宋" w:eastAsia="仿宋"/>
          <w:b/>
          <w:sz w:val="24"/>
        </w:rPr>
        <w:br w:type="page"/>
      </w:r>
    </w:p>
    <w:p>
      <w:pPr>
        <w:pStyle w:val="2"/>
        <w:jc w:val="center"/>
        <w:rPr>
          <w:rStyle w:val="13"/>
          <w:rFonts w:ascii="黑体" w:hAnsi="黑体" w:eastAsia="黑体"/>
          <w:b/>
          <w:bCs w:val="0"/>
        </w:rPr>
      </w:pPr>
      <w:r>
        <w:rPr>
          <w:rFonts w:hint="eastAsia" w:ascii="黑体" w:hAnsi="黑体" w:eastAsia="黑体"/>
          <w:b w:val="0"/>
        </w:rPr>
        <w:t xml:space="preserve">第一部分 </w:t>
      </w:r>
      <w:r>
        <w:rPr>
          <w:rStyle w:val="13"/>
          <w:rFonts w:hint="eastAsia" w:ascii="黑体" w:hAnsi="黑体" w:eastAsia="黑体"/>
          <w:b w:val="0"/>
          <w:bCs w:val="0"/>
        </w:rPr>
        <w:t>部门概况</w:t>
      </w:r>
      <w:bookmarkEnd w:id="11"/>
      <w:bookmarkEnd w:id="12"/>
    </w:p>
    <w:p>
      <w:pPr>
        <w:widowControl/>
        <w:jc w:val="left"/>
        <w:rPr>
          <w:rFonts w:ascii="黑体" w:eastAsia="黑体"/>
          <w:color w:val="000000"/>
          <w:sz w:val="32"/>
          <w:szCs w:val="32"/>
        </w:rPr>
      </w:pPr>
    </w:p>
    <w:p>
      <w:pPr>
        <w:pStyle w:val="3"/>
        <w:rPr>
          <w:rStyle w:val="14"/>
          <w:rFonts w:ascii="仿宋" w:hAnsi="仿宋" w:eastAsia="仿宋"/>
          <w:b w:val="0"/>
          <w:bCs w:val="0"/>
        </w:rPr>
      </w:pPr>
      <w:bookmarkStart w:id="13" w:name="_Toc15396600"/>
      <w:bookmarkStart w:id="14" w:name="_Toc15377197"/>
      <w:r>
        <w:rPr>
          <w:rFonts w:hint="eastAsia" w:ascii="黑体" w:hAnsi="黑体" w:eastAsia="黑体"/>
          <w:b w:val="0"/>
          <w:color w:val="000000"/>
        </w:rPr>
        <w:t>一、基</w:t>
      </w:r>
      <w:r>
        <w:rPr>
          <w:rStyle w:val="14"/>
          <w:rFonts w:hint="eastAsia" w:ascii="黑体" w:hAnsi="黑体" w:eastAsia="黑体"/>
          <w:b w:val="0"/>
          <w:bCs w:val="0"/>
        </w:rPr>
        <w:t>本职能及主要工作</w:t>
      </w:r>
      <w:bookmarkEnd w:id="13"/>
      <w:bookmarkEnd w:id="14"/>
    </w:p>
    <w:p>
      <w:pPr>
        <w:pStyle w:val="4"/>
        <w:adjustRightInd w:val="0"/>
        <w:snapToGrid w:val="0"/>
        <w:spacing w:before="93" w:line="600" w:lineRule="exact"/>
        <w:ind w:firstLine="672" w:firstLineChars="210"/>
        <w:outlineLvl w:val="2"/>
        <w:rPr>
          <w:rFonts w:hint="eastAsia" w:ascii="仿宋" w:hAnsi="仿宋" w:eastAsia="仿宋"/>
          <w:bCs/>
          <w:color w:val="000000"/>
          <w:sz w:val="32"/>
          <w:szCs w:val="32"/>
        </w:rPr>
      </w:pPr>
      <w:bookmarkStart w:id="15" w:name="_Toc15377198"/>
      <w:bookmarkStart w:id="16" w:name="_Toc15378445"/>
      <w:r>
        <w:rPr>
          <w:rFonts w:hint="eastAsia" w:ascii="仿宋" w:hAnsi="仿宋" w:eastAsia="仿宋"/>
          <w:bCs/>
          <w:color w:val="000000"/>
          <w:sz w:val="32"/>
          <w:szCs w:val="32"/>
        </w:rPr>
        <w:t>（一）主要职能。</w:t>
      </w:r>
      <w:bookmarkEnd w:id="15"/>
      <w:bookmarkEnd w:id="16"/>
      <w:bookmarkStart w:id="17" w:name="_Toc15377199"/>
      <w:bookmarkStart w:id="18" w:name="_Toc15378446"/>
    </w:p>
    <w:p>
      <w:pPr>
        <w:snapToGrid w:val="0"/>
        <w:spacing w:line="520" w:lineRule="exact"/>
        <w:ind w:firstLine="640" w:firstLineChars="200"/>
        <w:rPr>
          <w:rFonts w:hint="eastAsia" w:ascii="仿宋" w:hAnsi="仿宋" w:eastAsia="仿宋"/>
          <w:bCs/>
          <w:color w:val="000000"/>
          <w:sz w:val="32"/>
          <w:szCs w:val="32"/>
        </w:rPr>
      </w:pPr>
      <w:r>
        <w:rPr>
          <w:rFonts w:hint="eastAsia" w:ascii="仿宋_GB2312" w:hAnsi="仿宋" w:eastAsia="仿宋_GB2312"/>
          <w:sz w:val="32"/>
          <w:szCs w:val="32"/>
        </w:rPr>
        <w:t>通过征用、收回、收购的方式具体实施土地储备工作。按要求对储备的土地进行前期开发整理，达到建设用地条件。承担全市范围内的土地开发整理工作。</w:t>
      </w:r>
    </w:p>
    <w:p>
      <w:pPr>
        <w:pStyle w:val="4"/>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9年重点工作完成情况。</w:t>
      </w:r>
      <w:bookmarkEnd w:id="17"/>
      <w:bookmarkEnd w:id="18"/>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大力开展全市城乡建设用地增减挂钩试点工作</w:t>
      </w:r>
      <w:r>
        <w:rPr>
          <w:rFonts w:hint="eastAsia" w:ascii="仿宋_GB2312" w:hAnsi="仿宋" w:eastAsia="仿宋_GB2312"/>
          <w:sz w:val="32"/>
          <w:szCs w:val="32"/>
          <w:lang w:val="en-US" w:eastAsia="zh-CN"/>
        </w:rPr>
        <w:t>,</w:t>
      </w:r>
      <w:r>
        <w:rPr>
          <w:rFonts w:hint="eastAsia" w:ascii="仿宋_GB2312" w:hAnsi="仿宋" w:eastAsia="仿宋_GB2312"/>
          <w:sz w:val="32"/>
          <w:szCs w:val="32"/>
        </w:rPr>
        <w:t>积极开展高标准农田建设项目</w:t>
      </w:r>
      <w:r>
        <w:rPr>
          <w:rFonts w:hint="eastAsia" w:ascii="仿宋_GB2312" w:hAnsi="仿宋" w:eastAsia="仿宋_GB2312"/>
          <w:sz w:val="32"/>
          <w:szCs w:val="32"/>
          <w:lang w:val="en-US" w:eastAsia="zh-CN"/>
        </w:rPr>
        <w:t>,</w:t>
      </w:r>
      <w:r>
        <w:rPr>
          <w:rFonts w:hint="eastAsia" w:ascii="仿宋_GB2312" w:hAnsi="仿宋" w:eastAsia="仿宋_GB2312"/>
          <w:sz w:val="32"/>
          <w:szCs w:val="32"/>
        </w:rPr>
        <w:t>开展我市国有土地的收储工作</w:t>
      </w:r>
      <w:r>
        <w:rPr>
          <w:rFonts w:hint="eastAsia" w:ascii="仿宋_GB2312" w:hAnsi="仿宋" w:eastAsia="仿宋_GB2312"/>
          <w:sz w:val="32"/>
          <w:szCs w:val="32"/>
          <w:lang w:eastAsia="zh-CN"/>
        </w:rPr>
        <w:t>。</w:t>
      </w:r>
    </w:p>
    <w:p>
      <w:pPr>
        <w:pStyle w:val="3"/>
        <w:rPr>
          <w:rStyle w:val="14"/>
          <w:b w:val="0"/>
          <w:bCs w:val="0"/>
        </w:rPr>
      </w:pPr>
      <w:bookmarkStart w:id="19" w:name="_Toc15396601"/>
      <w:bookmarkStart w:id="20" w:name="_Toc15377200"/>
      <w:r>
        <w:rPr>
          <w:rFonts w:hint="eastAsia" w:ascii="黑体" w:eastAsia="黑体"/>
          <w:b w:val="0"/>
          <w:color w:val="000000"/>
        </w:rPr>
        <w:t>二、</w:t>
      </w:r>
      <w:r>
        <w:rPr>
          <w:rFonts w:hint="eastAsia" w:ascii="黑体" w:hAnsi="黑体" w:eastAsia="黑体"/>
          <w:b w:val="0"/>
          <w:color w:val="000000"/>
        </w:rPr>
        <w:t>机</w:t>
      </w:r>
      <w:r>
        <w:rPr>
          <w:rStyle w:val="14"/>
          <w:rFonts w:hint="eastAsia" w:ascii="黑体" w:hAnsi="黑体" w:eastAsia="黑体"/>
          <w:b w:val="0"/>
          <w:bCs w:val="0"/>
        </w:rPr>
        <w:t>构设置</w:t>
      </w:r>
      <w:bookmarkEnd w:id="19"/>
      <w:bookmarkEnd w:id="20"/>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rPr>
        <w:t>峨眉山市</w:t>
      </w:r>
      <w:r>
        <w:rPr>
          <w:rFonts w:hint="eastAsia" w:ascii="仿宋_GB2312" w:eastAsia="仿宋_GB2312"/>
          <w:sz w:val="32"/>
          <w:szCs w:val="32"/>
          <w:lang w:eastAsia="zh-CN"/>
        </w:rPr>
        <w:t>土地储备整理中心为市自然资源局管理的公益一类事业单位</w:t>
      </w:r>
      <w:r>
        <w:rPr>
          <w:rFonts w:hint="eastAsia" w:ascii="仿宋_GB2312" w:eastAsia="仿宋_GB2312"/>
          <w:sz w:val="32"/>
          <w:szCs w:val="32"/>
          <w:lang w:val="en-US" w:eastAsia="zh-CN"/>
        </w:rPr>
        <w:t>。</w:t>
      </w:r>
    </w:p>
    <w:p>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pPr>
        <w:pStyle w:val="2"/>
        <w:ind w:right="440"/>
        <w:jc w:val="right"/>
        <w:rPr>
          <w:rStyle w:val="13"/>
          <w:rFonts w:ascii="黑体" w:hAnsi="黑体" w:eastAsia="黑体"/>
          <w:b w:val="0"/>
          <w:bCs w:val="0"/>
        </w:rPr>
      </w:pPr>
      <w:bookmarkStart w:id="21" w:name="_Toc15396602"/>
      <w:bookmarkStart w:id="22" w:name="_Toc15377204"/>
      <w:r>
        <w:rPr>
          <w:rFonts w:hint="eastAsia" w:ascii="黑体" w:hAnsi="黑体" w:eastAsia="黑体"/>
          <w:b w:val="0"/>
          <w:color w:val="000000"/>
        </w:rPr>
        <w:t>第二部分</w:t>
      </w:r>
      <w:r>
        <w:rPr>
          <w:rFonts w:hint="eastAsia" w:ascii="黑体" w:hAnsi="黑体" w:eastAsia="黑体"/>
          <w:color w:val="000000"/>
        </w:rPr>
        <w:t xml:space="preserve"> </w:t>
      </w:r>
      <w:r>
        <w:rPr>
          <w:rStyle w:val="13"/>
          <w:rFonts w:hint="eastAsia" w:ascii="黑体" w:hAnsi="黑体" w:eastAsia="黑体"/>
          <w:b w:val="0"/>
          <w:bCs w:val="0"/>
        </w:rPr>
        <w:t>2019年度部门决算情况说明</w:t>
      </w:r>
      <w:bookmarkEnd w:id="21"/>
      <w:bookmarkEnd w:id="22"/>
    </w:p>
    <w:p>
      <w:pPr>
        <w:pStyle w:val="15"/>
        <w:numPr>
          <w:ilvl w:val="0"/>
          <w:numId w:val="1"/>
        </w:numPr>
        <w:spacing w:line="600" w:lineRule="exact"/>
        <w:ind w:firstLineChars="0"/>
        <w:outlineLvl w:val="1"/>
        <w:rPr>
          <w:rStyle w:val="14"/>
          <w:rFonts w:ascii="黑体" w:hAnsi="黑体" w:eastAsia="黑体"/>
          <w:b w:val="0"/>
        </w:rPr>
      </w:pPr>
      <w:bookmarkStart w:id="23" w:name="_Toc15377205"/>
      <w:bookmarkStart w:id="24" w:name="_Toc15396603"/>
      <w:r>
        <w:rPr>
          <w:rFonts w:hint="eastAsia" w:ascii="黑体" w:hAnsi="黑体" w:eastAsia="黑体"/>
          <w:color w:val="000000"/>
          <w:sz w:val="32"/>
          <w:szCs w:val="32"/>
        </w:rPr>
        <w:t>收</w:t>
      </w:r>
      <w:r>
        <w:rPr>
          <w:rStyle w:val="14"/>
          <w:rFonts w:hint="eastAsia" w:ascii="黑体" w:hAnsi="黑体" w:eastAsia="黑体"/>
          <w:b w:val="0"/>
        </w:rPr>
        <w:t>入支出决算总体情况说明</w:t>
      </w:r>
      <w:bookmarkEnd w:id="23"/>
      <w:bookmarkEnd w:id="24"/>
    </w:p>
    <w:p>
      <w:pPr>
        <w:spacing w:line="60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rPr>
        <w:t>2019年度收、支总计</w:t>
      </w:r>
      <w:r>
        <w:rPr>
          <w:rFonts w:hint="eastAsia" w:ascii="仿宋" w:hAnsi="仿宋" w:eastAsia="仿宋"/>
          <w:color w:val="000000"/>
          <w:sz w:val="32"/>
          <w:szCs w:val="32"/>
          <w:lang w:val="en-US" w:eastAsia="zh-CN"/>
        </w:rPr>
        <w:t>49279.25</w:t>
      </w:r>
      <w:r>
        <w:rPr>
          <w:rFonts w:hint="eastAsia" w:ascii="仿宋" w:hAnsi="仿宋" w:eastAsia="仿宋"/>
          <w:color w:val="000000"/>
          <w:sz w:val="32"/>
          <w:szCs w:val="32"/>
        </w:rPr>
        <w:t>万元。与2018年相比，收、支总计各</w:t>
      </w:r>
      <w:r>
        <w:rPr>
          <w:rFonts w:hint="eastAsia" w:ascii="仿宋" w:hAnsi="仿宋" w:eastAsia="仿宋"/>
          <w:color w:val="000000"/>
          <w:sz w:val="32"/>
          <w:szCs w:val="32"/>
          <w:lang w:eastAsia="zh-CN"/>
        </w:rPr>
        <w:t>增加</w:t>
      </w:r>
      <w:r>
        <w:rPr>
          <w:rFonts w:hint="eastAsia" w:ascii="仿宋" w:hAnsi="仿宋" w:eastAsia="仿宋"/>
          <w:color w:val="000000"/>
          <w:sz w:val="32"/>
          <w:szCs w:val="32"/>
          <w:lang w:val="en-US" w:eastAsia="zh-CN"/>
        </w:rPr>
        <w:t>29578.98</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增加</w:t>
      </w:r>
      <w:r>
        <w:rPr>
          <w:rFonts w:hint="eastAsia" w:ascii="仿宋" w:hAnsi="仿宋" w:eastAsia="仿宋"/>
          <w:color w:val="000000"/>
          <w:sz w:val="32"/>
          <w:szCs w:val="32"/>
          <w:lang w:val="en-US" w:eastAsia="zh-CN"/>
        </w:rPr>
        <w:t>150</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收储土地支出增加。</w:t>
      </w:r>
    </w:p>
    <w:p>
      <w:pPr>
        <w:rPr>
          <w:rFonts w:hint="eastAsia" w:eastAsia="宋体"/>
          <w:lang w:eastAsia="zh-CN"/>
        </w:rPr>
      </w:pPr>
      <w:r>
        <w:rPr>
          <w:rFonts w:hint="eastAsia" w:eastAsia="宋体"/>
          <w:lang w:eastAsia="zh-CN"/>
        </w:rPr>
        <w:drawing>
          <wp:inline distT="0" distB="0" distL="114300" distR="114300">
            <wp:extent cx="5080000" cy="3810000"/>
            <wp:effectExtent l="4445" t="4445" r="20955" b="1460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pStyle w:val="15"/>
        <w:numPr>
          <w:ilvl w:val="0"/>
          <w:numId w:val="1"/>
        </w:numPr>
        <w:spacing w:line="600" w:lineRule="exact"/>
        <w:ind w:firstLineChars="0"/>
        <w:outlineLvl w:val="1"/>
        <w:rPr>
          <w:rStyle w:val="14"/>
          <w:rFonts w:ascii="黑体" w:hAnsi="黑体" w:eastAsia="黑体"/>
          <w:b w:val="0"/>
        </w:rPr>
      </w:pPr>
      <w:bookmarkStart w:id="25" w:name="_Toc15377206"/>
      <w:bookmarkStart w:id="26" w:name="_Toc15396604"/>
      <w:r>
        <w:rPr>
          <w:rFonts w:hint="eastAsia" w:ascii="黑体" w:hAnsi="黑体" w:eastAsia="黑体"/>
          <w:color w:val="000000"/>
          <w:sz w:val="32"/>
          <w:szCs w:val="32"/>
        </w:rPr>
        <w:t>收</w:t>
      </w:r>
      <w:r>
        <w:rPr>
          <w:rStyle w:val="14"/>
          <w:rFonts w:hint="eastAsia" w:ascii="黑体" w:hAnsi="黑体" w:eastAsia="黑体"/>
          <w:b w:val="0"/>
        </w:rPr>
        <w:t>入决算情况说明</w:t>
      </w:r>
      <w:bookmarkEnd w:id="25"/>
      <w:bookmarkEnd w:id="26"/>
    </w:p>
    <w:p>
      <w:pPr>
        <w:spacing w:line="600" w:lineRule="exact"/>
        <w:ind w:firstLine="640" w:firstLineChars="200"/>
        <w:outlineLvl w:val="1"/>
        <w:rPr>
          <w:rFonts w:hint="eastAsia"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w:t>
      </w:r>
      <w:r>
        <w:rPr>
          <w:rFonts w:hint="eastAsia" w:ascii="仿宋" w:hAnsi="仿宋" w:eastAsia="仿宋"/>
          <w:color w:val="000000"/>
          <w:sz w:val="32"/>
          <w:szCs w:val="32"/>
          <w:lang w:val="en-US" w:eastAsia="zh-CN"/>
        </w:rPr>
        <w:t>49279.25</w:t>
      </w:r>
      <w:r>
        <w:rPr>
          <w:rFonts w:hint="eastAsia" w:ascii="仿宋" w:hAnsi="仿宋" w:eastAsia="仿宋"/>
          <w:color w:val="000000"/>
          <w:sz w:val="32"/>
          <w:szCs w:val="32"/>
        </w:rPr>
        <w:t>万元，其中：政府性基金预算财政拨款收入</w:t>
      </w:r>
      <w:r>
        <w:rPr>
          <w:rFonts w:hint="eastAsia" w:ascii="仿宋" w:hAnsi="仿宋" w:eastAsia="仿宋"/>
          <w:color w:val="000000"/>
          <w:sz w:val="32"/>
          <w:szCs w:val="32"/>
          <w:lang w:val="en-US" w:eastAsia="zh-CN"/>
        </w:rPr>
        <w:t>49279.25</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themeColor="text1"/>
          <w:sz w:val="32"/>
          <w:szCs w:val="32"/>
          <w14:textFill>
            <w14:solidFill>
              <w14:schemeClr w14:val="tx1"/>
            </w14:solidFill>
          </w14:textFill>
        </w:rPr>
        <w:t>上级补助收入</w:t>
      </w:r>
      <w:r>
        <w:rPr>
          <w:rFonts w:hint="eastAsia" w:ascii="仿宋" w:hAnsi="仿宋" w:eastAsia="仿宋"/>
          <w:color w:val="000000" w:themeColor="text1"/>
          <w:sz w:val="32"/>
          <w:szCs w:val="32"/>
          <w:lang w:val="en-US" w:eastAsia="zh-CN"/>
          <w14:textFill>
            <w14:solidFill>
              <w14:schemeClr w14:val="tx1"/>
            </w14:solidFill>
          </w14:textFill>
        </w:rPr>
        <w:t>0</w:t>
      </w:r>
      <w:r>
        <w:rPr>
          <w:rFonts w:hint="eastAsia" w:ascii="仿宋" w:hAnsi="仿宋" w:eastAsia="仿宋"/>
          <w:color w:val="000000"/>
          <w:sz w:val="32"/>
          <w:szCs w:val="32"/>
        </w:rPr>
        <w:t>万元；事业收入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万元；经营收入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万元；附属单位上缴收入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万元；其他收入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w:t>
      </w:r>
    </w:p>
    <w:p>
      <w:pPr>
        <w:rPr>
          <w:rFonts w:hint="eastAsia" w:eastAsia="宋体"/>
          <w:lang w:eastAsia="zh-CN"/>
        </w:rPr>
      </w:pPr>
      <w:r>
        <w:rPr>
          <w:rFonts w:hint="eastAsia" w:eastAsia="宋体"/>
          <w:lang w:eastAsia="zh-CN"/>
        </w:rPr>
        <w:drawing>
          <wp:inline distT="0" distB="0" distL="114300" distR="114300">
            <wp:extent cx="5080000" cy="3810000"/>
            <wp:effectExtent l="4445" t="4445" r="20955" b="1460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pStyle w:val="15"/>
        <w:numPr>
          <w:ilvl w:val="0"/>
          <w:numId w:val="1"/>
        </w:numPr>
        <w:spacing w:line="600" w:lineRule="exact"/>
        <w:ind w:firstLineChars="0"/>
        <w:outlineLvl w:val="1"/>
        <w:rPr>
          <w:rStyle w:val="14"/>
          <w:rFonts w:ascii="黑体" w:hAnsi="黑体" w:eastAsia="黑体"/>
          <w:b w:val="0"/>
        </w:rPr>
      </w:pPr>
      <w:r>
        <w:rPr>
          <w:rFonts w:hint="eastAsia" w:ascii="黑体" w:hAnsi="黑体" w:eastAsia="黑体"/>
          <w:color w:val="000000"/>
          <w:sz w:val="32"/>
          <w:szCs w:val="32"/>
        </w:rPr>
        <w:t>支</w:t>
      </w:r>
      <w:r>
        <w:rPr>
          <w:rStyle w:val="14"/>
          <w:rFonts w:hint="eastAsia" w:ascii="黑体" w:hAnsi="黑体" w:eastAsia="黑体"/>
          <w:b w:val="0"/>
        </w:rPr>
        <w:t>出决算情况说明</w:t>
      </w:r>
    </w:p>
    <w:p>
      <w:pPr>
        <w:rPr>
          <w:rFonts w:hint="eastAsia"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9年本年支出合计</w:t>
      </w:r>
      <w:r>
        <w:rPr>
          <w:rFonts w:hint="eastAsia" w:ascii="仿宋" w:hAnsi="仿宋" w:eastAsia="仿宋"/>
          <w:color w:val="000000"/>
          <w:sz w:val="32"/>
          <w:szCs w:val="32"/>
          <w:lang w:val="en-US" w:eastAsia="zh-CN"/>
        </w:rPr>
        <w:t>46503.17</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万元；项目支出</w:t>
      </w:r>
      <w:r>
        <w:rPr>
          <w:rFonts w:hint="eastAsia" w:ascii="仿宋" w:hAnsi="仿宋" w:eastAsia="仿宋"/>
          <w:color w:val="000000"/>
          <w:sz w:val="32"/>
          <w:szCs w:val="32"/>
          <w:lang w:val="en-US" w:eastAsia="zh-CN"/>
        </w:rPr>
        <w:t>46503.17</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；上缴上级支出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万元；经营支出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万元；对附属单位补助支出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w:t>
      </w:r>
    </w:p>
    <w:p>
      <w:pPr>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drawing>
          <wp:inline distT="0" distB="0" distL="114300" distR="114300">
            <wp:extent cx="5080000" cy="3810000"/>
            <wp:effectExtent l="4445" t="4445" r="20955" b="1460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ind w:firstLine="320" w:firstLineChars="100"/>
        <w:outlineLvl w:val="1"/>
        <w:rPr>
          <w:rStyle w:val="14"/>
          <w:rFonts w:ascii="黑体" w:hAnsi="黑体" w:eastAsia="黑体"/>
          <w:b w:val="0"/>
        </w:rPr>
      </w:pPr>
      <w:r>
        <w:rPr>
          <w:rFonts w:hint="eastAsia" w:ascii="黑体" w:hAnsi="黑体" w:eastAsia="黑体"/>
          <w:color w:val="000000"/>
          <w:sz w:val="32"/>
          <w:szCs w:val="32"/>
        </w:rPr>
        <w:t>四、财</w:t>
      </w:r>
      <w:r>
        <w:rPr>
          <w:rStyle w:val="14"/>
          <w:rFonts w:hint="eastAsia" w:ascii="黑体" w:hAnsi="黑体" w:eastAsia="黑体"/>
          <w:b w:val="0"/>
        </w:rPr>
        <w:t>政拨款收入支出决算总体情况说明</w:t>
      </w:r>
    </w:p>
    <w:p>
      <w:pPr>
        <w:spacing w:line="60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rPr>
        <w:t>2019年度</w:t>
      </w:r>
      <w:r>
        <w:rPr>
          <w:rFonts w:hint="eastAsia" w:ascii="仿宋" w:hAnsi="仿宋" w:eastAsia="仿宋"/>
          <w:color w:val="000000"/>
          <w:sz w:val="32"/>
          <w:szCs w:val="32"/>
          <w:lang w:eastAsia="zh-CN"/>
        </w:rPr>
        <w:t>财政拨款</w:t>
      </w:r>
      <w:r>
        <w:rPr>
          <w:rFonts w:hint="eastAsia" w:ascii="仿宋" w:hAnsi="仿宋" w:eastAsia="仿宋"/>
          <w:color w:val="000000"/>
          <w:sz w:val="32"/>
          <w:szCs w:val="32"/>
        </w:rPr>
        <w:t>收、支总计</w:t>
      </w:r>
      <w:r>
        <w:rPr>
          <w:rFonts w:hint="eastAsia" w:ascii="仿宋" w:hAnsi="仿宋" w:eastAsia="仿宋"/>
          <w:color w:val="000000"/>
          <w:sz w:val="32"/>
          <w:szCs w:val="32"/>
          <w:lang w:val="en-US" w:eastAsia="zh-CN"/>
        </w:rPr>
        <w:t>49279.25</w:t>
      </w:r>
      <w:r>
        <w:rPr>
          <w:rFonts w:hint="eastAsia" w:ascii="仿宋" w:hAnsi="仿宋" w:eastAsia="仿宋"/>
          <w:color w:val="000000"/>
          <w:sz w:val="32"/>
          <w:szCs w:val="32"/>
        </w:rPr>
        <w:t>万元。与2018年相比，收、支总计各</w:t>
      </w:r>
      <w:r>
        <w:rPr>
          <w:rFonts w:hint="eastAsia" w:ascii="仿宋" w:hAnsi="仿宋" w:eastAsia="仿宋"/>
          <w:color w:val="000000"/>
          <w:sz w:val="32"/>
          <w:szCs w:val="32"/>
          <w:lang w:eastAsia="zh-CN"/>
        </w:rPr>
        <w:t>增加</w:t>
      </w:r>
      <w:r>
        <w:rPr>
          <w:rFonts w:hint="eastAsia" w:ascii="仿宋" w:hAnsi="仿宋" w:eastAsia="仿宋"/>
          <w:color w:val="000000"/>
          <w:sz w:val="32"/>
          <w:szCs w:val="32"/>
          <w:lang w:val="en-US" w:eastAsia="zh-CN"/>
        </w:rPr>
        <w:t>29578.98</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增加</w:t>
      </w:r>
      <w:r>
        <w:rPr>
          <w:rFonts w:hint="eastAsia" w:ascii="仿宋" w:hAnsi="仿宋" w:eastAsia="仿宋"/>
          <w:color w:val="000000"/>
          <w:sz w:val="32"/>
          <w:szCs w:val="32"/>
          <w:lang w:val="en-US" w:eastAsia="zh-CN"/>
        </w:rPr>
        <w:t>150</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收储土地支出增加。</w:t>
      </w:r>
    </w:p>
    <w:p>
      <w:pPr>
        <w:spacing w:line="600" w:lineRule="exact"/>
        <w:ind w:firstLine="640" w:firstLineChars="200"/>
        <w:rPr>
          <w:rFonts w:hint="eastAsia" w:ascii="仿宋" w:hAnsi="仿宋" w:eastAsia="仿宋"/>
          <w:color w:val="000000"/>
          <w:sz w:val="32"/>
          <w:szCs w:val="32"/>
          <w:lang w:eastAsia="zh-CN"/>
        </w:rPr>
      </w:pPr>
    </w:p>
    <w:p>
      <w:pPr>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drawing>
          <wp:inline distT="0" distB="0" distL="114300" distR="114300">
            <wp:extent cx="5080000" cy="3810000"/>
            <wp:effectExtent l="4445" t="4445" r="20955" b="1460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640" w:firstLineChars="200"/>
        <w:outlineLvl w:val="1"/>
        <w:rPr>
          <w:rStyle w:val="14"/>
          <w:rFonts w:ascii="黑体" w:hAnsi="黑体" w:eastAsia="黑体"/>
          <w:b w:val="0"/>
        </w:rPr>
      </w:pPr>
      <w:bookmarkStart w:id="27" w:name="_Toc15396607"/>
      <w:bookmarkStart w:id="28"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14"/>
          <w:rFonts w:hint="eastAsia" w:ascii="黑体" w:hAnsi="黑体" w:eastAsia="黑体"/>
          <w:b w:val="0"/>
        </w:rPr>
        <w:t>般公共预算财政拨款支出决算情况说明</w:t>
      </w:r>
      <w:bookmarkEnd w:id="27"/>
      <w:bookmarkEnd w:id="28"/>
    </w:p>
    <w:p>
      <w:pPr>
        <w:tabs>
          <w:tab w:val="right" w:pos="8306"/>
        </w:tabs>
        <w:spacing w:line="600" w:lineRule="exact"/>
        <w:ind w:firstLine="640"/>
        <w:outlineLvl w:val="1"/>
        <w:rPr>
          <w:rFonts w:hint="eastAsia" w:ascii="仿宋" w:hAnsi="仿宋" w:eastAsia="仿宋" w:cs="仿宋"/>
          <w:color w:val="000000"/>
          <w:sz w:val="32"/>
          <w:szCs w:val="32"/>
          <w:lang w:eastAsia="zh-CN"/>
        </w:rPr>
      </w:pPr>
      <w:bookmarkStart w:id="29" w:name="_Toc15377214"/>
      <w:bookmarkStart w:id="30" w:name="_Toc15396608"/>
      <w:r>
        <w:rPr>
          <w:rFonts w:hint="eastAsia" w:ascii="仿宋" w:hAnsi="仿宋" w:eastAsia="仿宋" w:cs="仿宋"/>
          <w:color w:val="000000"/>
          <w:sz w:val="32"/>
          <w:szCs w:val="32"/>
          <w:lang w:eastAsia="zh-CN"/>
        </w:rPr>
        <w:t>本年没有一般公共预算拨款支出。</w:t>
      </w:r>
    </w:p>
    <w:p>
      <w:pPr>
        <w:tabs>
          <w:tab w:val="right" w:pos="8306"/>
        </w:tabs>
        <w:spacing w:line="600" w:lineRule="exact"/>
        <w:ind w:firstLine="640"/>
        <w:outlineLvl w:val="1"/>
        <w:rPr>
          <w:rStyle w:val="14"/>
        </w:rPr>
      </w:pPr>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14"/>
          <w:rFonts w:hint="eastAsia" w:ascii="黑体" w:hAnsi="黑体" w:eastAsia="黑体"/>
          <w:b w:val="0"/>
        </w:rPr>
        <w:t>般公共预算财政拨款基本支出决算情况说明</w:t>
      </w:r>
      <w:bookmarkEnd w:id="29"/>
      <w:bookmarkEnd w:id="30"/>
      <w:r>
        <w:rPr>
          <w:rStyle w:val="14"/>
          <w:rFonts w:ascii="黑体" w:hAnsi="黑体" w:eastAsia="黑体"/>
          <w:b w:val="0"/>
        </w:rPr>
        <w:tab/>
      </w:r>
    </w:p>
    <w:p>
      <w:pPr>
        <w:tabs>
          <w:tab w:val="right" w:pos="8306"/>
        </w:tabs>
        <w:spacing w:line="600" w:lineRule="exact"/>
        <w:ind w:firstLine="640"/>
        <w:outlineLvl w:val="1"/>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本年没有一般公共预算拨款支出。</w:t>
      </w:r>
    </w:p>
    <w:p>
      <w:pPr>
        <w:spacing w:line="600" w:lineRule="exact"/>
        <w:ind w:firstLine="640"/>
        <w:outlineLvl w:val="1"/>
        <w:rPr>
          <w:rStyle w:val="14"/>
          <w:rFonts w:ascii="黑体" w:hAnsi="黑体" w:eastAsia="黑体"/>
          <w:b w:val="0"/>
        </w:rPr>
      </w:pPr>
      <w:bookmarkStart w:id="31" w:name="_Toc15377215"/>
      <w:bookmarkStart w:id="32" w:name="_Toc15396609"/>
      <w:r>
        <w:rPr>
          <w:rFonts w:hint="eastAsia" w:ascii="黑体" w:eastAsia="黑体"/>
          <w:color w:val="000000"/>
          <w:sz w:val="32"/>
          <w:szCs w:val="32"/>
        </w:rPr>
        <w:t>七、</w:t>
      </w:r>
      <w:r>
        <w:rPr>
          <w:rStyle w:val="14"/>
          <w:rFonts w:hint="eastAsia" w:ascii="黑体" w:hAnsi="黑体" w:eastAsia="黑体"/>
        </w:rPr>
        <w:t>“</w:t>
      </w:r>
      <w:r>
        <w:rPr>
          <w:rStyle w:val="14"/>
          <w:rFonts w:hint="eastAsia" w:ascii="黑体" w:hAnsi="黑体" w:eastAsia="黑体"/>
          <w:b w:val="0"/>
        </w:rPr>
        <w:t>三公”经费财政拨款支出决算情况说明</w:t>
      </w:r>
      <w:bookmarkEnd w:id="31"/>
      <w:bookmarkEnd w:id="32"/>
    </w:p>
    <w:p>
      <w:pPr>
        <w:spacing w:line="600" w:lineRule="exact"/>
        <w:ind w:firstLine="640"/>
        <w:rPr>
          <w:rFonts w:hint="eastAsia" w:ascii="仿宋_GB2312" w:eastAsia="仿宋_GB2312"/>
          <w:color w:val="333333"/>
          <w:sz w:val="32"/>
          <w:szCs w:val="32"/>
        </w:rPr>
      </w:pPr>
      <w:r>
        <w:rPr>
          <w:rFonts w:ascii="仿宋" w:hAnsi="仿宋" w:eastAsia="仿宋"/>
          <w:color w:val="000000"/>
          <w:sz w:val="32"/>
          <w:szCs w:val="32"/>
        </w:rPr>
        <w:t>201</w:t>
      </w:r>
      <w:r>
        <w:rPr>
          <w:rFonts w:hint="eastAsia" w:ascii="仿宋" w:hAnsi="仿宋" w:eastAsia="仿宋"/>
          <w:color w:val="000000"/>
          <w:sz w:val="32"/>
          <w:szCs w:val="32"/>
        </w:rPr>
        <w:t>9年</w:t>
      </w:r>
      <w:r>
        <w:rPr>
          <w:rFonts w:hint="eastAsia" w:ascii="仿宋" w:hAnsi="仿宋" w:eastAsia="仿宋"/>
          <w:color w:val="000000"/>
          <w:sz w:val="32"/>
          <w:szCs w:val="32"/>
          <w:lang w:eastAsia="zh-CN"/>
        </w:rPr>
        <w:t>没有</w:t>
      </w:r>
      <w:r>
        <w:rPr>
          <w:rFonts w:hint="eastAsia" w:ascii="仿宋" w:hAnsi="仿宋" w:eastAsia="仿宋"/>
          <w:color w:val="000000"/>
          <w:sz w:val="32"/>
          <w:szCs w:val="32"/>
        </w:rPr>
        <w:t>“三公”经费财政拨款支出</w:t>
      </w:r>
      <w:r>
        <w:rPr>
          <w:rFonts w:hint="eastAsia" w:ascii="仿宋_GB2312" w:eastAsia="仿宋_GB2312"/>
          <w:color w:val="333333"/>
          <w:sz w:val="32"/>
          <w:szCs w:val="32"/>
        </w:rPr>
        <w:t>。</w:t>
      </w:r>
    </w:p>
    <w:p>
      <w:pPr>
        <w:spacing w:line="600" w:lineRule="exact"/>
        <w:ind w:firstLine="640"/>
        <w:outlineLvl w:val="1"/>
        <w:rPr>
          <w:rStyle w:val="14"/>
          <w:rFonts w:ascii="黑体" w:hAnsi="黑体" w:eastAsia="黑体"/>
        </w:rPr>
      </w:pPr>
      <w:bookmarkStart w:id="33" w:name="_Toc15377218"/>
      <w:bookmarkStart w:id="34" w:name="_Toc15396610"/>
      <w:r>
        <w:rPr>
          <w:rFonts w:hint="eastAsia" w:ascii="黑体" w:eastAsia="黑体"/>
          <w:color w:val="000000"/>
          <w:sz w:val="32"/>
          <w:szCs w:val="32"/>
        </w:rPr>
        <w:t>八、</w:t>
      </w:r>
      <w:r>
        <w:rPr>
          <w:rStyle w:val="14"/>
          <w:rFonts w:hint="eastAsia" w:ascii="黑体" w:hAnsi="黑体" w:eastAsia="黑体"/>
          <w:b w:val="0"/>
        </w:rPr>
        <w:t>政府性基金预算支出决算情况说明</w:t>
      </w:r>
      <w:bookmarkEnd w:id="33"/>
      <w:bookmarkEnd w:id="34"/>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w:t>
      </w:r>
      <w:r>
        <w:rPr>
          <w:rFonts w:hint="eastAsia" w:ascii="仿宋" w:hAnsi="仿宋" w:eastAsia="仿宋"/>
          <w:color w:val="000000"/>
          <w:sz w:val="32"/>
          <w:szCs w:val="32"/>
          <w:lang w:val="en-US" w:eastAsia="zh-CN"/>
        </w:rPr>
        <w:t>46503.17</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p>
    <w:p>
      <w:pPr>
        <w:numPr>
          <w:ilvl w:val="0"/>
          <w:numId w:val="2"/>
        </w:numPr>
        <w:spacing w:line="600" w:lineRule="exact"/>
        <w:ind w:firstLine="640"/>
        <w:outlineLvl w:val="1"/>
        <w:rPr>
          <w:rStyle w:val="14"/>
          <w:rFonts w:ascii="黑体" w:hAnsi="黑体" w:eastAsia="黑体"/>
          <w:b w:val="0"/>
        </w:rPr>
      </w:pPr>
      <w:bookmarkStart w:id="35" w:name="_Toc15396611"/>
      <w:bookmarkStart w:id="36" w:name="_Toc15377219"/>
      <w:r>
        <w:rPr>
          <w:rStyle w:val="14"/>
          <w:rFonts w:hint="eastAsia" w:ascii="黑体" w:hAnsi="黑体" w:eastAsia="黑体"/>
          <w:b w:val="0"/>
        </w:rPr>
        <w:t>国有资本经营预算支出决算情况说明</w:t>
      </w:r>
      <w:bookmarkEnd w:id="35"/>
      <w:bookmarkEnd w:id="36"/>
    </w:p>
    <w:p>
      <w:pPr>
        <w:spacing w:line="600" w:lineRule="exact"/>
        <w:ind w:firstLine="640"/>
        <w:rPr>
          <w:rFonts w:ascii="方正小标宋简体" w:hAnsi="方正小标宋简体" w:eastAsia="方正小标宋简体" w:cs="方正小标宋简体"/>
          <w:sz w:val="44"/>
          <w:szCs w:val="44"/>
          <w:highlight w:val="none"/>
        </w:rPr>
      </w:pPr>
      <w:r>
        <w:rPr>
          <w:rFonts w:ascii="仿宋_GB2312" w:eastAsia="仿宋_GB2312"/>
          <w:color w:val="000000"/>
          <w:sz w:val="32"/>
          <w:szCs w:val="32"/>
          <w:highlight w:val="none"/>
        </w:rPr>
        <w:t>201</w:t>
      </w:r>
      <w:r>
        <w:rPr>
          <w:rFonts w:hint="eastAsia" w:ascii="仿宋_GB2312" w:eastAsia="仿宋_GB2312"/>
          <w:color w:val="000000"/>
          <w:sz w:val="32"/>
          <w:szCs w:val="32"/>
          <w:highlight w:val="none"/>
        </w:rPr>
        <w:t>9年国有资本经营预算拨款支出</w:t>
      </w:r>
      <w:r>
        <w:rPr>
          <w:rFonts w:hint="eastAsia" w:ascii="仿宋_GB2312" w:eastAsia="仿宋_GB2312"/>
          <w:color w:val="000000"/>
          <w:sz w:val="32"/>
          <w:szCs w:val="32"/>
          <w:highlight w:val="none"/>
          <w:lang w:val="en-US" w:eastAsia="zh-CN"/>
        </w:rPr>
        <w:t>0</w:t>
      </w:r>
      <w:r>
        <w:rPr>
          <w:rFonts w:hint="eastAsia" w:ascii="仿宋_GB2312" w:eastAsia="仿宋_GB2312"/>
          <w:color w:val="000000"/>
          <w:sz w:val="32"/>
          <w:szCs w:val="32"/>
          <w:highlight w:val="none"/>
        </w:rPr>
        <w:t>万元。</w:t>
      </w:r>
    </w:p>
    <w:p>
      <w:pPr>
        <w:spacing w:line="600" w:lineRule="exact"/>
        <w:ind w:firstLine="640" w:firstLineChars="200"/>
        <w:outlineLvl w:val="1"/>
        <w:rPr>
          <w:rStyle w:val="14"/>
          <w:rFonts w:ascii="黑体" w:hAnsi="黑体" w:eastAsia="黑体"/>
          <w:highlight w:val="none"/>
        </w:rPr>
      </w:pPr>
      <w:bookmarkStart w:id="37" w:name="_Toc15396612"/>
      <w:bookmarkStart w:id="38" w:name="_Toc15377221"/>
      <w:r>
        <w:rPr>
          <w:rFonts w:hint="eastAsia" w:ascii="黑体" w:hAnsi="黑体" w:eastAsia="黑体"/>
          <w:color w:val="000000"/>
          <w:sz w:val="32"/>
          <w:szCs w:val="32"/>
          <w:highlight w:val="none"/>
        </w:rPr>
        <w:t>十</w:t>
      </w:r>
      <w:r>
        <w:rPr>
          <w:rStyle w:val="14"/>
          <w:rFonts w:hint="eastAsia" w:ascii="黑体" w:hAnsi="黑体" w:eastAsia="黑体"/>
          <w:highlight w:val="none"/>
        </w:rPr>
        <w:t>、</w:t>
      </w:r>
      <w:r>
        <w:rPr>
          <w:rStyle w:val="14"/>
          <w:rFonts w:hint="eastAsia" w:ascii="黑体" w:hAnsi="黑体" w:eastAsia="黑体"/>
          <w:b w:val="0"/>
          <w:highlight w:val="none"/>
        </w:rPr>
        <w:t>其他重要事项的情况说明</w:t>
      </w:r>
      <w:bookmarkEnd w:id="37"/>
      <w:bookmarkEnd w:id="38"/>
    </w:p>
    <w:p>
      <w:pPr>
        <w:spacing w:line="600" w:lineRule="exact"/>
        <w:ind w:firstLine="643" w:firstLineChars="200"/>
        <w:outlineLvl w:val="2"/>
        <w:rPr>
          <w:rFonts w:ascii="仿宋" w:hAnsi="仿宋" w:eastAsia="仿宋"/>
          <w:color w:val="000000"/>
          <w:sz w:val="32"/>
          <w:szCs w:val="32"/>
        </w:rPr>
      </w:pPr>
      <w:bookmarkStart w:id="39" w:name="_Toc15377222"/>
      <w:r>
        <w:rPr>
          <w:rFonts w:hint="eastAsia" w:ascii="仿宋" w:hAnsi="仿宋" w:eastAsia="仿宋"/>
          <w:b/>
          <w:color w:val="000000"/>
          <w:sz w:val="32"/>
          <w:szCs w:val="32"/>
        </w:rPr>
        <w:t>（一）机关运行经费支出情况</w:t>
      </w:r>
      <w:bookmarkEnd w:id="39"/>
    </w:p>
    <w:p>
      <w:pPr>
        <w:spacing w:line="580" w:lineRule="exact"/>
        <w:ind w:firstLine="640" w:firstLineChars="200"/>
        <w:rPr>
          <w:rFonts w:hint="eastAsia" w:ascii="仿宋_GB2312" w:eastAsia="仿宋_GB2312"/>
          <w:color w:val="000000"/>
          <w:sz w:val="32"/>
          <w:szCs w:val="32"/>
        </w:rPr>
      </w:pPr>
      <w:bookmarkStart w:id="40" w:name="_Toc15377223"/>
      <w:r>
        <w:rPr>
          <w:rFonts w:hint="eastAsia" w:ascii="仿宋_GB2312" w:eastAsia="仿宋_GB2312"/>
          <w:color w:val="000000"/>
          <w:sz w:val="32"/>
          <w:szCs w:val="32"/>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年度，土地和房屋征收局机关运行经费支出0万元，与201</w:t>
      </w: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年决算数持平。</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（二）政府采购支出情况</w:t>
      </w:r>
      <w:bookmarkEnd w:id="40"/>
    </w:p>
    <w:p>
      <w:pPr>
        <w:spacing w:line="580" w:lineRule="exact"/>
        <w:ind w:firstLine="640" w:firstLineChars="200"/>
        <w:rPr>
          <w:rFonts w:ascii="仿宋" w:hAnsi="仿宋" w:eastAsia="仿宋"/>
          <w:b/>
          <w:color w:val="FF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eastAsia="zh-CN"/>
        </w:rPr>
        <w:t>土地储备整理中心</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万元、政府采购工程支出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万元、政府采购服务支出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41" w:name="_Toc15377224"/>
      <w:r>
        <w:rPr>
          <w:rFonts w:hint="eastAsia" w:ascii="仿宋" w:hAnsi="仿宋" w:eastAsia="仿宋"/>
          <w:b/>
          <w:color w:val="000000"/>
          <w:sz w:val="32"/>
          <w:szCs w:val="32"/>
        </w:rPr>
        <w:t>（三）国有资产占有使用情况</w:t>
      </w:r>
      <w:bookmarkEnd w:id="41"/>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eastAsia="zh-CN"/>
        </w:rPr>
        <w:t>土地储备整理中心没有</w:t>
      </w:r>
      <w:r>
        <w:rPr>
          <w:rFonts w:hint="eastAsia" w:ascii="仿宋_GB2312" w:eastAsia="仿宋_GB2312"/>
          <w:color w:val="000000"/>
          <w:sz w:val="32"/>
          <w:szCs w:val="32"/>
        </w:rPr>
        <w:t>车辆</w:t>
      </w:r>
      <w:r>
        <w:rPr>
          <w:rFonts w:hint="eastAsia" w:ascii="仿宋_GB2312" w:eastAsia="仿宋_GB2312"/>
          <w:color w:val="000000"/>
          <w:sz w:val="32"/>
          <w:szCs w:val="32"/>
          <w:lang w:val="en-US" w:eastAsia="zh-CN"/>
        </w:rPr>
        <w:t>；</w:t>
      </w:r>
      <w:r>
        <w:rPr>
          <w:rFonts w:hint="eastAsia" w:ascii="仿宋_GB2312" w:eastAsia="仿宋_GB2312"/>
          <w:color w:val="000000"/>
          <w:sz w:val="32"/>
          <w:szCs w:val="32"/>
        </w:rPr>
        <w:t>单价50万元以上通用设备0台（套），单价100万元以上专用设备0台（套）。</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按照预算绩效管理要求，本部门对201</w:t>
      </w:r>
      <w:r>
        <w:rPr>
          <w:rFonts w:hint="eastAsia" w:ascii="仿宋_GB2312" w:eastAsia="仿宋_GB2312"/>
          <w:sz w:val="32"/>
          <w:szCs w:val="32"/>
          <w:lang w:val="en-US" w:eastAsia="zh-CN"/>
        </w:rPr>
        <w:t>9</w:t>
      </w:r>
      <w:r>
        <w:rPr>
          <w:rFonts w:hint="eastAsia" w:ascii="仿宋_GB2312" w:eastAsia="仿宋_GB2312"/>
          <w:sz w:val="32"/>
          <w:szCs w:val="32"/>
        </w:rPr>
        <w:t>年一般公共预算项目支出开展了绩效目标管理，共编制绩效目标</w:t>
      </w:r>
      <w:r>
        <w:rPr>
          <w:rFonts w:hint="eastAsia" w:ascii="仿宋_GB2312" w:eastAsia="仿宋_GB2312"/>
          <w:sz w:val="32"/>
          <w:szCs w:val="32"/>
          <w:lang w:val="en-US" w:eastAsia="zh-CN"/>
        </w:rPr>
        <w:t xml:space="preserve"> </w:t>
      </w:r>
      <w:r>
        <w:rPr>
          <w:rFonts w:hint="eastAsia" w:ascii="仿宋_GB2312" w:eastAsia="仿宋_GB2312"/>
          <w:sz w:val="32"/>
          <w:szCs w:val="32"/>
        </w:rPr>
        <w:t>个，涉及财政资金</w:t>
      </w:r>
      <w:r>
        <w:rPr>
          <w:rFonts w:hint="eastAsia" w:ascii="仿宋_GB2312" w:eastAsia="仿宋_GB2312"/>
          <w:sz w:val="32"/>
          <w:szCs w:val="32"/>
          <w:lang w:val="en-US" w:eastAsia="zh-CN"/>
        </w:rPr>
        <w:t xml:space="preserve"> </w:t>
      </w:r>
      <w:r>
        <w:rPr>
          <w:rFonts w:hint="eastAsia" w:ascii="仿宋_GB2312" w:eastAsia="仿宋_GB2312"/>
          <w:sz w:val="32"/>
          <w:szCs w:val="32"/>
        </w:rPr>
        <w:t>万元，覆盖率达到100%。</w:t>
      </w:r>
    </w:p>
    <w:p>
      <w:pPr>
        <w:numPr>
          <w:ilvl w:val="0"/>
          <w:numId w:val="3"/>
        </w:numPr>
        <w:spacing w:line="580" w:lineRule="exact"/>
        <w:ind w:firstLine="640" w:firstLineChars="200"/>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rPr>
        <w:t>项目绩效目标完成情况。</w:t>
      </w:r>
      <w:r>
        <w:rPr>
          <w:rFonts w:hint="eastAsia" w:ascii="楷体_GB2312" w:hAnsi="楷体_GB2312" w:eastAsia="楷体_GB2312" w:cs="楷体_GB2312"/>
          <w:sz w:val="32"/>
          <w:szCs w:val="32"/>
        </w:rPr>
        <w:br w:type="textWrapping"/>
      </w:r>
      <w:r>
        <w:rPr>
          <w:rFonts w:hint="eastAsia" w:ascii="仿宋_GB2312" w:hAnsi="仿宋_GB2312" w:eastAsia="仿宋_GB2312" w:cs="仿宋_GB2312"/>
          <w:sz w:val="32"/>
          <w:szCs w:val="32"/>
        </w:rPr>
        <w:t xml:space="preserve">    本部门在2019年度部门决算中反映“</w:t>
      </w:r>
      <w:r>
        <w:rPr>
          <w:rFonts w:hint="eastAsia" w:ascii="仿宋_GB2312" w:hAnsi="仿宋_GB2312" w:eastAsia="仿宋_GB2312" w:cs="仿宋_GB2312"/>
          <w:sz w:val="32"/>
          <w:szCs w:val="32"/>
          <w:lang w:eastAsia="zh-CN"/>
        </w:rPr>
        <w:t>双创工作经费</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“征拆工作经费</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个项目绩效目标实际完成情况</w:t>
      </w:r>
      <w:r>
        <w:rPr>
          <w:rFonts w:hint="eastAsia" w:ascii="仿宋_GB2312" w:hAnsi="仿宋_GB2312" w:eastAsia="仿宋_GB2312" w:cs="仿宋_GB2312"/>
          <w:sz w:val="32"/>
          <w:szCs w:val="32"/>
          <w:lang w:eastAsia="zh-CN"/>
        </w:rPr>
        <w:t>：</w:t>
      </w:r>
    </w:p>
    <w:p>
      <w:pPr>
        <w:numPr>
          <w:ilvl w:val="0"/>
          <w:numId w:val="4"/>
        </w:numPr>
        <w:spacing w:line="580" w:lineRule="exact"/>
        <w:ind w:left="0" w:leftChars="0"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征拆工作经费</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200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200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%。通过项目实施，按“精准征收、阳光拆迁、惠民安置”的要求，完成峨汉高速等</w:t>
      </w:r>
      <w:r>
        <w:rPr>
          <w:rFonts w:hint="eastAsia" w:ascii="仿宋_GB2312" w:hAnsi="仿宋_GB2312" w:eastAsia="仿宋_GB2312" w:cs="仿宋_GB2312"/>
          <w:sz w:val="32"/>
          <w:szCs w:val="32"/>
          <w:lang w:eastAsia="zh-CN"/>
        </w:rPr>
        <w:t>重点</w:t>
      </w:r>
      <w:r>
        <w:rPr>
          <w:rFonts w:hint="eastAsia" w:ascii="仿宋_GB2312" w:hAnsi="仿宋_GB2312" w:eastAsia="仿宋_GB2312" w:cs="仿宋_GB2312"/>
          <w:sz w:val="32"/>
          <w:szCs w:val="32"/>
        </w:rPr>
        <w:t>项目房屋拆迁补偿安置，完成市委市政府交办的</w:t>
      </w:r>
      <w:r>
        <w:rPr>
          <w:rFonts w:hint="eastAsia" w:ascii="仿宋_GB2312" w:hAnsi="仿宋_GB2312" w:eastAsia="仿宋_GB2312" w:cs="仿宋_GB2312"/>
          <w:sz w:val="32"/>
          <w:szCs w:val="32"/>
          <w:lang w:eastAsia="zh-CN"/>
        </w:rPr>
        <w:t>各项征拆任务，促进了我市经济社会发展。</w:t>
      </w:r>
    </w:p>
    <w:p>
      <w:pPr>
        <w:widowControl w:val="0"/>
        <w:numPr>
          <w:ilvl w:val="0"/>
          <w:numId w:val="0"/>
        </w:numPr>
        <w:spacing w:line="580" w:lineRule="exact"/>
        <w:jc w:val="both"/>
        <w:rPr>
          <w:rFonts w:hint="eastAsia" w:ascii="仿宋_GB2312" w:hAnsi="仿宋_GB2312" w:eastAsia="仿宋_GB2312" w:cs="仿宋_GB2312"/>
          <w:sz w:val="32"/>
          <w:szCs w:val="32"/>
          <w:lang w:eastAsia="zh-CN"/>
        </w:rPr>
      </w:pPr>
    </w:p>
    <w:p>
      <w:pPr>
        <w:widowControl w:val="0"/>
        <w:numPr>
          <w:ilvl w:val="0"/>
          <w:numId w:val="0"/>
        </w:numPr>
        <w:spacing w:line="580" w:lineRule="exact"/>
        <w:jc w:val="both"/>
        <w:rPr>
          <w:rFonts w:hint="eastAsia" w:ascii="仿宋_GB2312" w:hAnsi="仿宋_GB2312" w:eastAsia="仿宋_GB2312" w:cs="仿宋_GB2312"/>
          <w:sz w:val="32"/>
          <w:szCs w:val="32"/>
          <w:lang w:eastAsia="zh-CN"/>
        </w:rPr>
      </w:pPr>
    </w:p>
    <w:p>
      <w:pPr>
        <w:widowControl w:val="0"/>
        <w:numPr>
          <w:ilvl w:val="0"/>
          <w:numId w:val="0"/>
        </w:numPr>
        <w:spacing w:line="580" w:lineRule="exact"/>
        <w:jc w:val="both"/>
        <w:rPr>
          <w:rFonts w:hint="eastAsia" w:ascii="仿宋_GB2312" w:hAnsi="仿宋_GB2312" w:eastAsia="仿宋_GB2312" w:cs="仿宋_GB2312"/>
          <w:sz w:val="32"/>
          <w:szCs w:val="32"/>
          <w:lang w:eastAsia="zh-CN"/>
        </w:rPr>
      </w:pPr>
    </w:p>
    <w:p>
      <w:pPr>
        <w:widowControl w:val="0"/>
        <w:numPr>
          <w:ilvl w:val="0"/>
          <w:numId w:val="0"/>
        </w:numPr>
        <w:spacing w:line="580" w:lineRule="exact"/>
        <w:jc w:val="both"/>
        <w:rPr>
          <w:rFonts w:hint="eastAsia" w:ascii="仿宋_GB2312" w:hAnsi="仿宋_GB2312" w:eastAsia="仿宋_GB2312" w:cs="仿宋_GB2312"/>
          <w:sz w:val="32"/>
          <w:szCs w:val="32"/>
          <w:lang w:eastAsia="zh-CN"/>
        </w:rPr>
      </w:pPr>
    </w:p>
    <w:p>
      <w:pPr>
        <w:widowControl w:val="0"/>
        <w:numPr>
          <w:ilvl w:val="0"/>
          <w:numId w:val="0"/>
        </w:numPr>
        <w:spacing w:line="580" w:lineRule="exact"/>
        <w:jc w:val="both"/>
        <w:rPr>
          <w:rFonts w:hint="eastAsia" w:ascii="仿宋_GB2312" w:hAnsi="仿宋_GB2312" w:eastAsia="仿宋_GB2312" w:cs="仿宋_GB2312"/>
          <w:sz w:val="32"/>
          <w:szCs w:val="32"/>
          <w:lang w:eastAsia="zh-CN"/>
        </w:rPr>
      </w:pPr>
    </w:p>
    <w:p>
      <w:pPr>
        <w:widowControl w:val="0"/>
        <w:numPr>
          <w:ilvl w:val="0"/>
          <w:numId w:val="0"/>
        </w:numPr>
        <w:spacing w:line="580" w:lineRule="exact"/>
        <w:jc w:val="both"/>
        <w:rPr>
          <w:rFonts w:hint="eastAsia" w:ascii="仿宋_GB2312" w:hAnsi="仿宋_GB2312" w:eastAsia="仿宋_GB2312" w:cs="仿宋_GB2312"/>
          <w:sz w:val="32"/>
          <w:szCs w:val="32"/>
          <w:lang w:eastAsia="zh-CN"/>
        </w:rPr>
      </w:pPr>
    </w:p>
    <w:p>
      <w:pPr>
        <w:widowControl w:val="0"/>
        <w:numPr>
          <w:ilvl w:val="0"/>
          <w:numId w:val="0"/>
        </w:numPr>
        <w:spacing w:line="580" w:lineRule="exact"/>
        <w:jc w:val="both"/>
        <w:rPr>
          <w:rFonts w:hint="eastAsia" w:ascii="仿宋_GB2312" w:hAnsi="仿宋_GB2312" w:eastAsia="仿宋_GB2312" w:cs="仿宋_GB2312"/>
          <w:sz w:val="32"/>
          <w:szCs w:val="32"/>
          <w:lang w:eastAsia="zh-CN"/>
        </w:rPr>
      </w:pPr>
    </w:p>
    <w:p>
      <w:pPr>
        <w:widowControl w:val="0"/>
        <w:numPr>
          <w:ilvl w:val="0"/>
          <w:numId w:val="0"/>
        </w:numPr>
        <w:spacing w:line="580" w:lineRule="exact"/>
        <w:jc w:val="both"/>
        <w:rPr>
          <w:rFonts w:hint="eastAsia" w:ascii="仿宋_GB2312" w:hAnsi="仿宋_GB2312" w:eastAsia="仿宋_GB2312" w:cs="仿宋_GB2312"/>
          <w:sz w:val="32"/>
          <w:szCs w:val="32"/>
          <w:lang w:eastAsia="zh-CN"/>
        </w:rPr>
      </w:pPr>
    </w:p>
    <w:p>
      <w:pPr>
        <w:widowControl w:val="0"/>
        <w:numPr>
          <w:ilvl w:val="0"/>
          <w:numId w:val="0"/>
        </w:numPr>
        <w:spacing w:line="580" w:lineRule="exact"/>
        <w:jc w:val="both"/>
        <w:rPr>
          <w:rFonts w:hint="eastAsia" w:ascii="仿宋_GB2312" w:hAnsi="仿宋_GB2312" w:eastAsia="仿宋_GB2312" w:cs="仿宋_GB2312"/>
          <w:sz w:val="32"/>
          <w:szCs w:val="32"/>
          <w:lang w:eastAsia="zh-CN"/>
        </w:rPr>
      </w:pPr>
    </w:p>
    <w:p>
      <w:pPr>
        <w:widowControl w:val="0"/>
        <w:numPr>
          <w:ilvl w:val="0"/>
          <w:numId w:val="0"/>
        </w:numPr>
        <w:spacing w:line="580" w:lineRule="exact"/>
        <w:jc w:val="both"/>
        <w:rPr>
          <w:rFonts w:hint="eastAsia" w:ascii="仿宋_GB2312" w:hAnsi="仿宋_GB2312" w:eastAsia="仿宋_GB2312" w:cs="仿宋_GB2312"/>
          <w:sz w:val="32"/>
          <w:szCs w:val="32"/>
          <w:lang w:eastAsia="zh-CN"/>
        </w:rPr>
      </w:pPr>
    </w:p>
    <w:p>
      <w:pPr>
        <w:widowControl w:val="0"/>
        <w:numPr>
          <w:ilvl w:val="0"/>
          <w:numId w:val="0"/>
        </w:numPr>
        <w:spacing w:line="580" w:lineRule="exact"/>
        <w:jc w:val="both"/>
        <w:rPr>
          <w:rFonts w:hint="eastAsia" w:ascii="仿宋_GB2312" w:hAnsi="仿宋_GB2312" w:eastAsia="仿宋_GB2312" w:cs="仿宋_GB2312"/>
          <w:sz w:val="32"/>
          <w:szCs w:val="32"/>
          <w:lang w:eastAsia="zh-CN"/>
        </w:rPr>
      </w:pPr>
    </w:p>
    <w:p>
      <w:pPr>
        <w:widowControl w:val="0"/>
        <w:numPr>
          <w:ilvl w:val="0"/>
          <w:numId w:val="0"/>
        </w:numPr>
        <w:spacing w:line="580" w:lineRule="exact"/>
        <w:jc w:val="both"/>
        <w:rPr>
          <w:rFonts w:hint="eastAsia" w:ascii="仿宋_GB2312" w:hAnsi="仿宋_GB2312" w:eastAsia="仿宋_GB2312" w:cs="仿宋_GB2312"/>
          <w:sz w:val="32"/>
          <w:szCs w:val="32"/>
          <w:lang w:eastAsia="zh-CN"/>
        </w:rPr>
      </w:pPr>
    </w:p>
    <w:p>
      <w:pPr>
        <w:widowControl w:val="0"/>
        <w:numPr>
          <w:ilvl w:val="0"/>
          <w:numId w:val="0"/>
        </w:numPr>
        <w:spacing w:line="580" w:lineRule="exact"/>
        <w:jc w:val="both"/>
        <w:rPr>
          <w:rFonts w:hint="eastAsia" w:ascii="仿宋_GB2312" w:hAnsi="仿宋_GB2312" w:eastAsia="仿宋_GB2312" w:cs="仿宋_GB2312"/>
          <w:sz w:val="32"/>
          <w:szCs w:val="32"/>
          <w:lang w:eastAsia="zh-CN"/>
        </w:rPr>
      </w:pPr>
    </w:p>
    <w:p>
      <w:pPr>
        <w:widowControl w:val="0"/>
        <w:numPr>
          <w:ilvl w:val="0"/>
          <w:numId w:val="0"/>
        </w:numPr>
        <w:spacing w:line="580" w:lineRule="exact"/>
        <w:jc w:val="both"/>
        <w:rPr>
          <w:rFonts w:hint="eastAsia" w:ascii="仿宋_GB2312" w:hAnsi="仿宋_GB2312" w:eastAsia="仿宋_GB2312" w:cs="仿宋_GB2312"/>
          <w:sz w:val="32"/>
          <w:szCs w:val="32"/>
          <w:lang w:eastAsia="zh-CN"/>
        </w:rPr>
      </w:pPr>
    </w:p>
    <w:p>
      <w:pPr>
        <w:widowControl w:val="0"/>
        <w:numPr>
          <w:ilvl w:val="0"/>
          <w:numId w:val="0"/>
        </w:numPr>
        <w:spacing w:line="580" w:lineRule="exact"/>
        <w:jc w:val="both"/>
        <w:rPr>
          <w:rFonts w:hint="eastAsia" w:ascii="仿宋_GB2312" w:hAnsi="仿宋_GB2312" w:eastAsia="仿宋_GB2312" w:cs="仿宋_GB2312"/>
          <w:sz w:val="32"/>
          <w:szCs w:val="32"/>
          <w:lang w:eastAsia="zh-CN"/>
        </w:rPr>
      </w:pPr>
    </w:p>
    <w:p>
      <w:pPr>
        <w:widowControl w:val="0"/>
        <w:numPr>
          <w:ilvl w:val="0"/>
          <w:numId w:val="0"/>
        </w:numPr>
        <w:spacing w:line="580" w:lineRule="exact"/>
        <w:jc w:val="both"/>
        <w:rPr>
          <w:rFonts w:hint="eastAsia" w:ascii="仿宋_GB2312" w:hAnsi="仿宋_GB2312" w:eastAsia="仿宋_GB2312" w:cs="仿宋_GB2312"/>
          <w:sz w:val="32"/>
          <w:szCs w:val="32"/>
          <w:lang w:eastAsia="zh-CN"/>
        </w:rPr>
      </w:pPr>
    </w:p>
    <w:p>
      <w:pPr>
        <w:widowControl w:val="0"/>
        <w:numPr>
          <w:ilvl w:val="0"/>
          <w:numId w:val="0"/>
        </w:numPr>
        <w:spacing w:line="580" w:lineRule="exact"/>
        <w:jc w:val="both"/>
        <w:rPr>
          <w:rFonts w:hint="eastAsia" w:ascii="仿宋_GB2312" w:hAnsi="仿宋_GB2312" w:eastAsia="仿宋_GB2312" w:cs="仿宋_GB2312"/>
          <w:sz w:val="32"/>
          <w:szCs w:val="32"/>
          <w:lang w:eastAsia="zh-CN"/>
        </w:rPr>
      </w:pPr>
    </w:p>
    <w:p>
      <w:pPr>
        <w:widowControl w:val="0"/>
        <w:numPr>
          <w:ilvl w:val="0"/>
          <w:numId w:val="0"/>
        </w:numPr>
        <w:spacing w:line="580" w:lineRule="exact"/>
        <w:jc w:val="both"/>
        <w:rPr>
          <w:rFonts w:hint="eastAsia" w:ascii="仿宋_GB2312" w:hAnsi="仿宋_GB2312" w:eastAsia="仿宋_GB2312" w:cs="仿宋_GB2312"/>
          <w:sz w:val="32"/>
          <w:szCs w:val="32"/>
          <w:lang w:eastAsia="zh-CN"/>
        </w:rPr>
      </w:pPr>
    </w:p>
    <w:tbl>
      <w:tblPr>
        <w:tblStyle w:val="9"/>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80"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土地收储</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峨眉山市土地储备整理中心</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仿宋" w:hAnsi="仿宋" w:eastAsia="仿宋"/>
                <w:color w:val="000000"/>
                <w:sz w:val="32"/>
                <w:szCs w:val="32"/>
                <w:lang w:val="en-US" w:eastAsia="zh-CN"/>
              </w:rPr>
              <w:t>49279.25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仿宋" w:hAnsi="仿宋" w:eastAsia="仿宋"/>
                <w:color w:val="000000"/>
                <w:sz w:val="32"/>
                <w:szCs w:val="32"/>
                <w:lang w:val="en-US" w:eastAsia="zh-CN"/>
              </w:rPr>
              <w:t>46503.17</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仿宋" w:hAnsi="仿宋" w:eastAsia="仿宋"/>
                <w:color w:val="000000"/>
                <w:sz w:val="32"/>
                <w:szCs w:val="32"/>
                <w:lang w:val="en-US" w:eastAsia="zh-CN"/>
              </w:rPr>
              <w:t>49279.25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仿宋" w:hAnsi="仿宋" w:eastAsia="仿宋"/>
                <w:color w:val="000000"/>
                <w:sz w:val="32"/>
                <w:szCs w:val="32"/>
                <w:lang w:val="en-US" w:eastAsia="zh-CN"/>
              </w:rPr>
              <w:t>46503.17</w:t>
            </w:r>
          </w:p>
        </w:tc>
      </w:tr>
      <w:tr>
        <w:tblPrEx>
          <w:tblCellMar>
            <w:top w:w="0" w:type="dxa"/>
            <w:left w:w="0" w:type="dxa"/>
            <w:bottom w:w="0" w:type="dxa"/>
            <w:right w:w="0" w:type="dxa"/>
          </w:tblCellMar>
        </w:tblPrEx>
        <w:trPr>
          <w:trHeight w:val="1127"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58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根据市委、市政府安排完成收储工作</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市委市政府安排的收储项目已完成。</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260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kern w:val="0"/>
                <w:sz w:val="24"/>
                <w:lang w:eastAsia="zh-CN"/>
              </w:rPr>
              <w:t>总体目标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根据市委、市政府安排完成收储工作</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市委市政府安排的收储项目已完成。</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eastAsia="zh-CN"/>
              </w:rPr>
              <w:t>效益</w:t>
            </w:r>
            <w:r>
              <w:rPr>
                <w:rFonts w:hint="eastAsia" w:ascii="宋体" w:hAnsi="宋体" w:cs="宋体"/>
                <w:color w:val="000000"/>
                <w:kern w:val="0"/>
                <w:sz w:val="24"/>
              </w:rPr>
              <w:t>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为我市项目的正常开展准备资源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保证了我市项目工作的正常开展。</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lang w:eastAsia="zh-CN"/>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eastAsia="zh-CN"/>
              </w:rPr>
              <w:t>群众满意度达到</w:t>
            </w:r>
            <w:r>
              <w:rPr>
                <w:rFonts w:hint="eastAsia" w:ascii="宋体" w:hAnsi="宋体" w:cs="宋体"/>
                <w:color w:val="000000"/>
                <w:sz w:val="24"/>
                <w:lang w:val="en-US" w:eastAsia="zh-CN"/>
              </w:rPr>
              <w:t>90%以上。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eastAsia="zh-CN"/>
              </w:rPr>
              <w:t>群众满意度达到</w:t>
            </w:r>
            <w:r>
              <w:rPr>
                <w:rFonts w:hint="eastAsia" w:ascii="宋体" w:hAnsi="宋体" w:cs="宋体"/>
                <w:color w:val="000000"/>
                <w:sz w:val="24"/>
                <w:lang w:val="en-US" w:eastAsia="zh-CN"/>
              </w:rPr>
              <w:t>95%。</w:t>
            </w:r>
          </w:p>
        </w:tc>
      </w:tr>
    </w:tbl>
    <w:p>
      <w:pPr>
        <w:widowControl/>
        <w:jc w:val="left"/>
        <w:rPr>
          <w:rFonts w:ascii="仿宋_GB2312" w:eastAsia="仿宋_GB2312"/>
          <w:b/>
          <w:color w:val="000000"/>
          <w:sz w:val="32"/>
          <w:szCs w:val="32"/>
        </w:rPr>
      </w:pPr>
    </w:p>
    <w:p>
      <w:pPr>
        <w:numPr>
          <w:ilvl w:val="0"/>
          <w:numId w:val="5"/>
        </w:numPr>
        <w:spacing w:line="600" w:lineRule="exact"/>
        <w:ind w:firstLine="660" w:firstLineChars="150"/>
        <w:jc w:val="center"/>
        <w:outlineLvl w:val="0"/>
        <w:rPr>
          <w:rStyle w:val="13"/>
          <w:rFonts w:ascii="黑体" w:hAnsi="黑体" w:eastAsia="黑体"/>
          <w:b w:val="0"/>
        </w:rPr>
      </w:pPr>
      <w:bookmarkStart w:id="42" w:name="_Toc15377225"/>
      <w:bookmarkStart w:id="43" w:name="_Toc15396613"/>
      <w:r>
        <w:rPr>
          <w:rFonts w:hint="eastAsia" w:ascii="黑体" w:hAnsi="黑体" w:eastAsia="黑体"/>
          <w:color w:val="000000"/>
          <w:sz w:val="44"/>
          <w:szCs w:val="44"/>
        </w:rPr>
        <w:t>名</w:t>
      </w:r>
      <w:r>
        <w:rPr>
          <w:rStyle w:val="13"/>
          <w:rFonts w:hint="eastAsia" w:ascii="黑体" w:hAnsi="黑体" w:eastAsia="黑体"/>
          <w:b w:val="0"/>
        </w:rPr>
        <w:t>词解释</w:t>
      </w:r>
      <w:bookmarkEnd w:id="42"/>
      <w:bookmarkEnd w:id="43"/>
    </w:p>
    <w:p>
      <w:pPr>
        <w:spacing w:line="600" w:lineRule="exact"/>
        <w:jc w:val="left"/>
        <w:rPr>
          <w:rFonts w:ascii="宋体"/>
          <w:b/>
          <w:color w:val="000000"/>
          <w:sz w:val="44"/>
          <w:szCs w:val="44"/>
        </w:rPr>
      </w:pPr>
    </w:p>
    <w:p>
      <w:pPr>
        <w:pStyle w:val="16"/>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16"/>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16"/>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pPr>
        <w:pStyle w:val="16"/>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r>
        <w:rPr>
          <w:rFonts w:ascii="仿宋_GB2312" w:eastAsia="仿宋_GB2312"/>
          <w:sz w:val="32"/>
          <w:szCs w:val="32"/>
        </w:rPr>
        <w:t xml:space="preserve"> </w:t>
      </w:r>
    </w:p>
    <w:p>
      <w:pPr>
        <w:pStyle w:val="16"/>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pPr>
        <w:pStyle w:val="16"/>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16"/>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pStyle w:val="16"/>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9</w:t>
      </w:r>
      <w:r>
        <w:rPr>
          <w:rFonts w:ascii="仿宋_GB2312" w:eastAsia="仿宋_GB2312"/>
          <w:color w:val="000000"/>
          <w:sz w:val="32"/>
          <w:szCs w:val="32"/>
        </w:rPr>
        <w:t>.</w:t>
      </w:r>
      <w:r>
        <w:rPr>
          <w:rStyle w:val="11"/>
          <w:rFonts w:hint="eastAsia" w:ascii="仿宋" w:hAnsi="仿宋" w:eastAsia="仿宋"/>
          <w:bCs/>
          <w:color w:val="000000"/>
          <w:sz w:val="32"/>
          <w:szCs w:val="32"/>
        </w:rPr>
        <w:t>城乡社区支出（类）国有土地使用权出让收入及对应专项债务收入安排的支出（款） 征地和拆迁补偿支出（项）</w:t>
      </w:r>
      <w:r>
        <w:rPr>
          <w:rStyle w:val="11"/>
          <w:rFonts w:ascii="仿宋" w:hAnsi="仿宋" w:eastAsia="仿宋"/>
          <w:bCs/>
          <w:color w:val="000000"/>
          <w:sz w:val="32"/>
          <w:szCs w:val="32"/>
        </w:rPr>
        <w:t>:</w:t>
      </w:r>
      <w:r>
        <w:rPr>
          <w:rFonts w:hint="eastAsia" w:ascii="仿宋_GB2312" w:eastAsia="仿宋_GB2312"/>
          <w:color w:val="000000"/>
          <w:sz w:val="32"/>
          <w:szCs w:val="32"/>
        </w:rPr>
        <w:t>指</w:t>
      </w:r>
      <w:r>
        <w:rPr>
          <w:rFonts w:hint="eastAsia" w:ascii="仿宋_GB2312" w:eastAsia="仿宋_GB2312"/>
          <w:color w:val="000000"/>
          <w:sz w:val="32"/>
          <w:szCs w:val="32"/>
          <w:lang w:eastAsia="zh-CN"/>
        </w:rPr>
        <w:t>新疆生产建设兵团和地方政府在征地和收购土地过程中支付的土地补偿费、安置补助费、地上附着和青苗补偿费、拆迁补偿费支出</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Style w:val="11"/>
          <w:rFonts w:hint="eastAsia" w:ascii="仿宋" w:hAnsi="仿宋" w:eastAsia="仿宋"/>
          <w:bCs/>
          <w:color w:val="000000"/>
          <w:sz w:val="32"/>
          <w:szCs w:val="32"/>
        </w:rPr>
        <w:t>城乡社区支出（类）国有土地使用权出让收入及对应专项债务收入安排的支出（款） 土地开发支出（项）</w:t>
      </w:r>
      <w:r>
        <w:rPr>
          <w:rStyle w:val="11"/>
          <w:rFonts w:ascii="仿宋" w:hAnsi="仿宋" w:eastAsia="仿宋"/>
          <w:bCs/>
          <w:color w:val="000000"/>
          <w:sz w:val="32"/>
          <w:szCs w:val="32"/>
        </w:rPr>
        <w:t>:</w:t>
      </w:r>
      <w:r>
        <w:rPr>
          <w:rStyle w:val="11"/>
          <w:rFonts w:ascii="仿宋" w:hAnsi="仿宋" w:eastAsia="仿宋"/>
          <w:b w:val="0"/>
          <w:bCs/>
          <w:color w:val="000000"/>
          <w:sz w:val="32"/>
          <w:szCs w:val="32"/>
        </w:rPr>
        <w:t xml:space="preserve"> </w:t>
      </w:r>
      <w:r>
        <w:rPr>
          <w:rFonts w:hint="eastAsia" w:ascii="仿宋_GB2312" w:eastAsia="仿宋_GB2312"/>
          <w:color w:val="000000"/>
          <w:sz w:val="32"/>
          <w:szCs w:val="32"/>
        </w:rPr>
        <w:t>指</w:t>
      </w:r>
      <w:r>
        <w:rPr>
          <w:rFonts w:hint="eastAsia" w:ascii="仿宋_GB2312" w:eastAsia="仿宋_GB2312"/>
          <w:color w:val="000000"/>
          <w:sz w:val="32"/>
          <w:szCs w:val="32"/>
          <w:lang w:eastAsia="zh-CN"/>
        </w:rPr>
        <w:t>新疆生产建设兵团和地方政府用于前期土地开发性支出以及与前期土地开发相关的费用支出</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11</w:t>
      </w:r>
      <w:r>
        <w:rPr>
          <w:rFonts w:ascii="仿宋_GB2312" w:eastAsia="仿宋_GB2312"/>
          <w:color w:val="000000"/>
          <w:sz w:val="32"/>
          <w:szCs w:val="32"/>
        </w:rPr>
        <w:t>.</w:t>
      </w:r>
      <w:r>
        <w:rPr>
          <w:rStyle w:val="11"/>
          <w:rFonts w:hint="eastAsia" w:ascii="仿宋" w:hAnsi="仿宋" w:eastAsia="仿宋"/>
          <w:bCs/>
          <w:color w:val="000000"/>
          <w:sz w:val="32"/>
          <w:szCs w:val="32"/>
        </w:rPr>
        <w:t>城乡社区支出（类）</w:t>
      </w:r>
      <w:r>
        <w:rPr>
          <w:rStyle w:val="11"/>
          <w:rFonts w:hint="eastAsia" w:ascii="仿宋" w:hAnsi="仿宋" w:eastAsia="仿宋"/>
          <w:bCs/>
          <w:color w:val="000000"/>
          <w:sz w:val="32"/>
          <w:szCs w:val="32"/>
          <w:lang w:eastAsia="zh-CN"/>
        </w:rPr>
        <w:t>土地储备专项债券收入安排的支出</w:t>
      </w:r>
      <w:r>
        <w:rPr>
          <w:rStyle w:val="11"/>
          <w:rFonts w:hint="eastAsia" w:ascii="仿宋" w:hAnsi="仿宋" w:eastAsia="仿宋"/>
          <w:bCs/>
          <w:color w:val="000000"/>
          <w:sz w:val="32"/>
          <w:szCs w:val="32"/>
        </w:rPr>
        <w:t>（款）</w:t>
      </w:r>
      <w:r>
        <w:rPr>
          <w:rStyle w:val="11"/>
          <w:rFonts w:hint="eastAsia" w:ascii="仿宋" w:hAnsi="仿宋" w:eastAsia="仿宋"/>
          <w:bCs/>
          <w:color w:val="000000"/>
          <w:sz w:val="32"/>
          <w:szCs w:val="32"/>
          <w:lang w:eastAsia="zh-CN"/>
        </w:rPr>
        <w:t>征地和拆迁补偿支出</w:t>
      </w:r>
      <w:r>
        <w:rPr>
          <w:rStyle w:val="11"/>
          <w:rFonts w:hint="eastAsia" w:ascii="仿宋" w:hAnsi="仿宋" w:eastAsia="仿宋"/>
          <w:bCs/>
          <w:color w:val="000000"/>
          <w:sz w:val="32"/>
          <w:szCs w:val="32"/>
        </w:rPr>
        <w:t>（项）</w:t>
      </w:r>
      <w:r>
        <w:rPr>
          <w:rStyle w:val="11"/>
          <w:rFonts w:ascii="仿宋" w:hAnsi="仿宋" w:eastAsia="仿宋"/>
          <w:bCs/>
          <w:color w:val="000000"/>
          <w:sz w:val="32"/>
          <w:szCs w:val="32"/>
        </w:rPr>
        <w:t>:</w:t>
      </w:r>
      <w:r>
        <w:rPr>
          <w:rFonts w:hint="eastAsia" w:ascii="仿宋_GB2312" w:eastAsia="仿宋_GB2312"/>
          <w:color w:val="000000"/>
          <w:sz w:val="32"/>
          <w:szCs w:val="32"/>
        </w:rPr>
        <w:t>指</w:t>
      </w:r>
      <w:r>
        <w:rPr>
          <w:rFonts w:hint="eastAsia" w:ascii="仿宋_GB2312" w:eastAsia="仿宋_GB2312"/>
          <w:color w:val="000000"/>
          <w:sz w:val="32"/>
          <w:szCs w:val="32"/>
          <w:lang w:eastAsia="zh-CN"/>
        </w:rPr>
        <w:t>土地储备专项债券用于新疆生产建设兵团和地方政府在征地和收购土地过程中支付的土地补偿费、安置补助费、地上附着和青苗补偿费、拆迁补偿费支出</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12</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13</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14</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pPr>
        <w:pStyle w:val="16"/>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15</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16"/>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16</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Fonts w:hint="eastAsia" w:ascii="黑体" w:hAnsi="黑体" w:eastAsia="黑体"/>
          <w:color w:val="000000"/>
          <w:sz w:val="44"/>
          <w:szCs w:val="44"/>
        </w:rPr>
      </w:pPr>
      <w:bookmarkStart w:id="44" w:name="_Toc15396614"/>
      <w:bookmarkStart w:id="45" w:name="_Toc15377226"/>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bookmarkStart w:id="60" w:name="_GoBack"/>
      <w:bookmarkEnd w:id="60"/>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bookmarkEnd w:id="44"/>
    <w:p>
      <w:pPr>
        <w:spacing w:line="600" w:lineRule="exact"/>
        <w:jc w:val="center"/>
        <w:outlineLvl w:val="0"/>
        <w:rPr>
          <w:rStyle w:val="13"/>
          <w:rFonts w:ascii="黑体" w:hAnsi="黑体" w:eastAsia="黑体"/>
          <w:b w:val="0"/>
        </w:rPr>
      </w:pPr>
      <w:bookmarkStart w:id="46" w:name="_Toc15396618"/>
      <w:r>
        <w:rPr>
          <w:rFonts w:hint="eastAsia" w:ascii="黑体" w:hAnsi="黑体" w:eastAsia="黑体"/>
          <w:color w:val="000000"/>
          <w:sz w:val="44"/>
          <w:szCs w:val="44"/>
        </w:rPr>
        <w:t>第</w:t>
      </w:r>
      <w:r>
        <w:rPr>
          <w:rStyle w:val="13"/>
          <w:rFonts w:hint="eastAsia" w:ascii="黑体" w:hAnsi="黑体" w:eastAsia="黑体"/>
          <w:b w:val="0"/>
          <w:lang w:eastAsia="zh-CN"/>
        </w:rPr>
        <w:t>四</w:t>
      </w:r>
      <w:r>
        <w:rPr>
          <w:rStyle w:val="13"/>
          <w:rFonts w:hint="eastAsia" w:ascii="黑体" w:hAnsi="黑体" w:eastAsia="黑体"/>
          <w:b w:val="0"/>
        </w:rPr>
        <w:t>部分 附表</w:t>
      </w:r>
      <w:bookmarkEnd w:id="45"/>
      <w:bookmarkEnd w:id="46"/>
    </w:p>
    <w:p>
      <w:pPr>
        <w:pStyle w:val="3"/>
        <w:rPr>
          <w:rFonts w:ascii="仿宋" w:hAnsi="仿宋" w:eastAsia="仿宋"/>
          <w:color w:val="000000"/>
        </w:rPr>
      </w:pPr>
      <w:bookmarkStart w:id="47" w:name="_Toc15396619"/>
      <w:r>
        <w:rPr>
          <w:rFonts w:hint="eastAsia" w:ascii="仿宋" w:hAnsi="仿宋" w:eastAsia="仿宋"/>
          <w:b w:val="0"/>
          <w:color w:val="000000"/>
        </w:rPr>
        <w:t>一、收</w:t>
      </w:r>
      <w:r>
        <w:rPr>
          <w:rStyle w:val="14"/>
          <w:rFonts w:hint="eastAsia" w:ascii="仿宋" w:hAnsi="仿宋" w:eastAsia="仿宋"/>
          <w:b w:val="0"/>
          <w:bCs w:val="0"/>
        </w:rPr>
        <w:t>入支出决算总表</w:t>
      </w:r>
      <w:bookmarkEnd w:id="47"/>
    </w:p>
    <w:p>
      <w:pPr>
        <w:pStyle w:val="3"/>
        <w:rPr>
          <w:rFonts w:ascii="仿宋" w:hAnsi="仿宋" w:eastAsia="仿宋"/>
          <w:color w:val="000000"/>
        </w:rPr>
      </w:pPr>
      <w:bookmarkStart w:id="48" w:name="_Toc15396620"/>
      <w:r>
        <w:rPr>
          <w:rFonts w:hint="eastAsia" w:ascii="仿宋" w:hAnsi="仿宋" w:eastAsia="仿宋"/>
          <w:b w:val="0"/>
          <w:color w:val="000000"/>
        </w:rPr>
        <w:t>二、收</w:t>
      </w:r>
      <w:r>
        <w:rPr>
          <w:rStyle w:val="14"/>
          <w:rFonts w:hint="eastAsia" w:ascii="仿宋" w:hAnsi="仿宋" w:eastAsia="仿宋"/>
          <w:b w:val="0"/>
          <w:bCs w:val="0"/>
        </w:rPr>
        <w:t>入决算表</w:t>
      </w:r>
      <w:bookmarkEnd w:id="48"/>
    </w:p>
    <w:p>
      <w:pPr>
        <w:pStyle w:val="3"/>
        <w:rPr>
          <w:rFonts w:ascii="仿宋" w:hAnsi="仿宋" w:eastAsia="仿宋"/>
          <w:color w:val="000000"/>
        </w:rPr>
      </w:pPr>
      <w:bookmarkStart w:id="49" w:name="_Toc15396621"/>
      <w:r>
        <w:rPr>
          <w:rStyle w:val="14"/>
          <w:rFonts w:hint="eastAsia" w:ascii="仿宋" w:hAnsi="仿宋" w:eastAsia="仿宋"/>
          <w:b w:val="0"/>
          <w:bCs w:val="0"/>
        </w:rPr>
        <w:t>三、</w:t>
      </w:r>
      <w:r>
        <w:rPr>
          <w:rFonts w:hint="eastAsia" w:ascii="仿宋" w:hAnsi="仿宋" w:eastAsia="仿宋"/>
          <w:b w:val="0"/>
          <w:color w:val="000000"/>
        </w:rPr>
        <w:t>支</w:t>
      </w:r>
      <w:r>
        <w:rPr>
          <w:rStyle w:val="14"/>
          <w:rFonts w:hint="eastAsia" w:ascii="仿宋" w:hAnsi="仿宋" w:eastAsia="仿宋"/>
          <w:b w:val="0"/>
          <w:bCs w:val="0"/>
        </w:rPr>
        <w:t>出决算表</w:t>
      </w:r>
      <w:bookmarkEnd w:id="49"/>
    </w:p>
    <w:p>
      <w:pPr>
        <w:pStyle w:val="3"/>
        <w:rPr>
          <w:rFonts w:ascii="仿宋" w:hAnsi="仿宋" w:eastAsia="仿宋"/>
          <w:b w:val="0"/>
          <w:color w:val="000000"/>
        </w:rPr>
      </w:pPr>
      <w:bookmarkStart w:id="50" w:name="_Toc15396622"/>
      <w:r>
        <w:rPr>
          <w:rStyle w:val="14"/>
          <w:rFonts w:hint="eastAsia" w:ascii="仿宋" w:hAnsi="仿宋" w:eastAsia="仿宋"/>
          <w:b w:val="0"/>
          <w:bCs w:val="0"/>
        </w:rPr>
        <w:t>四、</w:t>
      </w:r>
      <w:r>
        <w:rPr>
          <w:rFonts w:hint="eastAsia" w:ascii="仿宋" w:hAnsi="仿宋" w:eastAsia="仿宋"/>
          <w:b w:val="0"/>
          <w:color w:val="000000"/>
        </w:rPr>
        <w:t>财</w:t>
      </w:r>
      <w:r>
        <w:rPr>
          <w:rStyle w:val="14"/>
          <w:rFonts w:hint="eastAsia" w:ascii="仿宋" w:hAnsi="仿宋" w:eastAsia="仿宋"/>
          <w:b w:val="0"/>
          <w:bCs w:val="0"/>
        </w:rPr>
        <w:t>政拨款收入支出决算总表</w:t>
      </w:r>
      <w:bookmarkEnd w:id="50"/>
    </w:p>
    <w:p>
      <w:pPr>
        <w:pStyle w:val="3"/>
        <w:rPr>
          <w:rStyle w:val="14"/>
          <w:rFonts w:ascii="仿宋" w:hAnsi="仿宋" w:eastAsia="仿宋"/>
          <w:b w:val="0"/>
          <w:bCs w:val="0"/>
        </w:rPr>
      </w:pPr>
      <w:bookmarkStart w:id="51" w:name="_Toc15396623"/>
      <w:r>
        <w:rPr>
          <w:rStyle w:val="14"/>
          <w:rFonts w:hint="eastAsia" w:ascii="仿宋" w:hAnsi="仿宋" w:eastAsia="仿宋"/>
          <w:b w:val="0"/>
          <w:bCs w:val="0"/>
        </w:rPr>
        <w:t>五、</w:t>
      </w:r>
      <w:r>
        <w:rPr>
          <w:rFonts w:hint="eastAsia" w:ascii="仿宋" w:hAnsi="仿宋" w:eastAsia="仿宋"/>
          <w:b w:val="0"/>
          <w:color w:val="000000"/>
        </w:rPr>
        <w:t>财</w:t>
      </w:r>
      <w:r>
        <w:rPr>
          <w:rStyle w:val="14"/>
          <w:rFonts w:hint="eastAsia" w:ascii="仿宋" w:hAnsi="仿宋" w:eastAsia="仿宋"/>
          <w:b w:val="0"/>
          <w:bCs w:val="0"/>
        </w:rPr>
        <w:t>政拨款支出决算明细表</w:t>
      </w:r>
      <w:bookmarkEnd w:id="51"/>
      <w:bookmarkStart w:id="52" w:name="_Toc15396624"/>
    </w:p>
    <w:p>
      <w:pPr>
        <w:pStyle w:val="3"/>
        <w:rPr>
          <w:rFonts w:ascii="仿宋" w:hAnsi="仿宋" w:eastAsia="仿宋"/>
          <w:color w:val="000000"/>
        </w:rPr>
      </w:pPr>
      <w:r>
        <w:rPr>
          <w:rStyle w:val="14"/>
          <w:rFonts w:hint="eastAsia" w:ascii="仿宋" w:hAnsi="仿宋" w:eastAsia="仿宋"/>
          <w:b w:val="0"/>
          <w:bCs w:val="0"/>
        </w:rPr>
        <w:t>六、</w:t>
      </w:r>
      <w:r>
        <w:rPr>
          <w:rFonts w:hint="eastAsia" w:ascii="仿宋" w:hAnsi="仿宋" w:eastAsia="仿宋"/>
          <w:b w:val="0"/>
          <w:color w:val="000000"/>
        </w:rPr>
        <w:t>一</w:t>
      </w:r>
      <w:r>
        <w:rPr>
          <w:rStyle w:val="14"/>
          <w:rFonts w:hint="eastAsia" w:ascii="仿宋" w:hAnsi="仿宋" w:eastAsia="仿宋"/>
          <w:b w:val="0"/>
          <w:bCs w:val="0"/>
        </w:rPr>
        <w:t>般公共预算财政拨款支出决算表</w:t>
      </w:r>
      <w:bookmarkEnd w:id="52"/>
    </w:p>
    <w:p>
      <w:pPr>
        <w:pStyle w:val="3"/>
        <w:rPr>
          <w:rFonts w:ascii="仿宋" w:hAnsi="仿宋" w:eastAsia="仿宋"/>
          <w:color w:val="000000"/>
        </w:rPr>
      </w:pPr>
      <w:bookmarkStart w:id="53" w:name="_Toc15396625"/>
      <w:r>
        <w:rPr>
          <w:rStyle w:val="14"/>
          <w:rFonts w:hint="eastAsia" w:ascii="仿宋" w:hAnsi="仿宋" w:eastAsia="仿宋"/>
          <w:b w:val="0"/>
          <w:bCs w:val="0"/>
        </w:rPr>
        <w:t>七、</w:t>
      </w:r>
      <w:r>
        <w:rPr>
          <w:rFonts w:hint="eastAsia" w:ascii="仿宋" w:hAnsi="仿宋" w:eastAsia="仿宋"/>
          <w:b w:val="0"/>
          <w:color w:val="000000"/>
        </w:rPr>
        <w:t>一</w:t>
      </w:r>
      <w:r>
        <w:rPr>
          <w:rStyle w:val="14"/>
          <w:rFonts w:hint="eastAsia" w:ascii="仿宋" w:hAnsi="仿宋" w:eastAsia="仿宋"/>
          <w:b w:val="0"/>
          <w:bCs w:val="0"/>
        </w:rPr>
        <w:t>般公共预算财政拨款支出决算明细表</w:t>
      </w:r>
      <w:bookmarkEnd w:id="53"/>
    </w:p>
    <w:p>
      <w:pPr>
        <w:pStyle w:val="3"/>
        <w:rPr>
          <w:rFonts w:ascii="仿宋" w:hAnsi="仿宋" w:eastAsia="仿宋"/>
          <w:color w:val="000000"/>
        </w:rPr>
      </w:pPr>
      <w:bookmarkStart w:id="54" w:name="_Toc15396626"/>
      <w:r>
        <w:rPr>
          <w:rStyle w:val="14"/>
          <w:rFonts w:hint="eastAsia" w:ascii="仿宋" w:hAnsi="仿宋" w:eastAsia="仿宋"/>
          <w:b w:val="0"/>
          <w:bCs w:val="0"/>
        </w:rPr>
        <w:t>八、</w:t>
      </w:r>
      <w:r>
        <w:rPr>
          <w:rFonts w:hint="eastAsia" w:ascii="仿宋" w:hAnsi="仿宋" w:eastAsia="仿宋"/>
          <w:b w:val="0"/>
          <w:color w:val="000000"/>
        </w:rPr>
        <w:t>一</w:t>
      </w:r>
      <w:r>
        <w:rPr>
          <w:rStyle w:val="14"/>
          <w:rFonts w:hint="eastAsia" w:ascii="仿宋" w:hAnsi="仿宋" w:eastAsia="仿宋"/>
          <w:b w:val="0"/>
          <w:bCs w:val="0"/>
        </w:rPr>
        <w:t>般公共预算财政拨款基本支出决算表</w:t>
      </w:r>
      <w:bookmarkEnd w:id="54"/>
    </w:p>
    <w:p>
      <w:pPr>
        <w:pStyle w:val="3"/>
        <w:rPr>
          <w:rFonts w:ascii="仿宋" w:hAnsi="仿宋" w:eastAsia="仿宋"/>
          <w:color w:val="000000"/>
        </w:rPr>
      </w:pPr>
      <w:bookmarkStart w:id="55" w:name="_Toc15396627"/>
      <w:r>
        <w:rPr>
          <w:rStyle w:val="14"/>
          <w:rFonts w:hint="eastAsia" w:ascii="仿宋" w:hAnsi="仿宋" w:eastAsia="仿宋"/>
          <w:b w:val="0"/>
          <w:bCs w:val="0"/>
        </w:rPr>
        <w:t>九、</w:t>
      </w:r>
      <w:r>
        <w:rPr>
          <w:rFonts w:hint="eastAsia" w:ascii="仿宋" w:hAnsi="仿宋" w:eastAsia="仿宋"/>
          <w:b w:val="0"/>
          <w:color w:val="000000"/>
        </w:rPr>
        <w:t>一</w:t>
      </w:r>
      <w:r>
        <w:rPr>
          <w:rStyle w:val="14"/>
          <w:rFonts w:hint="eastAsia" w:ascii="仿宋" w:hAnsi="仿宋" w:eastAsia="仿宋"/>
          <w:b w:val="0"/>
          <w:bCs w:val="0"/>
        </w:rPr>
        <w:t>般公共预算财政拨款项目支出决算表</w:t>
      </w:r>
      <w:bookmarkEnd w:id="55"/>
    </w:p>
    <w:p>
      <w:pPr>
        <w:pStyle w:val="3"/>
        <w:rPr>
          <w:rFonts w:ascii="仿宋" w:hAnsi="仿宋" w:eastAsia="仿宋"/>
          <w:color w:val="000000"/>
        </w:rPr>
      </w:pPr>
      <w:bookmarkStart w:id="56" w:name="_Toc15396628"/>
      <w:r>
        <w:rPr>
          <w:rStyle w:val="14"/>
          <w:rFonts w:hint="eastAsia" w:ascii="仿宋" w:hAnsi="仿宋" w:eastAsia="仿宋"/>
          <w:b w:val="0"/>
          <w:bCs w:val="0"/>
        </w:rPr>
        <w:t>十、</w:t>
      </w:r>
      <w:r>
        <w:rPr>
          <w:rFonts w:hint="eastAsia" w:ascii="仿宋" w:hAnsi="仿宋" w:eastAsia="仿宋"/>
          <w:b w:val="0"/>
          <w:color w:val="000000"/>
        </w:rPr>
        <w:t>一</w:t>
      </w:r>
      <w:r>
        <w:rPr>
          <w:rStyle w:val="14"/>
          <w:rFonts w:hint="eastAsia" w:ascii="仿宋" w:hAnsi="仿宋" w:eastAsia="仿宋"/>
          <w:b w:val="0"/>
          <w:bCs w:val="0"/>
        </w:rPr>
        <w:t>般公共预算财政拨款“三公”经费支出决算表</w:t>
      </w:r>
      <w:bookmarkEnd w:id="56"/>
    </w:p>
    <w:p>
      <w:pPr>
        <w:pStyle w:val="3"/>
        <w:rPr>
          <w:rFonts w:ascii="仿宋" w:hAnsi="仿宋" w:eastAsia="仿宋"/>
          <w:color w:val="000000"/>
        </w:rPr>
      </w:pPr>
      <w:bookmarkStart w:id="57" w:name="_Toc15396629"/>
      <w:r>
        <w:rPr>
          <w:rStyle w:val="14"/>
          <w:rFonts w:hint="eastAsia" w:ascii="仿宋" w:hAnsi="仿宋" w:eastAsia="仿宋"/>
          <w:b w:val="0"/>
          <w:bCs w:val="0"/>
        </w:rPr>
        <w:t>十一、</w:t>
      </w:r>
      <w:r>
        <w:rPr>
          <w:rFonts w:hint="eastAsia" w:ascii="仿宋" w:hAnsi="仿宋" w:eastAsia="仿宋"/>
          <w:b w:val="0"/>
          <w:color w:val="000000"/>
        </w:rPr>
        <w:t>政</w:t>
      </w:r>
      <w:r>
        <w:rPr>
          <w:rStyle w:val="14"/>
          <w:rFonts w:hint="eastAsia" w:ascii="仿宋" w:hAnsi="仿宋" w:eastAsia="仿宋"/>
          <w:b w:val="0"/>
          <w:bCs w:val="0"/>
        </w:rPr>
        <w:t>府性基金预算财政拨款收入支出决算表</w:t>
      </w:r>
      <w:bookmarkEnd w:id="57"/>
    </w:p>
    <w:p>
      <w:pPr>
        <w:pStyle w:val="3"/>
        <w:rPr>
          <w:rFonts w:ascii="仿宋" w:hAnsi="仿宋" w:eastAsia="仿宋"/>
          <w:color w:val="000000"/>
        </w:rPr>
      </w:pPr>
      <w:bookmarkStart w:id="58" w:name="_Toc15396630"/>
      <w:r>
        <w:rPr>
          <w:rStyle w:val="14"/>
          <w:rFonts w:hint="eastAsia" w:ascii="仿宋" w:hAnsi="仿宋" w:eastAsia="仿宋"/>
          <w:b w:val="0"/>
          <w:bCs w:val="0"/>
        </w:rPr>
        <w:t>十二、</w:t>
      </w:r>
      <w:r>
        <w:rPr>
          <w:rFonts w:hint="eastAsia" w:ascii="仿宋" w:hAnsi="仿宋" w:eastAsia="仿宋"/>
          <w:b w:val="0"/>
          <w:color w:val="000000"/>
        </w:rPr>
        <w:t>政</w:t>
      </w:r>
      <w:r>
        <w:rPr>
          <w:rStyle w:val="14"/>
          <w:rFonts w:hint="eastAsia" w:ascii="仿宋" w:hAnsi="仿宋" w:eastAsia="仿宋"/>
          <w:b w:val="0"/>
          <w:bCs w:val="0"/>
        </w:rPr>
        <w:t>府性基金预算财政拨款“三公”经费支出决算表</w:t>
      </w:r>
      <w:bookmarkEnd w:id="58"/>
    </w:p>
    <w:p>
      <w:pPr>
        <w:pStyle w:val="3"/>
        <w:rPr>
          <w:rFonts w:ascii="仿宋" w:hAnsi="仿宋" w:eastAsia="仿宋"/>
          <w:color w:val="000000" w:themeColor="text1"/>
          <w14:textFill>
            <w14:solidFill>
              <w14:schemeClr w14:val="tx1"/>
            </w14:solidFill>
          </w14:textFill>
        </w:rPr>
      </w:pPr>
      <w:bookmarkStart w:id="59" w:name="_Toc15396631"/>
      <w:r>
        <w:rPr>
          <w:rStyle w:val="14"/>
          <w:rFonts w:hint="eastAsia" w:ascii="仿宋" w:hAnsi="仿宋" w:eastAsia="仿宋"/>
          <w:b w:val="0"/>
          <w:bCs w:val="0"/>
        </w:rPr>
        <w:t>十三、</w:t>
      </w:r>
      <w:r>
        <w:rPr>
          <w:rFonts w:hint="eastAsia" w:ascii="仿宋" w:hAnsi="仿宋" w:eastAsia="仿宋"/>
          <w:b w:val="0"/>
          <w:color w:val="000000"/>
        </w:rPr>
        <w:t>国</w:t>
      </w:r>
      <w:r>
        <w:rPr>
          <w:rStyle w:val="14"/>
          <w:rFonts w:hint="eastAsia" w:ascii="仿宋" w:hAnsi="仿宋" w:eastAsia="仿宋"/>
          <w:b w:val="0"/>
          <w:bCs w:val="0"/>
        </w:rPr>
        <w:t>有资本经营预算支出决算表</w:t>
      </w:r>
      <w:bookmarkEnd w:id="59"/>
    </w:p>
    <w:p>
      <w:pPr>
        <w:rPr>
          <w:rFonts w:hint="eastAsia" w:ascii="仿宋" w:hAnsi="仿宋" w:eastAsia="仿宋"/>
          <w:color w:val="000000"/>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altName w:val="Calibri"/>
    <w:panose1 w:val="00000000000000000000"/>
    <w:charset w:val="00"/>
    <w:family w:val="auto"/>
    <w:pitch w:val="default"/>
    <w:sig w:usb0="00000000" w:usb1="00000000" w:usb2="00000000" w:usb3="00000000" w:csb0="00000000" w:csb1="00000000"/>
  </w:font>
  <w:font w:name="仿宋">
    <w:altName w:val="宋体"/>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仿宋">
    <w:altName w:val="宋体"/>
    <w:panose1 w:val="00000000000000000000"/>
    <w:charset w:val="00"/>
    <w:family w:val="auto"/>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ADA1B46"/>
    <w:multiLevelType w:val="singleLevel"/>
    <w:tmpl w:val="CADA1B46"/>
    <w:lvl w:ilvl="0" w:tentative="0">
      <w:start w:val="1"/>
      <w:numFmt w:val="decimal"/>
      <w:lvlText w:val="%1."/>
      <w:lvlJc w:val="left"/>
      <w:pPr>
        <w:tabs>
          <w:tab w:val="left" w:pos="312"/>
        </w:tabs>
      </w:p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72387337"/>
    <w:multiLevelType w:val="singleLevel"/>
    <w:tmpl w:val="72387337"/>
    <w:lvl w:ilvl="0" w:tentative="0">
      <w:start w:val="1"/>
      <w:numFmt w:val="decimal"/>
      <w:suff w:val="nothing"/>
      <w:lvlText w:val="（%1）"/>
      <w:lvlJc w:val="left"/>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A159F4"/>
    <w:rsid w:val="67A15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4">
    <w:name w:val="Body Text"/>
    <w:basedOn w:val="1"/>
    <w:qFormat/>
    <w:uiPriority w:val="99"/>
    <w:pPr>
      <w:spacing w:beforeLines="30"/>
    </w:pPr>
    <w:rPr>
      <w:rFonts w:ascii="仿宋_GB2312" w:eastAsia="仿宋_GB2312"/>
      <w:kern w:val="0"/>
      <w:sz w:val="30"/>
    </w:rPr>
  </w:style>
  <w:style w:type="paragraph" w:styleId="5">
    <w:name w:val="footer"/>
    <w:basedOn w:val="1"/>
    <w:qFormat/>
    <w:uiPriority w:val="99"/>
    <w:pPr>
      <w:tabs>
        <w:tab w:val="center" w:pos="4153"/>
        <w:tab w:val="right" w:pos="8306"/>
      </w:tabs>
      <w:snapToGrid w:val="0"/>
      <w:jc w:val="left"/>
    </w:pPr>
    <w:rPr>
      <w:rFonts w:ascii="Calibri" w:hAnsi="Calibri"/>
      <w:kern w:val="0"/>
      <w:sz w:val="18"/>
      <w:szCs w:val="18"/>
    </w:rPr>
  </w:style>
  <w:style w:type="paragraph" w:styleId="6">
    <w:name w:val="header"/>
    <w:basedOn w:val="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7">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8">
    <w:name w:val="toc 2"/>
    <w:basedOn w:val="1"/>
    <w:next w:val="1"/>
    <w:unhideWhenUsed/>
    <w:qFormat/>
    <w:uiPriority w:val="39"/>
    <w:pPr>
      <w:tabs>
        <w:tab w:val="right" w:leader="dot" w:pos="8296"/>
      </w:tabs>
      <w:ind w:left="420" w:leftChars="200"/>
    </w:pPr>
  </w:style>
  <w:style w:type="character" w:styleId="11">
    <w:name w:val="Strong"/>
    <w:basedOn w:val="10"/>
    <w:qFormat/>
    <w:uiPriority w:val="99"/>
    <w:rPr>
      <w:b/>
    </w:rPr>
  </w:style>
  <w:style w:type="character" w:styleId="12">
    <w:name w:val="Hyperlink"/>
    <w:basedOn w:val="10"/>
    <w:unhideWhenUsed/>
    <w:qFormat/>
    <w:uiPriority w:val="99"/>
    <w:rPr>
      <w:color w:val="0563C1" w:themeColor="hyperlink"/>
      <w:u w:val="single"/>
      <w14:textFill>
        <w14:solidFill>
          <w14:schemeClr w14:val="hlink"/>
        </w14:solidFill>
      </w14:textFill>
    </w:rPr>
  </w:style>
  <w:style w:type="character" w:customStyle="1" w:styleId="13">
    <w:name w:val="标题 1 Char"/>
    <w:basedOn w:val="10"/>
    <w:link w:val="2"/>
    <w:qFormat/>
    <w:uiPriority w:val="9"/>
    <w:rPr>
      <w:b/>
      <w:bCs/>
      <w:kern w:val="44"/>
      <w:sz w:val="44"/>
      <w:szCs w:val="44"/>
    </w:rPr>
  </w:style>
  <w:style w:type="character" w:customStyle="1" w:styleId="14">
    <w:name w:val="标题 2 Char"/>
    <w:basedOn w:val="10"/>
    <w:link w:val="3"/>
    <w:qFormat/>
    <w:uiPriority w:val="9"/>
    <w:rPr>
      <w:rFonts w:asciiTheme="majorHAnsi" w:hAnsiTheme="majorHAnsi" w:eastAsiaTheme="majorEastAsia" w:cstheme="majorBidi"/>
      <w:b/>
      <w:bCs/>
      <w:sz w:val="32"/>
      <w:szCs w:val="32"/>
    </w:rPr>
  </w:style>
  <w:style w:type="paragraph" w:styleId="15">
    <w:name w:val="List Paragraph"/>
    <w:basedOn w:val="1"/>
    <w:qFormat/>
    <w:uiPriority w:val="34"/>
    <w:pPr>
      <w:ind w:firstLine="420" w:firstLineChars="200"/>
    </w:pPr>
  </w:style>
  <w:style w:type="paragraph" w:customStyle="1" w:styleId="1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chart" Target="charts/chart4.xml"/><Relationship Id="rId6" Type="http://schemas.openxmlformats.org/officeDocument/2006/relationships/chart" Target="charts/chart3.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1</a:t>
            </a:r>
            <a:r>
              <a:rPr altLang="en-US"/>
              <a:t>：收支决算总计变动情况</a:t>
            </a:r>
            <a:endParaRPr altLang="en-US"/>
          </a:p>
        </c:rich>
      </c:tx>
      <c:layout/>
      <c:overlay val="0"/>
      <c:spPr>
        <a:noFill/>
        <a:ln>
          <a:noFill/>
        </a:ln>
        <a:effectLst/>
      </c:spPr>
    </c:title>
    <c:autoTitleDeleted val="0"/>
    <c:plotArea>
      <c:layout/>
      <c:barChart>
        <c:barDir val="col"/>
        <c:grouping val="stacked"/>
        <c:varyColors val="0"/>
        <c:ser>
          <c:idx val="0"/>
          <c:order val="0"/>
          <c:tx>
            <c:strRef>
              <c:f>Sheet1!$B$1</c:f>
              <c:strCache>
                <c:ptCount val="1"/>
                <c:pt idx="0">
                  <c:v>收支总计（万元）</c:v>
                </c:pt>
              </c:strCache>
            </c:strRef>
          </c:tx>
          <c:spPr>
            <a:solidFill>
              <a:schemeClr val="accent1"/>
            </a:solidFill>
            <a:ln>
              <a:noFill/>
            </a:ln>
            <a:effectLst/>
          </c:spPr>
          <c:invertIfNegative val="0"/>
          <c:dLbls>
            <c:delete val="1"/>
          </c:dLbls>
          <c:cat>
            <c:strRef>
              <c:f>Sheet1!$A$2:$A$3</c:f>
              <c:strCache>
                <c:ptCount val="2"/>
                <c:pt idx="0">
                  <c:v>2018年</c:v>
                </c:pt>
                <c:pt idx="1">
                  <c:v>2019年</c:v>
                </c:pt>
              </c:strCache>
            </c:strRef>
          </c:cat>
          <c:val>
            <c:numRef>
              <c:f>Sheet1!$B$2:$B$3</c:f>
              <c:numCache>
                <c:formatCode>General</c:formatCode>
                <c:ptCount val="2"/>
                <c:pt idx="0">
                  <c:v>19700.27</c:v>
                </c:pt>
                <c:pt idx="1">
                  <c:v>49279.25</c:v>
                </c:pt>
              </c:numCache>
            </c:numRef>
          </c:val>
        </c:ser>
        <c:ser>
          <c:idx val="1"/>
          <c:order val="1"/>
          <c:tx>
            <c:strRef>
              <c:f>Sheet1!#REF!</c:f>
              <c:strCache>
                <c:ptCount val="1"/>
                <c:pt idx="0">
                  <c:v/>
                </c:pt>
              </c:strCache>
            </c:strRef>
          </c:tx>
          <c:spPr>
            <a:solidFill>
              <a:schemeClr val="accent2"/>
            </a:solidFill>
            <a:ln>
              <a:noFill/>
            </a:ln>
            <a:effectLst/>
          </c:spPr>
          <c:invertIfNegative val="0"/>
          <c:dLbls>
            <c:delete val="1"/>
          </c:dLbls>
          <c:cat>
            <c:strRef>
              <c:f>Sheet1!$A$2:$A$3</c:f>
              <c:strCache>
                <c:ptCount val="2"/>
                <c:pt idx="0">
                  <c:v>2018年</c:v>
                </c:pt>
                <c:pt idx="1">
                  <c:v>2019年</c:v>
                </c:pt>
              </c:strCache>
            </c:strRef>
          </c:cat>
          <c:val>
            <c:numRef>
              <c:f>Sheet1!#REF!</c:f>
              <c:numCache>
                <c:formatCode>General</c:formatCode>
                <c:ptCount val="1"/>
                <c:pt idx="0">
                  <c:v>1</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2018年</c:v>
                </c:pt>
                <c:pt idx="1">
                  <c:v>2019年</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150"/>
        <c:overlap val="100"/>
        <c:axId val="599614098"/>
        <c:axId val="391846029"/>
      </c:barChart>
      <c:catAx>
        <c:axId val="59961409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91846029"/>
        <c:crosses val="autoZero"/>
        <c:auto val="1"/>
        <c:lblAlgn val="ctr"/>
        <c:lblOffset val="100"/>
        <c:noMultiLvlLbl val="0"/>
      </c:catAx>
      <c:valAx>
        <c:axId val="39184602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9961409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2</a:t>
            </a:r>
            <a:r>
              <a:rPr altLang="en-US"/>
              <a:t>：</a:t>
            </a:r>
            <a:r>
              <a:t>收入决算结构</a:t>
            </a:r>
          </a:p>
        </c:rich>
      </c:tx>
      <c:layout/>
      <c:overlay val="0"/>
      <c:spPr>
        <a:noFill/>
        <a:ln>
          <a:noFill/>
        </a:ln>
        <a:effectLst/>
      </c:spPr>
    </c:title>
    <c:autoTitleDeleted val="0"/>
    <c:view3D>
      <c:rotX val="30"/>
      <c:rotY val="0"/>
      <c:depthPercent val="100"/>
      <c:rAngAx val="0"/>
    </c:view3D>
    <c:plotArea>
      <c:layout/>
      <c:pie3DChart>
        <c:varyColors val="1"/>
        <c:ser>
          <c:idx val="0"/>
          <c:order val="0"/>
          <c:tx>
            <c:strRef>
              <c:f>Sheet1!$B$1</c:f>
              <c:strCache>
                <c:ptCount val="1"/>
                <c:pt idx="0">
                  <c:v>收入总计</c:v>
                </c:pt>
              </c:strCache>
            </c:strRef>
          </c:tx>
          <c:spPr>
            <a:scene3d>
              <a:camera prst="orthographicFront"/>
              <a:lightRig rig="threePt" dir="t"/>
            </a:scene3d>
            <a:sp3d contourW="25400"/>
          </c:spPr>
          <c:explosion val="0"/>
          <c:dPt>
            <c:idx val="0"/>
            <c:bubble3D val="0"/>
            <c:spPr>
              <a:solidFill>
                <a:schemeClr val="accent1"/>
              </a:solidFill>
              <a:ln w="25400">
                <a:solidFill>
                  <a:schemeClr val="lt1"/>
                </a:solidFill>
              </a:ln>
              <a:effectLst/>
              <a:scene3d>
                <a:camera prst="orthographicFront"/>
                <a:lightRig rig="threePt" dir="t"/>
              </a:scene3d>
              <a:sp3d contourW="25400"/>
            </c:spPr>
          </c:dPt>
          <c:dLbls>
            <c:delete val="1"/>
          </c:dLbls>
          <c:cat>
            <c:strRef>
              <c:f>Sheet1!$A$2</c:f>
              <c:strCache>
                <c:ptCount val="1"/>
                <c:pt idx="0">
                  <c:v>政府性基金财政拨款</c:v>
                </c:pt>
              </c:strCache>
            </c:strRef>
          </c:cat>
          <c:val>
            <c:numRef>
              <c:f>Sheet1!$B$2</c:f>
              <c:numCache>
                <c:formatCode>General</c:formatCode>
                <c:ptCount val="1"/>
                <c:pt idx="0">
                  <c:v>49279.25</c:v>
                </c:pt>
              </c:numCache>
            </c:numRef>
          </c:val>
        </c:ser>
        <c:dLbls>
          <c:showLegendKey val="0"/>
          <c:showVal val="0"/>
          <c:showCatName val="0"/>
          <c:showSerName val="0"/>
          <c:showPercent val="0"/>
          <c:showBubbleSize val="0"/>
        </c:dLbls>
      </c:pie3D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3</a:t>
            </a:r>
            <a:r>
              <a:rPr altLang="en-US"/>
              <a:t>：支出决算结构图</a:t>
            </a:r>
            <a:endParaRPr altLang="en-US"/>
          </a:p>
        </c:rich>
      </c:tx>
      <c:layout/>
      <c:overlay val="0"/>
      <c:spPr>
        <a:noFill/>
        <a:ln>
          <a:noFill/>
        </a:ln>
        <a:effectLst/>
      </c:spPr>
    </c:title>
    <c:autoTitleDeleted val="0"/>
    <c:view3D>
      <c:rotX val="30"/>
      <c:rotY val="0"/>
      <c:depthPercent val="100"/>
      <c:rAngAx val="0"/>
    </c:view3D>
    <c:plotArea>
      <c:layout/>
      <c:pie3DChart>
        <c:varyColors val="1"/>
        <c:ser>
          <c:idx val="0"/>
          <c:order val="0"/>
          <c:tx>
            <c:strRef>
              <c:f>Sheet1!$B$1</c:f>
              <c:strCache>
                <c:ptCount val="1"/>
                <c:pt idx="0">
                  <c:v>支出总计</c:v>
                </c:pt>
              </c:strCache>
            </c:strRef>
          </c:tx>
          <c:spPr>
            <a:scene3d>
              <a:camera prst="orthographicFront"/>
              <a:lightRig rig="threePt" dir="t"/>
            </a:scene3d>
            <a:sp3d contourW="25400"/>
          </c:spPr>
          <c:explosion val="0"/>
          <c:dPt>
            <c:idx val="0"/>
            <c:bubble3D val="0"/>
            <c:spPr>
              <a:solidFill>
                <a:schemeClr val="accent1"/>
              </a:solidFill>
              <a:ln w="25400">
                <a:solidFill>
                  <a:schemeClr val="lt1"/>
                </a:solidFill>
              </a:ln>
              <a:effectLst/>
              <a:scene3d>
                <a:camera prst="orthographicFront"/>
                <a:lightRig rig="threePt" dir="t"/>
              </a:scene3d>
              <a:sp3d contourW="25400"/>
            </c:spPr>
          </c:dPt>
          <c:dLbls>
            <c:delete val="1"/>
          </c:dLbls>
          <c:cat>
            <c:strRef>
              <c:f>Sheet1!$A$2</c:f>
              <c:strCache>
                <c:ptCount val="1"/>
                <c:pt idx="0">
                  <c:v>项目支出</c:v>
                </c:pt>
              </c:strCache>
            </c:strRef>
          </c:cat>
          <c:val>
            <c:numRef>
              <c:f>Sheet1!$B$2</c:f>
              <c:numCache>
                <c:formatCode>General</c:formatCode>
                <c:ptCount val="1"/>
                <c:pt idx="0">
                  <c:v>46503.17</c:v>
                </c:pt>
              </c:numCache>
            </c:numRef>
          </c:val>
        </c:ser>
        <c:dLbls>
          <c:showLegendKey val="0"/>
          <c:showVal val="0"/>
          <c:showCatName val="0"/>
          <c:showSerName val="0"/>
          <c:showPercent val="0"/>
          <c:showBubbleSize val="0"/>
        </c:dLbls>
      </c:pie3D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4</a:t>
            </a:r>
            <a:r>
              <a:rPr altLang="en-US"/>
              <a:t>：财政拨款收支总计变动</a:t>
            </a:r>
            <a:endParaRPr altLang="en-US"/>
          </a:p>
        </c:rich>
      </c:tx>
      <c:layout/>
      <c:overlay val="0"/>
      <c:spPr>
        <a:noFill/>
        <a:ln>
          <a:noFill/>
        </a:ln>
        <a:effectLst/>
      </c:spPr>
    </c:title>
    <c:autoTitleDeleted val="0"/>
    <c:plotArea>
      <c:layout/>
      <c:barChart>
        <c:barDir val="col"/>
        <c:grouping val="stacked"/>
        <c:varyColors val="0"/>
        <c:ser>
          <c:idx val="0"/>
          <c:order val="0"/>
          <c:tx>
            <c:strRef>
              <c:f>Sheet1!$B$1</c:f>
              <c:strCache>
                <c:ptCount val="1"/>
                <c:pt idx="0">
                  <c:v>财政拨款收支总计（万元）</c:v>
                </c:pt>
              </c:strCache>
            </c:strRef>
          </c:tx>
          <c:spPr>
            <a:solidFill>
              <a:schemeClr val="accent1"/>
            </a:solidFill>
            <a:ln>
              <a:noFill/>
            </a:ln>
            <a:effectLst/>
          </c:spPr>
          <c:invertIfNegative val="0"/>
          <c:dLbls>
            <c:delete val="1"/>
          </c:dLbls>
          <c:cat>
            <c:strRef>
              <c:f>Sheet1!$A$2:$A$3</c:f>
              <c:strCache>
                <c:ptCount val="2"/>
                <c:pt idx="0">
                  <c:v>2018年</c:v>
                </c:pt>
                <c:pt idx="1">
                  <c:v>2019年</c:v>
                </c:pt>
              </c:strCache>
            </c:strRef>
          </c:cat>
          <c:val>
            <c:numRef>
              <c:f>Sheet1!$B$2:$B$3</c:f>
              <c:numCache>
                <c:formatCode>General</c:formatCode>
                <c:ptCount val="2"/>
                <c:pt idx="0">
                  <c:v>19700.27</c:v>
                </c:pt>
                <c:pt idx="1">
                  <c:v>49279.25</c:v>
                </c:pt>
              </c:numCache>
            </c:numRef>
          </c:val>
        </c:ser>
        <c:ser>
          <c:idx val="1"/>
          <c:order val="1"/>
          <c:tx>
            <c:strRef>
              <c:f>Sheet1!#REF!</c:f>
              <c:strCache>
                <c:ptCount val="1"/>
                <c:pt idx="0">
                  <c:v/>
                </c:pt>
              </c:strCache>
            </c:strRef>
          </c:tx>
          <c:spPr>
            <a:solidFill>
              <a:schemeClr val="accent2"/>
            </a:solidFill>
            <a:ln>
              <a:noFill/>
            </a:ln>
            <a:effectLst/>
          </c:spPr>
          <c:invertIfNegative val="0"/>
          <c:dLbls>
            <c:delete val="1"/>
          </c:dLbls>
          <c:cat>
            <c:strRef>
              <c:f>Sheet1!$A$2:$A$3</c:f>
              <c:strCache>
                <c:ptCount val="2"/>
                <c:pt idx="0">
                  <c:v>2018年</c:v>
                </c:pt>
                <c:pt idx="1">
                  <c:v>2019年</c:v>
                </c:pt>
              </c:strCache>
            </c:strRef>
          </c:cat>
          <c:val>
            <c:numRef>
              <c:f>Sheet1!#REF!</c:f>
              <c:numCache>
                <c:formatCode>General</c:formatCode>
                <c:ptCount val="1"/>
                <c:pt idx="0">
                  <c:v>1</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2018年</c:v>
                </c:pt>
                <c:pt idx="1">
                  <c:v>2019年</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150"/>
        <c:overlap val="100"/>
        <c:axId val="411940640"/>
        <c:axId val="151413754"/>
      </c:barChart>
      <c:catAx>
        <c:axId val="41194064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1413754"/>
        <c:crosses val="autoZero"/>
        <c:auto val="1"/>
        <c:lblAlgn val="ctr"/>
        <c:lblOffset val="100"/>
        <c:noMultiLvlLbl val="0"/>
      </c:catAx>
      <c:valAx>
        <c:axId val="15141375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119406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2020-10-30T08:58:00Z</dcterms:created>
  <dc:creator>Administrator</dc:creator>
  <cp:lastModifiedBy>Administrator</cp:lastModifiedBy>
  <dcterms:modified xsi:type="dcterms:W3CDTF">2020-10-30T09:28:47Z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