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96597"/>
      <w:bookmarkStart w:id="4" w:name="_Toc1537742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77194"/>
      <w:bookmarkStart w:id="7" w:name="_Toc15396598"/>
      <w:bookmarkStart w:id="8" w:name="_Toc15378442"/>
      <w:bookmarkStart w:id="9" w:name="_Toc15396476"/>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社区卫生服务中心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公开时间：2020年10月30日</w:t>
      </w:r>
    </w:p>
    <w:p/>
    <w:p>
      <w:pPr>
        <w:pStyle w:val="11"/>
        <w:adjustRightInd w:val="0"/>
        <w:snapToGrid w:val="0"/>
        <w:spacing w:before="0" w:line="440" w:lineRule="exact"/>
        <w:jc w:val="left"/>
        <w:rPr>
          <w:rFonts w:cstheme="minorBidi"/>
          <w:sz w:val="24"/>
          <w:szCs w:val="24"/>
        </w:rPr>
      </w:pPr>
      <w:r>
        <w:rPr>
          <w:rFonts w:hint="eastAsia"/>
          <w:sz w:val="24"/>
        </w:rPr>
        <w:t>第一部分部门概况</w:t>
      </w:r>
    </w:p>
    <w:p>
      <w:pPr>
        <w:pStyle w:val="13"/>
        <w:adjustRightInd w:val="0"/>
        <w:snapToGrid w:val="0"/>
        <w:spacing w:line="440" w:lineRule="exact"/>
        <w:jc w:val="left"/>
        <w:rPr>
          <w:rFonts w:ascii="仿宋" w:hAnsi="仿宋" w:eastAsia="仿宋"/>
          <w:sz w:val="24"/>
        </w:rPr>
      </w:pPr>
      <w:r>
        <w:rPr>
          <w:rFonts w:hint="eastAsia"/>
          <w:sz w:val="24"/>
        </w:rPr>
        <w:t>一、基本职能及主要工作</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第二部分度部门决算情况说明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1"/>
        <w:adjustRightInd w:val="0"/>
        <w:snapToGrid w:val="0"/>
        <w:spacing w:before="0" w:line="440" w:lineRule="exact"/>
        <w:jc w:val="left"/>
        <w:rPr>
          <w:rFonts w:cstheme="minorBidi"/>
          <w:sz w:val="24"/>
          <w:szCs w:val="24"/>
        </w:rPr>
      </w:pPr>
      <w:r>
        <w:rPr>
          <w:rFonts w:hint="eastAsia"/>
          <w:sz w:val="24"/>
        </w:rPr>
        <w:t>第三部分名词解释</w:t>
      </w:r>
    </w:p>
    <w:p>
      <w:pPr>
        <w:pStyle w:val="11"/>
        <w:adjustRightInd w:val="0"/>
        <w:snapToGrid w:val="0"/>
        <w:spacing w:before="0" w:line="440" w:lineRule="exact"/>
        <w:jc w:val="left"/>
        <w:rPr>
          <w:rFonts w:cstheme="minorBidi"/>
          <w:sz w:val="24"/>
          <w:szCs w:val="24"/>
        </w:rPr>
      </w:pPr>
      <w:r>
        <w:rPr>
          <w:rFonts w:hint="eastAsia"/>
          <w:sz w:val="24"/>
        </w:rPr>
        <w:t>第四部分附件</w:t>
      </w:r>
    </w:p>
    <w:p>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1"/>
        <w:adjustRightInd w:val="0"/>
        <w:snapToGrid w:val="0"/>
        <w:spacing w:before="0" w:line="440" w:lineRule="exact"/>
        <w:jc w:val="left"/>
        <w:rPr>
          <w:rFonts w:cstheme="minorBidi"/>
          <w:sz w:val="24"/>
          <w:szCs w:val="24"/>
        </w:rPr>
      </w:pPr>
      <w:r>
        <w:rPr>
          <w:rFonts w:hint="eastAsia"/>
          <w:sz w:val="24"/>
        </w:rPr>
        <w:t>第五部分附表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snapToGrid w:val="0"/>
        <w:spacing w:line="588" w:lineRule="exact"/>
        <w:ind w:firstLine="640" w:firstLineChars="200"/>
        <w:rPr>
          <w:rFonts w:ascii="仿宋" w:hAnsi="仿宋" w:eastAsia="仿宋"/>
          <w:sz w:val="32"/>
          <w:szCs w:val="32"/>
        </w:rPr>
      </w:pPr>
      <w:r>
        <w:rPr>
          <w:rFonts w:hint="eastAsia" w:ascii="仿宋" w:hAnsi="仿宋" w:eastAsia="仿宋"/>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承担峨眉山市城区及绥山镇农村9万余人基本公共卫生服务。</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napToGrid w:val="0"/>
        <w:spacing w:line="588" w:lineRule="exact"/>
        <w:ind w:firstLine="640" w:firstLineChars="200"/>
        <w:rPr>
          <w:rFonts w:ascii="仿宋_GB2312" w:hAnsi="仿宋" w:eastAsia="仿宋_GB2312"/>
          <w:sz w:val="32"/>
          <w:szCs w:val="32"/>
        </w:rPr>
      </w:pPr>
      <w:r>
        <w:rPr>
          <w:rFonts w:hint="eastAsia" w:ascii="仿宋" w:hAnsi="仿宋" w:eastAsia="仿宋"/>
          <w:bCs/>
          <w:color w:val="000000"/>
          <w:kern w:val="0"/>
          <w:sz w:val="32"/>
          <w:szCs w:val="32"/>
        </w:rPr>
        <w:t>2019年医疗收入968.51万元，门诊人次68571人次，出院人次1359人。今年继续开展健康体检及建档工作，基本公共卫生服务截止2019年12月共累计建档人数90000余人，其中规范化管理高血压7625人，糖尿病3205人，精神障碍332人，规范建档率达100%；2019年免费为约8900位老年人及特殊人群进行了体检。对辖区内幼儿园及小学校进行了免费体检。</w:t>
      </w:r>
    </w:p>
    <w:p>
      <w:pPr>
        <w:pStyle w:val="3"/>
        <w:rPr>
          <w:rStyle w:val="28"/>
          <w:rFonts w:ascii="黑体" w:hAnsi="黑体" w:eastAsia="黑体"/>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纳入本套决算编制范围的独立核算单位1个（绥山镇卫生院不独立核算），比上年增减0个。我单位为峨</w:t>
      </w:r>
      <w:r>
        <w:rPr>
          <w:rFonts w:hint="eastAsia" w:ascii="仿宋" w:hAnsi="仿宋" w:eastAsia="仿宋"/>
          <w:sz w:val="32"/>
          <w:szCs w:val="32"/>
        </w:rPr>
        <w:t>眉山市卫生健康局下属二级预算单位，单位性质为财政全额拨款事业单位，无下设机构</w:t>
      </w:r>
    </w:p>
    <w:p>
      <w:pPr>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年末实有在编职工46人（其中，绥山镇卫生院6人），编制外人员14人。单位内设中心办公室、财务科、预防保健科、公共卫生科、门诊及住院病房、放射科、彩超诊断室、检验科、药库房、红华苑社区卫生服务站等科室。</w:t>
      </w:r>
    </w:p>
    <w:p>
      <w:pPr>
        <w:pStyle w:val="2"/>
        <w:ind w:right="440"/>
        <w:jc w:val="right"/>
        <w:rPr>
          <w:rStyle w:val="2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7"/>
          <w:rFonts w:hint="eastAsia" w:ascii="黑体" w:hAnsi="黑体" w:eastAsia="黑体"/>
          <w:b w:val="0"/>
          <w:bCs w:val="0"/>
        </w:rPr>
        <w:t>2019年度部门决算情况说明</w:t>
      </w:r>
      <w:bookmarkEnd w:id="22"/>
      <w:bookmarkEnd w:id="23"/>
    </w:p>
    <w:p/>
    <w:p>
      <w:pPr>
        <w:pStyle w:val="26"/>
        <w:numPr>
          <w:ilvl w:val="0"/>
          <w:numId w:val="1"/>
        </w:numPr>
        <w:spacing w:line="600" w:lineRule="exact"/>
        <w:ind w:firstLineChars="0"/>
        <w:outlineLvl w:val="1"/>
        <w:rPr>
          <w:rStyle w:val="28"/>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2019年度收入总计2010.32万元、支出总计2115.75元。与2018年相比，收入增加354.68万元、支出总增加368.60万元，分别增长21.42%和21.10</w:t>
      </w:r>
      <w:r>
        <w:rPr>
          <w:rFonts w:ascii="仿宋" w:hAnsi="仿宋" w:eastAsia="仿宋"/>
          <w:color w:val="000000"/>
          <w:sz w:val="32"/>
          <w:szCs w:val="32"/>
        </w:rPr>
        <w:t>%</w:t>
      </w:r>
      <w:r>
        <w:rPr>
          <w:rFonts w:hint="eastAsia" w:ascii="仿宋" w:hAnsi="仿宋" w:eastAsia="仿宋"/>
          <w:color w:val="000000"/>
          <w:sz w:val="32"/>
          <w:szCs w:val="32"/>
        </w:rPr>
        <w:t>。主要变动原因是基本公共卫生服务经费下拨力度加大，增加了2018年应支出未支出的村卫生室下沉经费等经费。</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584065" cy="2755265"/>
            <wp:effectExtent l="0" t="0" r="635" b="635"/>
            <wp:docPr id="2" name="图片 2"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1"/>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9年本年收入合计2010.32万元，其中：一般公共预算财政拨款收入975.65万元，占48.53</w:t>
      </w:r>
      <w:r>
        <w:rPr>
          <w:rFonts w:ascii="仿宋" w:hAnsi="仿宋" w:eastAsia="仿宋"/>
          <w:color w:val="000000"/>
          <w:sz w:val="32"/>
          <w:szCs w:val="32"/>
        </w:rPr>
        <w:t>%</w:t>
      </w:r>
      <w:r>
        <w:rPr>
          <w:rFonts w:hint="eastAsia" w:ascii="仿宋" w:hAnsi="仿宋" w:eastAsia="仿宋"/>
          <w:color w:val="000000"/>
          <w:sz w:val="32"/>
          <w:szCs w:val="32"/>
        </w:rPr>
        <w:t>；政府性基金预算占0</w:t>
      </w:r>
      <w:r>
        <w:rPr>
          <w:rFonts w:ascii="仿宋" w:hAnsi="仿宋" w:eastAsia="仿宋"/>
          <w:color w:val="000000"/>
          <w:sz w:val="32"/>
          <w:szCs w:val="32"/>
        </w:rPr>
        <w:t>%</w:t>
      </w:r>
      <w:r>
        <w:rPr>
          <w:rFonts w:hint="eastAsia" w:ascii="仿宋" w:hAnsi="仿宋" w:eastAsia="仿宋"/>
          <w:color w:val="000000"/>
          <w:sz w:val="32"/>
          <w:szCs w:val="32"/>
        </w:rPr>
        <w:t>；事业收入968.51万元，占48.18</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；其他收入61.79万元，占3.07</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jc w:val="center"/>
      </w:pPr>
      <w:r>
        <w:drawing>
          <wp:inline distT="0" distB="0" distL="0" distR="0">
            <wp:extent cx="4495800" cy="2639695"/>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7"/>
                    <a:srcRect/>
                    <a:stretch>
                      <a:fillRect/>
                    </a:stretch>
                  </pic:blipFill>
                  <pic:spPr>
                    <a:xfrm>
                      <a:off x="0" y="0"/>
                      <a:ext cx="4495800" cy="2640244"/>
                    </a:xfrm>
                    <a:prstGeom prst="rect">
                      <a:avLst/>
                    </a:prstGeom>
                    <a:noFill/>
                    <a:ln w="9525">
                      <a:noFill/>
                      <a:miter lim="800000"/>
                      <a:headEnd/>
                      <a:tailEnd/>
                    </a:ln>
                  </pic:spPr>
                </pic:pic>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9年本年支出合计2115.75万元，其中：基本支出1316.80万元，占62.37</w:t>
      </w:r>
      <w:r>
        <w:rPr>
          <w:rFonts w:ascii="仿宋" w:hAnsi="仿宋" w:eastAsia="仿宋"/>
          <w:color w:val="000000"/>
          <w:sz w:val="32"/>
          <w:szCs w:val="32"/>
        </w:rPr>
        <w:t>%</w:t>
      </w:r>
      <w:r>
        <w:rPr>
          <w:rFonts w:hint="eastAsia" w:ascii="仿宋" w:hAnsi="仿宋" w:eastAsia="仿宋"/>
          <w:color w:val="000000"/>
          <w:sz w:val="32"/>
          <w:szCs w:val="32"/>
        </w:rPr>
        <w:t>；项目支出798.95万元，占37.63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jc w:val="center"/>
      </w:pPr>
      <w:r>
        <w:drawing>
          <wp:inline distT="0" distB="0" distL="0" distR="0">
            <wp:extent cx="4295775" cy="244792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srcRect/>
                    <a:stretch>
                      <a:fillRect/>
                    </a:stretch>
                  </pic:blipFill>
                  <pic:spPr>
                    <a:xfrm>
                      <a:off x="0" y="0"/>
                      <a:ext cx="4295775" cy="2447925"/>
                    </a:xfrm>
                    <a:prstGeom prst="rect">
                      <a:avLst/>
                    </a:prstGeom>
                    <a:noFill/>
                    <a:ln w="9525">
                      <a:noFill/>
                      <a:miter lim="800000"/>
                      <a:headEnd/>
                      <a:tailEnd/>
                    </a:ln>
                  </pic:spPr>
                </pic:pic>
              </a:graphicData>
            </a:graphic>
          </wp:inline>
        </w:drawing>
      </w:r>
    </w:p>
    <w:p>
      <w:pPr>
        <w:spacing w:line="600"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9年财政拨款收入总计980.01万元、支出总计1116.28万元。与</w:t>
      </w:r>
      <w:r>
        <w:rPr>
          <w:rFonts w:ascii="仿宋" w:hAnsi="仿宋" w:eastAsia="仿宋"/>
          <w:color w:val="000000"/>
          <w:sz w:val="32"/>
          <w:szCs w:val="32"/>
        </w:rPr>
        <w:t>201</w:t>
      </w:r>
      <w:r>
        <w:rPr>
          <w:rFonts w:hint="eastAsia" w:ascii="仿宋" w:hAnsi="仿宋" w:eastAsia="仿宋"/>
          <w:color w:val="000000"/>
          <w:sz w:val="32"/>
          <w:szCs w:val="32"/>
        </w:rPr>
        <w:t>8年相比，财政拨款收入增加2.52万元、支出增加129.80万元，分别增长0.26</w:t>
      </w:r>
      <w:r>
        <w:rPr>
          <w:rFonts w:ascii="仿宋" w:hAnsi="仿宋" w:eastAsia="仿宋"/>
          <w:color w:val="000000"/>
          <w:sz w:val="32"/>
          <w:szCs w:val="32"/>
        </w:rPr>
        <w:t>%</w:t>
      </w:r>
      <w:r>
        <w:rPr>
          <w:rFonts w:hint="eastAsia" w:ascii="仿宋" w:hAnsi="仿宋" w:eastAsia="仿宋"/>
          <w:color w:val="000000"/>
          <w:sz w:val="32"/>
          <w:szCs w:val="32"/>
        </w:rPr>
        <w:t>和13.16%。主要变动原因是增加了2018年应支出未支出的村卫生室下沉经费等经费。</w:t>
      </w:r>
    </w:p>
    <w:p>
      <w:pPr>
        <w:jc w:val="center"/>
      </w:pPr>
      <w:r>
        <w:drawing>
          <wp:inline distT="0" distB="0" distL="0" distR="0">
            <wp:extent cx="4476750" cy="2676525"/>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9"/>
                    <a:srcRect/>
                    <a:stretch>
                      <a:fillRect/>
                    </a:stretch>
                  </pic:blipFill>
                  <pic:spPr>
                    <a:xfrm>
                      <a:off x="0" y="0"/>
                      <a:ext cx="4476750" cy="2676525"/>
                    </a:xfrm>
                    <a:prstGeom prst="rect">
                      <a:avLst/>
                    </a:prstGeom>
                    <a:noFill/>
                    <a:ln w="9525">
                      <a:noFill/>
                      <a:miter lim="800000"/>
                      <a:headEnd/>
                      <a:tailEnd/>
                    </a:ln>
                  </pic:spPr>
                </pic:pic>
              </a:graphicData>
            </a:graphic>
          </wp:inline>
        </w:drawing>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财政拨款收、支决算总计变动情况</w:t>
      </w:r>
    </w:p>
    <w:p>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9年一般公共预算财政拨款支出1111.92万元，占本年支出合计的52.55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8年相比，一般公共预算财政拨款增加5.78万元，增长约0.60</w:t>
      </w:r>
      <w:r>
        <w:rPr>
          <w:rFonts w:ascii="仿宋" w:hAnsi="仿宋" w:eastAsia="仿宋"/>
          <w:color w:val="000000"/>
          <w:sz w:val="32"/>
          <w:szCs w:val="32"/>
        </w:rPr>
        <w:t>%</w:t>
      </w:r>
      <w:r>
        <w:rPr>
          <w:rFonts w:hint="eastAsia" w:ascii="仿宋" w:hAnsi="仿宋" w:eastAsia="仿宋"/>
          <w:color w:val="000000"/>
          <w:sz w:val="32"/>
          <w:szCs w:val="32"/>
        </w:rPr>
        <w:t>。主要变动原因是人员调资使工资、社保缴费等增加支出。</w:t>
      </w:r>
    </w:p>
    <w:p>
      <w:pPr>
        <w:spacing w:line="600" w:lineRule="exact"/>
        <w:ind w:firstLine="640" w:firstLineChars="200"/>
        <w:rPr>
          <w:rFonts w:ascii="仿宋" w:hAnsi="仿宋" w:eastAsia="仿宋"/>
          <w:color w:val="000000"/>
          <w:sz w:val="32"/>
          <w:szCs w:val="32"/>
        </w:rPr>
      </w:pPr>
    </w:p>
    <w:p>
      <w:pPr>
        <w:jc w:val="center"/>
      </w:pPr>
      <w:r>
        <w:drawing>
          <wp:inline distT="0" distB="0" distL="0" distR="0">
            <wp:extent cx="4610100" cy="2790825"/>
            <wp:effectExtent l="0" t="0" r="0" b="317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10"/>
                    <a:srcRect/>
                    <a:stretch>
                      <a:fillRect/>
                    </a:stretch>
                  </pic:blipFill>
                  <pic:spPr>
                    <a:xfrm>
                      <a:off x="0" y="0"/>
                      <a:ext cx="4610100" cy="2790825"/>
                    </a:xfrm>
                    <a:prstGeom prst="rect">
                      <a:avLst/>
                    </a:prstGeom>
                    <a:noFill/>
                    <a:ln w="9525">
                      <a:noFill/>
                      <a:miter lim="800000"/>
                      <a:headEnd/>
                      <a:tailEnd/>
                    </a:ln>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政拨款支出1111.92万元，主要用于以下方面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支出71.11万元，占3.37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2019.99万元，占95.67</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；住房保障支出20.28万元，占0.96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p>
    <w:p>
      <w:pPr>
        <w:jc w:val="center"/>
      </w:pPr>
      <w:r>
        <w:drawing>
          <wp:inline distT="0" distB="0" distL="0" distR="0">
            <wp:extent cx="4200525" cy="2324100"/>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rcRect/>
                    <a:stretch>
                      <a:fillRect/>
                    </a:stretch>
                  </pic:blipFill>
                  <pic:spPr>
                    <a:xfrm>
                      <a:off x="0" y="0"/>
                      <a:ext cx="4200525" cy="2324100"/>
                    </a:xfrm>
                    <a:prstGeom prst="rect">
                      <a:avLst/>
                    </a:prstGeom>
                    <a:noFill/>
                    <a:ln w="9525">
                      <a:noFill/>
                      <a:miter lim="800000"/>
                      <a:headEnd/>
                      <a:tailEnd/>
                    </a:ln>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2019年一般公共预算支出决算数为1111.92</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7"/>
          <w:rFonts w:ascii="仿宋" w:hAnsi="仿宋" w:eastAsia="仿宋"/>
          <w:bCs/>
          <w:color w:val="000000"/>
          <w:sz w:val="32"/>
          <w:szCs w:val="32"/>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社会保障和就业</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总计71.11万元，其中，</w:t>
      </w:r>
    </w:p>
    <w:p>
      <w:pPr>
        <w:spacing w:line="600" w:lineRule="exact"/>
        <w:ind w:left="638" w:leftChars="304"/>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2080505  机关事业单位基本养老保险缴费支出：</w:t>
      </w:r>
      <w:r>
        <w:rPr>
          <w:rStyle w:val="17"/>
          <w:rFonts w:hint="eastAsia" w:ascii="仿宋" w:hAnsi="仿宋" w:eastAsia="仿宋"/>
          <w:b w:val="0"/>
          <w:bCs/>
          <w:color w:val="000000"/>
          <w:sz w:val="32"/>
          <w:szCs w:val="32"/>
        </w:rPr>
        <w:t>支出决算为47.76万元，完成预算100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left="638" w:leftChars="304"/>
        <w:rPr>
          <w:rStyle w:val="17"/>
          <w:rFonts w:ascii="仿宋" w:hAnsi="仿宋" w:eastAsia="仿宋"/>
          <w:bCs/>
          <w:color w:val="000000"/>
          <w:sz w:val="32"/>
          <w:szCs w:val="32"/>
        </w:rPr>
      </w:pPr>
      <w:r>
        <w:rPr>
          <w:rStyle w:val="17"/>
          <w:rFonts w:hint="eastAsia" w:ascii="仿宋" w:hAnsi="仿宋" w:eastAsia="仿宋"/>
          <w:bCs/>
          <w:color w:val="000000"/>
          <w:sz w:val="32"/>
          <w:szCs w:val="32"/>
        </w:rPr>
        <w:t>2080506  机关事业单位职业年金缴费支出</w:t>
      </w:r>
      <w:r>
        <w:rPr>
          <w:rStyle w:val="17"/>
          <w:rFonts w:hint="eastAsia" w:ascii="仿宋" w:hAnsi="仿宋" w:eastAsia="仿宋"/>
          <w:b w:val="0"/>
          <w:bCs/>
          <w:color w:val="000000"/>
          <w:sz w:val="32"/>
          <w:szCs w:val="32"/>
        </w:rPr>
        <w:t>：支出决算为  23.35万元，完成预算100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rPr>
        <w:t>2</w:t>
      </w:r>
      <w:r>
        <w:rPr>
          <w:rStyle w:val="17"/>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7"/>
          <w:rFonts w:hint="eastAsia" w:ascii="仿宋" w:hAnsi="仿宋" w:eastAsia="仿宋"/>
          <w:bCs/>
          <w:color w:val="000000"/>
          <w:sz w:val="32"/>
          <w:szCs w:val="32"/>
        </w:rPr>
        <w:t>支出</w:t>
      </w:r>
      <w:r>
        <w:rPr>
          <w:rStyle w:val="17"/>
          <w:rFonts w:ascii="仿宋" w:hAnsi="仿宋" w:eastAsia="仿宋"/>
          <w:bCs/>
          <w:color w:val="000000"/>
          <w:sz w:val="32"/>
          <w:szCs w:val="32"/>
        </w:rPr>
        <w:t>:</w:t>
      </w:r>
    </w:p>
    <w:p>
      <w:p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rPr>
        <w:t>210支出决算数1020.53万元，其中，</w:t>
      </w:r>
    </w:p>
    <w:p>
      <w:pPr>
        <w:spacing w:line="600" w:lineRule="exact"/>
        <w:ind w:left="638" w:leftChars="304"/>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2100301 城市社区卫生机构</w:t>
      </w:r>
      <w:r>
        <w:rPr>
          <w:rStyle w:val="17"/>
          <w:rFonts w:hint="eastAsia" w:ascii="仿宋" w:hAnsi="仿宋" w:eastAsia="仿宋"/>
          <w:bCs/>
          <w:color w:val="000000"/>
          <w:sz w:val="32"/>
          <w:szCs w:val="32"/>
          <w:lang w:val="en-US" w:eastAsia="zh-CN"/>
        </w:rPr>
        <w:t>:</w:t>
      </w:r>
      <w:r>
        <w:rPr>
          <w:rStyle w:val="17"/>
          <w:rFonts w:hint="eastAsia" w:ascii="仿宋" w:hAnsi="仿宋" w:eastAsia="仿宋"/>
          <w:b w:val="0"/>
          <w:bCs/>
          <w:color w:val="000000"/>
          <w:sz w:val="32"/>
          <w:szCs w:val="32"/>
        </w:rPr>
        <w:t>支出决算为203.70万元，完成预算100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left="638" w:leftChars="304"/>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2100302  乡镇卫生院</w:t>
      </w:r>
      <w:r>
        <w:rPr>
          <w:rStyle w:val="17"/>
          <w:rFonts w:hint="eastAsia" w:ascii="仿宋" w:hAnsi="仿宋" w:eastAsia="仿宋"/>
          <w:bCs/>
          <w:color w:val="000000"/>
          <w:sz w:val="32"/>
          <w:szCs w:val="32"/>
          <w:lang w:val="en-US" w:eastAsia="zh-CN"/>
        </w:rPr>
        <w:t>:</w:t>
      </w:r>
      <w:r>
        <w:rPr>
          <w:rStyle w:val="17"/>
          <w:rFonts w:hint="eastAsia" w:ascii="仿宋" w:hAnsi="仿宋" w:eastAsia="仿宋"/>
          <w:b w:val="0"/>
          <w:bCs/>
          <w:color w:val="000000"/>
          <w:sz w:val="32"/>
          <w:szCs w:val="32"/>
        </w:rPr>
        <w:t>支出决算为10.64万元，完成预算100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left="638" w:leftChars="304"/>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2100399  其他基层医疗卫生机构支出</w:t>
      </w:r>
      <w:r>
        <w:rPr>
          <w:rStyle w:val="17"/>
          <w:rFonts w:hint="eastAsia" w:ascii="仿宋" w:hAnsi="仿宋" w:eastAsia="仿宋"/>
          <w:bCs/>
          <w:color w:val="000000"/>
          <w:sz w:val="32"/>
          <w:szCs w:val="32"/>
          <w:lang w:val="en-US" w:eastAsia="zh-CN"/>
        </w:rPr>
        <w:t>:</w:t>
      </w:r>
      <w:r>
        <w:rPr>
          <w:rStyle w:val="17"/>
          <w:rFonts w:hint="eastAsia" w:ascii="仿宋" w:hAnsi="仿宋" w:eastAsia="仿宋"/>
          <w:b w:val="0"/>
          <w:bCs/>
          <w:color w:val="000000"/>
          <w:sz w:val="32"/>
          <w:szCs w:val="32"/>
        </w:rPr>
        <w:t>支出决算为77.17万元，完成预算100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left="638" w:leftChars="304"/>
        <w:rPr>
          <w:rStyle w:val="17"/>
          <w:rFonts w:ascii="仿宋" w:hAnsi="仿宋" w:eastAsia="仿宋"/>
          <w:b w:val="0"/>
          <w:bCs/>
          <w:color w:val="000000"/>
          <w:sz w:val="32"/>
          <w:szCs w:val="32"/>
        </w:rPr>
      </w:pPr>
      <w:r>
        <w:rPr>
          <w:rStyle w:val="17"/>
          <w:rFonts w:hint="eastAsia" w:ascii="仿宋" w:hAnsi="仿宋" w:eastAsia="仿宋"/>
          <w:bCs/>
          <w:color w:val="000000"/>
          <w:sz w:val="32"/>
          <w:szCs w:val="32"/>
        </w:rPr>
        <w:t>2100408  基本公共卫生服务</w:t>
      </w:r>
      <w:r>
        <w:rPr>
          <w:rStyle w:val="17"/>
          <w:rFonts w:hint="eastAsia" w:ascii="仿宋" w:hAnsi="仿宋" w:eastAsia="仿宋"/>
          <w:bCs/>
          <w:color w:val="000000"/>
          <w:sz w:val="32"/>
          <w:szCs w:val="32"/>
          <w:lang w:val="en-US" w:eastAsia="zh-CN"/>
        </w:rPr>
        <w:t>:</w:t>
      </w:r>
      <w:r>
        <w:rPr>
          <w:rStyle w:val="17"/>
          <w:rFonts w:hint="eastAsia" w:ascii="仿宋" w:hAnsi="仿宋" w:eastAsia="仿宋"/>
          <w:bCs/>
          <w:color w:val="000000"/>
          <w:sz w:val="32"/>
          <w:szCs w:val="32"/>
        </w:rPr>
        <w:t xml:space="preserve"> </w:t>
      </w:r>
      <w:r>
        <w:rPr>
          <w:rStyle w:val="17"/>
          <w:rFonts w:hint="eastAsia" w:ascii="仿宋" w:hAnsi="仿宋" w:eastAsia="仿宋"/>
          <w:b w:val="0"/>
          <w:bCs/>
          <w:color w:val="000000"/>
          <w:sz w:val="32"/>
          <w:szCs w:val="32"/>
        </w:rPr>
        <w:t>支出决算为 712.68万元，完成预算100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left="638" w:leftChars="304"/>
        <w:rPr>
          <w:rStyle w:val="17"/>
          <w:rFonts w:ascii="仿宋" w:hAnsi="仿宋" w:eastAsia="仿宋"/>
          <w:b w:val="0"/>
          <w:bCs/>
          <w:color w:val="000000"/>
          <w:sz w:val="32"/>
          <w:szCs w:val="32"/>
        </w:rPr>
      </w:pPr>
      <w:r>
        <w:rPr>
          <w:rStyle w:val="17"/>
          <w:rFonts w:hint="eastAsia" w:ascii="仿宋" w:hAnsi="仿宋" w:eastAsia="仿宋"/>
          <w:bCs/>
          <w:color w:val="000000"/>
          <w:sz w:val="32"/>
          <w:szCs w:val="32"/>
        </w:rPr>
        <w:t>2100601  中医（民族医）药专项</w:t>
      </w:r>
      <w:r>
        <w:rPr>
          <w:rStyle w:val="17"/>
          <w:rFonts w:hint="eastAsia" w:ascii="仿宋" w:hAnsi="仿宋" w:eastAsia="仿宋"/>
          <w:bCs/>
          <w:color w:val="000000"/>
          <w:sz w:val="32"/>
          <w:szCs w:val="32"/>
          <w:lang w:val="en-US" w:eastAsia="zh-CN"/>
        </w:rPr>
        <w:t>:</w:t>
      </w:r>
      <w:r>
        <w:rPr>
          <w:rStyle w:val="17"/>
          <w:rFonts w:hint="eastAsia" w:ascii="仿宋" w:hAnsi="仿宋" w:eastAsia="仿宋"/>
          <w:b w:val="0"/>
          <w:bCs/>
          <w:color w:val="000000"/>
          <w:sz w:val="32"/>
          <w:szCs w:val="32"/>
        </w:rPr>
        <w:t>支出决算为 1.00万元，完成预算100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left="638" w:leftChars="304"/>
        <w:rPr>
          <w:rStyle w:val="17"/>
          <w:rFonts w:ascii="仿宋" w:hAnsi="仿宋" w:eastAsia="仿宋"/>
          <w:b w:val="0"/>
          <w:bCs/>
          <w:color w:val="000000"/>
          <w:sz w:val="32"/>
          <w:szCs w:val="32"/>
        </w:rPr>
      </w:pPr>
      <w:r>
        <w:rPr>
          <w:rStyle w:val="17"/>
          <w:rFonts w:hint="eastAsia" w:ascii="仿宋" w:hAnsi="仿宋" w:eastAsia="仿宋"/>
          <w:bCs/>
          <w:color w:val="000000"/>
          <w:sz w:val="32"/>
          <w:szCs w:val="32"/>
        </w:rPr>
        <w:t>2101102  事业单位医疗</w:t>
      </w:r>
      <w:r>
        <w:rPr>
          <w:rStyle w:val="17"/>
          <w:rFonts w:hint="eastAsia" w:ascii="仿宋" w:hAnsi="仿宋" w:eastAsia="仿宋"/>
          <w:bCs/>
          <w:color w:val="000000"/>
          <w:sz w:val="32"/>
          <w:szCs w:val="32"/>
          <w:lang w:val="en-US" w:eastAsia="zh-CN"/>
        </w:rPr>
        <w:t>:</w:t>
      </w:r>
      <w:r>
        <w:rPr>
          <w:rStyle w:val="17"/>
          <w:rFonts w:hint="eastAsia" w:ascii="仿宋" w:hAnsi="仿宋" w:eastAsia="仿宋"/>
          <w:b w:val="0"/>
          <w:bCs/>
          <w:color w:val="000000"/>
          <w:sz w:val="32"/>
          <w:szCs w:val="32"/>
        </w:rPr>
        <w:t>支出决算为11.60万元，完成预算100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left="638" w:leftChars="304"/>
        <w:rPr>
          <w:rStyle w:val="17"/>
          <w:rFonts w:ascii="仿宋" w:hAnsi="仿宋" w:eastAsia="仿宋"/>
          <w:b w:val="0"/>
          <w:bCs/>
          <w:color w:val="000000"/>
          <w:sz w:val="32"/>
          <w:szCs w:val="32"/>
        </w:rPr>
      </w:pPr>
      <w:r>
        <w:rPr>
          <w:rStyle w:val="17"/>
          <w:rFonts w:hint="eastAsia" w:ascii="仿宋" w:hAnsi="仿宋" w:eastAsia="仿宋"/>
          <w:bCs/>
          <w:color w:val="000000"/>
          <w:sz w:val="32"/>
          <w:szCs w:val="32"/>
        </w:rPr>
        <w:t>2109901  其他卫生健康支出</w:t>
      </w:r>
      <w:r>
        <w:rPr>
          <w:rStyle w:val="17"/>
          <w:rFonts w:hint="eastAsia" w:ascii="仿宋" w:hAnsi="仿宋" w:eastAsia="仿宋"/>
          <w:bCs/>
          <w:color w:val="000000"/>
          <w:sz w:val="32"/>
          <w:szCs w:val="32"/>
          <w:lang w:val="en-US" w:eastAsia="zh-CN"/>
        </w:rPr>
        <w:t>:</w:t>
      </w:r>
      <w:r>
        <w:rPr>
          <w:rStyle w:val="17"/>
          <w:rFonts w:hint="eastAsia" w:ascii="仿宋" w:hAnsi="仿宋" w:eastAsia="仿宋"/>
          <w:b w:val="0"/>
          <w:bCs/>
          <w:color w:val="000000"/>
          <w:sz w:val="32"/>
          <w:szCs w:val="32"/>
        </w:rPr>
        <w:t>支出决算为  3.74万元，完成预算100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rPr>
        <w:t>3、住房保障支出：</w:t>
      </w:r>
    </w:p>
    <w:p>
      <w:p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rPr>
        <w:t>210支出决算数20.28万元，其中，</w:t>
      </w:r>
    </w:p>
    <w:p>
      <w:pPr>
        <w:spacing w:line="600" w:lineRule="exact"/>
        <w:ind w:left="638" w:leftChars="304"/>
        <w:rPr>
          <w:rFonts w:ascii="仿宋" w:hAnsi="仿宋" w:eastAsia="仿宋"/>
          <w:bCs/>
          <w:color w:val="000000"/>
          <w:sz w:val="32"/>
          <w:szCs w:val="32"/>
        </w:rPr>
      </w:pPr>
      <w:r>
        <w:rPr>
          <w:rStyle w:val="17"/>
          <w:rFonts w:hint="eastAsia" w:ascii="仿宋" w:hAnsi="仿宋" w:eastAsia="仿宋"/>
          <w:bCs/>
          <w:color w:val="000000"/>
          <w:sz w:val="32"/>
          <w:szCs w:val="32"/>
        </w:rPr>
        <w:t>2210201   住房公积金</w:t>
      </w:r>
      <w:r>
        <w:rPr>
          <w:rStyle w:val="17"/>
          <w:rFonts w:hint="eastAsia" w:ascii="仿宋" w:hAnsi="仿宋" w:eastAsia="仿宋"/>
          <w:bCs/>
          <w:color w:val="000000"/>
          <w:sz w:val="32"/>
          <w:szCs w:val="32"/>
          <w:lang w:val="en-US" w:eastAsia="zh-CN"/>
        </w:rPr>
        <w:t>:</w:t>
      </w:r>
      <w:r>
        <w:rPr>
          <w:rStyle w:val="17"/>
          <w:rFonts w:hint="eastAsia" w:ascii="仿宋" w:hAnsi="仿宋" w:eastAsia="仿宋"/>
          <w:b w:val="0"/>
          <w:bCs/>
          <w:color w:val="000000"/>
          <w:sz w:val="32"/>
          <w:szCs w:val="32"/>
        </w:rPr>
        <w:t>支出决算数20.28万元，占完成预算100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tabs>
          <w:tab w:val="right" w:pos="8306"/>
        </w:tabs>
        <w:spacing w:line="600" w:lineRule="exact"/>
        <w:ind w:firstLine="640"/>
        <w:outlineLvl w:val="1"/>
        <w:rPr>
          <w:rStyle w:val="28"/>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9年一般公共预算财政拨款基本支出317.33万元，其中：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273.97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43.36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9年“三公”经费财政拨款支出决算为4.81万元。</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9年“三公”经费财政拨款支出决算中，公务用车购置及运行维护费支出决算4.60万元，占95.63</w:t>
      </w:r>
      <w:r>
        <w:rPr>
          <w:rFonts w:ascii="仿宋" w:hAnsi="仿宋" w:eastAsia="仿宋"/>
          <w:color w:val="000000"/>
          <w:sz w:val="32"/>
          <w:szCs w:val="32"/>
        </w:rPr>
        <w:t>%</w:t>
      </w:r>
      <w:r>
        <w:rPr>
          <w:rFonts w:hint="eastAsia" w:ascii="仿宋" w:hAnsi="仿宋" w:eastAsia="仿宋"/>
          <w:color w:val="000000"/>
          <w:sz w:val="32"/>
          <w:szCs w:val="32"/>
        </w:rPr>
        <w:t>；公务接待费支出决算0.21万元，占4.37</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4.60万元,</w:t>
      </w:r>
      <w:r>
        <w:rPr>
          <w:rStyle w:val="17"/>
          <w:rFonts w:hint="eastAsia" w:ascii="仿宋" w:hAnsi="仿宋" w:eastAsia="仿宋"/>
          <w:b w:val="0"/>
          <w:bCs/>
          <w:color w:val="000000"/>
          <w:sz w:val="32"/>
          <w:szCs w:val="32"/>
        </w:rPr>
        <w:t>完成预算79.31</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8年减少1.2万元，下降20.69</w:t>
      </w:r>
      <w:r>
        <w:rPr>
          <w:rFonts w:ascii="仿宋_GB2312" w:eastAsia="仿宋_GB2312"/>
          <w:color w:val="000000"/>
          <w:sz w:val="32"/>
          <w:szCs w:val="32"/>
        </w:rPr>
        <w:t>%</w:t>
      </w:r>
      <w:r>
        <w:rPr>
          <w:rFonts w:hint="eastAsia" w:ascii="仿宋_GB2312" w:eastAsia="仿宋_GB2312"/>
          <w:color w:val="000000"/>
          <w:sz w:val="32"/>
          <w:szCs w:val="32"/>
        </w:rPr>
        <w:t>。主要原因是厉行节约、部分费用由基本公共卫生服务经费按要求分摊。</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4.60万元。主要用于单位公务活动，单位救护车及公务车体检、访视管理下乡等所需的公务用车燃料费、维修费、过路过桥费、保险费等支出。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0.21万元，</w:t>
      </w:r>
      <w:r>
        <w:rPr>
          <w:rStyle w:val="17"/>
          <w:rFonts w:hint="eastAsia" w:ascii="仿宋" w:hAnsi="仿宋" w:eastAsia="仿宋"/>
          <w:b w:val="0"/>
          <w:bCs/>
          <w:color w:val="000000"/>
          <w:sz w:val="32"/>
          <w:szCs w:val="32"/>
        </w:rPr>
        <w:t>完成预算35.50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8年增加0.17万元，增长432.50</w:t>
      </w:r>
      <w:r>
        <w:rPr>
          <w:rFonts w:ascii="仿宋_GB2312" w:eastAsia="仿宋_GB2312"/>
          <w:color w:val="000000"/>
          <w:sz w:val="32"/>
          <w:szCs w:val="32"/>
        </w:rPr>
        <w:t xml:space="preserve"> %</w:t>
      </w:r>
      <w:r>
        <w:rPr>
          <w:rFonts w:hint="eastAsia" w:ascii="仿宋_GB2312" w:eastAsia="仿宋_GB2312"/>
          <w:color w:val="000000"/>
          <w:sz w:val="32"/>
          <w:szCs w:val="32"/>
        </w:rPr>
        <w:t>。主要原因是单位无自办食堂，误将一般工作餐费列入。其中：</w:t>
      </w:r>
    </w:p>
    <w:p>
      <w:pPr>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0.21</w:t>
      </w:r>
      <w:r>
        <w:rPr>
          <w:rFonts w:hint="eastAsia" w:ascii="仿宋_GB2312" w:eastAsia="仿宋_GB2312"/>
          <w:color w:val="000000"/>
          <w:sz w:val="32"/>
          <w:szCs w:val="32"/>
        </w:rPr>
        <w:t>万元，主要用于一般工作餐费(执行公务、开展业务活动开支的交通费、住宿费、用餐费等)。国内公务接待2批次，42人次（不包括陪同人员），共计支出0.21万元，具体内容包括：</w:t>
      </w:r>
    </w:p>
    <w:p>
      <w:pPr>
        <w:ind w:firstLine="560" w:firstLineChars="200"/>
        <w:rPr>
          <w:sz w:val="28"/>
          <w:szCs w:val="28"/>
        </w:rPr>
      </w:pPr>
      <w:r>
        <w:rPr>
          <w:rFonts w:hint="eastAsia"/>
          <w:sz w:val="28"/>
          <w:szCs w:val="28"/>
        </w:rPr>
        <w:t>1、2019年11月14日，由峨眉山市卫生健康局发文《峨眉山市卫生健康局关于开展峨眉山市2019年基层人员能力提升培训的通知》（2019年10月30日），组织峨眉山市各镇乡卫生院及市社区卫生服务中心管理人员共22人，在我中心进行基层医疗机构院长等管理人员能力提升培训，提高常见病、多发病的诊疗能力。发生接待费1000.00元。</w:t>
      </w:r>
    </w:p>
    <w:p>
      <w:pPr>
        <w:spacing w:line="600" w:lineRule="exact"/>
        <w:ind w:firstLine="640"/>
        <w:rPr>
          <w:rFonts w:ascii="仿宋_GB2312" w:eastAsia="仿宋_GB2312"/>
          <w:color w:val="000000"/>
          <w:sz w:val="32"/>
          <w:szCs w:val="32"/>
        </w:rPr>
      </w:pPr>
      <w:r>
        <w:rPr>
          <w:rFonts w:hint="eastAsia"/>
          <w:sz w:val="28"/>
          <w:szCs w:val="28"/>
        </w:rPr>
        <w:t>2、2019年11月04日，峨眉山市卫生健康局电话通知，组织基本公共卫生服务项目检查专家组对我中心2019年度基本公共卫生服务工作进行考核，共34人次。发生接待费1130.00元</w:t>
      </w:r>
      <w:r>
        <w:rPr>
          <w:rFonts w:hint="eastAsia" w:ascii="仿宋_GB2312" w:eastAsia="仿宋_GB2312"/>
          <w:color w:val="000000"/>
          <w:sz w:val="32"/>
          <w:szCs w:val="32"/>
        </w:rPr>
        <w:t>。</w:t>
      </w:r>
    </w:p>
    <w:p>
      <w:pPr>
        <w:spacing w:line="600" w:lineRule="exact"/>
        <w:ind w:firstLine="640"/>
        <w:outlineLvl w:val="1"/>
        <w:rPr>
          <w:rStyle w:val="28"/>
          <w:rFonts w:ascii="黑体" w:hAnsi="黑体" w:eastAsia="黑体"/>
        </w:rPr>
      </w:pPr>
      <w:bookmarkStart w:id="46" w:name="_Toc15377218"/>
      <w:bookmarkStart w:id="47" w:name="_Toc15396610"/>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9年政府性基金预算拨款支出4.37万元。</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全部用于医疗废弃物暂存点建设。</w:t>
      </w:r>
    </w:p>
    <w:p>
      <w:pPr>
        <w:numPr>
          <w:ilvl w:val="0"/>
          <w:numId w:val="2"/>
        </w:numPr>
        <w:spacing w:line="600" w:lineRule="exact"/>
        <w:ind w:firstLine="640"/>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pPr>
        <w:spacing w:line="580" w:lineRule="exact"/>
        <w:ind w:firstLine="800" w:firstLineChars="250"/>
        <w:rPr>
          <w:rFonts w:ascii="方正小标宋简体" w:hAnsi="方正小标宋简体" w:eastAsia="方正小标宋简体" w:cs="方正小标宋简体"/>
          <w:sz w:val="44"/>
          <w:szCs w:val="44"/>
        </w:rPr>
      </w:pPr>
      <w:r>
        <w:rPr>
          <w:rFonts w:hint="eastAsia" w:ascii="仿宋_GB2312" w:eastAsia="仿宋_GB2312"/>
          <w:color w:val="000000"/>
          <w:sz w:val="32"/>
          <w:szCs w:val="32"/>
        </w:rPr>
        <w:t>无</w:t>
      </w:r>
    </w:p>
    <w:p>
      <w:pPr>
        <w:spacing w:line="600" w:lineRule="exact"/>
        <w:ind w:firstLine="800" w:firstLineChars="250"/>
        <w:outlineLvl w:val="1"/>
        <w:rPr>
          <w:rStyle w:val="28"/>
          <w:rFonts w:ascii="黑体" w:hAnsi="黑体" w:eastAsia="黑体"/>
          <w:b w:val="0"/>
        </w:rPr>
      </w:pPr>
      <w:bookmarkStart w:id="50" w:name="_Toc15377221"/>
      <w:bookmarkStart w:id="51"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pPr>
        <w:spacing w:line="600" w:lineRule="exact"/>
        <w:ind w:firstLine="800" w:firstLineChars="250"/>
        <w:outlineLvl w:val="1"/>
        <w:rPr>
          <w:rStyle w:val="28"/>
          <w:rFonts w:ascii="黑体" w:hAnsi="黑体" w:eastAsia="黑体"/>
        </w:rPr>
      </w:pPr>
      <w:r>
        <w:rPr>
          <w:rStyle w:val="28"/>
          <w:rFonts w:hint="eastAsia" w:ascii="黑体" w:hAnsi="黑体" w:eastAsia="黑体"/>
          <w:b w:val="0"/>
        </w:rPr>
        <w:t>无</w:t>
      </w:r>
    </w:p>
    <w:p>
      <w:pPr>
        <w:spacing w:line="600" w:lineRule="exact"/>
        <w:ind w:firstLine="643" w:firstLineChars="200"/>
        <w:outlineLvl w:val="2"/>
        <w:rPr>
          <w:rFonts w:ascii="仿宋" w:hAnsi="仿宋" w:eastAsia="仿宋"/>
          <w:b/>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我单位属事业单位，不属机关单位，无机关运行经费支出。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本单位政府采购支出总额0万元，其中：政府采购货物支出0万元、政府采购工程支出0万元、政府采购服务支出0万元。授予中小企业合同金额0万元，占政府采购支出总额的0%，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日，我单位共有车辆2辆，其中：     特种专业技术用车1辆，</w:t>
      </w:r>
      <w:r>
        <w:rPr>
          <w:rFonts w:hint="eastAsia" w:ascii="仿宋_GB2312" w:eastAsia="仿宋_GB2312"/>
          <w:color w:val="000000" w:themeColor="text1"/>
          <w:sz w:val="32"/>
          <w:szCs w:val="32"/>
        </w:rPr>
        <w:t>其他用车1辆。主要是</w:t>
      </w:r>
      <w:r>
        <w:rPr>
          <w:rFonts w:hint="eastAsia" w:ascii="仿宋_GB2312" w:eastAsia="仿宋_GB2312"/>
          <w:color w:val="000000"/>
          <w:sz w:val="32"/>
          <w:szCs w:val="32"/>
        </w:rPr>
        <w:t>单位救护车及公务车，用于老年人、学生体检、访视管理下乡</w:t>
      </w:r>
      <w:r>
        <w:rPr>
          <w:rFonts w:hint="eastAsia" w:ascii="仿宋_GB2312" w:eastAsia="仿宋_GB2312"/>
          <w:color w:val="000000" w:themeColor="text1"/>
          <w:sz w:val="32"/>
          <w:szCs w:val="32"/>
        </w:rPr>
        <w:t>等。</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无专项预算项，专项预算项目由主管部门统一预算编制。2019年，本单位收到调整预算安排1116.28万元，其中基本支出317.33万元，项目支出798.95万元。主要为基本工资、社保缴费，以及基层医疗卫生机构实施基本药物制度、村卫生室实施基本药物制度、基本公共卫生服务资金、医疗废物暂存点建设等项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公共卫生服务项目绩效目标完成情况综述。项目全年预算数712.68万元，执行数为712.68万元，完成预算数的100%。通过十四项项目实施，对城乡居民健康问题实施干预，减少健康危险因素，有效预防和控制慢病和传染病的发生，提高公共卫生服务和突发公共卫生事件的处置能力，使城乡居民逐步享有均等化公共卫生服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层医疗卫生机构实施基本药物制度项目绩效目标完成情况综述。项目全年预算77.17万元，执行数为77.17万元，完成预算数100%。我单位严格实施国家基本药物制度，实行国家基本药物零差价制度，保障基本药物合理使用，满足百姓用药需求，减轻群众用药负担。保障群众用药安全和身体健康，维护群众的基本医疗卫生权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废物暂存点建设绩效目标完成情况综述。项目全年预算4.37万元，执行数为4.37万元，完成预算数100%。医疗废物暂存点的建立，有效的优化处理处置医疗废物，作到消毒效果好、环境污染小，保障医院在医疗活动中直接或间接产生的医疗废物及时处理处置，减少医疗废物污染风险。</w:t>
      </w:r>
    </w:p>
    <w:p>
      <w:pPr>
        <w:spacing w:line="580" w:lineRule="exact"/>
        <w:ind w:left="420" w:leftChars="2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4、中医药及其他卫生健康项目绩效目标完成情况综述。项目全年调整预算4.74万元，执行数为4.74万元，完成预算数100%。通过实施以上项目提升了我单位中药服务能力，促进了村卫生室人才建设，提升了基层医疗机构保障能力。</w:t>
      </w:r>
    </w:p>
    <w:p>
      <w:pPr>
        <w:widowControl/>
        <w:jc w:val="left"/>
        <w:rPr>
          <w:rFonts w:ascii="仿宋_GB2312" w:eastAsia="仿宋_GB2312"/>
          <w:b/>
          <w:color w:val="000000"/>
          <w:sz w:val="32"/>
          <w:szCs w:val="32"/>
        </w:rPr>
      </w:pPr>
    </w:p>
    <w:p>
      <w:pPr>
        <w:numPr>
          <w:ilvl w:val="0"/>
          <w:numId w:val="3"/>
        </w:numPr>
        <w:spacing w:line="600" w:lineRule="exact"/>
        <w:ind w:firstLine="660" w:firstLineChars="150"/>
        <w:jc w:val="center"/>
        <w:outlineLvl w:val="0"/>
        <w:rPr>
          <w:rStyle w:val="27"/>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7"/>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事业收入：指事业单位开展专业业务活动及辅助活动取得的收入。如各类检查收入、药品收入、床位收入、护理收入、手术费等。</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hAnsi="仿宋_GB2312" w:eastAsia="仿宋_GB2312" w:cs="仿宋_GB2312"/>
          <w:sz w:val="32"/>
          <w:szCs w:val="32"/>
        </w:rPr>
        <w:t>主要是指利息收入、培训收入、食堂收入、捐赠收入</w:t>
      </w:r>
      <w:r>
        <w:rPr>
          <w:rFonts w:hint="eastAsia" w:ascii="仿宋_GB2312" w:eastAsia="仿宋_GB2312"/>
          <w:sz w:val="32"/>
          <w:szCs w:val="32"/>
        </w:rPr>
        <w:t>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Style w:val="17"/>
          <w:rFonts w:ascii="仿宋_GB2312" w:hAnsi="仿宋_GB2312" w:eastAsia="仿宋_GB2312" w:cs="仿宋_GB2312"/>
          <w:b w:val="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2080505</w:t>
      </w:r>
      <w:r>
        <w:rPr>
          <w:rFonts w:hint="eastAsia" w:ascii="仿宋_GB2312" w:eastAsia="仿宋_GB2312"/>
          <w:color w:val="000000"/>
          <w:sz w:val="32"/>
          <w:szCs w:val="32"/>
        </w:rPr>
        <w:tab/>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sz w:val="32"/>
          <w:szCs w:val="32"/>
        </w:rPr>
        <w:t>机关事业单位基本养老保险缴费支出：</w:t>
      </w:r>
      <w:r>
        <w:rPr>
          <w:rStyle w:val="17"/>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ascii="仿宋_GB2312" w:hAnsi="仿宋_GB2312" w:eastAsia="仿宋_GB2312" w:cs="仿宋_GB2312"/>
          <w:sz w:val="32"/>
          <w:szCs w:val="32"/>
        </w:rPr>
      </w:pPr>
      <w:r>
        <w:rPr>
          <w:rStyle w:val="17"/>
          <w:rFonts w:hint="eastAsia" w:ascii="仿宋_GB2312" w:hAnsi="仿宋_GB2312" w:eastAsia="仿宋_GB2312" w:cs="仿宋_GB2312"/>
          <w:b w:val="0"/>
          <w:sz w:val="32"/>
          <w:szCs w:val="32"/>
        </w:rPr>
        <w:t>10、2080506</w:t>
      </w:r>
      <w:r>
        <w:rPr>
          <w:rStyle w:val="17"/>
          <w:rFonts w:hint="eastAsia" w:ascii="仿宋_GB2312" w:hAnsi="仿宋_GB2312" w:eastAsia="仿宋_GB2312" w:cs="仿宋_GB2312"/>
          <w:b w:val="0"/>
          <w:sz w:val="32"/>
          <w:szCs w:val="32"/>
        </w:rPr>
        <w:tab/>
      </w:r>
      <w:r>
        <w:rPr>
          <w:rFonts w:hint="eastAsia" w:ascii="仿宋_GB2312" w:hAnsi="仿宋_GB2312" w:eastAsia="仿宋_GB2312" w:cs="仿宋_GB2312"/>
          <w:sz w:val="32"/>
          <w:szCs w:val="32"/>
        </w:rPr>
        <w:t>机关事业单位职业年金缴费支出：</w:t>
      </w:r>
      <w:r>
        <w:rPr>
          <w:rStyle w:val="17"/>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7"/>
          <w:rFonts w:hint="eastAsia" w:ascii="仿宋_GB2312" w:hAnsi="仿宋_GB2312" w:eastAsia="仿宋_GB2312" w:cs="仿宋_GB2312"/>
          <w:b w:val="0"/>
          <w:sz w:val="32"/>
          <w:szCs w:val="32"/>
        </w:rPr>
        <w:t>支出。</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sz w:val="32"/>
          <w:szCs w:val="32"/>
        </w:rPr>
        <w:t>11、2080801</w:t>
      </w:r>
      <w:r>
        <w:rPr>
          <w:rStyle w:val="17"/>
          <w:rFonts w:hint="eastAsia" w:ascii="仿宋_GB2312" w:hAnsi="仿宋_GB2312" w:eastAsia="仿宋_GB2312" w:cs="仿宋_GB2312"/>
          <w:b w:val="0"/>
          <w:sz w:val="32"/>
          <w:szCs w:val="32"/>
        </w:rPr>
        <w:tab/>
      </w:r>
      <w:r>
        <w:rPr>
          <w:rFonts w:hint="eastAsia" w:ascii="仿宋_GB2312" w:hAnsi="仿宋_GB2312" w:eastAsia="仿宋_GB2312" w:cs="仿宋_GB2312"/>
          <w:sz w:val="32"/>
          <w:szCs w:val="32"/>
        </w:rPr>
        <w:t>死亡抚恤：</w:t>
      </w:r>
      <w:r>
        <w:rPr>
          <w:rStyle w:val="17"/>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ascii="仿宋_GB2312" w:hAnsi="仿宋_GB2312" w:eastAsia="仿宋_GB2312" w:cs="仿宋_GB2312"/>
          <w:sz w:val="32"/>
          <w:szCs w:val="32"/>
        </w:rPr>
      </w:pPr>
      <w:r>
        <w:rPr>
          <w:rStyle w:val="17"/>
          <w:rFonts w:hint="eastAsia" w:ascii="仿宋_GB2312" w:hAnsi="仿宋_GB2312" w:eastAsia="仿宋_GB2312" w:cs="仿宋_GB2312"/>
          <w:b w:val="0"/>
          <w:sz w:val="32"/>
          <w:szCs w:val="32"/>
        </w:rPr>
        <w:t>12、2100302</w:t>
      </w:r>
      <w:r>
        <w:rPr>
          <w:rStyle w:val="17"/>
          <w:rFonts w:hint="eastAsia" w:ascii="仿宋_GB2312" w:hAnsi="仿宋_GB2312" w:eastAsia="仿宋_GB2312" w:cs="仿宋_GB2312"/>
          <w:b w:val="0"/>
          <w:sz w:val="32"/>
          <w:szCs w:val="32"/>
        </w:rPr>
        <w:tab/>
      </w:r>
      <w:r>
        <w:rPr>
          <w:rFonts w:hint="eastAsia" w:ascii="仿宋_GB2312" w:hAnsi="仿宋_GB2312" w:eastAsia="仿宋_GB2312" w:cs="仿宋_GB2312"/>
          <w:sz w:val="32"/>
          <w:szCs w:val="32"/>
        </w:rPr>
        <w:t>乡镇卫生院：反映用于乡镇卫生院的支出。</w:t>
      </w:r>
    </w:p>
    <w:p>
      <w:pPr>
        <w:ind w:firstLine="640" w:firstLineChars="200"/>
        <w:rPr>
          <w:rFonts w:ascii="仿宋_GB2312" w:hAnsi="仿宋_GB2312" w:eastAsia="仿宋_GB2312" w:cs="仿宋_GB2312"/>
          <w:sz w:val="32"/>
          <w:szCs w:val="32"/>
        </w:rPr>
      </w:pPr>
      <w:r>
        <w:rPr>
          <w:rStyle w:val="17"/>
          <w:rFonts w:hint="eastAsia" w:ascii="仿宋_GB2312" w:hAnsi="仿宋_GB2312" w:eastAsia="仿宋_GB2312" w:cs="仿宋_GB2312"/>
          <w:b w:val="0"/>
          <w:sz w:val="32"/>
          <w:szCs w:val="32"/>
        </w:rPr>
        <w:t>13、</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ascii="仿宋_GB2312" w:hAnsi="仿宋_GB2312" w:eastAsia="仿宋_GB2312" w:cs="仿宋_GB2312"/>
          <w:sz w:val="32"/>
          <w:szCs w:val="32"/>
        </w:rPr>
      </w:pPr>
      <w:r>
        <w:rPr>
          <w:rStyle w:val="17"/>
          <w:rFonts w:hint="eastAsia" w:ascii="仿宋_GB2312" w:hAnsi="仿宋_GB2312" w:eastAsia="仿宋_GB2312" w:cs="仿宋_GB2312"/>
          <w:b w:val="0"/>
          <w:sz w:val="32"/>
          <w:szCs w:val="32"/>
        </w:rPr>
        <w:t>14、2100408</w:t>
      </w:r>
      <w:r>
        <w:rPr>
          <w:rStyle w:val="17"/>
          <w:rFonts w:hint="eastAsia" w:ascii="仿宋_GB2312" w:hAnsi="仿宋_GB2312" w:eastAsia="仿宋_GB2312" w:cs="仿宋_GB2312"/>
          <w:b w:val="0"/>
          <w:sz w:val="32"/>
          <w:szCs w:val="32"/>
        </w:rPr>
        <w:tab/>
      </w:r>
      <w:r>
        <w:rPr>
          <w:rFonts w:hint="eastAsia" w:ascii="仿宋_GB2312" w:hAnsi="仿宋_GB2312" w:eastAsia="仿宋_GB2312" w:cs="仿宋_GB2312"/>
          <w:sz w:val="32"/>
          <w:szCs w:val="32"/>
        </w:rPr>
        <w:t>基本公共卫生服务：反映基本公共卫生服务支出。</w:t>
      </w:r>
    </w:p>
    <w:p>
      <w:pPr>
        <w:ind w:firstLine="640" w:firstLineChars="200"/>
        <w:rPr>
          <w:rFonts w:ascii="仿宋_GB2312" w:hAnsi="仿宋_GB2312" w:eastAsia="仿宋_GB2312" w:cs="仿宋_GB2312"/>
          <w:sz w:val="32"/>
          <w:szCs w:val="32"/>
        </w:rPr>
      </w:pPr>
      <w:r>
        <w:rPr>
          <w:rStyle w:val="17"/>
          <w:rFonts w:hint="eastAsia" w:ascii="仿宋_GB2312" w:hAnsi="仿宋_GB2312" w:eastAsia="仿宋_GB2312" w:cs="仿宋_GB2312"/>
          <w:b w:val="0"/>
          <w:sz w:val="32"/>
          <w:szCs w:val="32"/>
        </w:rPr>
        <w:t>15、2100409</w:t>
      </w:r>
      <w:r>
        <w:rPr>
          <w:rStyle w:val="17"/>
          <w:rFonts w:hint="eastAsia" w:ascii="仿宋_GB2312" w:hAnsi="仿宋_GB2312" w:eastAsia="仿宋_GB2312" w:cs="仿宋_GB2312"/>
          <w:b w:val="0"/>
          <w:sz w:val="32"/>
          <w:szCs w:val="32"/>
        </w:rPr>
        <w:tab/>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ascii="仿宋_GB2312" w:hAnsi="仿宋_GB2312" w:eastAsia="仿宋_GB2312" w:cs="仿宋_GB2312"/>
          <w:sz w:val="32"/>
          <w:szCs w:val="32"/>
        </w:rPr>
      </w:pPr>
      <w:r>
        <w:rPr>
          <w:rStyle w:val="17"/>
          <w:rFonts w:hint="eastAsia" w:ascii="仿宋_GB2312" w:hAnsi="仿宋_GB2312" w:eastAsia="仿宋_GB2312" w:cs="仿宋_GB2312"/>
          <w:b w:val="0"/>
          <w:sz w:val="32"/>
          <w:szCs w:val="32"/>
        </w:rPr>
        <w:t>16、2100601</w:t>
      </w:r>
      <w:r>
        <w:rPr>
          <w:rStyle w:val="17"/>
          <w:rFonts w:hint="eastAsia" w:ascii="仿宋_GB2312" w:hAnsi="仿宋_GB2312" w:eastAsia="仿宋_GB2312" w:cs="仿宋_GB2312"/>
          <w:b w:val="0"/>
          <w:sz w:val="32"/>
          <w:szCs w:val="32"/>
        </w:rPr>
        <w:tab/>
      </w:r>
      <w:r>
        <w:rPr>
          <w:rFonts w:hint="eastAsia" w:ascii="仿宋_GB2312" w:hAnsi="仿宋_GB2312" w:eastAsia="仿宋_GB2312" w:cs="仿宋_GB2312"/>
          <w:sz w:val="32"/>
          <w:szCs w:val="32"/>
        </w:rPr>
        <w:t>中医（民族医）药专项：反映中医（民族医）药方面的专项支出。</w:t>
      </w:r>
    </w:p>
    <w:p>
      <w:pPr>
        <w:ind w:firstLine="640" w:firstLineChars="200"/>
        <w:rPr>
          <w:rStyle w:val="17"/>
          <w:rFonts w:ascii="仿宋_GB2312" w:hAnsi="仿宋_GB2312" w:eastAsia="仿宋_GB2312" w:cs="仿宋_GB2312"/>
          <w:b w:val="0"/>
          <w:sz w:val="32"/>
          <w:szCs w:val="32"/>
        </w:rPr>
      </w:pPr>
      <w:r>
        <w:rPr>
          <w:rFonts w:hint="eastAsia" w:ascii="仿宋_GB2312" w:hAnsi="仿宋_GB2312" w:eastAsia="仿宋_GB2312" w:cs="仿宋_GB2312"/>
          <w:sz w:val="32"/>
          <w:szCs w:val="32"/>
        </w:rPr>
        <w:t>17、2101102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事业单位医疗：</w:t>
      </w:r>
      <w:r>
        <w:rPr>
          <w:rStyle w:val="17"/>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Ansi="仿宋"/>
        </w:rPr>
      </w:pPr>
      <w:r>
        <w:rPr>
          <w:rFonts w:hint="eastAsia" w:ascii="仿宋_GB2312" w:hAnsi="仿宋_GB2312" w:eastAsia="仿宋_GB2312" w:cs="仿宋_GB2312"/>
          <w:sz w:val="32"/>
          <w:szCs w:val="32"/>
        </w:rPr>
        <w:t>18、2210201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bookmarkStart w:id="77" w:name="_GoBack"/>
      <w:bookmarkEnd w:id="77"/>
      <w:r>
        <w:rPr>
          <w:rFonts w:hint="eastAsia" w:ascii="仿宋_GB2312" w:hAnsi="仿宋_GB2312" w:eastAsia="仿宋_GB2312" w:cs="仿宋_GB2312"/>
          <w:sz w:val="32"/>
          <w:szCs w:val="32"/>
        </w:rPr>
        <w:t>其他支出：反映除上述项目以外其他不能划分到具体功能科目中的支出项目。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20、结余分配：指事业单位按规定提取的职工福利基金、事业基金和缴纳的所得税，以及建设单位按规定应交回的基本建设竣工项目结余资金。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21、年末结转和结余：指本年度或以前年度预算安排、因客观条件发生变化无法按原计划实施，需延迟到以后年度按有关规定继续使用的资金。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22、基本支出：指为保障机构正常运转、完成日常工作任务而发生的人员支出和公用支出。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23、项目支出：指在基本支出之外为完成特定行政任务和事业发展目标所发生的支出。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jc w:val="center"/>
        <w:outlineLvl w:val="0"/>
        <w:rPr>
          <w:rStyle w:val="27"/>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峨眉山市社区卫生服务中心</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59" w:name="_Toc3350_WPSOffice_Level2"/>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59"/>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（一）机构组成：峨眉山市社区卫生服务中心为峨眉山市卫生健康局下属基层医疗单位，为独立核算机构。</w:t>
      </w:r>
    </w:p>
    <w:p>
      <w:pPr>
        <w:snapToGrid w:val="0"/>
        <w:spacing w:line="588" w:lineRule="exact"/>
        <w:ind w:firstLine="640" w:firstLineChars="200"/>
        <w:rPr>
          <w:rFonts w:ascii="仿宋" w:hAnsi="仿宋" w:eastAsia="仿宋"/>
          <w:sz w:val="32"/>
          <w:szCs w:val="32"/>
        </w:rPr>
      </w:pPr>
      <w:r>
        <w:rPr>
          <w:rFonts w:hint="eastAsia" w:ascii="仿宋_GB2312" w:hAnsi="宋体" w:eastAsia="仿宋_GB2312" w:cs="宋体"/>
          <w:color w:val="000000"/>
          <w:kern w:val="0"/>
          <w:sz w:val="32"/>
          <w:szCs w:val="32"/>
          <w:shd w:val="clear" w:color="auto" w:fill="FFFFFF"/>
          <w:lang w:val="zh-CN"/>
        </w:rPr>
        <w:t>（二）机构职能：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（三）人员概况：峨眉山市社区卫生服务中心</w:t>
      </w:r>
      <w:r>
        <w:rPr>
          <w:rFonts w:hint="eastAsia" w:ascii="仿宋_GB2312" w:hAnsi="宋体" w:eastAsia="仿宋_GB2312" w:cs="宋体"/>
          <w:color w:val="000000"/>
          <w:kern w:val="0"/>
          <w:sz w:val="32"/>
          <w:szCs w:val="32"/>
          <w:shd w:val="clear" w:color="auto" w:fill="FFFFFF"/>
        </w:rPr>
        <w:t>2019年年末实有在编人数46人，</w:t>
      </w:r>
      <w:r>
        <w:rPr>
          <w:rFonts w:hint="eastAsia" w:ascii="仿宋" w:hAnsi="仿宋" w:eastAsia="仿宋"/>
          <w:bCs/>
          <w:color w:val="000000"/>
          <w:kern w:val="0"/>
          <w:sz w:val="32"/>
          <w:szCs w:val="32"/>
        </w:rPr>
        <w:t>其</w:t>
      </w:r>
      <w:r>
        <w:rPr>
          <w:rFonts w:hint="eastAsia" w:ascii="仿宋_GB2312" w:hAnsi="宋体" w:eastAsia="仿宋_GB2312" w:cs="宋体"/>
          <w:color w:val="000000"/>
          <w:kern w:val="0"/>
          <w:sz w:val="32"/>
          <w:szCs w:val="32"/>
          <w:shd w:val="clear" w:color="auto" w:fill="FFFFFF"/>
          <w:lang w:val="zh-CN"/>
        </w:rPr>
        <w:t>中，绥山镇卫生院6人。编制外人员14人。单位内设中心办公室、财务科、预防保健科、公共卫生科、门诊及住院病房、放射科、彩超诊断室、检验科、药库房、红华苑社区卫生服务站等科室。</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60" w:name="_Toc13932_WPSOffice_Level2"/>
      <w:r>
        <w:rPr>
          <w:rFonts w:hint="eastAsia" w:ascii="黑体" w:hAnsi="宋体" w:eastAsia="黑体" w:cs="宋体"/>
          <w:color w:val="000000"/>
          <w:kern w:val="0"/>
          <w:sz w:val="32"/>
          <w:szCs w:val="32"/>
          <w:shd w:val="clear" w:color="auto" w:fill="FFFFFF"/>
        </w:rPr>
        <w:t>二、部门财政资金收支情况</w:t>
      </w:r>
      <w:bookmarkEnd w:id="60"/>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（一）部门财政资金收入情况：本单位</w:t>
      </w:r>
      <w:r>
        <w:rPr>
          <w:rFonts w:hint="eastAsia" w:ascii="仿宋_GB2312" w:hAnsi="宋体" w:eastAsia="仿宋_GB2312" w:cs="宋体"/>
          <w:color w:val="000000"/>
          <w:kern w:val="0"/>
          <w:sz w:val="32"/>
          <w:szCs w:val="32"/>
          <w:shd w:val="clear" w:color="auto" w:fill="FFFFFF"/>
        </w:rPr>
        <w:t>2019年财政资金收入约980.01万元，其中一般公共预算财政拨款约975.65万元，政府性基金预算财政拨款约4.37万元。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（二）部门财政资金支出情况：本单位</w:t>
      </w:r>
      <w:r>
        <w:rPr>
          <w:rFonts w:hint="eastAsia" w:ascii="仿宋_GB2312" w:hAnsi="宋体" w:eastAsia="仿宋_GB2312" w:cs="宋体"/>
          <w:color w:val="000000"/>
          <w:kern w:val="0"/>
          <w:sz w:val="32"/>
          <w:szCs w:val="32"/>
          <w:shd w:val="clear" w:color="auto" w:fill="FFFFFF"/>
        </w:rPr>
        <w:t>2019年财政资金支出约1116.28万元。其中一般公共预算财政拨款支出约1111.92万元，政府性基金预算财政拨款支出约4.37万元。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61" w:name="_Toc30825_WPSOffice_Level2"/>
      <w:r>
        <w:rPr>
          <w:rFonts w:hint="eastAsia" w:ascii="黑体" w:hAnsi="宋体" w:eastAsia="黑体" w:cs="宋体"/>
          <w:color w:val="000000"/>
          <w:kern w:val="0"/>
          <w:sz w:val="32"/>
          <w:szCs w:val="32"/>
          <w:shd w:val="clear" w:color="auto" w:fill="FFFFFF"/>
        </w:rPr>
        <w:t>三、部门整体预算绩效管理情况</w:t>
      </w:r>
      <w:bookmarkEnd w:id="61"/>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rPr>
        <w:t>9</w:t>
      </w:r>
      <w:r>
        <w:rPr>
          <w:rFonts w:hint="eastAsia" w:ascii="仿宋_GB2312" w:hAnsi="仿宋_GB2312" w:eastAsia="仿宋_GB2312" w:cs="仿宋_GB2312"/>
          <w:color w:val="000000"/>
          <w:kern w:val="0"/>
          <w:sz w:val="32"/>
          <w:szCs w:val="32"/>
          <w:shd w:val="clear" w:color="auto" w:fill="FFFFFF"/>
          <w:lang w:val="zh-CN"/>
        </w:rPr>
        <w:t>年我单位按事业编制全额额预算单位进行基本支出预算，根据人社部门核定的人员工资进行预算编制；除租房公积金外，基本支出按人社部门核定的人员工资及地方津补贴按照全额进行预算编制；绥山镇卫生院人员按照差额单位预算管理。</w:t>
      </w:r>
    </w:p>
    <w:p>
      <w:pPr>
        <w:widowControl/>
        <w:adjustRightInd w:val="0"/>
        <w:snapToGrid w:val="0"/>
        <w:spacing w:line="58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rPr>
        <w:t>9</w:t>
      </w:r>
      <w:r>
        <w:rPr>
          <w:rFonts w:hint="eastAsia" w:ascii="仿宋_GB2312" w:hAnsi="仿宋_GB2312" w:eastAsia="仿宋_GB2312" w:cs="仿宋_GB2312"/>
          <w:color w:val="000000"/>
          <w:kern w:val="0"/>
          <w:sz w:val="32"/>
          <w:szCs w:val="32"/>
          <w:shd w:val="clear" w:color="auto" w:fill="FFFFFF"/>
          <w:lang w:val="zh-CN"/>
        </w:rPr>
        <w:t>年事业收入预算根据单位的工作开展要求编制单位事业收入预算。</w:t>
      </w:r>
    </w:p>
    <w:p>
      <w:pPr>
        <w:widowControl/>
        <w:adjustRightInd w:val="0"/>
        <w:snapToGrid w:val="0"/>
        <w:spacing w:line="580" w:lineRule="exact"/>
        <w:ind w:firstLine="72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2019年我单位预算经人大批准，收到财政资金980.01万元，其中基本资金317.33万元，项目资金662.68万元。</w:t>
      </w:r>
    </w:p>
    <w:p>
      <w:pPr>
        <w:widowControl/>
        <w:adjustRightInd w:val="0"/>
        <w:snapToGrid w:val="0"/>
        <w:spacing w:line="58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（二）预算编制原则</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为了使单位预算编制科学化、规范化、法制化，我单位特制定预算管理办法。</w:t>
      </w:r>
    </w:p>
    <w:p>
      <w:pPr>
        <w:pStyle w:val="14"/>
        <w:widowControl/>
        <w:spacing w:beforeAutospacing="0" w:after="120" w:afterAutospacing="0" w:line="288" w:lineRule="atLeast"/>
        <w:ind w:firstLine="420"/>
        <w:rPr>
          <w:rFonts w:ascii="仿宋_GB2312" w:hAnsi="宋体" w:eastAsia="仿宋_GB2312" w:cs="宋体"/>
          <w:color w:val="000000"/>
          <w:sz w:val="32"/>
          <w:szCs w:val="32"/>
          <w:shd w:val="clear" w:color="auto" w:fill="FFFFFF"/>
          <w:lang w:val="zh-CN"/>
        </w:rPr>
      </w:pPr>
      <w:r>
        <w:rPr>
          <w:rFonts w:hint="eastAsia" w:ascii="仿宋" w:hAnsi="仿宋" w:eastAsia="仿宋" w:cs="仿宋"/>
          <w:color w:val="333333"/>
          <w:sz w:val="32"/>
          <w:szCs w:val="32"/>
        </w:rPr>
        <w:t>（</w:t>
      </w:r>
      <w:r>
        <w:rPr>
          <w:rFonts w:hint="eastAsia" w:ascii="仿宋_GB2312" w:hAnsi="宋体" w:eastAsia="仿宋_GB2312" w:cs="宋体"/>
          <w:color w:val="000000"/>
          <w:sz w:val="32"/>
          <w:szCs w:val="32"/>
          <w:shd w:val="clear" w:color="auto" w:fill="FFFFFF"/>
          <w:lang w:val="zh-CN"/>
        </w:rPr>
        <w:t>1）必须以党和国家的方针政策以及各项法律法规为依据。</w:t>
      </w:r>
    </w:p>
    <w:p>
      <w:pPr>
        <w:pStyle w:val="14"/>
        <w:widowControl/>
        <w:spacing w:beforeAutospacing="0" w:after="120" w:afterAutospacing="0" w:line="288" w:lineRule="atLeast"/>
        <w:ind w:firstLine="420"/>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（2）必须以收支平衡、略有结余为准则。</w:t>
      </w:r>
    </w:p>
    <w:p>
      <w:pPr>
        <w:pStyle w:val="14"/>
        <w:widowControl/>
        <w:spacing w:beforeAutospacing="0" w:after="120" w:afterAutospacing="0" w:line="288" w:lineRule="atLeast"/>
        <w:ind w:firstLine="420"/>
        <w:rPr>
          <w:rFonts w:ascii="仿宋_GB2312" w:hAnsi="仿宋_GB2312" w:eastAsia="仿宋_GB2312" w:cs="仿宋_GB2312"/>
          <w:color w:val="000000"/>
          <w:sz w:val="32"/>
          <w:szCs w:val="32"/>
          <w:shd w:val="clear" w:color="auto" w:fill="FFFFFF"/>
          <w:lang w:val="zh-CN"/>
        </w:rPr>
      </w:pPr>
      <w:r>
        <w:rPr>
          <w:rFonts w:hint="eastAsia" w:ascii="仿宋" w:hAnsi="仿宋" w:eastAsia="仿宋" w:cs="仿宋"/>
          <w:color w:val="333333"/>
          <w:sz w:val="32"/>
          <w:szCs w:val="32"/>
        </w:rPr>
        <w:t>　（</w:t>
      </w:r>
      <w:r>
        <w:rPr>
          <w:rFonts w:hint="eastAsia" w:ascii="仿宋_GB2312" w:hAnsi="仿宋_GB2312" w:eastAsia="仿宋_GB2312" w:cs="仿宋_GB2312"/>
          <w:color w:val="000000"/>
          <w:sz w:val="32"/>
          <w:szCs w:val="32"/>
          <w:shd w:val="clear" w:color="auto" w:fill="FFFFFF"/>
          <w:lang w:val="zh-CN"/>
        </w:rPr>
        <w:t>3）必须遵循完整性原则。单位的预算必须包括单位的全部财务收支，不得遗漏。</w:t>
      </w:r>
    </w:p>
    <w:p>
      <w:pPr>
        <w:pStyle w:val="14"/>
        <w:widowControl/>
        <w:spacing w:beforeAutospacing="0" w:after="120" w:afterAutospacing="0" w:line="288" w:lineRule="atLeast"/>
        <w:ind w:firstLine="420"/>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　（4）必须遵循真实性原则。单位的预算收支项目的数字必须依据充分确定的资料，按批准部门认可的计算依据和计算方法计算得来，不允许估算。</w:t>
      </w:r>
    </w:p>
    <w:p>
      <w:pPr>
        <w:pStyle w:val="14"/>
        <w:widowControl/>
        <w:spacing w:beforeAutospacing="0" w:after="120" w:afterAutospacing="0" w:line="288" w:lineRule="atLeast"/>
        <w:ind w:firstLine="420"/>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　（5）统一性原则。预算编制必须按照统一的预算科目和规定的收支标准、程序进行计算编制。</w:t>
      </w:r>
    </w:p>
    <w:p>
      <w:pPr>
        <w:pStyle w:val="14"/>
        <w:widowControl/>
        <w:spacing w:beforeAutospacing="0" w:after="120" w:afterAutospacing="0" w:line="288" w:lineRule="atLeast"/>
        <w:ind w:firstLine="420"/>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　（6）年度性原则。要求各事业单位的预算必须按财政年度进行编制。</w:t>
      </w:r>
    </w:p>
    <w:p>
      <w:pPr>
        <w:pStyle w:val="14"/>
        <w:widowControl/>
        <w:spacing w:beforeAutospacing="0" w:after="120" w:afterAutospacing="0" w:line="288" w:lineRule="atLeast"/>
        <w:ind w:firstLine="420"/>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　（三）部门预算的执行</w:t>
      </w:r>
    </w:p>
    <w:p>
      <w:pPr>
        <w:pStyle w:val="14"/>
        <w:widowControl/>
        <w:spacing w:beforeAutospacing="0" w:after="120" w:afterAutospacing="0" w:line="288" w:lineRule="atLeast"/>
        <w:ind w:firstLine="420"/>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制定实施预算的各项管理制度和管理办法。为了保证预算的完全执行，预算编审班子制定了一系列的管理制度和管理办法。及时、真实、准确反映预算执行情况。各部门要按照财政部门的要求，认真编制预算执行情况表及相关报表，认真编写预算执行情况说明。</w:t>
      </w:r>
    </w:p>
    <w:p>
      <w:pPr>
        <w:widowControl/>
        <w:adjustRightInd w:val="0"/>
        <w:snapToGrid w:val="0"/>
        <w:spacing w:line="580" w:lineRule="exact"/>
        <w:ind w:left="420" w:leftChars="200" w:firstLine="320" w:firstLineChars="1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我单位当年预算报经财政部门审核通过后，经财政部门数据反馈最终进行本单位预算批复通报，实施当年预算结果。</w:t>
      </w: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62" w:name="_Toc19432_WPSOffice_Level2"/>
      <w:r>
        <w:rPr>
          <w:rFonts w:hint="eastAsia" w:ascii="黑体" w:hAnsi="宋体" w:eastAsia="黑体" w:cs="宋体"/>
          <w:color w:val="000000"/>
          <w:kern w:val="0"/>
          <w:sz w:val="32"/>
          <w:szCs w:val="32"/>
          <w:shd w:val="clear" w:color="auto" w:fill="FFFFFF"/>
        </w:rPr>
        <w:t>四、评价结论及建议</w:t>
      </w:r>
      <w:bookmarkEnd w:id="62"/>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（一）评价结论：我单位严格按照预算管理要求实施当年工作目标任务。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（二）存在问题：个别经费拨付不及时，且个别项目先做事后拨款，考核不及时而造成当年结转资金大。</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（三）改进建议：建议各部门按项目预算要求和原则，按时对项目进行考核，及时拨付项目资金。</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基本公共卫生服务项目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2019年财政按我单位辖区管理人口余额9.2万人，足额收到各级部门下拨的基本公共卫生服务项目经费。经费的及时落实保障了我单位及辖区内村卫生室（服务站）对基本公共卫生服务项目工作的开展，确保了项目工作的日常正常运转，同时调动了社区医务人员、乡村医生开展基本公共卫生服务的积极性，确保了全县基本公共卫生服务项目工作的顺利实施和顺利推进。年度内基本公共卫生服务工作取得了较好成绩，完成了年初预期目标和工作任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2019年完成国家基本公共卫生服务项目任务内全部工作目标，较好实施国家基本公共服务项目，保障辖区人民身体健康，为健康峨眉服务。</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一般按月向本级财政申报。</w:t>
      </w:r>
    </w:p>
    <w:p>
      <w:pPr>
        <w:adjustRightInd w:val="0"/>
        <w:snapToGrid w:val="0"/>
        <w:spacing w:line="600" w:lineRule="exact"/>
        <w:ind w:firstLine="803" w:firstLineChars="250"/>
        <w:rPr>
          <w:rFonts w:ascii="楷体_GB2312" w:hAnsi="宋体" w:eastAsia="楷体_GB2312"/>
          <w:b/>
          <w:sz w:val="32"/>
          <w:szCs w:val="32"/>
        </w:rPr>
      </w:pPr>
      <w:r>
        <w:rPr>
          <w:rFonts w:hint="eastAsia" w:ascii="楷体_GB2312" w:hAnsi="宋体" w:eastAsia="楷体_GB2312"/>
          <w:b/>
          <w:sz w:val="32"/>
          <w:szCs w:val="32"/>
        </w:rPr>
        <w:t>（二）资金计划、到位及使用情况</w:t>
      </w:r>
    </w:p>
    <w:p>
      <w:pPr>
        <w:adjustRightInd w:val="0"/>
        <w:snapToGrid w:val="0"/>
        <w:spacing w:line="600" w:lineRule="exact"/>
        <w:ind w:firstLine="480" w:firstLineChars="150"/>
        <w:rPr>
          <w:rFonts w:ascii="仿宋_GB2312" w:hAnsi="宋体" w:eastAsia="仿宋_GB2312"/>
          <w:sz w:val="32"/>
          <w:szCs w:val="32"/>
        </w:rPr>
      </w:pPr>
      <w:r>
        <w:rPr>
          <w:rFonts w:hint="eastAsia" w:ascii="仿宋_GB2312" w:hAnsi="宋体" w:eastAsia="仿宋_GB2312"/>
          <w:sz w:val="32"/>
          <w:szCs w:val="32"/>
        </w:rPr>
        <w:t>1.资金计划。2019年，我辖区人口约9.2万人，经峨眉山市卫健局考核后，财政按577.98万元拨付，人均约63元/人。</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2.资金到位。2019年度基本公共卫生服务项目专项资金市财政预拨中央和省级专项资金，及市级配套资金577.98万元，按时足额到位。</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资金使用。主管部门制定了基本公共卫生服务绩效考核方案，落实专人负责具体工作，制定了详细的工作实施细则，加强工作考核，年度内主管局组织专人分上下半年各一次进行了专项绩效考核，我单位对村卫生室第季度实行一次考核，发现工作有偏离及时纠正，及时总结工作经费。同时实行绩效考核结果与各单位补助经费拨付挂钩。</w:t>
      </w:r>
    </w:p>
    <w:p>
      <w:pPr>
        <w:adjustRightInd w:val="0"/>
        <w:snapToGrid w:val="0"/>
        <w:spacing w:line="60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（三）项目财务管理情况</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加强项目资金专款专用管理，设立专账核算，各单位财务机构和局核算中心加强项目资金日常使用监督。2019年，基本公共卫生服务项目经费严格按照项目资金管理办法，资金全部按使用范围和使用要求用于项目工作中。项目资金实行财政预算安排，项目实施单位按进度用款。资金的规范管理，使资金得到有效的使用。</w:t>
      </w:r>
    </w:p>
    <w:p>
      <w:pPr>
        <w:pStyle w:val="26"/>
        <w:numPr>
          <w:ilvl w:val="0"/>
          <w:numId w:val="4"/>
        </w:numPr>
        <w:adjustRightInd w:val="0"/>
        <w:snapToGrid w:val="0"/>
        <w:spacing w:line="600" w:lineRule="exact"/>
        <w:ind w:firstLineChars="0"/>
        <w:rPr>
          <w:rFonts w:ascii="黑体" w:hAnsi="宋体" w:eastAsia="黑体"/>
          <w:sz w:val="32"/>
          <w:szCs w:val="32"/>
        </w:rPr>
      </w:pPr>
      <w:r>
        <w:rPr>
          <w:rFonts w:hint="eastAsia" w:ascii="黑体" w:hAnsi="宋体" w:eastAsia="黑体"/>
          <w:sz w:val="32"/>
          <w:szCs w:val="32"/>
        </w:rPr>
        <w:t>项目实施及管理情况</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2019年，我单位基本公共卫生服务项目工作，按照国家卫生计生委、财政部、国家中医药管理局《关于做好2019年国家基本公共卫生服务项目的通知》、四川省卫生健康委员会、四川省财政厅、四川省中医药管理局《关于做好四川省2019年基本公共卫生服务项目工作的通知》（川卫发</w:t>
      </w:r>
      <w:r>
        <w:rPr>
          <w:rFonts w:hint="eastAsia" w:ascii="仿宋_GB2312" w:hAnsi="仿宋_GB2312" w:eastAsia="仿宋_GB2312" w:cs="仿宋_GB2312"/>
          <w:sz w:val="32"/>
          <w:szCs w:val="32"/>
        </w:rPr>
        <w:t>〔2019〕40号）和峨眉山市卫生健康局《关于印发峨眉山市2019年度基本公共卫生服务项目实施方案的通知》（峨卫发〔2019〕24号）文件</w:t>
      </w:r>
      <w:r>
        <w:rPr>
          <w:rFonts w:hint="eastAsia" w:ascii="仿宋_GB2312" w:hAnsi="宋体" w:eastAsia="仿宋_GB2312"/>
          <w:sz w:val="32"/>
          <w:szCs w:val="32"/>
        </w:rPr>
        <w:t>，加强组织领导，密切部门配合，创新工作方式，严格督导考核，规范资金管理，我单位在商机2各部门领导下该项工作取得了较好成绩。</w:t>
      </w:r>
    </w:p>
    <w:p>
      <w:pPr>
        <w:adjustRightInd w:val="0"/>
        <w:snapToGrid w:val="0"/>
        <w:spacing w:line="600" w:lineRule="exact"/>
        <w:ind w:firstLine="960" w:firstLineChars="3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大力开展基本公共卫生服务工作，</w:t>
      </w:r>
      <w:r>
        <w:rPr>
          <w:rFonts w:hint="eastAsia" w:ascii="仿宋_GB2312" w:hAnsi="宋体" w:eastAsia="仿宋_GB2312"/>
          <w:sz w:val="32"/>
          <w:szCs w:val="32"/>
          <w:lang w:val="zh-CN"/>
        </w:rPr>
        <w:t>我单位</w:t>
      </w:r>
      <w:r>
        <w:rPr>
          <w:rFonts w:hint="eastAsia" w:ascii="仿宋_GB2312" w:eastAsia="仿宋_GB2312" w:hAnsiTheme="minorEastAsia"/>
          <w:sz w:val="32"/>
          <w:szCs w:val="32"/>
        </w:rPr>
        <w:t>目前建档87884人，建档率95.13%；开展各类继续教育讲座12次，主题日活动9次，发放各类宣传资料和健康教育处方20083份；免费管理孕产妇488名，管理率97.41%；免费进行0-6岁儿童管理3431人，管理率100%；预防接种率95.2%，及时率95.8%；传染病上报率、及时率100%，规范管理结病人32人，全程督导服药；老年人管理5695人，免费体检5882人；今年新增高血压582人，高血压建档7974人，管理7625人，规范管理5056人，规范管理率66.3%；糖尿病新增106人，目前建档3337人，管理3205人，规范管理2071人，规范管理率64.6%；开展高血压、糖尿病专题讲座2次；重性精神病人建档356人，管理332人，管理率93.25%；积极协助卫生执法大队进行卫生监督管理，全年无一起食物中毒情况发生；老年人中医药管理5895人，中医药保健知识讲座1次；家庭医生签约服务58271人，签约率63.07%，在册贫困户签约率100%；加强村卫生室公共卫生工作督查和指导。</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基本公共卫生12类14项全部按要求达到年初绩效目标。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我单位</w:t>
      </w:r>
      <w:r>
        <w:rPr>
          <w:rFonts w:hint="eastAsia" w:ascii="仿宋_GB2312" w:hAnsi="宋体" w:eastAsia="仿宋_GB2312"/>
          <w:sz w:val="32"/>
          <w:szCs w:val="32"/>
        </w:rPr>
        <w:t>2019年基本公共卫生服务能力得到提升，基本公共卫生服务项目得到较好落实，老百姓获得感不断增加，群众满意度不断提高，人民群众健康意识进一步得到增强，使人人享受到基本公共卫生服务带来的健康地实惠。</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我单位</w:t>
      </w:r>
      <w:r>
        <w:rPr>
          <w:rFonts w:hint="eastAsia" w:ascii="仿宋_GB2312" w:hAnsi="宋体" w:eastAsia="仿宋_GB2312"/>
          <w:sz w:val="32"/>
          <w:szCs w:val="32"/>
        </w:rPr>
        <w:t xml:space="preserve">2019年基本公共卫生服务能力得到提升，基本公共卫生服务项目得到较好落实，老百姓获得感不断增加，群众满意度不断提高，人民群众健康意识进一步得到增强，使人人享受到基本公共卫生服务带来的健康地实惠。2019年项目开展，资金在支出使用、资金管理、资金产出效益、各项相关指标都达到了预期目标，项目绩效自评结论为：“优秀”。               </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rPr>
        <w:t>（二）存在问题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机构缺乏公卫专业人才，人员流动性太强，对第三版不熟悉，对公共卫生服务的质量有待加强。</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进一步加大宣传力度，让广大城乡居民更全面了解项目的益处，提高群众知晓率，鼓励群众积极参与，配合基本公共卫生服务工作的开展。切实强加市、县、村三级基本公共卫生服务人员培训。进一步完善基本公共卫生服务项目绩效考核标准和考核结果应用，做到工作数量、工作质量牢牢与经费补助挂钩，资金专款专用，奖罚严格兑现，建立基本公共卫生服务管理的长效机制。</w:t>
      </w:r>
    </w:p>
    <w:p>
      <w:pPr>
        <w:spacing w:line="600" w:lineRule="exact"/>
        <w:jc w:val="center"/>
        <w:outlineLvl w:val="0"/>
        <w:rPr>
          <w:rStyle w:val="27"/>
          <w:rFonts w:ascii="黑体" w:hAnsi="黑体" w:eastAsia="黑体"/>
          <w:b w:val="0"/>
        </w:rPr>
      </w:pPr>
    </w:p>
    <w:p>
      <w:pPr>
        <w:spacing w:line="600" w:lineRule="exact"/>
        <w:jc w:val="center"/>
        <w:outlineLvl w:val="0"/>
        <w:rPr>
          <w:rFonts w:ascii="黑体" w:hAnsi="黑体" w:eastAsia="黑体"/>
          <w:color w:val="000000"/>
          <w:sz w:val="44"/>
          <w:szCs w:val="44"/>
        </w:rPr>
      </w:pPr>
      <w:bookmarkStart w:id="63"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 附表</w:t>
      </w:r>
      <w:bookmarkEnd w:id="57"/>
      <w:bookmarkEnd w:id="6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4"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5"/>
    </w:p>
    <w:p>
      <w:pPr>
        <w:pStyle w:val="3"/>
        <w:rPr>
          <w:rFonts w:ascii="仿宋" w:hAnsi="仿宋" w:eastAsia="仿宋"/>
          <w:color w:val="000000"/>
        </w:rPr>
      </w:pPr>
      <w:bookmarkStart w:id="66"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6"/>
    </w:p>
    <w:p>
      <w:pPr>
        <w:pStyle w:val="3"/>
        <w:rPr>
          <w:rFonts w:ascii="仿宋" w:hAnsi="仿宋" w:eastAsia="仿宋"/>
          <w:b w:val="0"/>
          <w:color w:val="000000"/>
        </w:rPr>
      </w:pPr>
      <w:bookmarkStart w:id="67"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7"/>
    </w:p>
    <w:p>
      <w:pPr>
        <w:pStyle w:val="3"/>
        <w:rPr>
          <w:rStyle w:val="28"/>
          <w:rFonts w:ascii="仿宋" w:hAnsi="仿宋" w:eastAsia="仿宋"/>
          <w:b w:val="0"/>
          <w:bCs w:val="0"/>
        </w:rPr>
      </w:pPr>
      <w:bookmarkStart w:id="68"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8"/>
      <w:bookmarkStart w:id="69" w:name="_Toc15396624"/>
    </w:p>
    <w:p>
      <w:pPr>
        <w:pStyle w:val="3"/>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rPr>
      </w:pPr>
      <w:bookmarkStart w:id="76"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4F26CF9"/>
    <w:multiLevelType w:val="multilevel"/>
    <w:tmpl w:val="34F26CF9"/>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4742"/>
    <w:rsid w:val="00017674"/>
    <w:rsid w:val="000222C6"/>
    <w:rsid w:val="0002549F"/>
    <w:rsid w:val="00037BF1"/>
    <w:rsid w:val="000468DB"/>
    <w:rsid w:val="00063729"/>
    <w:rsid w:val="0006487A"/>
    <w:rsid w:val="00065F8F"/>
    <w:rsid w:val="00070259"/>
    <w:rsid w:val="00070A43"/>
    <w:rsid w:val="000768F2"/>
    <w:rsid w:val="0009184B"/>
    <w:rsid w:val="00094236"/>
    <w:rsid w:val="0009593C"/>
    <w:rsid w:val="00096000"/>
    <w:rsid w:val="00097322"/>
    <w:rsid w:val="000A5D5D"/>
    <w:rsid w:val="000A6A92"/>
    <w:rsid w:val="000B047F"/>
    <w:rsid w:val="000B5923"/>
    <w:rsid w:val="000B5A48"/>
    <w:rsid w:val="000B6FF3"/>
    <w:rsid w:val="000C3467"/>
    <w:rsid w:val="000C3CA6"/>
    <w:rsid w:val="000D1267"/>
    <w:rsid w:val="000D1D50"/>
    <w:rsid w:val="000D5782"/>
    <w:rsid w:val="000E6613"/>
    <w:rsid w:val="000E7119"/>
    <w:rsid w:val="0010040E"/>
    <w:rsid w:val="00114E9B"/>
    <w:rsid w:val="0012196D"/>
    <w:rsid w:val="001334A5"/>
    <w:rsid w:val="00133ADF"/>
    <w:rsid w:val="00142216"/>
    <w:rsid w:val="00144D6A"/>
    <w:rsid w:val="001451F8"/>
    <w:rsid w:val="0014729F"/>
    <w:rsid w:val="00157BAB"/>
    <w:rsid w:val="001654D1"/>
    <w:rsid w:val="00165F13"/>
    <w:rsid w:val="00174518"/>
    <w:rsid w:val="0018106D"/>
    <w:rsid w:val="001827FD"/>
    <w:rsid w:val="0018557B"/>
    <w:rsid w:val="001877A7"/>
    <w:rsid w:val="00191536"/>
    <w:rsid w:val="00192423"/>
    <w:rsid w:val="00196687"/>
    <w:rsid w:val="00197F76"/>
    <w:rsid w:val="001C0962"/>
    <w:rsid w:val="001C28A8"/>
    <w:rsid w:val="001C558B"/>
    <w:rsid w:val="001D7531"/>
    <w:rsid w:val="001E737D"/>
    <w:rsid w:val="001F0592"/>
    <w:rsid w:val="001F7506"/>
    <w:rsid w:val="002006CD"/>
    <w:rsid w:val="00202B36"/>
    <w:rsid w:val="00204B7A"/>
    <w:rsid w:val="00204CDE"/>
    <w:rsid w:val="0021101A"/>
    <w:rsid w:val="00220536"/>
    <w:rsid w:val="00235629"/>
    <w:rsid w:val="002501CF"/>
    <w:rsid w:val="00260C38"/>
    <w:rsid w:val="002616C0"/>
    <w:rsid w:val="00265372"/>
    <w:rsid w:val="002662AA"/>
    <w:rsid w:val="00272DA3"/>
    <w:rsid w:val="00280496"/>
    <w:rsid w:val="00281D72"/>
    <w:rsid w:val="0028492E"/>
    <w:rsid w:val="00286CA7"/>
    <w:rsid w:val="00294DC9"/>
    <w:rsid w:val="00295495"/>
    <w:rsid w:val="002A31DE"/>
    <w:rsid w:val="002A4FE5"/>
    <w:rsid w:val="002B2613"/>
    <w:rsid w:val="002C178C"/>
    <w:rsid w:val="002D19B0"/>
    <w:rsid w:val="002D6D05"/>
    <w:rsid w:val="002F1818"/>
    <w:rsid w:val="002F1F5B"/>
    <w:rsid w:val="002F4949"/>
    <w:rsid w:val="002F4978"/>
    <w:rsid w:val="002F567B"/>
    <w:rsid w:val="00310B71"/>
    <w:rsid w:val="00317696"/>
    <w:rsid w:val="003216A9"/>
    <w:rsid w:val="00323FA5"/>
    <w:rsid w:val="00335A74"/>
    <w:rsid w:val="003477B1"/>
    <w:rsid w:val="0035749C"/>
    <w:rsid w:val="0036561B"/>
    <w:rsid w:val="0037013F"/>
    <w:rsid w:val="00372AC4"/>
    <w:rsid w:val="00375ED6"/>
    <w:rsid w:val="00380C92"/>
    <w:rsid w:val="00384AB8"/>
    <w:rsid w:val="00392946"/>
    <w:rsid w:val="003A1DCC"/>
    <w:rsid w:val="003A484F"/>
    <w:rsid w:val="003A4883"/>
    <w:rsid w:val="003B0BE0"/>
    <w:rsid w:val="003B0C1B"/>
    <w:rsid w:val="003B4D54"/>
    <w:rsid w:val="003B688C"/>
    <w:rsid w:val="003C0291"/>
    <w:rsid w:val="003C39AE"/>
    <w:rsid w:val="003C7B60"/>
    <w:rsid w:val="003D0C0F"/>
    <w:rsid w:val="003D1FB2"/>
    <w:rsid w:val="003D66DA"/>
    <w:rsid w:val="003E1310"/>
    <w:rsid w:val="003E15AE"/>
    <w:rsid w:val="003E6F55"/>
    <w:rsid w:val="003F00D5"/>
    <w:rsid w:val="00406254"/>
    <w:rsid w:val="00406986"/>
    <w:rsid w:val="00416CD4"/>
    <w:rsid w:val="004223DE"/>
    <w:rsid w:val="00434489"/>
    <w:rsid w:val="00434D0E"/>
    <w:rsid w:val="00437085"/>
    <w:rsid w:val="00437B7A"/>
    <w:rsid w:val="00443880"/>
    <w:rsid w:val="004464F4"/>
    <w:rsid w:val="004517CF"/>
    <w:rsid w:val="00471401"/>
    <w:rsid w:val="00473F31"/>
    <w:rsid w:val="0048263A"/>
    <w:rsid w:val="00487E5D"/>
    <w:rsid w:val="004A711F"/>
    <w:rsid w:val="004B199D"/>
    <w:rsid w:val="004B4690"/>
    <w:rsid w:val="004C3C88"/>
    <w:rsid w:val="004E0A2D"/>
    <w:rsid w:val="004E206B"/>
    <w:rsid w:val="004E6DF7"/>
    <w:rsid w:val="004F0FBD"/>
    <w:rsid w:val="004F403E"/>
    <w:rsid w:val="004F5F2D"/>
    <w:rsid w:val="00505A47"/>
    <w:rsid w:val="00512FDA"/>
    <w:rsid w:val="005208FC"/>
    <w:rsid w:val="00520DA0"/>
    <w:rsid w:val="00541A73"/>
    <w:rsid w:val="005512E6"/>
    <w:rsid w:val="005563F6"/>
    <w:rsid w:val="005664BB"/>
    <w:rsid w:val="00566FFA"/>
    <w:rsid w:val="0057481D"/>
    <w:rsid w:val="00575F0B"/>
    <w:rsid w:val="005767BA"/>
    <w:rsid w:val="00580D13"/>
    <w:rsid w:val="0058486E"/>
    <w:rsid w:val="00585B33"/>
    <w:rsid w:val="00587BD6"/>
    <w:rsid w:val="0059014D"/>
    <w:rsid w:val="005B5C64"/>
    <w:rsid w:val="005C0BC2"/>
    <w:rsid w:val="005C2E32"/>
    <w:rsid w:val="005C6BD0"/>
    <w:rsid w:val="005C6C4C"/>
    <w:rsid w:val="005D1C8B"/>
    <w:rsid w:val="005D468D"/>
    <w:rsid w:val="005D5CED"/>
    <w:rsid w:val="005F1A4C"/>
    <w:rsid w:val="00605688"/>
    <w:rsid w:val="006070AF"/>
    <w:rsid w:val="00607E6C"/>
    <w:rsid w:val="006101B1"/>
    <w:rsid w:val="00614E44"/>
    <w:rsid w:val="0061619F"/>
    <w:rsid w:val="0062270A"/>
    <w:rsid w:val="00622830"/>
    <w:rsid w:val="00623DA0"/>
    <w:rsid w:val="00630AEF"/>
    <w:rsid w:val="006325F8"/>
    <w:rsid w:val="00633463"/>
    <w:rsid w:val="00634C9A"/>
    <w:rsid w:val="006440E4"/>
    <w:rsid w:val="0066343B"/>
    <w:rsid w:val="00664777"/>
    <w:rsid w:val="006748A4"/>
    <w:rsid w:val="00681A31"/>
    <w:rsid w:val="00683E73"/>
    <w:rsid w:val="006A12BA"/>
    <w:rsid w:val="006A3141"/>
    <w:rsid w:val="006A5E34"/>
    <w:rsid w:val="006B2422"/>
    <w:rsid w:val="006B2B9A"/>
    <w:rsid w:val="006B4626"/>
    <w:rsid w:val="006C1263"/>
    <w:rsid w:val="006C1937"/>
    <w:rsid w:val="006C5F58"/>
    <w:rsid w:val="006F020C"/>
    <w:rsid w:val="006F29F7"/>
    <w:rsid w:val="007078EE"/>
    <w:rsid w:val="007127B7"/>
    <w:rsid w:val="0071798E"/>
    <w:rsid w:val="00727533"/>
    <w:rsid w:val="00737A5F"/>
    <w:rsid w:val="007416B6"/>
    <w:rsid w:val="00741F91"/>
    <w:rsid w:val="00746F48"/>
    <w:rsid w:val="0075404D"/>
    <w:rsid w:val="0076182A"/>
    <w:rsid w:val="00767B7E"/>
    <w:rsid w:val="00773C64"/>
    <w:rsid w:val="007770C3"/>
    <w:rsid w:val="007803BF"/>
    <w:rsid w:val="00784D24"/>
    <w:rsid w:val="00785FBA"/>
    <w:rsid w:val="00786E4A"/>
    <w:rsid w:val="007873E9"/>
    <w:rsid w:val="007875EB"/>
    <w:rsid w:val="0079426B"/>
    <w:rsid w:val="007C02CB"/>
    <w:rsid w:val="007D1682"/>
    <w:rsid w:val="007D312A"/>
    <w:rsid w:val="007D3F19"/>
    <w:rsid w:val="007D669C"/>
    <w:rsid w:val="007E23B0"/>
    <w:rsid w:val="007F1991"/>
    <w:rsid w:val="007F2C2F"/>
    <w:rsid w:val="007F55FC"/>
    <w:rsid w:val="007F5665"/>
    <w:rsid w:val="00800112"/>
    <w:rsid w:val="00806D27"/>
    <w:rsid w:val="00813348"/>
    <w:rsid w:val="008253BB"/>
    <w:rsid w:val="00833962"/>
    <w:rsid w:val="0083706E"/>
    <w:rsid w:val="008408F6"/>
    <w:rsid w:val="008423A5"/>
    <w:rsid w:val="00850625"/>
    <w:rsid w:val="00853601"/>
    <w:rsid w:val="00853718"/>
    <w:rsid w:val="00855221"/>
    <w:rsid w:val="00860645"/>
    <w:rsid w:val="00871F71"/>
    <w:rsid w:val="00872FD8"/>
    <w:rsid w:val="00885AF4"/>
    <w:rsid w:val="008879C8"/>
    <w:rsid w:val="008939CD"/>
    <w:rsid w:val="008B768C"/>
    <w:rsid w:val="008C4DB1"/>
    <w:rsid w:val="008C4EAF"/>
    <w:rsid w:val="008C5176"/>
    <w:rsid w:val="008C7FD0"/>
    <w:rsid w:val="008D044C"/>
    <w:rsid w:val="008E1DE7"/>
    <w:rsid w:val="008E707C"/>
    <w:rsid w:val="008E7507"/>
    <w:rsid w:val="00900B08"/>
    <w:rsid w:val="00902155"/>
    <w:rsid w:val="00902FA3"/>
    <w:rsid w:val="009145EB"/>
    <w:rsid w:val="00923564"/>
    <w:rsid w:val="0092392E"/>
    <w:rsid w:val="009305E2"/>
    <w:rsid w:val="009315F9"/>
    <w:rsid w:val="00933499"/>
    <w:rsid w:val="00935C98"/>
    <w:rsid w:val="00946945"/>
    <w:rsid w:val="00950097"/>
    <w:rsid w:val="00951248"/>
    <w:rsid w:val="0095152F"/>
    <w:rsid w:val="00954C49"/>
    <w:rsid w:val="00955E37"/>
    <w:rsid w:val="00966EAA"/>
    <w:rsid w:val="0097099F"/>
    <w:rsid w:val="00971997"/>
    <w:rsid w:val="00971FFC"/>
    <w:rsid w:val="00977172"/>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5457"/>
    <w:rsid w:val="00A268C4"/>
    <w:rsid w:val="00A307CD"/>
    <w:rsid w:val="00A331C8"/>
    <w:rsid w:val="00A35117"/>
    <w:rsid w:val="00A35CD7"/>
    <w:rsid w:val="00A35F07"/>
    <w:rsid w:val="00A40A00"/>
    <w:rsid w:val="00A4142F"/>
    <w:rsid w:val="00A422EB"/>
    <w:rsid w:val="00A42832"/>
    <w:rsid w:val="00A45661"/>
    <w:rsid w:val="00A45BB7"/>
    <w:rsid w:val="00A56DF2"/>
    <w:rsid w:val="00A56E6E"/>
    <w:rsid w:val="00A62ACF"/>
    <w:rsid w:val="00A67AB5"/>
    <w:rsid w:val="00A733B2"/>
    <w:rsid w:val="00A741C2"/>
    <w:rsid w:val="00A91760"/>
    <w:rsid w:val="00A92654"/>
    <w:rsid w:val="00A93B00"/>
    <w:rsid w:val="00A93C21"/>
    <w:rsid w:val="00AA7E63"/>
    <w:rsid w:val="00AB06E8"/>
    <w:rsid w:val="00AB64C9"/>
    <w:rsid w:val="00AC3C6A"/>
    <w:rsid w:val="00AD0AE6"/>
    <w:rsid w:val="00AD0F83"/>
    <w:rsid w:val="00AD5620"/>
    <w:rsid w:val="00AD577C"/>
    <w:rsid w:val="00AD656B"/>
    <w:rsid w:val="00AD7C1B"/>
    <w:rsid w:val="00AE16BA"/>
    <w:rsid w:val="00AE1EBE"/>
    <w:rsid w:val="00AF469B"/>
    <w:rsid w:val="00B03C9D"/>
    <w:rsid w:val="00B060AE"/>
    <w:rsid w:val="00B10517"/>
    <w:rsid w:val="00B14E76"/>
    <w:rsid w:val="00B161B8"/>
    <w:rsid w:val="00B17174"/>
    <w:rsid w:val="00B2048C"/>
    <w:rsid w:val="00B310B9"/>
    <w:rsid w:val="00B35E4E"/>
    <w:rsid w:val="00B35F3F"/>
    <w:rsid w:val="00B36CBB"/>
    <w:rsid w:val="00B425DE"/>
    <w:rsid w:val="00B425E0"/>
    <w:rsid w:val="00B440AA"/>
    <w:rsid w:val="00B44B70"/>
    <w:rsid w:val="00B53C56"/>
    <w:rsid w:val="00B57DAF"/>
    <w:rsid w:val="00B62C0F"/>
    <w:rsid w:val="00B66474"/>
    <w:rsid w:val="00B7610D"/>
    <w:rsid w:val="00B77DEE"/>
    <w:rsid w:val="00B77EA6"/>
    <w:rsid w:val="00B81598"/>
    <w:rsid w:val="00B841F1"/>
    <w:rsid w:val="00B944D6"/>
    <w:rsid w:val="00BB4DF0"/>
    <w:rsid w:val="00BC289F"/>
    <w:rsid w:val="00BC2D50"/>
    <w:rsid w:val="00BC4557"/>
    <w:rsid w:val="00BC4F5D"/>
    <w:rsid w:val="00BC5361"/>
    <w:rsid w:val="00BC5460"/>
    <w:rsid w:val="00BC6836"/>
    <w:rsid w:val="00BC6B50"/>
    <w:rsid w:val="00BD0E25"/>
    <w:rsid w:val="00BD12AB"/>
    <w:rsid w:val="00BE13EE"/>
    <w:rsid w:val="00BF5BD6"/>
    <w:rsid w:val="00C03E31"/>
    <w:rsid w:val="00C26353"/>
    <w:rsid w:val="00C30E69"/>
    <w:rsid w:val="00C31C7C"/>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4E52"/>
    <w:rsid w:val="00CE7B61"/>
    <w:rsid w:val="00CF15E7"/>
    <w:rsid w:val="00CF2593"/>
    <w:rsid w:val="00CF5C23"/>
    <w:rsid w:val="00D00095"/>
    <w:rsid w:val="00D114F0"/>
    <w:rsid w:val="00D20620"/>
    <w:rsid w:val="00D254F7"/>
    <w:rsid w:val="00D26091"/>
    <w:rsid w:val="00D2685C"/>
    <w:rsid w:val="00D321D4"/>
    <w:rsid w:val="00D34E7C"/>
    <w:rsid w:val="00D35489"/>
    <w:rsid w:val="00D36AFE"/>
    <w:rsid w:val="00D36CBB"/>
    <w:rsid w:val="00D51276"/>
    <w:rsid w:val="00D5617B"/>
    <w:rsid w:val="00D7035F"/>
    <w:rsid w:val="00D81E2A"/>
    <w:rsid w:val="00D92351"/>
    <w:rsid w:val="00DA19D3"/>
    <w:rsid w:val="00DA634F"/>
    <w:rsid w:val="00DA65AC"/>
    <w:rsid w:val="00DB01D0"/>
    <w:rsid w:val="00DB1913"/>
    <w:rsid w:val="00DC410D"/>
    <w:rsid w:val="00DC5A81"/>
    <w:rsid w:val="00DC68CA"/>
    <w:rsid w:val="00DC7CBA"/>
    <w:rsid w:val="00DD73B7"/>
    <w:rsid w:val="00DF28BC"/>
    <w:rsid w:val="00DF34B9"/>
    <w:rsid w:val="00E01053"/>
    <w:rsid w:val="00E07ACF"/>
    <w:rsid w:val="00E1381A"/>
    <w:rsid w:val="00E1456E"/>
    <w:rsid w:val="00E20DFB"/>
    <w:rsid w:val="00E24CA5"/>
    <w:rsid w:val="00E331A1"/>
    <w:rsid w:val="00E33202"/>
    <w:rsid w:val="00E336A9"/>
    <w:rsid w:val="00E45471"/>
    <w:rsid w:val="00E472B1"/>
    <w:rsid w:val="00E50624"/>
    <w:rsid w:val="00E52BEE"/>
    <w:rsid w:val="00E568DF"/>
    <w:rsid w:val="00E64269"/>
    <w:rsid w:val="00E66797"/>
    <w:rsid w:val="00E74E69"/>
    <w:rsid w:val="00E750D5"/>
    <w:rsid w:val="00E82267"/>
    <w:rsid w:val="00E83310"/>
    <w:rsid w:val="00E853CE"/>
    <w:rsid w:val="00E867B6"/>
    <w:rsid w:val="00E8797C"/>
    <w:rsid w:val="00E87F08"/>
    <w:rsid w:val="00EA010F"/>
    <w:rsid w:val="00EA2E93"/>
    <w:rsid w:val="00EB5E94"/>
    <w:rsid w:val="00EC6F60"/>
    <w:rsid w:val="00ED1B63"/>
    <w:rsid w:val="00ED3C1F"/>
    <w:rsid w:val="00ED4085"/>
    <w:rsid w:val="00ED420E"/>
    <w:rsid w:val="00ED6FBE"/>
    <w:rsid w:val="00EE2F57"/>
    <w:rsid w:val="00EE69BA"/>
    <w:rsid w:val="00EF4A96"/>
    <w:rsid w:val="00EF4C34"/>
    <w:rsid w:val="00EF77C6"/>
    <w:rsid w:val="00EF7FC5"/>
    <w:rsid w:val="00F05438"/>
    <w:rsid w:val="00F06854"/>
    <w:rsid w:val="00F1361C"/>
    <w:rsid w:val="00F156F0"/>
    <w:rsid w:val="00F160C7"/>
    <w:rsid w:val="00F2408F"/>
    <w:rsid w:val="00F240E9"/>
    <w:rsid w:val="00F3084B"/>
    <w:rsid w:val="00F36D8F"/>
    <w:rsid w:val="00F417B1"/>
    <w:rsid w:val="00F44F87"/>
    <w:rsid w:val="00F45853"/>
    <w:rsid w:val="00F602DF"/>
    <w:rsid w:val="00F754A1"/>
    <w:rsid w:val="00F81FD9"/>
    <w:rsid w:val="00F841AA"/>
    <w:rsid w:val="00F84A94"/>
    <w:rsid w:val="00F87E96"/>
    <w:rsid w:val="00FA23E8"/>
    <w:rsid w:val="00FC1A69"/>
    <w:rsid w:val="00FC3EA4"/>
    <w:rsid w:val="00FD3CC1"/>
    <w:rsid w:val="00FD56C2"/>
    <w:rsid w:val="00FF1E02"/>
    <w:rsid w:val="00FF30B4"/>
    <w:rsid w:val="03487C39"/>
    <w:rsid w:val="03654B6A"/>
    <w:rsid w:val="10C055FF"/>
    <w:rsid w:val="16BB723D"/>
    <w:rsid w:val="23836183"/>
    <w:rsid w:val="240371BF"/>
    <w:rsid w:val="29FD04D3"/>
    <w:rsid w:val="319F7F4E"/>
    <w:rsid w:val="4ECE2238"/>
    <w:rsid w:val="72734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Subtitle"/>
    <w:basedOn w:val="1"/>
    <w:next w:val="1"/>
    <w:link w:val="33"/>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spacing w:beforeAutospacing="1" w:afterAutospacing="1"/>
      <w:jc w:val="left"/>
    </w:pPr>
    <w:rPr>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2"/>
    <w:qFormat/>
    <w:uiPriority w:val="9"/>
    <w:rPr>
      <w:rFonts w:ascii="Times New Roman" w:hAnsi="Times New Roman"/>
      <w:b/>
      <w:bCs/>
      <w:kern w:val="44"/>
      <w:sz w:val="44"/>
      <w:szCs w:val="44"/>
    </w:rPr>
  </w:style>
  <w:style w:type="character" w:customStyle="1" w:styleId="28">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副标题 Char"/>
    <w:basedOn w:val="16"/>
    <w:link w:val="12"/>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16694-FAC3-464C-999F-42A3AFFBA91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1486</Words>
  <Characters>8472</Characters>
  <Lines>70</Lines>
  <Paragraphs>19</Paragraphs>
  <TotalTime>15</TotalTime>
  <ScaleCrop>false</ScaleCrop>
  <LinksUpToDate>false</LinksUpToDate>
  <CharactersWithSpaces>9939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火炎焱燚</cp:lastModifiedBy>
  <cp:lastPrinted>2020-07-23T02:58:00Z</cp:lastPrinted>
  <dcterms:modified xsi:type="dcterms:W3CDTF">2020-10-30T10:07:35Z</dcterms:modified>
  <dc:title>四川省***</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