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8441"/>
      <w:bookmarkStart w:id="4" w:name="_Toc15377193"/>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7426"/>
      <w:bookmarkStart w:id="8" w:name="_Toc15378442"/>
      <w:bookmarkStart w:id="9" w:name="_Toc15396598"/>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中医医院决算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公开时间：2020年9月3日</w:t>
      </w:r>
    </w:p>
    <w:p/>
    <w:p>
      <w:pPr>
        <w:pStyle w:val="10"/>
        <w:adjustRightInd w:val="0"/>
        <w:snapToGrid w:val="0"/>
        <w:spacing w:before="0" w:line="440" w:lineRule="exact"/>
        <w:jc w:val="left"/>
        <w:rPr>
          <w:rFonts w:cstheme="minorBidi"/>
          <w:sz w:val="24"/>
          <w:szCs w:val="24"/>
        </w:rPr>
      </w:pPr>
      <w:r>
        <w:rPr>
          <w:rFonts w:hint="eastAsia"/>
          <w:sz w:val="24"/>
        </w:rPr>
        <w:t>第一部分部门概况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第三部分名词解释</w:t>
      </w:r>
    </w:p>
    <w:p>
      <w:pPr>
        <w:pStyle w:val="10"/>
        <w:adjustRightInd w:val="0"/>
        <w:snapToGrid w:val="0"/>
        <w:spacing w:before="0" w:line="440" w:lineRule="exact"/>
        <w:jc w:val="left"/>
        <w:rPr>
          <w:rFonts w:cstheme="minorBidi"/>
          <w:sz w:val="24"/>
          <w:szCs w:val="24"/>
        </w:rPr>
      </w:pPr>
      <w:r>
        <w:rPr>
          <w:rFonts w:hint="eastAsia"/>
          <w:sz w:val="24"/>
        </w:rPr>
        <w:t>第四部分附件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rPr>
          <w:rStyle w:val="25"/>
          <w:rFonts w:ascii="仿宋" w:hAnsi="仿宋" w:eastAsia="仿宋"/>
          <w:b w:val="0"/>
          <w:bCs w:val="0"/>
        </w:rPr>
      </w:pPr>
      <w:r>
        <w:rPr>
          <w:rFonts w:hint="eastAsia" w:ascii="黑体" w:hAnsi="黑体" w:eastAsia="黑体"/>
          <w:b w:val="0"/>
          <w:color w:val="000000"/>
        </w:rPr>
        <w:t>一、基</w:t>
      </w:r>
      <w:r>
        <w:rPr>
          <w:rStyle w:val="25"/>
          <w:rFonts w:hint="eastAsia" w:ascii="黑体" w:hAnsi="黑体" w:eastAsia="黑体"/>
          <w:b w:val="0"/>
          <w:bCs w:val="0"/>
        </w:rPr>
        <w:t>本职能及主要工作</w:t>
      </w:r>
    </w:p>
    <w:p>
      <w:pPr>
        <w:pStyle w:val="5"/>
        <w:adjustRightInd w:val="0"/>
        <w:snapToGrid w:val="0"/>
        <w:spacing w:before="93" w:line="600" w:lineRule="exact"/>
        <w:ind w:firstLine="672" w:firstLineChars="210"/>
        <w:outlineLvl w:val="2"/>
        <w:rPr>
          <w:rFonts w:ascii="黑体" w:hAnsi="黑体" w:eastAsia="黑体"/>
          <w:bCs/>
          <w:color w:val="000000" w:themeColor="text1"/>
          <w:sz w:val="32"/>
          <w:szCs w:val="32"/>
        </w:rPr>
      </w:pPr>
      <w:r>
        <w:rPr>
          <w:rFonts w:hint="eastAsia" w:ascii="黑体" w:hAnsi="黑体" w:eastAsia="黑体"/>
          <w:bCs/>
          <w:color w:val="000000" w:themeColor="text1"/>
          <w:sz w:val="32"/>
          <w:szCs w:val="32"/>
        </w:rPr>
        <w:t>（一）为人民身体健康提供医疗与护理保健服务。负责医疗与护理、医学研究、保健与健康教育。</w:t>
      </w:r>
    </w:p>
    <w:p>
      <w:pPr>
        <w:pStyle w:val="5"/>
        <w:adjustRightInd w:val="0"/>
        <w:snapToGrid w:val="0"/>
        <w:spacing w:before="93" w:line="600" w:lineRule="exact"/>
        <w:ind w:firstLine="672" w:firstLineChars="210"/>
        <w:outlineLvl w:val="2"/>
        <w:rPr>
          <w:rFonts w:ascii="黑体" w:hAnsi="黑体" w:eastAsia="黑体"/>
          <w:bCs/>
          <w:color w:val="000000" w:themeColor="text1"/>
          <w:sz w:val="32"/>
          <w:szCs w:val="32"/>
        </w:rPr>
      </w:pPr>
      <w:r>
        <w:rPr>
          <w:rFonts w:hint="eastAsia" w:ascii="黑体" w:hAnsi="黑体" w:eastAsia="黑体"/>
          <w:bCs/>
          <w:color w:val="000000" w:themeColor="text1"/>
          <w:sz w:val="32"/>
          <w:szCs w:val="32"/>
        </w:rPr>
        <w:t>（二）</w:t>
      </w:r>
      <w:r>
        <w:rPr>
          <w:rFonts w:ascii="黑体" w:hAnsi="黑体" w:eastAsia="黑体"/>
          <w:bCs/>
          <w:color w:val="000000" w:themeColor="text1"/>
          <w:sz w:val="32"/>
          <w:szCs w:val="32"/>
        </w:rPr>
        <w:t>201</w:t>
      </w:r>
      <w:r>
        <w:rPr>
          <w:rFonts w:hint="eastAsia" w:ascii="黑体" w:hAnsi="黑体" w:eastAsia="黑体"/>
          <w:bCs/>
          <w:color w:val="000000" w:themeColor="text1"/>
          <w:sz w:val="32"/>
          <w:szCs w:val="32"/>
        </w:rPr>
        <w:t>9年重点工作完成情况。</w:t>
      </w:r>
    </w:p>
    <w:p>
      <w:pPr>
        <w:spacing w:line="560" w:lineRule="exact"/>
        <w:ind w:firstLine="640" w:firstLineChars="200"/>
        <w:rPr>
          <w:rFonts w:ascii="仿宋_GB2312" w:eastAsia="仿宋_GB2312"/>
          <w:bCs/>
          <w:sz w:val="32"/>
          <w:szCs w:val="32"/>
        </w:rPr>
      </w:pPr>
      <w:r>
        <w:rPr>
          <w:rFonts w:hint="eastAsia" w:ascii="仿宋_GB2312" w:eastAsia="仿宋_GB2312"/>
          <w:bCs/>
          <w:color w:val="000000" w:themeColor="text1"/>
          <w:sz w:val="32"/>
          <w:szCs w:val="32"/>
        </w:rPr>
        <w:t>一年来，和全院干部职工齐心协力，</w:t>
      </w:r>
      <w:r>
        <w:rPr>
          <w:rFonts w:hint="eastAsia" w:ascii="仿宋_GB2312" w:eastAsia="仿宋_GB2312"/>
          <w:bCs/>
          <w:sz w:val="32"/>
          <w:szCs w:val="32"/>
        </w:rPr>
        <w:t>较好地完成了各项工作任务。全年业务收入1.91亿，较2018年增长22.44%。</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1.医院成功创建国家级“三级甲等中医医院”。</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2018年11月我院接受四川省三级中医医院评审。评审结果报国家中医药管理局医政司，于2019年12月9日完成中医三级甲等医院备案，编号ZYSJ422033。按《四川省中医药管理局关于公布第一批三级中医医院评审结论的通知》（川中医药办发〔2019〕48号）精神，我院三甲等级于2019年12月25日正式生效，医院再上新台阶。</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2.加大设备投入，提升诊疗水平。</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一是引进美国通用电气1.5T核磁共振optiaMR360（MRI），提高了我院医学影像诊断技术，最大限度满足患者的就诊需求。二是医院争取到2019年四川省中医药服务能力提升“十百千”工程扶优扶强项目资金500万元，用于购买进口胃肠镜、进口高清关节镜，为我院加强重点专科建设提供有力支持和保障。</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3.争先创优，立足岗位建新功。</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1名同志获得“四川省三八红旗手”荣誉称号、1名同志被评为“峨眉山市优秀共产党员”；1名同志获峨眉山市“最美家庭——爱岗敬业”荣誉称号；在市卫生健康局，市精神文明建设办公室组织的“峨眉名医”和“最美医生，最美护士”的评选工作中，我院3名同志分别获得峨眉名医、最美医生、最美护士荣誉称号。</w:t>
      </w:r>
    </w:p>
    <w:p>
      <w:pPr>
        <w:spacing w:line="560" w:lineRule="exact"/>
        <w:ind w:firstLine="680" w:firstLineChars="200"/>
        <w:rPr>
          <w:rFonts w:ascii="方正仿宋简体" w:eastAsia="方正仿宋简体"/>
          <w:b/>
          <w:bCs/>
          <w:sz w:val="34"/>
          <w:szCs w:val="34"/>
        </w:rPr>
      </w:pP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5"/>
          <w:b w:val="0"/>
          <w:bCs w:val="0"/>
        </w:rPr>
      </w:pPr>
      <w:bookmarkStart w:id="14" w:name="_Toc15396601"/>
      <w:bookmarkStart w:id="15"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14"/>
      <w:bookmarkEnd w:id="15"/>
    </w:p>
    <w:p>
      <w:pPr>
        <w:ind w:firstLine="567"/>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本单位为</w:t>
      </w:r>
      <w:r>
        <w:rPr>
          <w:rFonts w:hint="eastAsia" w:ascii="仿宋_GB2312" w:hAnsi="仿宋" w:eastAsia="仿宋_GB2312" w:cs="仿宋"/>
          <w:bCs/>
          <w:color w:val="000000"/>
          <w:sz w:val="32"/>
          <w:szCs w:val="32"/>
          <w:u w:val="single"/>
        </w:rPr>
        <w:t xml:space="preserve">  峨眉山市卫健局   </w:t>
      </w:r>
      <w:r>
        <w:rPr>
          <w:rFonts w:hint="eastAsia" w:ascii="仿宋_GB2312" w:hAnsi="仿宋" w:eastAsia="仿宋_GB2312" w:cs="仿宋"/>
          <w:bCs/>
          <w:color w:val="000000"/>
          <w:sz w:val="32"/>
          <w:szCs w:val="32"/>
        </w:rPr>
        <w:t>所属</w:t>
      </w:r>
      <w:r>
        <w:rPr>
          <w:rFonts w:hint="eastAsia" w:ascii="仿宋_GB2312" w:hAnsi="仿宋" w:eastAsia="仿宋_GB2312" w:cs="仿宋"/>
          <w:bCs/>
          <w:color w:val="000000"/>
          <w:sz w:val="32"/>
          <w:szCs w:val="32"/>
          <w:u w:val="single"/>
        </w:rPr>
        <w:t xml:space="preserve">  二   </w:t>
      </w:r>
      <w:r>
        <w:rPr>
          <w:rFonts w:hint="eastAsia" w:ascii="仿宋_GB2312" w:hAnsi="仿宋" w:eastAsia="仿宋_GB2312" w:cs="仿宋"/>
          <w:bCs/>
          <w:color w:val="000000"/>
          <w:sz w:val="32"/>
          <w:szCs w:val="32"/>
        </w:rPr>
        <w:t>级</w:t>
      </w:r>
      <w:r>
        <w:rPr>
          <w:rFonts w:hint="eastAsia" w:ascii="仿宋_GB2312" w:hAnsi="仿宋" w:eastAsia="仿宋_GB2312" w:cs="仿宋"/>
          <w:bCs/>
          <w:color w:val="000000"/>
          <w:spacing w:val="14"/>
          <w:sz w:val="32"/>
          <w:szCs w:val="32"/>
        </w:rPr>
        <w:t>预算单，单位性质</w:t>
      </w:r>
      <w:r>
        <w:rPr>
          <w:rFonts w:hint="eastAsia" w:ascii="仿宋_GB2312" w:hAnsi="仿宋" w:eastAsia="仿宋_GB2312" w:cs="仿宋"/>
          <w:bCs/>
          <w:color w:val="000000"/>
          <w:sz w:val="32"/>
          <w:szCs w:val="32"/>
        </w:rPr>
        <w:t>为</w:t>
      </w:r>
      <w:r>
        <w:rPr>
          <w:rFonts w:hint="eastAsia" w:ascii="仿宋_GB2312" w:hAnsi="仿宋" w:eastAsia="仿宋_GB2312" w:cs="仿宋"/>
          <w:bCs/>
          <w:color w:val="000000"/>
          <w:sz w:val="32"/>
          <w:szCs w:val="32"/>
          <w:u w:val="single"/>
        </w:rPr>
        <w:t xml:space="preserve">  财政补助事业    </w:t>
      </w:r>
      <w:r>
        <w:rPr>
          <w:rFonts w:hint="eastAsia" w:ascii="仿宋_GB2312" w:hAnsi="仿宋" w:eastAsia="仿宋_GB2312" w:cs="仿宋"/>
          <w:bCs/>
          <w:color w:val="000000"/>
          <w:sz w:val="32"/>
          <w:szCs w:val="32"/>
        </w:rPr>
        <w:t>单位，决算编报类型为</w:t>
      </w:r>
      <w:r>
        <w:rPr>
          <w:rFonts w:hint="eastAsia" w:ascii="仿宋_GB2312" w:hAnsi="仿宋" w:eastAsia="仿宋_GB2312" w:cs="仿宋"/>
          <w:bCs/>
          <w:color w:val="000000"/>
          <w:sz w:val="32"/>
          <w:szCs w:val="32"/>
          <w:u w:val="single"/>
        </w:rPr>
        <w:t xml:space="preserve">  单户表    </w:t>
      </w:r>
      <w:r>
        <w:rPr>
          <w:rFonts w:hint="eastAsia" w:ascii="仿宋_GB2312" w:hAnsi="仿宋" w:eastAsia="仿宋_GB2312" w:cs="仿宋"/>
          <w:bCs/>
          <w:color w:val="000000"/>
          <w:sz w:val="32"/>
          <w:szCs w:val="32"/>
        </w:rPr>
        <w:t>，按照</w:t>
      </w:r>
      <w:r>
        <w:rPr>
          <w:rFonts w:hint="eastAsia" w:ascii="仿宋_GB2312" w:hAnsi="仿宋" w:eastAsia="仿宋_GB2312" w:cs="仿宋"/>
          <w:bCs/>
          <w:color w:val="000000"/>
          <w:sz w:val="32"/>
          <w:szCs w:val="32"/>
          <w:u w:val="single"/>
        </w:rPr>
        <w:t xml:space="preserve">   医院      </w:t>
      </w:r>
      <w:r>
        <w:rPr>
          <w:rFonts w:hint="eastAsia" w:ascii="仿宋_GB2312" w:hAnsi="仿宋" w:eastAsia="仿宋_GB2312" w:cs="仿宋"/>
          <w:bCs/>
          <w:color w:val="000000"/>
          <w:sz w:val="32"/>
          <w:szCs w:val="32"/>
        </w:rPr>
        <w:t>会计制度填报决算数据。</w:t>
      </w:r>
    </w:p>
    <w:p>
      <w:pPr>
        <w:ind w:firstLine="567"/>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纳入本套决算编制范围的独立核算单位共</w:t>
      </w:r>
      <w:r>
        <w:rPr>
          <w:rFonts w:hint="eastAsia" w:ascii="仿宋_GB2312" w:hAnsi="仿宋" w:eastAsia="仿宋_GB2312" w:cs="仿宋"/>
          <w:bCs/>
          <w:color w:val="000000"/>
          <w:sz w:val="32"/>
          <w:szCs w:val="32"/>
          <w:u w:val="single"/>
        </w:rPr>
        <w:t xml:space="preserve"> 1 　</w:t>
      </w:r>
      <w:r>
        <w:rPr>
          <w:rFonts w:hint="eastAsia" w:ascii="仿宋_GB2312" w:hAnsi="仿宋" w:eastAsia="仿宋_GB2312" w:cs="仿宋"/>
          <w:bCs/>
          <w:color w:val="000000"/>
          <w:sz w:val="32"/>
          <w:szCs w:val="32"/>
        </w:rPr>
        <w:t>个，比上年增减</w:t>
      </w:r>
      <w:r>
        <w:rPr>
          <w:rFonts w:hint="eastAsia" w:ascii="仿宋_GB2312" w:hAnsi="仿宋" w:eastAsia="仿宋_GB2312" w:cs="仿宋"/>
          <w:bCs/>
          <w:color w:val="000000"/>
          <w:sz w:val="32"/>
          <w:szCs w:val="32"/>
          <w:u w:val="single"/>
        </w:rPr>
        <w:t xml:space="preserve">  0 </w:t>
      </w:r>
      <w:r>
        <w:rPr>
          <w:rFonts w:hint="eastAsia" w:ascii="仿宋_GB2312" w:hAnsi="仿宋" w:eastAsia="仿宋_GB2312" w:cs="仿宋"/>
          <w:bCs/>
          <w:color w:val="000000"/>
          <w:sz w:val="32"/>
          <w:szCs w:val="32"/>
        </w:rPr>
        <w:t>个。</w:t>
      </w:r>
    </w:p>
    <w:p>
      <w:pPr>
        <w:pStyle w:val="5"/>
        <w:adjustRightInd w:val="0"/>
        <w:snapToGrid w:val="0"/>
        <w:spacing w:before="93" w:line="600" w:lineRule="exact"/>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16" w:name="_Toc15396602"/>
      <w:bookmarkStart w:id="17" w:name="_Toc15377204"/>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16"/>
      <w:bookmarkEnd w:id="17"/>
    </w:p>
    <w:p/>
    <w:p>
      <w:pPr>
        <w:pStyle w:val="23"/>
        <w:numPr>
          <w:ilvl w:val="0"/>
          <w:numId w:val="1"/>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2019年度收、支总计41850.04万元，其中收入21,232.59万元，支出20,617.45万元。与2018年相比，收入总计增加4,328.48万元、增长25.61%，支出总计增加3,625.25万元，增长21.33</w:t>
      </w:r>
      <w:r>
        <w:rPr>
          <w:rFonts w:ascii="仿宋" w:hAnsi="仿宋" w:eastAsia="仿宋"/>
          <w:color w:val="000000"/>
          <w:sz w:val="32"/>
          <w:szCs w:val="32"/>
        </w:rPr>
        <w:t>%</w:t>
      </w:r>
      <w:r>
        <w:rPr>
          <w:rFonts w:hint="eastAsia" w:ascii="仿宋" w:hAnsi="仿宋" w:eastAsia="仿宋"/>
          <w:color w:val="000000"/>
          <w:sz w:val="32"/>
          <w:szCs w:val="32"/>
        </w:rPr>
        <w:t>。主要变动原因是门诊住院病人的增长。</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widowControl/>
        <w:jc w:val="center"/>
        <w:rPr>
          <w:rFonts w:ascii="宋体" w:hAnsi="宋体" w:cs="宋体"/>
          <w:kern w:val="0"/>
          <w:sz w:val="24"/>
        </w:rPr>
      </w:pPr>
      <w:r>
        <w:rPr>
          <w:rFonts w:ascii="宋体" w:hAnsi="宋体" w:cs="宋体"/>
          <w:kern w:val="0"/>
          <w:sz w:val="24"/>
        </w:rPr>
        <w:drawing>
          <wp:inline distT="0" distB="0" distL="0" distR="0">
            <wp:extent cx="5257800" cy="276225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jc w:val="left"/>
        <w:rPr>
          <w:rFonts w:ascii="宋体" w:hAnsi="宋体" w:cs="宋体"/>
          <w:kern w:val="0"/>
          <w:sz w:val="24"/>
        </w:rPr>
      </w:pPr>
    </w:p>
    <w:p>
      <w:pPr>
        <w:pStyle w:val="23"/>
        <w:numPr>
          <w:ilvl w:val="0"/>
          <w:numId w:val="1"/>
        </w:numPr>
        <w:spacing w:line="600" w:lineRule="exact"/>
        <w:ind w:firstLineChars="0"/>
        <w:outlineLvl w:val="1"/>
        <w:rPr>
          <w:rStyle w:val="25"/>
          <w:rFonts w:ascii="黑体" w:hAnsi="黑体" w:eastAsia="黑体"/>
          <w:b w:val="0"/>
        </w:rPr>
      </w:pPr>
      <w:bookmarkStart w:id="20" w:name="_Toc15396604"/>
      <w:bookmarkStart w:id="21"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9年本年收入合计21,232.59万元，其中：一般公共预算财政拨款收入1,387.38万元，占6.53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；政府性基金预算财政拨款收入658.82万元，占3.10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；事业收入19,124.75万元，占90.07</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；其他收入61.64万元，占0.29</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widowControl/>
        <w:jc w:val="center"/>
        <w:rPr>
          <w:rFonts w:ascii="宋体" w:hAnsi="宋体" w:cs="宋体"/>
          <w:kern w:val="0"/>
          <w:sz w:val="24"/>
        </w:rPr>
      </w:pPr>
      <w:r>
        <w:rPr>
          <w:rFonts w:ascii="宋体" w:hAnsi="宋体" w:cs="宋体"/>
          <w:kern w:val="0"/>
          <w:sz w:val="24"/>
        </w:rPr>
        <w:drawing>
          <wp:inline distT="0" distB="0" distL="0" distR="0">
            <wp:extent cx="5086350" cy="27432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rPr>
          <w:rFonts w:ascii="宋体" w:hAnsi="宋体" w:cs="宋体"/>
          <w:kern w:val="0"/>
          <w:sz w:val="24"/>
        </w:rPr>
      </w:pPr>
    </w:p>
    <w:p>
      <w:pPr>
        <w:widowControl/>
        <w:jc w:val="left"/>
        <w:rPr>
          <w:rFonts w:ascii="宋体" w:hAnsi="宋体" w:cs="宋体"/>
          <w:kern w:val="0"/>
          <w:sz w:val="24"/>
        </w:rPr>
      </w:pPr>
    </w:p>
    <w:p>
      <w:pPr>
        <w:pStyle w:val="23"/>
        <w:numPr>
          <w:ilvl w:val="0"/>
          <w:numId w:val="1"/>
        </w:numPr>
        <w:spacing w:line="600" w:lineRule="exact"/>
        <w:ind w:firstLineChars="0"/>
        <w:outlineLvl w:val="1"/>
        <w:rPr>
          <w:rStyle w:val="25"/>
          <w:rFonts w:ascii="黑体" w:hAnsi="黑体" w:eastAsia="黑体"/>
          <w:b w:val="0"/>
        </w:rPr>
      </w:pPr>
      <w:bookmarkStart w:id="22" w:name="_Toc15396605"/>
      <w:bookmarkStart w:id="23"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9年本年支出合计20,167.45万元，其中：基本支出19,847.52万元，占96.27</w:t>
      </w:r>
      <w:r>
        <w:rPr>
          <w:rFonts w:ascii="仿宋" w:hAnsi="仿宋" w:eastAsia="仿宋"/>
          <w:color w:val="000000"/>
          <w:sz w:val="32"/>
          <w:szCs w:val="32"/>
        </w:rPr>
        <w:t>%</w:t>
      </w:r>
      <w:r>
        <w:rPr>
          <w:rFonts w:hint="eastAsia" w:ascii="仿宋" w:hAnsi="仿宋" w:eastAsia="仿宋"/>
          <w:color w:val="000000"/>
          <w:sz w:val="32"/>
          <w:szCs w:val="32"/>
        </w:rPr>
        <w:t>；项目支出769.93万元，占3.88</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widowControl/>
        <w:jc w:val="center"/>
        <w:rPr>
          <w:rFonts w:ascii="宋体" w:hAnsi="宋体" w:cs="宋体"/>
          <w:kern w:val="0"/>
          <w:sz w:val="24"/>
        </w:rPr>
      </w:pPr>
      <w:r>
        <w:rPr>
          <w:rFonts w:ascii="宋体" w:hAnsi="宋体" w:cs="宋体"/>
          <w:kern w:val="0"/>
          <w:sz w:val="24"/>
        </w:rPr>
        <w:drawing>
          <wp:inline distT="0" distB="0" distL="0" distR="0">
            <wp:extent cx="5029200" cy="2381250"/>
            <wp:effectExtent l="4445" t="4445" r="82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jc w:val="center"/>
        <w:rPr>
          <w:rFonts w:ascii="宋体" w:hAnsi="宋体" w:cs="宋体"/>
          <w:kern w:val="0"/>
          <w:sz w:val="24"/>
        </w:rPr>
      </w:pPr>
    </w:p>
    <w:p>
      <w:pPr>
        <w:spacing w:line="600" w:lineRule="exact"/>
        <w:ind w:firstLine="640" w:firstLineChars="200"/>
        <w:outlineLvl w:val="1"/>
        <w:rPr>
          <w:rStyle w:val="25"/>
          <w:rFonts w:ascii="黑体" w:hAnsi="黑体" w:eastAsia="黑体"/>
          <w:b w:val="0"/>
        </w:rPr>
      </w:pPr>
      <w:bookmarkStart w:id="24" w:name="_Toc15377208"/>
      <w:bookmarkStart w:id="25"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9年财政拨款收入总计2,046.20万元，支出总计1,473.55万元。与</w:t>
      </w:r>
      <w:r>
        <w:rPr>
          <w:rFonts w:ascii="仿宋" w:hAnsi="仿宋" w:eastAsia="仿宋"/>
          <w:color w:val="000000"/>
          <w:sz w:val="32"/>
          <w:szCs w:val="32"/>
        </w:rPr>
        <w:t>201</w:t>
      </w:r>
      <w:r>
        <w:rPr>
          <w:rFonts w:hint="eastAsia" w:ascii="仿宋" w:hAnsi="仿宋" w:eastAsia="仿宋"/>
          <w:color w:val="000000"/>
          <w:sz w:val="32"/>
          <w:szCs w:val="32"/>
        </w:rPr>
        <w:t>8年相比，财政拨款收入总计增加852.98万元、增长71.49%，支出总计增加87.88万元，增长6.34</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widowControl/>
        <w:jc w:val="center"/>
        <w:rPr>
          <w:rFonts w:ascii="宋体" w:hAnsi="宋体" w:cs="宋体"/>
          <w:kern w:val="0"/>
          <w:sz w:val="24"/>
        </w:rPr>
      </w:pPr>
    </w:p>
    <w:p>
      <w:pPr>
        <w:widowControl/>
        <w:jc w:val="left"/>
        <w:rPr>
          <w:rFonts w:ascii="宋体" w:hAnsi="宋体" w:cs="宋体"/>
          <w:kern w:val="0"/>
          <w:sz w:val="24"/>
        </w:rPr>
      </w:pPr>
      <w:r>
        <w:rPr>
          <w:rFonts w:ascii="宋体" w:hAnsi="宋体" w:cs="宋体"/>
          <w:kern w:val="0"/>
          <w:sz w:val="24"/>
        </w:rPr>
        <w:drawing>
          <wp:inline distT="0" distB="0" distL="0" distR="0">
            <wp:extent cx="5534025" cy="2657475"/>
            <wp:effectExtent l="19050" t="0" r="9525"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color w:val="000000"/>
          <w:sz w:val="32"/>
          <w:szCs w:val="32"/>
        </w:rPr>
      </w:pPr>
      <w:bookmarkStart w:id="28" w:name="_Toc15377210"/>
      <w:r>
        <w:rPr>
          <w:rFonts w:hint="eastAsia" w:ascii="仿宋" w:hAnsi="仿宋" w:eastAsia="仿宋"/>
          <w:b/>
          <w:color w:val="000000"/>
          <w:sz w:val="32"/>
          <w:szCs w:val="32"/>
        </w:rPr>
        <w:t>（一）一般公共预算财政拨款支出决算总体情况</w:t>
      </w:r>
      <w:bookmarkEnd w:id="2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9年一般公共预算财政拨款支出1,387.38万元，占本年支出合计的5.30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8年相比，一般公共预算财政拨款支出增加294.72万元，增长26.97</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widowControl/>
        <w:rPr>
          <w:rFonts w:ascii="宋体" w:hAnsi="宋体" w:cs="宋体"/>
          <w:kern w:val="0"/>
          <w:sz w:val="24"/>
        </w:rPr>
      </w:pPr>
      <w:r>
        <w:rPr>
          <w:rFonts w:ascii="宋体" w:hAnsi="宋体" w:cs="宋体"/>
          <w:kern w:val="0"/>
          <w:sz w:val="24"/>
        </w:rPr>
        <w:drawing>
          <wp:inline distT="0" distB="0" distL="0" distR="0">
            <wp:extent cx="4966970" cy="3053715"/>
            <wp:effectExtent l="19050" t="0" r="24082"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29" w:name="_Toc15377211"/>
      <w:r>
        <w:rPr>
          <w:rFonts w:hint="eastAsia" w:ascii="仿宋" w:hAnsi="仿宋" w:eastAsia="仿宋"/>
          <w:b/>
          <w:color w:val="000000"/>
          <w:sz w:val="32"/>
          <w:szCs w:val="32"/>
        </w:rPr>
        <w:t>（二）一般公共预算财政拨款支出决算结构情况</w:t>
      </w:r>
      <w:bookmarkEnd w:id="29"/>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政拨款支出1,387.38万元，主要用于以下方面</w:t>
      </w:r>
      <w:r>
        <w:rPr>
          <w:rFonts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1319.48万元，占95.11</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；住房保障支出67.90万元，占4.89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widowControl/>
        <w:jc w:val="center"/>
        <w:rPr>
          <w:rFonts w:ascii="宋体" w:hAnsi="宋体" w:cs="宋体"/>
          <w:kern w:val="0"/>
          <w:sz w:val="24"/>
        </w:rPr>
      </w:pPr>
      <w:r>
        <w:rPr>
          <w:rFonts w:ascii="宋体" w:hAnsi="宋体" w:cs="宋体"/>
          <w:kern w:val="0"/>
          <w:sz w:val="24"/>
        </w:rPr>
        <w:drawing>
          <wp:inline distT="0" distB="0" distL="0" distR="0">
            <wp:extent cx="4657725" cy="2847975"/>
            <wp:effectExtent l="19050" t="0" r="9525"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30" w:name="_Toc15377212"/>
      <w:r>
        <w:rPr>
          <w:rFonts w:hint="eastAsia" w:ascii="仿宋" w:hAnsi="仿宋" w:eastAsia="仿宋"/>
          <w:b/>
          <w:color w:val="000000"/>
          <w:sz w:val="32"/>
          <w:szCs w:val="32"/>
        </w:rPr>
        <w:t>（三）一般公共预算财政拨款支出决算具体情况</w:t>
      </w:r>
      <w:bookmarkEnd w:id="30"/>
    </w:p>
    <w:p>
      <w:pPr>
        <w:spacing w:line="600" w:lineRule="exact"/>
        <w:ind w:firstLine="643" w:firstLineChars="200"/>
        <w:outlineLvl w:val="2"/>
        <w:rPr>
          <w:rFonts w:ascii="仿宋" w:hAnsi="仿宋" w:eastAsia="仿宋"/>
          <w:color w:val="FF0000"/>
          <w:sz w:val="32"/>
          <w:szCs w:val="32"/>
        </w:rPr>
      </w:pPr>
      <w:bookmarkStart w:id="31" w:name="_Toc15378460"/>
      <w:bookmarkStart w:id="32" w:name="_Toc15377213"/>
      <w:bookmarkStart w:id="33" w:name="_Toc15377444"/>
      <w:r>
        <w:rPr>
          <w:rFonts w:hint="eastAsia" w:ascii="仿宋" w:hAnsi="仿宋" w:eastAsia="仿宋"/>
          <w:b/>
          <w:color w:val="000000" w:themeColor="text1"/>
          <w:sz w:val="32"/>
          <w:szCs w:val="32"/>
        </w:rPr>
        <w:t>2019年一般公共预算支出决算数为1,387.38万元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预算59.97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1"/>
      <w:bookmarkEnd w:id="32"/>
      <w:bookmarkEnd w:id="33"/>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 xml:space="preserve">2100202  </w:t>
      </w:r>
      <w:r>
        <w:rPr>
          <w:rFonts w:hint="eastAsia" w:ascii="仿宋_GB2312" w:eastAsia="仿宋_GB2312"/>
          <w:color w:val="000000"/>
          <w:sz w:val="32"/>
          <w:szCs w:val="32"/>
        </w:rPr>
        <w:t>中医（民族）医院</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支出决算为635.72万元，完成预算100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 xml:space="preserve">2.2100299  </w:t>
      </w:r>
      <w:r>
        <w:rPr>
          <w:rFonts w:hint="eastAsia" w:ascii="仿宋_GB2312" w:eastAsia="仿宋_GB2312"/>
          <w:color w:val="000000"/>
          <w:sz w:val="32"/>
          <w:szCs w:val="32"/>
        </w:rPr>
        <w:t>其他公立医院支出</w:t>
      </w:r>
      <w:r>
        <w:rPr>
          <w:rStyle w:val="14"/>
          <w:rFonts w:hint="eastAsia" w:ascii="仿宋" w:hAnsi="仿宋" w:eastAsia="仿宋"/>
          <w:bCs/>
          <w:color w:val="000000"/>
          <w:sz w:val="32"/>
          <w:szCs w:val="32"/>
        </w:rPr>
        <w:t>：</w:t>
      </w:r>
      <w:r>
        <w:rPr>
          <w:rStyle w:val="14"/>
          <w:rFonts w:hint="eastAsia" w:ascii="仿宋" w:hAnsi="仿宋" w:eastAsia="仿宋"/>
          <w:b w:val="0"/>
          <w:bCs/>
          <w:color w:val="000000"/>
          <w:sz w:val="32"/>
          <w:szCs w:val="32"/>
        </w:rPr>
        <w:t>支出决算为173.56万元，完成预算69.87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 xml:space="preserve">3.2100601  </w:t>
      </w:r>
      <w:r>
        <w:rPr>
          <w:rFonts w:hint="eastAsia" w:ascii="仿宋_GB2312" w:eastAsia="仿宋_GB2312"/>
          <w:color w:val="000000"/>
          <w:sz w:val="32"/>
          <w:szCs w:val="32"/>
        </w:rPr>
        <w:t>中医（民族医）药专项</w:t>
      </w:r>
      <w:r>
        <w:rPr>
          <w:rStyle w:val="14"/>
          <w:rFonts w:hint="eastAsia" w:ascii="仿宋" w:hAnsi="仿宋" w:eastAsia="仿宋"/>
          <w:bCs/>
          <w:color w:val="000000"/>
          <w:sz w:val="32"/>
          <w:szCs w:val="32"/>
        </w:rPr>
        <w:t>：</w:t>
      </w:r>
      <w:r>
        <w:rPr>
          <w:rStyle w:val="14"/>
          <w:rFonts w:hint="eastAsia" w:ascii="仿宋" w:hAnsi="仿宋" w:eastAsia="仿宋"/>
          <w:b w:val="0"/>
          <w:bCs/>
          <w:color w:val="000000"/>
          <w:sz w:val="32"/>
          <w:szCs w:val="32"/>
        </w:rPr>
        <w:t>支出决算为500万元，完成预算0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，决算数小于预算数的主要原因是项目正在开展。</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 xml:space="preserve">4.2100699  </w:t>
      </w:r>
      <w:r>
        <w:rPr>
          <w:rFonts w:hint="eastAsia" w:ascii="仿宋_GB2312" w:eastAsia="仿宋_GB2312"/>
          <w:color w:val="000000"/>
          <w:sz w:val="32"/>
          <w:szCs w:val="32"/>
        </w:rPr>
        <w:t>其他中医药支出</w:t>
      </w:r>
      <w:r>
        <w:rPr>
          <w:rStyle w:val="14"/>
          <w:rFonts w:hint="eastAsia" w:ascii="仿宋" w:hAnsi="仿宋" w:eastAsia="仿宋"/>
          <w:bCs/>
          <w:color w:val="000000"/>
          <w:sz w:val="32"/>
          <w:szCs w:val="32"/>
        </w:rPr>
        <w:t>：</w:t>
      </w:r>
      <w:r>
        <w:rPr>
          <w:rStyle w:val="14"/>
          <w:rFonts w:hint="eastAsia" w:ascii="仿宋" w:hAnsi="仿宋" w:eastAsia="仿宋"/>
          <w:b w:val="0"/>
          <w:bCs/>
          <w:color w:val="000000"/>
          <w:sz w:val="32"/>
          <w:szCs w:val="32"/>
        </w:rPr>
        <w:t>支出决算为3万元，完成预算0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，决算数小于预算数的主要原因是项目正在开展。</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 xml:space="preserve">5.2109901  </w:t>
      </w:r>
      <w:r>
        <w:rPr>
          <w:rFonts w:hint="eastAsia" w:ascii="仿宋_GB2312" w:eastAsia="仿宋_GB2312"/>
          <w:color w:val="000000"/>
          <w:sz w:val="32"/>
          <w:szCs w:val="32"/>
        </w:rPr>
        <w:t>其他卫生健康支出</w:t>
      </w:r>
      <w:r>
        <w:rPr>
          <w:rStyle w:val="14"/>
          <w:rFonts w:hint="eastAsia" w:ascii="仿宋" w:hAnsi="仿宋" w:eastAsia="仿宋"/>
          <w:bCs/>
          <w:color w:val="000000"/>
          <w:sz w:val="32"/>
          <w:szCs w:val="32"/>
        </w:rPr>
        <w:t>：</w:t>
      </w:r>
      <w:r>
        <w:rPr>
          <w:rStyle w:val="14"/>
          <w:rFonts w:hint="eastAsia" w:ascii="仿宋" w:hAnsi="仿宋" w:eastAsia="仿宋"/>
          <w:b w:val="0"/>
          <w:bCs/>
          <w:color w:val="000000"/>
          <w:sz w:val="32"/>
          <w:szCs w:val="32"/>
        </w:rPr>
        <w:t>支出决算为7.20万元，完成预算100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2210201  </w:t>
      </w:r>
      <w:r>
        <w:rPr>
          <w:rFonts w:hint="eastAsia" w:ascii="仿宋_GB2312" w:eastAsia="仿宋_GB2312"/>
          <w:color w:val="000000"/>
          <w:sz w:val="32"/>
          <w:szCs w:val="32"/>
        </w:rPr>
        <w:t>住房公积金</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67.90</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34" w:name="_Toc15396608"/>
      <w:bookmarkStart w:id="3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9年一般公共预算财政拨款基本支出703.62万元，其中：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703.62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w:t>
      </w:r>
    </w:p>
    <w:p>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6"/>
      <w:bookmarkEnd w:id="37"/>
    </w:p>
    <w:p>
      <w:pPr>
        <w:spacing w:line="600" w:lineRule="exact"/>
        <w:ind w:firstLine="640"/>
        <w:outlineLvl w:val="1"/>
        <w:rPr>
          <w:rFonts w:ascii="黑体" w:eastAsia="黑体"/>
          <w:color w:val="000000"/>
          <w:sz w:val="32"/>
          <w:szCs w:val="32"/>
        </w:rPr>
      </w:pPr>
      <w:r>
        <w:rPr>
          <w:rStyle w:val="25"/>
          <w:rFonts w:hint="eastAsia" w:ascii="黑体" w:hAnsi="黑体" w:eastAsia="黑体"/>
          <w:b w:val="0"/>
        </w:rPr>
        <w:t>无</w:t>
      </w:r>
      <w:bookmarkStart w:id="38" w:name="_Toc15396610"/>
      <w:bookmarkStart w:id="39"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38"/>
      <w:bookmarkEnd w:id="3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9年政府性基金预算拨款支出658.82万元。</w:t>
      </w:r>
    </w:p>
    <w:p>
      <w:pPr>
        <w:numPr>
          <w:ilvl w:val="0"/>
          <w:numId w:val="2"/>
        </w:numPr>
        <w:spacing w:line="600" w:lineRule="exact"/>
        <w:ind w:firstLine="640"/>
        <w:outlineLvl w:val="1"/>
        <w:rPr>
          <w:rStyle w:val="25"/>
          <w:rFonts w:ascii="黑体" w:hAnsi="黑体" w:eastAsia="黑体"/>
          <w:b w:val="0"/>
        </w:rPr>
      </w:pPr>
      <w:bookmarkStart w:id="40" w:name="_Toc15377219"/>
      <w:bookmarkStart w:id="41" w:name="_Toc15396611"/>
      <w:r>
        <w:rPr>
          <w:rStyle w:val="25"/>
          <w:rFonts w:hint="eastAsia" w:ascii="黑体" w:hAnsi="黑体" w:eastAsia="黑体"/>
          <w:b w:val="0"/>
        </w:rPr>
        <w:t>国有资本经营预算支出决算情况说明</w:t>
      </w:r>
      <w:bookmarkEnd w:id="40"/>
      <w:bookmarkEnd w:id="41"/>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spacing w:line="600" w:lineRule="exact"/>
        <w:ind w:firstLine="800" w:firstLineChars="250"/>
        <w:outlineLvl w:val="1"/>
        <w:rPr>
          <w:rStyle w:val="25"/>
          <w:rFonts w:ascii="黑体" w:hAnsi="黑体" w:eastAsia="黑体"/>
        </w:rPr>
      </w:pPr>
      <w:bookmarkStart w:id="42" w:name="_Toc15377221"/>
      <w:bookmarkStart w:id="43"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2"/>
      <w:bookmarkEnd w:id="43"/>
    </w:p>
    <w:p>
      <w:pPr>
        <w:spacing w:line="600" w:lineRule="exact"/>
        <w:ind w:firstLine="643" w:firstLineChars="200"/>
        <w:outlineLvl w:val="2"/>
        <w:rPr>
          <w:rFonts w:ascii="仿宋" w:hAnsi="仿宋" w:eastAsia="仿宋"/>
          <w:color w:val="000000"/>
          <w:sz w:val="32"/>
          <w:szCs w:val="32"/>
        </w:rPr>
      </w:pPr>
      <w:bookmarkStart w:id="44" w:name="_Toc15377222"/>
      <w:r>
        <w:rPr>
          <w:rFonts w:hint="eastAsia" w:ascii="仿宋" w:hAnsi="仿宋" w:eastAsia="仿宋"/>
          <w:b/>
          <w:color w:val="000000"/>
          <w:sz w:val="32"/>
          <w:szCs w:val="32"/>
        </w:rPr>
        <w:t>（一）机关运行经费支出情况</w:t>
      </w:r>
      <w:bookmarkEnd w:id="44"/>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5" w:name="_Toc15377223"/>
      <w:r>
        <w:rPr>
          <w:rFonts w:hint="eastAsia" w:ascii="仿宋" w:hAnsi="仿宋" w:eastAsia="仿宋"/>
          <w:b/>
          <w:color w:val="000000"/>
          <w:sz w:val="32"/>
          <w:szCs w:val="32"/>
        </w:rPr>
        <w:t>（二）政府采购支出情况</w:t>
      </w:r>
      <w:bookmarkEnd w:id="45"/>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6" w:name="_Toc15377224"/>
      <w:r>
        <w:rPr>
          <w:rFonts w:hint="eastAsia" w:ascii="仿宋" w:hAnsi="仿宋" w:eastAsia="仿宋"/>
          <w:b/>
          <w:color w:val="000000"/>
          <w:sz w:val="32"/>
          <w:szCs w:val="32"/>
        </w:rPr>
        <w:t>（三）国有资产占有使用情况</w:t>
      </w:r>
      <w:bookmarkEnd w:id="46"/>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日，我院共有车辆8辆，其中：特种专业技术用车5辆、其他用车3辆，</w:t>
      </w:r>
      <w:r>
        <w:rPr>
          <w:rFonts w:hint="eastAsia" w:ascii="仿宋_GB2312" w:eastAsia="仿宋_GB2312"/>
          <w:color w:val="000000" w:themeColor="text1"/>
          <w:sz w:val="32"/>
          <w:szCs w:val="32"/>
        </w:rPr>
        <w:t>其他用车主要是用于行政用车。单价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万元以上通用设备6台，单价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万元以上专用设备9台。</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本部门未组织开展项目支出绩效评价。</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numPr>
          <w:ilvl w:val="0"/>
          <w:numId w:val="3"/>
        </w:numPr>
        <w:spacing w:line="600" w:lineRule="exact"/>
        <w:ind w:firstLine="660" w:firstLineChars="150"/>
        <w:jc w:val="center"/>
        <w:outlineLvl w:val="0"/>
        <w:rPr>
          <w:rStyle w:val="24"/>
          <w:rFonts w:ascii="黑体" w:hAnsi="黑体" w:eastAsia="黑体"/>
          <w:b w:val="0"/>
        </w:rPr>
      </w:pPr>
      <w:bookmarkStart w:id="47" w:name="_Toc15396613"/>
      <w:bookmarkStart w:id="48"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47"/>
      <w:bookmarkEnd w:id="48"/>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事业收入：指事业单位开展专业业务活动及辅助活动取得的收入。如医院门诊、住院收入。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其他收入：指单位取得的除上述收入以外的各项收入。主要是实习带教收入、卖废塑料包装收入等。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卫生健康（类）公立医院（款）中医（民族）医院（项）：指2100202。</w:t>
      </w:r>
    </w:p>
    <w:p>
      <w:pPr>
        <w:ind w:firstLine="640" w:firstLineChars="200"/>
        <w:rPr>
          <w:rFonts w:ascii="仿宋_GB2312" w:eastAsia="仿宋_GB2312"/>
          <w:color w:val="000000"/>
          <w:sz w:val="32"/>
          <w:szCs w:val="32"/>
          <w:highlight w:val="yellow"/>
        </w:rPr>
      </w:pPr>
      <w:r>
        <w:rPr>
          <w:rFonts w:hint="eastAsia" w:ascii="仿宋_GB2312" w:eastAsia="仿宋_GB2312"/>
          <w:color w:val="000000"/>
          <w:sz w:val="32"/>
          <w:szCs w:val="32"/>
          <w:highlight w:val="yellow"/>
        </w:rPr>
        <w:t>10</w:t>
      </w:r>
      <w:r>
        <w:rPr>
          <w:rFonts w:ascii="仿宋_GB2312" w:eastAsia="仿宋_GB2312"/>
          <w:color w:val="000000"/>
          <w:sz w:val="32"/>
          <w:szCs w:val="32"/>
          <w:highlight w:val="yellow"/>
        </w:rPr>
        <w:t>.</w:t>
      </w:r>
      <w:r>
        <w:rPr>
          <w:rFonts w:hint="eastAsia" w:ascii="仿宋_GB2312" w:eastAsia="仿宋_GB2312"/>
          <w:color w:val="000000"/>
          <w:sz w:val="32"/>
          <w:szCs w:val="32"/>
          <w:highlight w:val="yellow"/>
        </w:rPr>
        <w:t>卫生健康（类）公立医院（款）其他公立医院支出（项）：指2100299。</w:t>
      </w:r>
    </w:p>
    <w:p>
      <w:pPr>
        <w:ind w:firstLine="640" w:firstLineChars="200"/>
        <w:rPr>
          <w:rFonts w:ascii="仿宋_GB2312" w:eastAsia="仿宋_GB2312"/>
          <w:color w:val="000000"/>
          <w:sz w:val="32"/>
          <w:szCs w:val="32"/>
          <w:highlight w:val="yellow"/>
        </w:rPr>
      </w:pPr>
      <w:r>
        <w:rPr>
          <w:rFonts w:hint="eastAsia" w:ascii="仿宋_GB2312" w:eastAsia="仿宋_GB2312"/>
          <w:color w:val="000000"/>
          <w:sz w:val="32"/>
          <w:szCs w:val="32"/>
          <w:highlight w:val="yellow"/>
        </w:rPr>
        <w:t>11</w:t>
      </w:r>
      <w:r>
        <w:rPr>
          <w:rFonts w:ascii="仿宋_GB2312" w:eastAsia="仿宋_GB2312"/>
          <w:color w:val="000000"/>
          <w:sz w:val="32"/>
          <w:szCs w:val="32"/>
          <w:highlight w:val="yellow"/>
        </w:rPr>
        <w:t>.</w:t>
      </w:r>
      <w:r>
        <w:rPr>
          <w:rFonts w:hint="eastAsia"/>
        </w:rPr>
        <w:t xml:space="preserve"> </w:t>
      </w:r>
      <w:r>
        <w:rPr>
          <w:rFonts w:hint="eastAsia" w:ascii="仿宋_GB2312" w:eastAsia="仿宋_GB2312"/>
          <w:color w:val="000000"/>
          <w:sz w:val="32"/>
          <w:szCs w:val="32"/>
        </w:rPr>
        <w:t>卫生健康（类）中医药（款）中医（民族医）药专项（项）</w:t>
      </w:r>
      <w:r>
        <w:rPr>
          <w:rFonts w:hint="eastAsia" w:ascii="仿宋_GB2312" w:eastAsia="仿宋_GB2312"/>
          <w:color w:val="000000"/>
          <w:sz w:val="32"/>
          <w:szCs w:val="32"/>
          <w:highlight w:val="yellow"/>
        </w:rPr>
        <w:t>：指2100601。</w:t>
      </w:r>
    </w:p>
    <w:p>
      <w:pPr>
        <w:ind w:firstLine="640" w:firstLineChars="200"/>
        <w:rPr>
          <w:rFonts w:ascii="仿宋_GB2312" w:eastAsia="仿宋_GB2312"/>
          <w:color w:val="000000"/>
          <w:sz w:val="32"/>
          <w:szCs w:val="32"/>
          <w:highlight w:val="yellow"/>
        </w:rPr>
      </w:pPr>
      <w:r>
        <w:rPr>
          <w:rFonts w:hint="eastAsia" w:ascii="仿宋_GB2312" w:eastAsia="仿宋_GB2312"/>
          <w:color w:val="000000"/>
          <w:sz w:val="32"/>
          <w:szCs w:val="32"/>
          <w:highlight w:val="yellow"/>
        </w:rPr>
        <w:t>12</w:t>
      </w:r>
      <w:r>
        <w:rPr>
          <w:rFonts w:ascii="仿宋_GB2312" w:eastAsia="仿宋_GB2312"/>
          <w:color w:val="000000"/>
          <w:sz w:val="32"/>
          <w:szCs w:val="32"/>
          <w:highlight w:val="yellow"/>
        </w:rPr>
        <w:t>.</w:t>
      </w:r>
      <w:r>
        <w:rPr>
          <w:rFonts w:hint="eastAsia"/>
        </w:rPr>
        <w:t xml:space="preserve"> </w:t>
      </w:r>
      <w:r>
        <w:rPr>
          <w:rFonts w:hint="eastAsia" w:ascii="仿宋_GB2312" w:eastAsia="仿宋_GB2312"/>
          <w:color w:val="000000"/>
          <w:sz w:val="32"/>
          <w:szCs w:val="32"/>
        </w:rPr>
        <w:t>卫生健康（类）中医药（款）其他中医药支出（项）</w:t>
      </w:r>
      <w:r>
        <w:rPr>
          <w:rFonts w:hint="eastAsia" w:ascii="仿宋_GB2312" w:eastAsia="仿宋_GB2312"/>
          <w:color w:val="000000"/>
          <w:sz w:val="32"/>
          <w:szCs w:val="32"/>
          <w:highlight w:val="yellow"/>
        </w:rPr>
        <w:t>：指2100699。</w:t>
      </w:r>
    </w:p>
    <w:p>
      <w:pPr>
        <w:ind w:firstLine="640" w:firstLineChars="200"/>
        <w:rPr>
          <w:rFonts w:ascii="仿宋_GB2312" w:eastAsia="仿宋_GB2312"/>
          <w:color w:val="000000"/>
          <w:sz w:val="32"/>
          <w:szCs w:val="32"/>
          <w:highlight w:val="yellow"/>
        </w:rPr>
      </w:pPr>
      <w:r>
        <w:rPr>
          <w:rFonts w:hint="eastAsia" w:ascii="仿宋_GB2312" w:eastAsia="仿宋_GB2312"/>
          <w:color w:val="000000"/>
          <w:sz w:val="32"/>
          <w:szCs w:val="32"/>
          <w:highlight w:val="yellow"/>
        </w:rPr>
        <w:t>13</w:t>
      </w:r>
      <w:r>
        <w:rPr>
          <w:rFonts w:ascii="仿宋_GB2312" w:eastAsia="仿宋_GB2312"/>
          <w:color w:val="000000"/>
          <w:sz w:val="32"/>
          <w:szCs w:val="32"/>
          <w:highlight w:val="yellow"/>
        </w:rPr>
        <w:t>.</w:t>
      </w:r>
      <w:r>
        <w:rPr>
          <w:rFonts w:hint="eastAsia" w:ascii="仿宋_GB2312" w:eastAsia="仿宋_GB2312"/>
          <w:color w:val="000000"/>
          <w:sz w:val="32"/>
          <w:szCs w:val="32"/>
          <w:highlight w:val="yellow"/>
        </w:rPr>
        <w:t>卫生健康（类）其他卫生健康支出（款）其他卫生健康支出（项）：指2109901。</w:t>
      </w:r>
    </w:p>
    <w:p>
      <w:pPr>
        <w:ind w:firstLine="640" w:firstLineChars="200"/>
        <w:rPr>
          <w:rFonts w:ascii="仿宋_GB2312" w:eastAsia="仿宋_GB2312"/>
          <w:color w:val="000000"/>
          <w:sz w:val="32"/>
          <w:szCs w:val="32"/>
        </w:rPr>
      </w:pPr>
      <w:r>
        <w:rPr>
          <w:rFonts w:hint="eastAsia" w:ascii="仿宋_GB2312" w:eastAsia="仿宋_GB2312"/>
          <w:color w:val="000000"/>
          <w:sz w:val="32"/>
          <w:szCs w:val="32"/>
          <w:highlight w:val="yellow"/>
        </w:rPr>
        <w:t>14</w:t>
      </w:r>
      <w:r>
        <w:rPr>
          <w:rFonts w:ascii="仿宋_GB2312" w:eastAsia="仿宋_GB2312"/>
          <w:color w:val="000000"/>
          <w:sz w:val="32"/>
          <w:szCs w:val="32"/>
          <w:highlight w:val="yellow"/>
        </w:rPr>
        <w:t>.</w:t>
      </w:r>
      <w:r>
        <w:rPr>
          <w:rFonts w:hint="eastAsia" w:ascii="仿宋_GB2312" w:eastAsia="仿宋_GB2312"/>
          <w:color w:val="000000"/>
          <w:sz w:val="32"/>
          <w:szCs w:val="32"/>
          <w:highlight w:val="yellow"/>
        </w:rPr>
        <w:t>住房保障支出（类）住房改革支出（款）住房公积金（项）：指2210201。</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color w:val="000000"/>
          <w:sz w:val="32"/>
          <w:szCs w:val="32"/>
        </w:rPr>
      </w:pPr>
    </w:p>
    <w:p>
      <w:pPr>
        <w:spacing w:line="600" w:lineRule="exact"/>
        <w:jc w:val="center"/>
        <w:outlineLvl w:val="0"/>
        <w:rPr>
          <w:rStyle w:val="24"/>
          <w:rFonts w:ascii="黑体" w:hAnsi="黑体" w:eastAsia="黑体"/>
          <w:b w:val="0"/>
        </w:rPr>
      </w:pPr>
      <w:bookmarkStart w:id="49" w:name="_Toc15377226"/>
      <w:r>
        <w:rPr>
          <w:rFonts w:ascii="宋体"/>
          <w:b/>
          <w:color w:val="000000"/>
          <w:sz w:val="44"/>
          <w:szCs w:val="44"/>
        </w:rPr>
        <w:br w:type="page"/>
      </w:r>
      <w:bookmarkStart w:id="50"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0"/>
    </w:p>
    <w:p>
      <w:pPr>
        <w:spacing w:line="600" w:lineRule="exact"/>
        <w:jc w:val="center"/>
        <w:outlineLvl w:val="0"/>
        <w:rPr>
          <w:rFonts w:hint="eastAsia" w:ascii="黑体" w:hAnsi="黑体" w:eastAsia="黑体" w:cs="黑体"/>
          <w:sz w:val="32"/>
          <w:szCs w:val="32"/>
        </w:rPr>
      </w:pPr>
      <w:r>
        <w:rPr>
          <w:rFonts w:hint="eastAsia" w:ascii="黑体" w:hAnsi="黑体" w:eastAsia="黑体" w:cs="黑体"/>
          <w:sz w:val="32"/>
          <w:szCs w:val="32"/>
        </w:rPr>
        <w:t>无</w:t>
      </w: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Fonts w:hint="eastAsia" w:ascii="黑体" w:hAnsi="黑体" w:eastAsia="黑体" w:cs="黑体"/>
          <w:sz w:val="32"/>
          <w:szCs w:val="32"/>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1"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49"/>
      <w:bookmarkEnd w:id="51"/>
    </w:p>
    <w:p>
      <w:pPr>
        <w:pStyle w:val="3"/>
        <w:rPr>
          <w:rFonts w:ascii="仿宋" w:hAnsi="仿宋" w:eastAsia="仿宋"/>
          <w:color w:val="000000"/>
        </w:rPr>
      </w:pPr>
      <w:bookmarkStart w:id="52" w:name="_Toc15396619"/>
      <w:bookmarkStart w:id="65" w:name="_GoBack"/>
      <w:bookmarkEnd w:id="65"/>
      <w:r>
        <w:rPr>
          <w:rFonts w:hint="eastAsia" w:ascii="仿宋" w:hAnsi="仿宋" w:eastAsia="仿宋"/>
          <w:b w:val="0"/>
          <w:color w:val="000000"/>
        </w:rPr>
        <w:t>一、收</w:t>
      </w:r>
      <w:r>
        <w:rPr>
          <w:rStyle w:val="25"/>
          <w:rFonts w:hint="eastAsia" w:ascii="仿宋" w:hAnsi="仿宋" w:eastAsia="仿宋"/>
          <w:b w:val="0"/>
          <w:bCs w:val="0"/>
        </w:rPr>
        <w:t>入支出决算总表</w:t>
      </w:r>
      <w:bookmarkEnd w:id="52"/>
    </w:p>
    <w:p>
      <w:pPr>
        <w:pStyle w:val="3"/>
        <w:rPr>
          <w:rFonts w:ascii="仿宋" w:hAnsi="仿宋" w:eastAsia="仿宋"/>
          <w:color w:val="000000"/>
        </w:rPr>
      </w:pPr>
      <w:bookmarkStart w:id="53"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3"/>
    </w:p>
    <w:p>
      <w:pPr>
        <w:pStyle w:val="3"/>
        <w:rPr>
          <w:rFonts w:ascii="仿宋" w:hAnsi="仿宋" w:eastAsia="仿宋"/>
          <w:color w:val="000000"/>
        </w:rPr>
      </w:pPr>
      <w:bookmarkStart w:id="5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4"/>
    </w:p>
    <w:p>
      <w:pPr>
        <w:pStyle w:val="3"/>
        <w:rPr>
          <w:rFonts w:ascii="仿宋" w:hAnsi="仿宋" w:eastAsia="仿宋"/>
          <w:b w:val="0"/>
          <w:color w:val="000000"/>
        </w:rPr>
      </w:pPr>
      <w:bookmarkStart w:id="5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5"/>
    </w:p>
    <w:p>
      <w:pPr>
        <w:pStyle w:val="3"/>
        <w:rPr>
          <w:rStyle w:val="25"/>
          <w:rFonts w:ascii="仿宋" w:hAnsi="仿宋" w:eastAsia="仿宋"/>
          <w:b w:val="0"/>
          <w:bCs w:val="0"/>
        </w:rPr>
      </w:pPr>
      <w:bookmarkStart w:id="5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56"/>
      <w:bookmarkStart w:id="57"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57"/>
    </w:p>
    <w:p>
      <w:pPr>
        <w:pStyle w:val="3"/>
        <w:rPr>
          <w:rFonts w:ascii="仿宋" w:hAnsi="仿宋" w:eastAsia="仿宋"/>
          <w:color w:val="000000"/>
        </w:rPr>
      </w:pPr>
      <w:bookmarkStart w:id="5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58"/>
    </w:p>
    <w:p>
      <w:pPr>
        <w:pStyle w:val="3"/>
        <w:rPr>
          <w:rFonts w:ascii="仿宋" w:hAnsi="仿宋" w:eastAsia="仿宋"/>
          <w:color w:val="000000"/>
        </w:rPr>
      </w:pPr>
      <w:bookmarkStart w:id="59"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59"/>
    </w:p>
    <w:p>
      <w:pPr>
        <w:pStyle w:val="3"/>
        <w:rPr>
          <w:rFonts w:ascii="仿宋" w:hAnsi="仿宋" w:eastAsia="仿宋"/>
          <w:color w:val="000000"/>
        </w:rPr>
      </w:pPr>
      <w:bookmarkStart w:id="6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0"/>
    </w:p>
    <w:p>
      <w:pPr>
        <w:pStyle w:val="3"/>
        <w:rPr>
          <w:rFonts w:ascii="仿宋" w:hAnsi="仿宋" w:eastAsia="仿宋"/>
          <w:color w:val="000000"/>
        </w:rPr>
      </w:pPr>
      <w:bookmarkStart w:id="6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1"/>
    </w:p>
    <w:p>
      <w:pPr>
        <w:pStyle w:val="3"/>
        <w:rPr>
          <w:rFonts w:ascii="仿宋" w:hAnsi="仿宋" w:eastAsia="仿宋"/>
          <w:color w:val="000000"/>
        </w:rPr>
      </w:pPr>
      <w:bookmarkStart w:id="62"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2"/>
    </w:p>
    <w:p>
      <w:pPr>
        <w:pStyle w:val="3"/>
        <w:rPr>
          <w:rFonts w:ascii="仿宋" w:hAnsi="仿宋" w:eastAsia="仿宋"/>
          <w:color w:val="000000"/>
        </w:rPr>
      </w:pPr>
      <w:bookmarkStart w:id="6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3"/>
    </w:p>
    <w:p>
      <w:pPr>
        <w:pStyle w:val="3"/>
      </w:pPr>
      <w:bookmarkStart w:id="64"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Calibri">
    <w:panose1 w:val="020F0502020204030204"/>
    <w:charset w:val="01"/>
    <w:family w:val="auto"/>
    <w:pitch w:val="default"/>
    <w:sig w:usb0="A00002EF" w:usb1="4000207B" w:usb2="00000000" w:usb3="00000000" w:csb0="200000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6406"/>
    <w:rsid w:val="0002027A"/>
    <w:rsid w:val="000222C6"/>
    <w:rsid w:val="0002549F"/>
    <w:rsid w:val="00036024"/>
    <w:rsid w:val="000468DB"/>
    <w:rsid w:val="000546CD"/>
    <w:rsid w:val="0006487A"/>
    <w:rsid w:val="00065F8F"/>
    <w:rsid w:val="00070A43"/>
    <w:rsid w:val="000768F2"/>
    <w:rsid w:val="0009184B"/>
    <w:rsid w:val="00094236"/>
    <w:rsid w:val="0009593C"/>
    <w:rsid w:val="00097322"/>
    <w:rsid w:val="000A20F2"/>
    <w:rsid w:val="000A6A92"/>
    <w:rsid w:val="000B047F"/>
    <w:rsid w:val="000B5923"/>
    <w:rsid w:val="000B5A48"/>
    <w:rsid w:val="000B6FF3"/>
    <w:rsid w:val="000C3467"/>
    <w:rsid w:val="000C3CA6"/>
    <w:rsid w:val="000D1267"/>
    <w:rsid w:val="000D1D50"/>
    <w:rsid w:val="000D5782"/>
    <w:rsid w:val="000E6613"/>
    <w:rsid w:val="000E7119"/>
    <w:rsid w:val="00110111"/>
    <w:rsid w:val="00114E9B"/>
    <w:rsid w:val="00142216"/>
    <w:rsid w:val="0014456E"/>
    <w:rsid w:val="00144D6A"/>
    <w:rsid w:val="0014729F"/>
    <w:rsid w:val="00157BAB"/>
    <w:rsid w:val="001654D1"/>
    <w:rsid w:val="00173B02"/>
    <w:rsid w:val="00174518"/>
    <w:rsid w:val="0018106D"/>
    <w:rsid w:val="001877A7"/>
    <w:rsid w:val="00191536"/>
    <w:rsid w:val="00192937"/>
    <w:rsid w:val="00196687"/>
    <w:rsid w:val="001B38A3"/>
    <w:rsid w:val="001C0962"/>
    <w:rsid w:val="001C6D38"/>
    <w:rsid w:val="001D7531"/>
    <w:rsid w:val="001E737D"/>
    <w:rsid w:val="001F0592"/>
    <w:rsid w:val="001F4ED0"/>
    <w:rsid w:val="001F7506"/>
    <w:rsid w:val="002006CD"/>
    <w:rsid w:val="00202B36"/>
    <w:rsid w:val="00204B7A"/>
    <w:rsid w:val="00204CDE"/>
    <w:rsid w:val="0021101A"/>
    <w:rsid w:val="00220536"/>
    <w:rsid w:val="00235629"/>
    <w:rsid w:val="00235CC1"/>
    <w:rsid w:val="00245488"/>
    <w:rsid w:val="00255995"/>
    <w:rsid w:val="00260C38"/>
    <w:rsid w:val="002616C0"/>
    <w:rsid w:val="00265372"/>
    <w:rsid w:val="002662AA"/>
    <w:rsid w:val="00280496"/>
    <w:rsid w:val="00282DD5"/>
    <w:rsid w:val="00285A68"/>
    <w:rsid w:val="00294DC9"/>
    <w:rsid w:val="00295495"/>
    <w:rsid w:val="002A31DE"/>
    <w:rsid w:val="002B2613"/>
    <w:rsid w:val="002D19B0"/>
    <w:rsid w:val="002D6D05"/>
    <w:rsid w:val="002F1818"/>
    <w:rsid w:val="002F567B"/>
    <w:rsid w:val="003216A9"/>
    <w:rsid w:val="00335A74"/>
    <w:rsid w:val="0035378C"/>
    <w:rsid w:val="00364347"/>
    <w:rsid w:val="0036561B"/>
    <w:rsid w:val="0037013F"/>
    <w:rsid w:val="00380A35"/>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01FA"/>
    <w:rsid w:val="00406254"/>
    <w:rsid w:val="00416CD4"/>
    <w:rsid w:val="00420D21"/>
    <w:rsid w:val="004223DE"/>
    <w:rsid w:val="00434489"/>
    <w:rsid w:val="00437085"/>
    <w:rsid w:val="00443880"/>
    <w:rsid w:val="004464F4"/>
    <w:rsid w:val="00451E1B"/>
    <w:rsid w:val="004532B2"/>
    <w:rsid w:val="00471401"/>
    <w:rsid w:val="00473F31"/>
    <w:rsid w:val="0048263A"/>
    <w:rsid w:val="00487E5D"/>
    <w:rsid w:val="004902DE"/>
    <w:rsid w:val="004A079E"/>
    <w:rsid w:val="004A146C"/>
    <w:rsid w:val="004A711F"/>
    <w:rsid w:val="004B199D"/>
    <w:rsid w:val="004B4690"/>
    <w:rsid w:val="004E0A2D"/>
    <w:rsid w:val="004E206B"/>
    <w:rsid w:val="004E6D98"/>
    <w:rsid w:val="004E6DF7"/>
    <w:rsid w:val="004F0FBD"/>
    <w:rsid w:val="004F3661"/>
    <w:rsid w:val="004F403E"/>
    <w:rsid w:val="00505A47"/>
    <w:rsid w:val="00512FDA"/>
    <w:rsid w:val="00520B33"/>
    <w:rsid w:val="00520DA0"/>
    <w:rsid w:val="005230D1"/>
    <w:rsid w:val="00531855"/>
    <w:rsid w:val="005605F2"/>
    <w:rsid w:val="005664BB"/>
    <w:rsid w:val="00566FFA"/>
    <w:rsid w:val="0057481D"/>
    <w:rsid w:val="00575F0B"/>
    <w:rsid w:val="0058486E"/>
    <w:rsid w:val="00585B33"/>
    <w:rsid w:val="0059014D"/>
    <w:rsid w:val="00591D94"/>
    <w:rsid w:val="005A1B41"/>
    <w:rsid w:val="005B5C64"/>
    <w:rsid w:val="005C6BD0"/>
    <w:rsid w:val="005C6C4C"/>
    <w:rsid w:val="005D1C8B"/>
    <w:rsid w:val="005D468D"/>
    <w:rsid w:val="005D5CED"/>
    <w:rsid w:val="005F1A4C"/>
    <w:rsid w:val="005F34CE"/>
    <w:rsid w:val="00605688"/>
    <w:rsid w:val="00606CBA"/>
    <w:rsid w:val="006070AF"/>
    <w:rsid w:val="00607E6C"/>
    <w:rsid w:val="006101B1"/>
    <w:rsid w:val="00614E44"/>
    <w:rsid w:val="0062270A"/>
    <w:rsid w:val="00622830"/>
    <w:rsid w:val="00623DA0"/>
    <w:rsid w:val="00624836"/>
    <w:rsid w:val="00630AEF"/>
    <w:rsid w:val="006325F8"/>
    <w:rsid w:val="00633463"/>
    <w:rsid w:val="00634C9A"/>
    <w:rsid w:val="00643E01"/>
    <w:rsid w:val="006440E4"/>
    <w:rsid w:val="0066343B"/>
    <w:rsid w:val="00664777"/>
    <w:rsid w:val="00667D74"/>
    <w:rsid w:val="006748A4"/>
    <w:rsid w:val="00681A31"/>
    <w:rsid w:val="00683E73"/>
    <w:rsid w:val="00695ACB"/>
    <w:rsid w:val="006965E7"/>
    <w:rsid w:val="006A3141"/>
    <w:rsid w:val="006A5E34"/>
    <w:rsid w:val="006B2422"/>
    <w:rsid w:val="006B2B9A"/>
    <w:rsid w:val="006C1937"/>
    <w:rsid w:val="006C7A64"/>
    <w:rsid w:val="006F020C"/>
    <w:rsid w:val="007127B7"/>
    <w:rsid w:val="00712ABD"/>
    <w:rsid w:val="0071798E"/>
    <w:rsid w:val="00727533"/>
    <w:rsid w:val="007416B6"/>
    <w:rsid w:val="00741B75"/>
    <w:rsid w:val="00746F48"/>
    <w:rsid w:val="00750CDA"/>
    <w:rsid w:val="0075404D"/>
    <w:rsid w:val="0076182A"/>
    <w:rsid w:val="00761BFC"/>
    <w:rsid w:val="00767B7E"/>
    <w:rsid w:val="007770C3"/>
    <w:rsid w:val="007801CB"/>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19CC"/>
    <w:rsid w:val="00833962"/>
    <w:rsid w:val="0083706E"/>
    <w:rsid w:val="008408F6"/>
    <w:rsid w:val="008423A5"/>
    <w:rsid w:val="00850625"/>
    <w:rsid w:val="00853718"/>
    <w:rsid w:val="00855221"/>
    <w:rsid w:val="00860645"/>
    <w:rsid w:val="00871F71"/>
    <w:rsid w:val="00872FD8"/>
    <w:rsid w:val="0087641D"/>
    <w:rsid w:val="00885AF4"/>
    <w:rsid w:val="008939CD"/>
    <w:rsid w:val="008B3559"/>
    <w:rsid w:val="008B768C"/>
    <w:rsid w:val="008C4DB1"/>
    <w:rsid w:val="008C4EAF"/>
    <w:rsid w:val="008C5176"/>
    <w:rsid w:val="008C7FD0"/>
    <w:rsid w:val="008E1DE7"/>
    <w:rsid w:val="008E58C7"/>
    <w:rsid w:val="008E707C"/>
    <w:rsid w:val="008F0089"/>
    <w:rsid w:val="00900B08"/>
    <w:rsid w:val="00902155"/>
    <w:rsid w:val="00902FA3"/>
    <w:rsid w:val="00923564"/>
    <w:rsid w:val="0092392E"/>
    <w:rsid w:val="009315F9"/>
    <w:rsid w:val="00933499"/>
    <w:rsid w:val="00935C98"/>
    <w:rsid w:val="009468CE"/>
    <w:rsid w:val="00946945"/>
    <w:rsid w:val="00951248"/>
    <w:rsid w:val="0095152F"/>
    <w:rsid w:val="00954C49"/>
    <w:rsid w:val="00955E37"/>
    <w:rsid w:val="0097099F"/>
    <w:rsid w:val="00971997"/>
    <w:rsid w:val="00971FFC"/>
    <w:rsid w:val="0098660A"/>
    <w:rsid w:val="009931C3"/>
    <w:rsid w:val="009A48B8"/>
    <w:rsid w:val="009B2C43"/>
    <w:rsid w:val="009B4EAE"/>
    <w:rsid w:val="009B7573"/>
    <w:rsid w:val="009C22F4"/>
    <w:rsid w:val="009C2E98"/>
    <w:rsid w:val="009C37FB"/>
    <w:rsid w:val="009D3447"/>
    <w:rsid w:val="009D4711"/>
    <w:rsid w:val="009E2981"/>
    <w:rsid w:val="009E7D63"/>
    <w:rsid w:val="009F1185"/>
    <w:rsid w:val="009F18CD"/>
    <w:rsid w:val="009F2A13"/>
    <w:rsid w:val="009F7527"/>
    <w:rsid w:val="00A010E6"/>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09F2"/>
    <w:rsid w:val="00AB64C9"/>
    <w:rsid w:val="00AC19E6"/>
    <w:rsid w:val="00AC3C6A"/>
    <w:rsid w:val="00AD0F83"/>
    <w:rsid w:val="00AD5620"/>
    <w:rsid w:val="00AD5E11"/>
    <w:rsid w:val="00AD656B"/>
    <w:rsid w:val="00AD7C1B"/>
    <w:rsid w:val="00AE16BA"/>
    <w:rsid w:val="00AE1EBE"/>
    <w:rsid w:val="00AE3D8F"/>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2CE"/>
    <w:rsid w:val="00B87292"/>
    <w:rsid w:val="00B944D6"/>
    <w:rsid w:val="00BA16B8"/>
    <w:rsid w:val="00BB4DF0"/>
    <w:rsid w:val="00BC289F"/>
    <w:rsid w:val="00BC2D50"/>
    <w:rsid w:val="00BC5361"/>
    <w:rsid w:val="00BC5460"/>
    <w:rsid w:val="00BC6B50"/>
    <w:rsid w:val="00BD0E25"/>
    <w:rsid w:val="00BF51ED"/>
    <w:rsid w:val="00BF5BD6"/>
    <w:rsid w:val="00C02A52"/>
    <w:rsid w:val="00C03AFF"/>
    <w:rsid w:val="00C03E31"/>
    <w:rsid w:val="00C30E69"/>
    <w:rsid w:val="00C33E72"/>
    <w:rsid w:val="00C354B2"/>
    <w:rsid w:val="00C35554"/>
    <w:rsid w:val="00C42709"/>
    <w:rsid w:val="00C45A7B"/>
    <w:rsid w:val="00C533CC"/>
    <w:rsid w:val="00C5751C"/>
    <w:rsid w:val="00C61BFC"/>
    <w:rsid w:val="00C62B85"/>
    <w:rsid w:val="00C65438"/>
    <w:rsid w:val="00C91CBB"/>
    <w:rsid w:val="00CA2304"/>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424"/>
    <w:rsid w:val="00DA3F62"/>
    <w:rsid w:val="00DA634F"/>
    <w:rsid w:val="00DA65AC"/>
    <w:rsid w:val="00DB1913"/>
    <w:rsid w:val="00DC410D"/>
    <w:rsid w:val="00DC5A81"/>
    <w:rsid w:val="00DC68CA"/>
    <w:rsid w:val="00DC7CBA"/>
    <w:rsid w:val="00DD73B7"/>
    <w:rsid w:val="00DF28BC"/>
    <w:rsid w:val="00DF34B9"/>
    <w:rsid w:val="00DF7727"/>
    <w:rsid w:val="00E01053"/>
    <w:rsid w:val="00E07ACF"/>
    <w:rsid w:val="00E15933"/>
    <w:rsid w:val="00E331A1"/>
    <w:rsid w:val="00E33202"/>
    <w:rsid w:val="00E336A9"/>
    <w:rsid w:val="00E472B1"/>
    <w:rsid w:val="00E50624"/>
    <w:rsid w:val="00E568DF"/>
    <w:rsid w:val="00E64269"/>
    <w:rsid w:val="00E65EF1"/>
    <w:rsid w:val="00E66797"/>
    <w:rsid w:val="00E82267"/>
    <w:rsid w:val="00E853CE"/>
    <w:rsid w:val="00E867B6"/>
    <w:rsid w:val="00E86ED6"/>
    <w:rsid w:val="00E87F08"/>
    <w:rsid w:val="00EA010F"/>
    <w:rsid w:val="00EC5EE4"/>
    <w:rsid w:val="00ED0106"/>
    <w:rsid w:val="00ED1B63"/>
    <w:rsid w:val="00ED3C1F"/>
    <w:rsid w:val="00ED4085"/>
    <w:rsid w:val="00ED420E"/>
    <w:rsid w:val="00ED6FBE"/>
    <w:rsid w:val="00EE2F57"/>
    <w:rsid w:val="00EF0B5A"/>
    <w:rsid w:val="00EF1D16"/>
    <w:rsid w:val="00EF4C34"/>
    <w:rsid w:val="00EF77C6"/>
    <w:rsid w:val="00F05438"/>
    <w:rsid w:val="00F1361C"/>
    <w:rsid w:val="00F156F0"/>
    <w:rsid w:val="00F160C7"/>
    <w:rsid w:val="00F22C57"/>
    <w:rsid w:val="00F2408F"/>
    <w:rsid w:val="00F240E9"/>
    <w:rsid w:val="00F31AF2"/>
    <w:rsid w:val="00F36D8F"/>
    <w:rsid w:val="00F417B1"/>
    <w:rsid w:val="00F45853"/>
    <w:rsid w:val="00F5139A"/>
    <w:rsid w:val="00F602DF"/>
    <w:rsid w:val="00F754A1"/>
    <w:rsid w:val="00F774AB"/>
    <w:rsid w:val="00F81FD9"/>
    <w:rsid w:val="00F841AA"/>
    <w:rsid w:val="00F84A94"/>
    <w:rsid w:val="00F87E96"/>
    <w:rsid w:val="00FA23E8"/>
    <w:rsid w:val="00FD3CC1"/>
    <w:rsid w:val="00FF1E02"/>
    <w:rsid w:val="00FF30B4"/>
    <w:rsid w:val="00FF535D"/>
    <w:rsid w:val="10C055FF"/>
    <w:rsid w:val="16BB723D"/>
    <w:rsid w:val="240371BF"/>
    <w:rsid w:val="29FD04D3"/>
    <w:rsid w:val="319F7F4E"/>
    <w:rsid w:val="37C50D81"/>
    <w:rsid w:val="3D2C210D"/>
    <w:rsid w:val="4ECE2238"/>
    <w:rsid w:val="72734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22270;&#3492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22270;&#3492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2270;&#3492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22270;&#3492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22270;&#34920;.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266088150465"/>
          <c:y val="0.253747488460494"/>
          <c:w val="0.597568678915132"/>
          <c:h val="0.516628390201225"/>
        </c:manualLayout>
      </c:layout>
      <c:barChart>
        <c:barDir val="col"/>
        <c:grouping val="clustered"/>
        <c:varyColors val="0"/>
        <c:ser>
          <c:idx val="0"/>
          <c:order val="0"/>
          <c:tx>
            <c:strRef>
              <c:f>'填表数据  (3)'!$B$4</c:f>
              <c:strCache>
                <c:ptCount val="1"/>
                <c:pt idx="0">
                  <c:v>2018年</c:v>
                </c:pt>
              </c:strCache>
            </c:strRef>
          </c:tx>
          <c:invertIfNegative val="0"/>
          <c:dLbls>
            <c:dLbl>
              <c:idx val="0"/>
              <c:layout>
                <c:manualLayout>
                  <c:x val="-0.0337268128161888"/>
                  <c:y val="-0.04953561981606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47329960652052"/>
                  <c:y val="-0.037151714862051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solidFill>
                <a:srgbClr val="FFC000"/>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'填表数据  (3)'!$A$5:$A$6</c:f>
              <c:strCache>
                <c:ptCount val="2"/>
                <c:pt idx="0">
                  <c:v>收入</c:v>
                </c:pt>
                <c:pt idx="1">
                  <c:v>支出</c:v>
                </c:pt>
              </c:strCache>
            </c:strRef>
          </c:cat>
          <c:val>
            <c:numRef>
              <c:f>'填表数据  (3)'!$B$5:$B$6</c:f>
              <c:numCache>
                <c:formatCode>#,##0.00</c:formatCode>
                <c:ptCount val="2"/>
                <c:pt idx="0">
                  <c:v>16904.114083</c:v>
                </c:pt>
                <c:pt idx="1">
                  <c:v>16992.203713</c:v>
                </c:pt>
              </c:numCache>
            </c:numRef>
          </c:val>
        </c:ser>
        <c:ser>
          <c:idx val="1"/>
          <c:order val="1"/>
          <c:tx>
            <c:strRef>
              <c:f>'填表数据  (3)'!$C$4</c:f>
              <c:strCache>
                <c:ptCount val="1"/>
                <c:pt idx="0">
                  <c:v>2019年</c:v>
                </c:pt>
              </c:strCache>
            </c:strRef>
          </c:tx>
          <c:invertIfNegative val="0"/>
          <c:dLbls>
            <c:dLbl>
              <c:idx val="0"/>
              <c:layout>
                <c:manualLayout>
                  <c:x val="0.0921866216975829"/>
                  <c:y val="-0.057791556452079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59752670039349"/>
                  <c:y val="-0.049535619816068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solidFill>
                <a:schemeClr val="tx2">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'填表数据  (3)'!$A$5:$A$6</c:f>
              <c:strCache>
                <c:ptCount val="2"/>
                <c:pt idx="0">
                  <c:v>收入</c:v>
                </c:pt>
                <c:pt idx="1">
                  <c:v>支出</c:v>
                </c:pt>
              </c:strCache>
            </c:strRef>
          </c:cat>
          <c:val>
            <c:numRef>
              <c:f>'填表数据  (3)'!$C$5:$C$6</c:f>
              <c:numCache>
                <c:formatCode>#,##0.00</c:formatCode>
                <c:ptCount val="2"/>
                <c:pt idx="0">
                  <c:v>21232.589256</c:v>
                </c:pt>
                <c:pt idx="1">
                  <c:v>20617.454566</c:v>
                </c:pt>
              </c:numCache>
            </c:numRef>
          </c:val>
        </c:ser>
        <c:dLbls>
          <c:showLegendKey val="0"/>
          <c:showVal val="1"/>
          <c:showCatName val="0"/>
          <c:showSerName val="0"/>
          <c:showPercent val="0"/>
          <c:showBubbleSize val="0"/>
        </c:dLbls>
        <c:gapWidth val="150"/>
        <c:axId val="252132352"/>
        <c:axId val="252319232"/>
      </c:barChart>
      <c:catAx>
        <c:axId val="25213235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400" b="1" i="0" u="none" strike="noStrike" kern="1200" baseline="0">
                <a:solidFill>
                  <a:srgbClr val="FFC000"/>
                </a:solidFill>
                <a:latin typeface="+mn-lt"/>
                <a:ea typeface="+mn-ea"/>
                <a:cs typeface="+mn-cs"/>
              </a:defRPr>
            </a:pPr>
          </a:p>
        </c:txPr>
        <c:crossAx val="252319232"/>
        <c:crosses val="autoZero"/>
        <c:auto val="1"/>
        <c:lblAlgn val="ctr"/>
        <c:lblOffset val="100"/>
        <c:noMultiLvlLbl val="0"/>
      </c:catAx>
      <c:valAx>
        <c:axId val="252319232"/>
        <c:scaling>
          <c:orientation val="minMax"/>
          <c:min val="0"/>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FFC000"/>
                </a:solidFill>
                <a:latin typeface="+mn-lt"/>
                <a:ea typeface="+mn-ea"/>
                <a:cs typeface="+mn-cs"/>
              </a:defRPr>
            </a:pPr>
          </a:p>
        </c:txPr>
        <c:crossAx val="252132352"/>
        <c:crosses val="autoZero"/>
        <c:crossBetween val="between"/>
        <c:majorUnit val="5000"/>
        <c:minorUnit val="1000"/>
      </c:valAx>
      <c:spPr>
        <a:solidFill>
          <a:schemeClr val="accent5">
            <a:lumMod val="50000"/>
          </a:schemeClr>
        </a:solidFill>
        <a:ln>
          <a:noFill/>
        </a:ln>
        <a:effectLst/>
      </c:spPr>
    </c:plotArea>
    <c:legend>
      <c:legendPos val="r"/>
      <c:legendEntry>
        <c:idx val="0"/>
        <c:txPr>
          <a:bodyPr rot="0" spcFirstLastPara="0" vertOverflow="ellipsis" vert="horz" wrap="square" anchor="ctr" anchorCtr="1"/>
          <a:lstStyle/>
          <a:p>
            <a:pPr>
              <a:defRPr lang="zh-CN" sz="12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solidFill>
                <a:latin typeface="+mn-lt"/>
                <a:ea typeface="+mn-ea"/>
                <a:cs typeface="+mn-cs"/>
              </a:defRPr>
            </a:pPr>
          </a:p>
        </c:txPr>
      </c:legendEntry>
      <c:layout>
        <c:manualLayout>
          <c:xMode val="edge"/>
          <c:yMode val="edge"/>
          <c:x val="0.817439042945719"/>
          <c:y val="0.241353244637524"/>
          <c:w val="0.140030430978736"/>
          <c:h val="0.29801176577065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accent5">
        <a:lumMod val="50000"/>
      </a:schemeClr>
    </a:solidFill>
    <a:ln w="9525" cap="flat" cmpd="sng" algn="ctr">
      <a:solidFill>
        <a:schemeClr val="accent5">
          <a:lumMod val="50000"/>
        </a:schemeClr>
      </a:solidFill>
      <a:prstDash val="solid"/>
      <a:round/>
    </a:ln>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68926290463692"/>
          <c:y val="0.224537037037038"/>
          <c:w val="0.514968285214348"/>
          <c:h val="0.77314814814815"/>
        </c:manualLayout>
      </c:layout>
      <c:pie3DChart>
        <c:varyColors val="1"/>
        <c:ser>
          <c:idx val="0"/>
          <c:order val="0"/>
          <c:explosion val="32"/>
          <c:dPt>
            <c:idx val="0"/>
            <c:bubble3D val="0"/>
          </c:dPt>
          <c:dPt>
            <c:idx val="1"/>
            <c:bubble3D val="0"/>
          </c:dPt>
          <c:dPt>
            <c:idx val="2"/>
            <c:bubble3D val="0"/>
          </c:dPt>
          <c:dPt>
            <c:idx val="3"/>
            <c:bubble3D val="0"/>
          </c:dPt>
          <c:dLbls>
            <c:dLbl>
              <c:idx val="0"/>
              <c:layout>
                <c:manualLayout>
                  <c:x val="-0.0437966972878393"/>
                  <c:y val="-0.0324653689122195"/>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1"/>
              <c:layout>
                <c:manualLayout>
                  <c:x val="0.0133089457567804"/>
                  <c:y val="-0.012412510936133"/>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3"/>
              <c:layout>
                <c:manualLayout>
                  <c:x val="-0.0774531933508315"/>
                  <c:y val="-0.0194167395742199"/>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('填表数据  (3)'!$A$35:$A$36,'填表数据  (3)'!$A$38,'填表数据  (3)'!$A$41)</c:f>
              <c:strCache>
                <c:ptCount val="4"/>
                <c:pt idx="0">
                  <c:v>一般公共预算财政拨款收入</c:v>
                </c:pt>
                <c:pt idx="1">
                  <c:v>政府性基金预算财政拨款收入</c:v>
                </c:pt>
                <c:pt idx="2">
                  <c:v>事业收入</c:v>
                </c:pt>
                <c:pt idx="3">
                  <c:v>其他收入</c:v>
                </c:pt>
              </c:strCache>
            </c:strRef>
          </c:cat>
          <c:val>
            <c:numRef>
              <c:f>('填表数据  (3)'!$B$35:$B$36,'填表数据  (3)'!$B$38,'填表数据  (3)'!$B$41)</c:f>
              <c:numCache>
                <c:formatCode>#,##0.00</c:formatCode>
                <c:ptCount val="4"/>
                <c:pt idx="0">
                  <c:v>1387.376033</c:v>
                </c:pt>
                <c:pt idx="1">
                  <c:v>658.8198</c:v>
                </c:pt>
                <c:pt idx="2">
                  <c:v>19124.753774</c:v>
                </c:pt>
                <c:pt idx="3">
                  <c:v>61.639649</c:v>
                </c:pt>
              </c:numCache>
            </c:numRef>
          </c:val>
        </c:ser>
        <c:ser>
          <c:idx val="1"/>
          <c:order val="1"/>
          <c:explosion val="25"/>
          <c:dPt>
            <c:idx val="0"/>
            <c:bubble3D val="0"/>
          </c:dPt>
          <c:dPt>
            <c:idx val="1"/>
            <c:bubble3D val="0"/>
          </c:dPt>
          <c:dPt>
            <c:idx val="2"/>
            <c:bubble3D val="0"/>
          </c:dPt>
          <c:dPt>
            <c:idx val="3"/>
            <c:bubble3D val="0"/>
          </c:dPt>
          <c:dLbls>
            <c:delete val="1"/>
          </c:dLbls>
          <c:cat>
            <c:strRef>
              <c:f>('填表数据  (3)'!$A$35:$A$36,'填表数据  (3)'!$A$38,'填表数据  (3)'!$A$41)</c:f>
              <c:strCache>
                <c:ptCount val="4"/>
                <c:pt idx="0">
                  <c:v>一般公共预算财政拨款收入</c:v>
                </c:pt>
                <c:pt idx="1">
                  <c:v>政府性基金预算财政拨款收入</c:v>
                </c:pt>
                <c:pt idx="2">
                  <c:v>事业收入</c:v>
                </c:pt>
                <c:pt idx="3">
                  <c:v>其他收入</c:v>
                </c:pt>
              </c:strCache>
            </c:strRef>
          </c:cat>
          <c:val>
            <c:numRef>
              <c:f>('填表数据  (3)'!$C$35:$C$36,'填表数据  (3)'!$C$38,'填表数据  (3)'!$C$41)</c:f>
              <c:numCache>
                <c:formatCode>0.00%</c:formatCode>
                <c:ptCount val="4"/>
                <c:pt idx="0">
                  <c:v>0.0653418203626743</c:v>
                </c:pt>
                <c:pt idx="1">
                  <c:v>0.0310287074297276</c:v>
                </c:pt>
                <c:pt idx="2">
                  <c:v>0.900726404274771</c:v>
                </c:pt>
                <c:pt idx="3">
                  <c:v>0.00290306793282792</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solidFill>
      <a:schemeClr val="accent5">
        <a:lumMod val="50000"/>
      </a:schemeClr>
    </a:solidFill>
  </c:spPr>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821207349081365"/>
          <c:y val="0.224537037037038"/>
          <c:w val="0.660801618547685"/>
          <c:h val="0.77314814814815"/>
        </c:manualLayout>
      </c:layout>
      <c:pie3DChart>
        <c:varyColors val="1"/>
        <c:ser>
          <c:idx val="0"/>
          <c:order val="0"/>
          <c:explosion val="25"/>
          <c:dPt>
            <c:idx val="0"/>
            <c:bubble3D val="0"/>
          </c:dPt>
          <c:dPt>
            <c:idx val="1"/>
            <c:bubble3D val="0"/>
          </c:dPt>
          <c:dLbls>
            <c:dLbl>
              <c:idx val="0"/>
              <c:layout>
                <c:manualLayout>
                  <c:x val="0.0117585301837271"/>
                  <c:y val="-0.28709499854185"/>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1"/>
              <c:layout>
                <c:manualLayout>
                  <c:x val="-0.0728020559930009"/>
                  <c:y val="0.0477726742490524"/>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'填表数据  (3)'!$D$35:$D$36</c:f>
              <c:strCache>
                <c:ptCount val="2"/>
                <c:pt idx="0">
                  <c:v>基本支出</c:v>
                </c:pt>
                <c:pt idx="1">
                  <c:v>项目支出</c:v>
                </c:pt>
              </c:strCache>
            </c:strRef>
          </c:cat>
          <c:val>
            <c:numRef>
              <c:f>'填表数据  (3)'!$E$35:$E$36</c:f>
              <c:numCache>
                <c:formatCode>#,##0.00</c:formatCode>
                <c:ptCount val="2"/>
                <c:pt idx="0">
                  <c:v>19847.520166</c:v>
                </c:pt>
                <c:pt idx="1">
                  <c:v>769.9344</c:v>
                </c:pt>
              </c:numCache>
            </c:numRef>
          </c:val>
        </c:ser>
        <c:ser>
          <c:idx val="1"/>
          <c:order val="1"/>
          <c:explosion val="25"/>
          <c:dPt>
            <c:idx val="0"/>
            <c:bubble3D val="0"/>
          </c:dPt>
          <c:dPt>
            <c:idx val="1"/>
            <c:bubble3D val="0"/>
          </c:dPt>
          <c:dLbls>
            <c:delete val="1"/>
          </c:dLbls>
          <c:cat>
            <c:strRef>
              <c:f>'填表数据  (3)'!$D$35:$D$36</c:f>
              <c:strCache>
                <c:ptCount val="2"/>
                <c:pt idx="0">
                  <c:v>基本支出</c:v>
                </c:pt>
                <c:pt idx="1">
                  <c:v>项目支出</c:v>
                </c:pt>
              </c:strCache>
            </c:strRef>
          </c:cat>
          <c:val>
            <c:numRef>
              <c:f>'填表数据  (3)'!$F$35:$F$36</c:f>
              <c:numCache>
                <c:formatCode>0.00%</c:formatCode>
                <c:ptCount val="2"/>
                <c:pt idx="0">
                  <c:v>0.96265618544058</c:v>
                </c:pt>
                <c:pt idx="1">
                  <c:v>0.0387924734959556</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accent5">
        <a:lumMod val="50000"/>
      </a:schemeClr>
    </a:solidFill>
  </c:spPr>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26537136269"/>
          <c:y val="0.258361078567601"/>
          <c:w val="0.597568678915133"/>
          <c:h val="0.516628390201225"/>
        </c:manualLayout>
      </c:layout>
      <c:barChart>
        <c:barDir val="col"/>
        <c:grouping val="clustered"/>
        <c:varyColors val="0"/>
        <c:ser>
          <c:idx val="0"/>
          <c:order val="0"/>
          <c:tx>
            <c:strRef>
              <c:f>'填表数据  (3)'!$B$82</c:f>
              <c:strCache>
                <c:ptCount val="1"/>
                <c:pt idx="0">
                  <c:v>2018年</c:v>
                </c:pt>
              </c:strCache>
            </c:strRef>
          </c:tx>
          <c:invertIfNegative val="0"/>
          <c:dLbls>
            <c:dLbl>
              <c:idx val="0"/>
              <c:layout>
                <c:manualLayout>
                  <c:x val="-0.00591715976331364"/>
                  <c:y val="-0.03389830508474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7790927021696"/>
                  <c:y val="-0.056497175141242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FFC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'填表数据  (3)'!$A$83:$A$84</c:f>
              <c:strCache>
                <c:ptCount val="2"/>
                <c:pt idx="0">
                  <c:v>收入</c:v>
                </c:pt>
                <c:pt idx="1">
                  <c:v>支出</c:v>
                </c:pt>
              </c:strCache>
            </c:strRef>
          </c:cat>
          <c:val>
            <c:numRef>
              <c:f>'填表数据  (3)'!$B$83:$B$84</c:f>
              <c:numCache>
                <c:formatCode>#,##0.00</c:formatCode>
                <c:ptCount val="2"/>
                <c:pt idx="0">
                  <c:v>1193.214777</c:v>
                </c:pt>
                <c:pt idx="1">
                  <c:v>1385.670177</c:v>
                </c:pt>
              </c:numCache>
            </c:numRef>
          </c:val>
        </c:ser>
        <c:ser>
          <c:idx val="1"/>
          <c:order val="1"/>
          <c:tx>
            <c:strRef>
              <c:f>'填表数据  (3)'!$C$82</c:f>
              <c:strCache>
                <c:ptCount val="1"/>
                <c:pt idx="0">
                  <c:v>2019年</c:v>
                </c:pt>
              </c:strCache>
            </c:strRef>
          </c:tx>
          <c:invertIfNegative val="0"/>
          <c:dLbls>
            <c:dLbl>
              <c:idx val="0"/>
              <c:layout>
                <c:manualLayout>
                  <c:x val="0.047337278106509"/>
                  <c:y val="-0.033898305084745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70611439842209"/>
                  <c:y val="-0.05273069679849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B0F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'填表数据  (3)'!$A$83:$A$84</c:f>
              <c:strCache>
                <c:ptCount val="2"/>
                <c:pt idx="0">
                  <c:v>收入</c:v>
                </c:pt>
                <c:pt idx="1">
                  <c:v>支出</c:v>
                </c:pt>
              </c:strCache>
            </c:strRef>
          </c:cat>
          <c:val>
            <c:numRef>
              <c:f>'填表数据  (3)'!$C$83:$C$84</c:f>
              <c:numCache>
                <c:formatCode>#,##0.00</c:formatCode>
                <c:ptCount val="2"/>
                <c:pt idx="0">
                  <c:v>2046.195833</c:v>
                </c:pt>
                <c:pt idx="1">
                  <c:v>1473.550433</c:v>
                </c:pt>
              </c:numCache>
            </c:numRef>
          </c:val>
        </c:ser>
        <c:dLbls>
          <c:showLegendKey val="0"/>
          <c:showVal val="1"/>
          <c:showCatName val="0"/>
          <c:showSerName val="0"/>
          <c:showPercent val="0"/>
          <c:showBubbleSize val="0"/>
        </c:dLbls>
        <c:gapWidth val="150"/>
        <c:axId val="253588224"/>
        <c:axId val="253590528"/>
      </c:barChart>
      <c:catAx>
        <c:axId val="2535882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FFC000"/>
                </a:solidFill>
                <a:latin typeface="+mn-lt"/>
                <a:ea typeface="+mn-ea"/>
                <a:cs typeface="+mn-cs"/>
              </a:defRPr>
            </a:pPr>
          </a:p>
        </c:txPr>
        <c:crossAx val="253590528"/>
        <c:crosses val="autoZero"/>
        <c:auto val="1"/>
        <c:lblAlgn val="ctr"/>
        <c:lblOffset val="100"/>
        <c:noMultiLvlLbl val="0"/>
      </c:catAx>
      <c:valAx>
        <c:axId val="253590528"/>
        <c:scaling>
          <c:orientation val="minMax"/>
          <c:min val="0"/>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FFC000"/>
                </a:solidFill>
                <a:latin typeface="+mn-lt"/>
                <a:ea typeface="+mn-ea"/>
                <a:cs typeface="+mn-cs"/>
              </a:defRPr>
            </a:pPr>
          </a:p>
        </c:txPr>
        <c:crossAx val="253588224"/>
        <c:crosses val="autoZero"/>
        <c:crossBetween val="between"/>
        <c:majorUnit val="500"/>
      </c:valAx>
      <c:spPr>
        <a:solidFill>
          <a:schemeClr val="accent5">
            <a:lumMod val="50000"/>
          </a:schemeClr>
        </a:solidFill>
        <a:ln>
          <a:noFill/>
        </a:ln>
        <a:effectLst/>
      </c:spPr>
    </c:plotArea>
    <c:legend>
      <c:legendPos val="r"/>
      <c:layout>
        <c:manualLayout>
          <c:xMode val="edge"/>
          <c:yMode val="edge"/>
          <c:x val="0.879293157662223"/>
          <c:y val="0.222962468674468"/>
          <c:w val="0.106534952681664"/>
          <c:h val="0.20080828996721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accent5">
        <a:lumMod val="50000"/>
      </a:schemeClr>
    </a:solidFill>
    <a:ln w="9525" cap="flat" cmpd="sng" algn="ctr">
      <a:solidFill>
        <a:schemeClr val="bg1"/>
      </a:solidFill>
      <a:prstDash val="solid"/>
      <a:round/>
    </a:ln>
  </c:spPr>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1821158493802"/>
          <c:y val="0.253747645951034"/>
          <c:w val="0.597568678915133"/>
          <c:h val="0.516628390201225"/>
        </c:manualLayout>
      </c:layout>
      <c:barChart>
        <c:barDir val="col"/>
        <c:grouping val="clustered"/>
        <c:varyColors val="0"/>
        <c:ser>
          <c:idx val="0"/>
          <c:order val="0"/>
          <c:spPr>
            <a:solidFill>
              <a:schemeClr val="accent2">
                <a:lumMod val="75000"/>
              </a:schemeClr>
            </a:solidFill>
          </c:spPr>
          <c:invertIfNegative val="0"/>
          <c:dLbls>
            <c:dLbl>
              <c:idx val="0"/>
              <c:layout>
                <c:manualLayout>
                  <c:x val="0.00770712909441236"/>
                  <c:y val="-0.03890362511052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63391136801541"/>
                  <c:y val="-0.06719717064544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0;[Red]\-#,##0.00" sourceLinked="0"/>
            <c:spPr>
              <a:solidFill>
                <a:srgbClr val="1F497D">
                  <a:lumMod val="75000"/>
                </a:srgb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FFC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'填表数据  (3)'!$A$115:$B$115</c:f>
              <c:strCache>
                <c:ptCount val="2"/>
                <c:pt idx="0">
                  <c:v>2018年</c:v>
                </c:pt>
                <c:pt idx="1">
                  <c:v>2019年</c:v>
                </c:pt>
              </c:strCache>
            </c:strRef>
          </c:cat>
          <c:val>
            <c:numRef>
              <c:f>'填表数据  (3)'!$A$116:$B$116</c:f>
              <c:numCache>
                <c:formatCode>0.00_);[Red]\(0.00\)</c:formatCode>
                <c:ptCount val="2"/>
                <c:pt idx="0">
                  <c:v>1092.657166</c:v>
                </c:pt>
                <c:pt idx="1">
                  <c:v>1387.376033</c:v>
                </c:pt>
              </c:numCache>
            </c:numRef>
          </c:val>
        </c:ser>
        <c:dLbls>
          <c:showLegendKey val="0"/>
          <c:showVal val="1"/>
          <c:showCatName val="0"/>
          <c:showSerName val="0"/>
          <c:showPercent val="0"/>
          <c:showBubbleSize val="0"/>
        </c:dLbls>
        <c:gapWidth val="150"/>
        <c:axId val="253144064"/>
        <c:axId val="253158144"/>
      </c:barChart>
      <c:catAx>
        <c:axId val="2531440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FFC000"/>
                </a:solidFill>
                <a:latin typeface="+mn-lt"/>
                <a:ea typeface="+mn-ea"/>
                <a:cs typeface="+mn-cs"/>
              </a:defRPr>
            </a:pPr>
          </a:p>
        </c:txPr>
        <c:crossAx val="253158144"/>
        <c:crosses val="autoZero"/>
        <c:auto val="1"/>
        <c:lblAlgn val="ctr"/>
        <c:lblOffset val="100"/>
        <c:noMultiLvlLbl val="0"/>
      </c:catAx>
      <c:valAx>
        <c:axId val="253158144"/>
        <c:scaling>
          <c:orientation val="minMax"/>
          <c:max val="1500"/>
          <c:min val="0"/>
        </c:scaling>
        <c:delete val="0"/>
        <c:axPos val="l"/>
        <c:majorGridlines/>
        <c:numFmt formatCode="0.00_);[Red]\(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FFC000"/>
                </a:solidFill>
                <a:latin typeface="+mn-lt"/>
                <a:ea typeface="+mn-ea"/>
                <a:cs typeface="+mn-cs"/>
              </a:defRPr>
            </a:pPr>
          </a:p>
        </c:txPr>
        <c:crossAx val="253144064"/>
        <c:crosses val="autoZero"/>
        <c:crossBetween val="between"/>
        <c:majorUnit val="300"/>
      </c:valAx>
      <c:spPr>
        <a:noFill/>
        <a:ln w="25400">
          <a:noFill/>
        </a:ln>
        <a:effectLst/>
      </c:spPr>
    </c:plotArea>
    <c:legend>
      <c:legendPos val="r"/>
      <c:layout>
        <c:manualLayout>
          <c:xMode val="edge"/>
          <c:yMode val="edge"/>
          <c:x val="0.879293157662223"/>
          <c:y val="0.222962468674467"/>
          <c:w val="0.109516896325459"/>
          <c:h val="0.067536557930258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tx2">
        <a:lumMod val="75000"/>
      </a:schemeClr>
    </a:solidFill>
  </c:spPr>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view3D>
      <c:rotX val="75"/>
      <c:rotY val="15"/>
      <c:depthPercent val="100"/>
      <c:rAngAx val="0"/>
      <c:perspective val="30"/>
    </c:view3D>
    <c:floor>
      <c:thickness val="0"/>
    </c:floor>
    <c:sideWall>
      <c:thickness val="0"/>
    </c:sideWall>
    <c:backWall>
      <c:thickness val="0"/>
    </c:backWall>
    <c:plotArea>
      <c:layout>
        <c:manualLayout>
          <c:layoutTarget val="inner"/>
          <c:xMode val="edge"/>
          <c:yMode val="edge"/>
          <c:x val="0.169291338582678"/>
          <c:y val="0.334171757096659"/>
          <c:w val="0.454724409448819"/>
          <c:h val="0.622529644268779"/>
        </c:manualLayout>
      </c:layout>
      <c:pie3DChart>
        <c:varyColors val="1"/>
        <c:ser>
          <c:idx val="0"/>
          <c:order val="0"/>
          <c:explosion val="25"/>
          <c:dPt>
            <c:idx val="0"/>
            <c:bubble3D val="0"/>
            <c:explosion val="0"/>
          </c:dPt>
          <c:dPt>
            <c:idx val="1"/>
            <c:bubble3D val="0"/>
            <c:explosion val="0"/>
          </c:dPt>
          <c:dLbls>
            <c:dLbl>
              <c:idx val="0"/>
              <c:layout>
                <c:manualLayout>
                  <c:x val="0.027645470696531"/>
                  <c:y val="-0.171918292822094"/>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1"/>
              <c:layout>
                <c:manualLayout>
                  <c:x val="-0.0402035670738008"/>
                  <c:y val="-0.0286560325272457"/>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'填表数据  (3)'!$A$153:$A$154</c:f>
              <c:strCache>
                <c:ptCount val="2"/>
                <c:pt idx="0">
                  <c:v>卫生健康支出</c:v>
                </c:pt>
                <c:pt idx="1">
                  <c:v>住房保障支出</c:v>
                </c:pt>
              </c:strCache>
            </c:strRef>
          </c:cat>
          <c:val>
            <c:numRef>
              <c:f>'填表数据  (3)'!$B$153:$B$154</c:f>
              <c:numCache>
                <c:formatCode>#,##0.00</c:formatCode>
                <c:ptCount val="2"/>
                <c:pt idx="0">
                  <c:v>1319.476033</c:v>
                </c:pt>
                <c:pt idx="1">
                  <c:v>67.9</c:v>
                </c:pt>
              </c:numCache>
            </c:numRef>
          </c:val>
        </c:ser>
        <c:dLbls>
          <c:showLegendKey val="0"/>
          <c:showVal val="1"/>
          <c:showCatName val="0"/>
          <c:showSerName val="0"/>
          <c:showPercent val="1"/>
          <c:showBubbleSize val="0"/>
        </c:dLbls>
      </c:pie3DChart>
    </c:plotArea>
    <c:legend>
      <c:legendPos val="r"/>
      <c:layout>
        <c:manualLayout>
          <c:xMode val="edge"/>
          <c:yMode val="edge"/>
          <c:x val="0.773730093554258"/>
          <c:y val="0.419362529516586"/>
          <c:w val="0.20173002914513"/>
          <c:h val="0.25937938359711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accent5">
        <a:lumMod val="75000"/>
      </a:schemeClr>
    </a:solidFill>
  </c:spPr>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0.20833</cdr:x>
      <cdr:y>0.02431</cdr:y>
    </cdr:from>
    <cdr:to>
      <cdr:x>0.64167</cdr:x>
      <cdr:y>0.12847</cdr:y>
    </cdr:to>
    <cdr:sp>
      <cdr:nvSpPr>
        <cdr:cNvPr id="2" name="矩形 1"/>
        <cdr:cNvSpPr/>
      </cdr:nvSpPr>
      <cdr:spPr xmlns:a="http://schemas.openxmlformats.org/drawingml/2006/main">
        <a:xfrm xmlns:a="http://schemas.openxmlformats.org/drawingml/2006/main">
          <a:off x="952500" y="66675"/>
          <a:ext cx="1981200" cy="28575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400" b="1"/>
            <a:t>支出决算明细情况</a:t>
          </a:r>
          <a:endParaRPr lang="zh-CN" altLang="en-US" sz="1400" b="1"/>
        </a:p>
      </cdr:txBody>
    </cdr:sp>
  </cdr:relSizeAnchor>
  <cdr:relSizeAnchor xmlns:cdr="http://schemas.openxmlformats.org/drawingml/2006/chartDrawing">
    <cdr:from>
      <cdr:x>0.76667</cdr:x>
      <cdr:y>0.05208</cdr:y>
    </cdr:from>
    <cdr:to>
      <cdr:x>1</cdr:x>
      <cdr:y>0.13542</cdr:y>
    </cdr:to>
    <cdr:sp>
      <cdr:nvSpPr>
        <cdr:cNvPr id="3" name="矩形 2"/>
        <cdr:cNvSpPr/>
      </cdr:nvSpPr>
      <cdr:spPr xmlns:a="http://schemas.openxmlformats.org/drawingml/2006/main">
        <a:xfrm xmlns:a="http://schemas.openxmlformats.org/drawingml/2006/main">
          <a:off x="3505200" y="142875"/>
          <a:ext cx="1066800" cy="22860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0.80614</cdr:x>
      <cdr:y>0.03715</cdr:y>
    </cdr:from>
    <cdr:to>
      <cdr:x>0.99424</cdr:x>
      <cdr:y>0.12694</cdr:y>
    </cdr:to>
    <cdr:sp>
      <cdr:nvSpPr>
        <cdr:cNvPr id="2" name="矩形 1"/>
        <cdr:cNvSpPr/>
      </cdr:nvSpPr>
      <cdr:spPr xmlns:a="http://schemas.openxmlformats.org/drawingml/2006/main">
        <a:xfrm xmlns:a="http://schemas.openxmlformats.org/drawingml/2006/main">
          <a:off x="4015857" y="114299"/>
          <a:ext cx="937033" cy="276226"/>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lvl1pPr marL="0" indent="0">
            <a:defRPr sz="1100">
              <a:latin typeface="Calibri" panose="020F0502020204030204"/>
            </a:defRPr>
          </a:lvl1pPr>
          <a:lvl2pPr marL="457200" indent="0">
            <a:defRPr sz="1100">
              <a:latin typeface="Calibri" panose="020F0502020204030204"/>
            </a:defRPr>
          </a:lvl2pPr>
          <a:lvl3pPr marL="914400" indent="0">
            <a:defRPr sz="1100">
              <a:latin typeface="Calibri" panose="020F0502020204030204"/>
            </a:defRPr>
          </a:lvl3pPr>
          <a:lvl4pPr marL="1371600" indent="0">
            <a:defRPr sz="1100">
              <a:latin typeface="Calibri" panose="020F0502020204030204"/>
            </a:defRPr>
          </a:lvl4pPr>
          <a:lvl5pPr marL="1828800" indent="0">
            <a:defRPr sz="1100">
              <a:latin typeface="Calibri" panose="020F0502020204030204"/>
            </a:defRPr>
          </a:lvl5pPr>
          <a:lvl6pPr marL="2286000" indent="0">
            <a:defRPr sz="1100">
              <a:latin typeface="Calibri" panose="020F0502020204030204"/>
            </a:defRPr>
          </a:lvl6pPr>
          <a:lvl7pPr marL="2743200" indent="0">
            <a:defRPr sz="1100">
              <a:latin typeface="Calibri" panose="020F0502020204030204"/>
            </a:defRPr>
          </a:lvl7pPr>
          <a:lvl8pPr marL="3200400" indent="0">
            <a:defRPr sz="1100">
              <a:latin typeface="Calibri" panose="020F0502020204030204"/>
            </a:defRPr>
          </a:lvl8pPr>
          <a:lvl9pPr marL="3657600" indent="0">
            <a:defRPr sz="1100">
              <a:latin typeface="Calibri" panose="020F0502020204030204"/>
            </a:defRPr>
          </a:lvl9pPr>
        </a:lstStyle>
        <a:p>
          <a:r>
            <a:rPr lang="zh-CN" altLang="en-US" sz="1100">
              <a:solidFill>
                <a:srgbClr val="FFC000"/>
              </a:solidFill>
            </a:rPr>
            <a:t>单位：万元</a:t>
          </a:r>
          <a:endParaRPr lang="zh-CN" altLang="en-US" sz="1100">
            <a:solidFill>
              <a:srgbClr val="FFC000"/>
            </a:solidFill>
          </a:endParaRPr>
        </a:p>
      </cdr:txBody>
    </cdr:sp>
  </cdr:relSizeAnchor>
  <cdr:relSizeAnchor xmlns:cdr="http://schemas.openxmlformats.org/drawingml/2006/chartDrawing">
    <cdr:from>
      <cdr:x>0.27888</cdr:x>
      <cdr:y>0.0565</cdr:y>
    </cdr:from>
    <cdr:to>
      <cdr:x>0.75083</cdr:x>
      <cdr:y>0.18927</cdr:y>
    </cdr:to>
    <cdr:sp>
      <cdr:nvSpPr>
        <cdr:cNvPr id="3" name="矩形 2"/>
        <cdr:cNvSpPr/>
      </cdr:nvSpPr>
      <cdr:spPr xmlns:a="http://schemas.openxmlformats.org/drawingml/2006/main">
        <a:xfrm xmlns:a="http://schemas.openxmlformats.org/drawingml/2006/main">
          <a:off x="1609725" y="190500"/>
          <a:ext cx="2724150" cy="4476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400" b="1">
              <a:solidFill>
                <a:srgbClr val="00B0F0"/>
              </a:solidFill>
            </a:rPr>
            <a:t>2018</a:t>
          </a:r>
          <a:r>
            <a:rPr lang="zh-CN" altLang="en-US" sz="1400" b="1">
              <a:solidFill>
                <a:srgbClr val="00B0F0"/>
              </a:solidFill>
            </a:rPr>
            <a:t>、</a:t>
          </a:r>
          <a:r>
            <a:rPr lang="en-US" altLang="zh-CN" sz="1400" b="1">
              <a:solidFill>
                <a:srgbClr val="00B0F0"/>
              </a:solidFill>
            </a:rPr>
            <a:t>2019</a:t>
          </a:r>
          <a:r>
            <a:rPr lang="zh-CN" altLang="en-US" sz="1400" b="1">
              <a:solidFill>
                <a:srgbClr val="00B0F0"/>
              </a:solidFill>
            </a:rPr>
            <a:t>年度收、支对比</a:t>
          </a:r>
          <a:endParaRPr lang="zh-CN" altLang="en-US" sz="1400" b="1">
            <a:solidFill>
              <a:srgbClr val="00B0F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0.21667</cdr:x>
      <cdr:y>0.01389</cdr:y>
    </cdr:from>
    <cdr:to>
      <cdr:x>0.64792</cdr:x>
      <cdr:y>0.11111</cdr:y>
    </cdr:to>
    <cdr:sp>
      <cdr:nvSpPr>
        <cdr:cNvPr id="2" name="矩形 1"/>
        <cdr:cNvSpPr/>
      </cdr:nvSpPr>
      <cdr:spPr xmlns:a="http://schemas.openxmlformats.org/drawingml/2006/main">
        <a:xfrm xmlns:a="http://schemas.openxmlformats.org/drawingml/2006/main">
          <a:off x="990600" y="38100"/>
          <a:ext cx="1971675" cy="26670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400" b="1"/>
            <a:t>收入决算明细情况</a:t>
          </a:r>
          <a:endParaRPr lang="zh-CN" altLang="en-US" sz="1400" b="1"/>
        </a:p>
      </cdr:txBody>
    </cdr:sp>
  </cdr:relSizeAnchor>
  <cdr:relSizeAnchor xmlns:cdr="http://schemas.openxmlformats.org/drawingml/2006/chartDrawing">
    <cdr:from>
      <cdr:x>0.76458</cdr:x>
      <cdr:y>0.04861</cdr:y>
    </cdr:from>
    <cdr:to>
      <cdr:x>0.96458</cdr:x>
      <cdr:y>0.14236</cdr:y>
    </cdr:to>
    <cdr:sp>
      <cdr:nvSpPr>
        <cdr:cNvPr id="3" name="矩形 2"/>
        <cdr:cNvSpPr/>
      </cdr:nvSpPr>
      <cdr:spPr xmlns:a="http://schemas.openxmlformats.org/drawingml/2006/main">
        <a:xfrm xmlns:a="http://schemas.openxmlformats.org/drawingml/2006/main">
          <a:off x="3495675" y="133350"/>
          <a:ext cx="914400" cy="2571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0.27888</cdr:x>
      <cdr:y>0.0565</cdr:y>
    </cdr:from>
    <cdr:to>
      <cdr:x>0.75083</cdr:x>
      <cdr:y>0.18927</cdr:y>
    </cdr:to>
    <cdr:sp>
      <cdr:nvSpPr>
        <cdr:cNvPr id="2" name="矩形 1"/>
        <cdr:cNvSpPr/>
      </cdr:nvSpPr>
      <cdr:spPr xmlns:a="http://schemas.openxmlformats.org/drawingml/2006/main">
        <a:xfrm xmlns:a="http://schemas.openxmlformats.org/drawingml/2006/main">
          <a:off x="1609725" y="190500"/>
          <a:ext cx="2724150" cy="4476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200" b="1">
              <a:solidFill>
                <a:srgbClr val="00B0F0"/>
              </a:solidFill>
            </a:rPr>
            <a:t>2018</a:t>
          </a:r>
          <a:r>
            <a:rPr lang="zh-CN" altLang="en-US" sz="1200" b="1">
              <a:solidFill>
                <a:srgbClr val="00B0F0"/>
              </a:solidFill>
            </a:rPr>
            <a:t>、</a:t>
          </a:r>
          <a:r>
            <a:rPr lang="en-US" altLang="zh-CN" sz="1200" b="1">
              <a:solidFill>
                <a:srgbClr val="00B0F0"/>
              </a:solidFill>
            </a:rPr>
            <a:t>2019</a:t>
          </a:r>
          <a:r>
            <a:rPr lang="zh-CN" altLang="en-US" sz="1200" b="1">
              <a:solidFill>
                <a:srgbClr val="00B0F0"/>
              </a:solidFill>
            </a:rPr>
            <a:t>年财政拨款收入支出对比 </a:t>
          </a:r>
          <a:endParaRPr lang="zh-CN" altLang="en-US" sz="1200" b="1">
            <a:solidFill>
              <a:srgbClr val="00B0F0"/>
            </a:solidFill>
          </a:endParaRPr>
        </a:p>
      </cdr:txBody>
    </cdr:sp>
  </cdr:relSizeAnchor>
  <cdr:relSizeAnchor xmlns:cdr="http://schemas.openxmlformats.org/drawingml/2006/chartDrawing">
    <cdr:from>
      <cdr:x>0.79373</cdr:x>
      <cdr:y>0.04802</cdr:y>
    </cdr:from>
    <cdr:to>
      <cdr:x>0.95545</cdr:x>
      <cdr:y>0.15819</cdr:y>
    </cdr:to>
    <cdr:sp>
      <cdr:nvSpPr>
        <cdr:cNvPr id="3" name="矩形 2"/>
        <cdr:cNvSpPr/>
      </cdr:nvSpPr>
      <cdr:spPr xmlns:a="http://schemas.openxmlformats.org/drawingml/2006/main">
        <a:xfrm xmlns:a="http://schemas.openxmlformats.org/drawingml/2006/main">
          <a:off x="4581525" y="161925"/>
          <a:ext cx="933450" cy="3714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100">
              <a:solidFill>
                <a:srgbClr val="FFC000"/>
              </a:solidFill>
            </a:rPr>
            <a:t>单位：万元</a:t>
          </a:r>
          <a:endParaRPr lang="zh-CN" altLang="en-US" sz="1100">
            <a:solidFill>
              <a:srgbClr val="FFC000"/>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0.11719</cdr:x>
      <cdr:y>0.05322</cdr:y>
    </cdr:from>
    <cdr:to>
      <cdr:x>0.75083</cdr:x>
      <cdr:y>0.18927</cdr:y>
    </cdr:to>
    <cdr:sp>
      <cdr:nvSpPr>
        <cdr:cNvPr id="2" name="矩形 1"/>
        <cdr:cNvSpPr/>
      </cdr:nvSpPr>
      <cdr:spPr xmlns:a="http://schemas.openxmlformats.org/drawingml/2006/main">
        <a:xfrm xmlns:a="http://schemas.openxmlformats.org/drawingml/2006/main">
          <a:off x="571499" y="180975"/>
          <a:ext cx="3090149" cy="462623"/>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200" b="1">
              <a:solidFill>
                <a:srgbClr val="00B0F0"/>
              </a:solidFill>
            </a:rPr>
            <a:t>2018</a:t>
          </a:r>
          <a:r>
            <a:rPr lang="zh-CN" altLang="en-US" sz="1200" b="1">
              <a:solidFill>
                <a:srgbClr val="00B0F0"/>
              </a:solidFill>
            </a:rPr>
            <a:t>、</a:t>
          </a:r>
          <a:r>
            <a:rPr lang="en-US" altLang="zh-CN" sz="1200" b="1">
              <a:solidFill>
                <a:srgbClr val="00B0F0"/>
              </a:solidFill>
            </a:rPr>
            <a:t>2019</a:t>
          </a:r>
          <a:r>
            <a:rPr lang="zh-CN" altLang="en-US" sz="1200" b="1">
              <a:solidFill>
                <a:srgbClr val="00B0F0"/>
              </a:solidFill>
            </a:rPr>
            <a:t>年一般公共预算财政拨款支出</a:t>
          </a:r>
          <a:endParaRPr lang="zh-CN" altLang="en-US" sz="1200" b="1">
            <a:solidFill>
              <a:srgbClr val="00B0F0"/>
            </a:solidFill>
          </a:endParaRPr>
        </a:p>
      </cdr:txBody>
    </cdr:sp>
  </cdr:relSizeAnchor>
  <cdr:relSizeAnchor xmlns:cdr="http://schemas.openxmlformats.org/drawingml/2006/chartDrawing">
    <cdr:from>
      <cdr:x>0.79373</cdr:x>
      <cdr:y>0.04802</cdr:y>
    </cdr:from>
    <cdr:to>
      <cdr:x>1</cdr:x>
      <cdr:y>0.14566</cdr:y>
    </cdr:to>
    <cdr:sp>
      <cdr:nvSpPr>
        <cdr:cNvPr id="3" name="矩形 2"/>
        <cdr:cNvSpPr/>
      </cdr:nvSpPr>
      <cdr:spPr xmlns:a="http://schemas.openxmlformats.org/drawingml/2006/main">
        <a:xfrm xmlns:a="http://schemas.openxmlformats.org/drawingml/2006/main">
          <a:off x="3870862" y="163289"/>
          <a:ext cx="1005938" cy="332012"/>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100">
              <a:solidFill>
                <a:srgbClr val="FFC000"/>
              </a:solidFill>
            </a:rPr>
            <a:t>单位：万元</a:t>
          </a:r>
          <a:endParaRPr lang="zh-CN" altLang="en-US" sz="1100">
            <a:solidFill>
              <a:srgbClr val="FFC000"/>
            </a:solidFill>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0.08843</cdr:x>
      <cdr:y>0.04749</cdr:y>
    </cdr:from>
    <cdr:to>
      <cdr:x>0.76274</cdr:x>
      <cdr:y>0.18253</cdr:y>
    </cdr:to>
    <cdr:sp>
      <cdr:nvSpPr>
        <cdr:cNvPr id="2" name="矩形 1"/>
        <cdr:cNvSpPr/>
      </cdr:nvSpPr>
      <cdr:spPr xmlns:a="http://schemas.openxmlformats.org/drawingml/2006/main">
        <a:xfrm xmlns:a="http://schemas.openxmlformats.org/drawingml/2006/main">
          <a:off x="387467" y="144307"/>
          <a:ext cx="2954497" cy="410298"/>
        </a:xfrm>
        <a:prstGeom xmlns:a="http://schemas.openxmlformats.org/drawingml/2006/main" prst="rect">
          <a:avLst/>
        </a:prstGeom>
      </cdr:spPr>
      <cdr:txBody xmlns:a="http://schemas.openxmlformats.org/drawingml/2006/main">
        <a:bodyPr vert="horz" wrap="square" lIns="45720" tIns="45720" rIns="45720" bIns="45720" rtlCol="0" anchor="ctr" anchorCtr="0">
          <a:normAutofit/>
        </a:bodyPr>
        <a:lstStyle/>
        <a:p>
          <a:r>
            <a:rPr lang="en-US" altLang="zh-CN" sz="1400" b="1"/>
            <a:t>2019</a:t>
          </a:r>
          <a:r>
            <a:rPr lang="zh-CN" altLang="en-US" sz="1400" b="1"/>
            <a:t>年一般公共预算财政拨款支出</a:t>
          </a:r>
          <a:endParaRPr lang="zh-CN" altLang="en-US" sz="1400" b="1"/>
        </a:p>
      </cdr:txBody>
    </cdr:sp>
  </cdr:relSizeAnchor>
  <cdr:relSizeAnchor xmlns:cdr="http://schemas.openxmlformats.org/drawingml/2006/chartDrawing">
    <cdr:from>
      <cdr:x>0.80876</cdr:x>
      <cdr:y>0.07524</cdr:y>
    </cdr:from>
    <cdr:to>
      <cdr:x>0.9761</cdr:x>
      <cdr:y>0.15047</cdr:y>
    </cdr:to>
    <cdr:sp>
      <cdr:nvSpPr>
        <cdr:cNvPr id="3" name="矩形 2"/>
        <cdr:cNvSpPr/>
      </cdr:nvSpPr>
      <cdr:spPr xmlns:a="http://schemas.openxmlformats.org/drawingml/2006/main">
        <a:xfrm xmlns:a="http://schemas.openxmlformats.org/drawingml/2006/main">
          <a:off x="3867150" y="228601"/>
          <a:ext cx="800100" cy="22860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100"/>
            <a:t>单位：元</a:t>
          </a:r>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664</Words>
  <Characters>3786</Characters>
  <Lines>31</Lines>
  <Paragraphs>8</Paragraphs>
  <TotalTime>3</TotalTime>
  <ScaleCrop>false</ScaleCrop>
  <LinksUpToDate>false</LinksUpToDate>
  <CharactersWithSpaces>4442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2020-10-30T04:01:00Z</dcterms:created>
  <dc:creator>曹颖</dc:creator>
  <cp:lastModifiedBy>火炎焱燚</cp:lastModifiedBy>
  <cp:lastPrinted>2020-10-30T01:30:00Z</cp:lastPrinted>
  <dcterms:modified xsi:type="dcterms:W3CDTF">2020-10-30T08:58:02Z</dcterms:modified>
  <dc:title>四川省***</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