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C2" w:rsidRDefault="008412C2">
      <w:pPr>
        <w:spacing w:line="600" w:lineRule="exact"/>
        <w:jc w:val="center"/>
        <w:outlineLvl w:val="0"/>
        <w:rPr>
          <w:rFonts w:ascii="方正小标宋简体" w:eastAsia="方正小标宋简体" w:hAnsi="宋体"/>
          <w:color w:val="000000"/>
          <w:sz w:val="72"/>
          <w:szCs w:val="72"/>
        </w:rPr>
      </w:pPr>
      <w:bookmarkStart w:id="0" w:name="_Toc15306267"/>
    </w:p>
    <w:p w:rsidR="008412C2" w:rsidRDefault="008412C2">
      <w:pPr>
        <w:spacing w:line="600" w:lineRule="exact"/>
        <w:jc w:val="center"/>
        <w:outlineLvl w:val="0"/>
        <w:rPr>
          <w:rFonts w:ascii="方正小标宋简体" w:eastAsia="方正小标宋简体" w:hAnsi="宋体"/>
          <w:color w:val="000000"/>
          <w:sz w:val="72"/>
          <w:szCs w:val="72"/>
        </w:rPr>
      </w:pPr>
    </w:p>
    <w:p w:rsidR="008412C2" w:rsidRDefault="008412C2">
      <w:pPr>
        <w:spacing w:line="600" w:lineRule="exact"/>
        <w:jc w:val="center"/>
        <w:outlineLvl w:val="0"/>
        <w:rPr>
          <w:rFonts w:ascii="方正小标宋简体" w:eastAsia="方正小标宋简体" w:hAnsi="宋体"/>
          <w:color w:val="000000"/>
          <w:sz w:val="72"/>
          <w:szCs w:val="72"/>
        </w:rPr>
      </w:pPr>
    </w:p>
    <w:p w:rsidR="008412C2" w:rsidRDefault="008412C2">
      <w:pPr>
        <w:spacing w:line="600" w:lineRule="exact"/>
        <w:jc w:val="center"/>
        <w:outlineLvl w:val="0"/>
        <w:rPr>
          <w:rFonts w:ascii="方正小标宋简体" w:eastAsia="方正小标宋简体" w:hAnsi="宋体"/>
          <w:color w:val="000000"/>
          <w:sz w:val="72"/>
          <w:szCs w:val="72"/>
        </w:rPr>
      </w:pPr>
    </w:p>
    <w:p w:rsidR="008412C2" w:rsidRDefault="001F313C">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8412C2" w:rsidRDefault="001F313C">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8412C2" w:rsidRDefault="00A2656E">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罗目镇</w:t>
      </w:r>
      <w:r w:rsidR="001F313C">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8412C2" w:rsidRDefault="008412C2">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p>
    <w:p w:rsidR="008412C2" w:rsidRDefault="001F313C">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8412C2" w:rsidRDefault="008412C2">
      <w:pPr>
        <w:widowControl/>
        <w:jc w:val="center"/>
        <w:rPr>
          <w:rFonts w:ascii="黑体" w:eastAsia="黑体" w:hAnsi="黑体" w:cstheme="minorBidi"/>
          <w:sz w:val="28"/>
          <w:szCs w:val="28"/>
        </w:rPr>
      </w:pPr>
    </w:p>
    <w:p w:rsidR="008412C2" w:rsidRDefault="001F313C">
      <w:pPr>
        <w:pStyle w:val="10"/>
      </w:pPr>
      <w:r>
        <w:rPr>
          <w:rFonts w:hint="eastAsia"/>
        </w:rPr>
        <w:t>公开时间：2020年</w:t>
      </w:r>
      <w:r w:rsidR="00D42A43">
        <w:rPr>
          <w:rFonts w:hint="eastAsia"/>
        </w:rPr>
        <w:t>10</w:t>
      </w:r>
      <w:r>
        <w:rPr>
          <w:rFonts w:hint="eastAsia"/>
        </w:rPr>
        <w:t>月</w:t>
      </w:r>
      <w:r w:rsidR="00D42A43">
        <w:rPr>
          <w:rFonts w:hint="eastAsia"/>
        </w:rPr>
        <w:t>28</w:t>
      </w:r>
      <w:r>
        <w:rPr>
          <w:rFonts w:hint="eastAsia"/>
        </w:rPr>
        <w:t>日</w:t>
      </w:r>
    </w:p>
    <w:p w:rsidR="008412C2" w:rsidRDefault="008412C2"/>
    <w:p w:rsidR="008412C2" w:rsidRDefault="001F313C">
      <w:pPr>
        <w:pStyle w:val="10"/>
        <w:adjustRightInd w:val="0"/>
        <w:snapToGrid w:val="0"/>
        <w:spacing w:before="0" w:line="440" w:lineRule="exact"/>
        <w:jc w:val="left"/>
        <w:rPr>
          <w:rFonts w:cstheme="minorBidi"/>
          <w:sz w:val="24"/>
          <w:szCs w:val="24"/>
        </w:rPr>
      </w:pPr>
      <w:r>
        <w:rPr>
          <w:rFonts w:hint="eastAsia"/>
          <w:sz w:val="24"/>
        </w:rPr>
        <w:t>第一部分部门概况</w:t>
      </w:r>
    </w:p>
    <w:p w:rsidR="008412C2" w:rsidRDefault="001F313C">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8412C2" w:rsidRDefault="001F313C">
      <w:pPr>
        <w:pStyle w:val="10"/>
        <w:adjustRightInd w:val="0"/>
        <w:snapToGrid w:val="0"/>
        <w:spacing w:before="0" w:line="440" w:lineRule="exact"/>
        <w:jc w:val="left"/>
        <w:rPr>
          <w:sz w:val="24"/>
          <w:szCs w:val="24"/>
        </w:rPr>
      </w:pPr>
      <w:r>
        <w:rPr>
          <w:rFonts w:hint="eastAsia"/>
          <w:sz w:val="24"/>
        </w:rPr>
        <w:t>第二部分</w:t>
      </w:r>
      <w:r w:rsidR="00A2656E">
        <w:rPr>
          <w:rFonts w:hint="eastAsia"/>
          <w:sz w:val="24"/>
        </w:rPr>
        <w:t>2019</w:t>
      </w:r>
      <w:r>
        <w:rPr>
          <w:rFonts w:hint="eastAsia"/>
          <w:sz w:val="24"/>
        </w:rPr>
        <w:t>度部门决算情况说明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8412C2" w:rsidRDefault="001F313C">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8412C2" w:rsidRDefault="001F313C">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8412C2" w:rsidRDefault="001F313C">
      <w:pPr>
        <w:pStyle w:val="10"/>
        <w:adjustRightInd w:val="0"/>
        <w:snapToGrid w:val="0"/>
        <w:spacing w:before="0" w:line="440" w:lineRule="exact"/>
        <w:jc w:val="left"/>
        <w:rPr>
          <w:rFonts w:cstheme="minorBidi"/>
          <w:sz w:val="24"/>
          <w:szCs w:val="24"/>
        </w:rPr>
      </w:pPr>
      <w:r>
        <w:rPr>
          <w:rFonts w:hint="eastAsia"/>
          <w:sz w:val="24"/>
        </w:rPr>
        <w:t>第三部分名词解释</w:t>
      </w:r>
    </w:p>
    <w:p w:rsidR="008412C2" w:rsidRDefault="001F313C">
      <w:pPr>
        <w:pStyle w:val="10"/>
        <w:adjustRightInd w:val="0"/>
        <w:snapToGrid w:val="0"/>
        <w:spacing w:before="0" w:line="440" w:lineRule="exact"/>
        <w:jc w:val="left"/>
        <w:rPr>
          <w:rFonts w:cstheme="minorBidi"/>
          <w:sz w:val="24"/>
          <w:szCs w:val="24"/>
        </w:rPr>
      </w:pPr>
      <w:r>
        <w:rPr>
          <w:rFonts w:hint="eastAsia"/>
          <w:sz w:val="24"/>
        </w:rPr>
        <w:t>第四部分附件</w:t>
      </w:r>
    </w:p>
    <w:p w:rsidR="008412C2" w:rsidRDefault="001F313C" w:rsidP="00B42357">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8412C2" w:rsidRDefault="001F313C">
      <w:pPr>
        <w:pStyle w:val="10"/>
        <w:adjustRightInd w:val="0"/>
        <w:snapToGrid w:val="0"/>
        <w:spacing w:before="0" w:line="440" w:lineRule="exact"/>
        <w:jc w:val="left"/>
        <w:rPr>
          <w:rFonts w:cstheme="minorBidi"/>
          <w:sz w:val="24"/>
          <w:szCs w:val="24"/>
        </w:rPr>
      </w:pPr>
      <w:r>
        <w:rPr>
          <w:rFonts w:hint="eastAsia"/>
          <w:sz w:val="24"/>
        </w:rPr>
        <w:t>第五部分附表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8412C2" w:rsidRDefault="001F313C">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8412C2" w:rsidRDefault="001F313C">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8412C2" w:rsidRDefault="001F313C">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8412C2" w:rsidRDefault="001F313C">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8412C2" w:rsidRDefault="001F313C">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8412C2" w:rsidRDefault="001F313C">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8412C2" w:rsidRPr="002A426F" w:rsidRDefault="00601D6B" w:rsidP="002A426F">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2019年预算医疗收入</w:t>
      </w:r>
      <w:r>
        <w:rPr>
          <w:rFonts w:ascii="仿宋_GB2312" w:eastAsia="仿宋_GB2312" w:hAnsi="仿宋"/>
          <w:sz w:val="32"/>
          <w:szCs w:val="32"/>
        </w:rPr>
        <w:t>413</w:t>
      </w:r>
      <w:r w:rsidR="00741C91">
        <w:rPr>
          <w:rFonts w:ascii="仿宋_GB2312" w:eastAsia="仿宋_GB2312" w:hAnsi="仿宋" w:hint="eastAsia"/>
          <w:sz w:val="32"/>
          <w:szCs w:val="32"/>
        </w:rPr>
        <w:t>.</w:t>
      </w:r>
      <w:r>
        <w:rPr>
          <w:rFonts w:ascii="仿宋_GB2312" w:eastAsia="仿宋_GB2312" w:hAnsi="仿宋"/>
          <w:sz w:val="32"/>
          <w:szCs w:val="32"/>
        </w:rPr>
        <w:t>1</w:t>
      </w:r>
      <w:r w:rsidR="00741C91">
        <w:rPr>
          <w:rFonts w:ascii="仿宋_GB2312" w:eastAsia="仿宋_GB2312" w:hAnsi="仿宋" w:hint="eastAsia"/>
          <w:sz w:val="32"/>
          <w:szCs w:val="32"/>
        </w:rPr>
        <w:t>万</w:t>
      </w:r>
      <w:r>
        <w:rPr>
          <w:rFonts w:ascii="仿宋_GB2312" w:eastAsia="仿宋_GB2312" w:hAnsi="仿宋" w:hint="eastAsia"/>
          <w:sz w:val="32"/>
          <w:szCs w:val="32"/>
        </w:rPr>
        <w:t>元，</w:t>
      </w:r>
      <w:r w:rsidRPr="004D4816">
        <w:rPr>
          <w:rFonts w:ascii="仿宋_GB2312" w:eastAsia="仿宋_GB2312" w:hAnsi="仿宋"/>
          <w:sz w:val="32"/>
          <w:szCs w:val="32"/>
        </w:rPr>
        <w:t>门诊人次51616人，出院人次1990人。今年继续开展健康体检及建档工作，基本公共卫生服务截止2019年12月共累计建档人数24639人，共查出慢性疾病2034人，其中高血压1471人，糖尿病499人，精神障碍131人，全镇规范建档率达97%；2019年免费</w:t>
      </w:r>
      <w:r w:rsidRPr="004D4816">
        <w:rPr>
          <w:rFonts w:ascii="仿宋_GB2312" w:eastAsia="仿宋_GB2312" w:hAnsi="仿宋"/>
          <w:sz w:val="32"/>
          <w:szCs w:val="32"/>
        </w:rPr>
        <w:lastRenderedPageBreak/>
        <w:t>为1953个老年人进行了体检。</w:t>
      </w:r>
    </w:p>
    <w:p w:rsidR="008412C2" w:rsidRDefault="001F313C" w:rsidP="002A426F">
      <w:pPr>
        <w:pStyle w:val="2"/>
        <w:ind w:firstLineChars="200" w:firstLine="640"/>
        <w:rPr>
          <w:rStyle w:val="2Char"/>
          <w:rFonts w:ascii="黑体" w:eastAsia="黑体" w:hAnsi="黑体"/>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8412C2" w:rsidRDefault="00601D6B">
      <w:pPr>
        <w:ind w:firstLineChars="200" w:firstLine="640"/>
        <w:rPr>
          <w:rFonts w:ascii="仿宋" w:eastAsia="仿宋" w:hAnsi="仿宋"/>
          <w:sz w:val="32"/>
          <w:szCs w:val="32"/>
        </w:rPr>
      </w:pPr>
      <w:r>
        <w:rPr>
          <w:rFonts w:ascii="仿宋" w:eastAsia="仿宋" w:hAnsi="仿宋" w:hint="eastAsia"/>
          <w:sz w:val="32"/>
          <w:szCs w:val="32"/>
        </w:rPr>
        <w:t>罗目</w:t>
      </w:r>
      <w:r w:rsidR="001F313C">
        <w:rPr>
          <w:rFonts w:ascii="仿宋" w:eastAsia="仿宋" w:hAnsi="仿宋" w:hint="eastAsia"/>
          <w:sz w:val="32"/>
          <w:szCs w:val="32"/>
        </w:rPr>
        <w:t>镇卫生院为峨眉山市卫生健康局下属二级预算单位，单位性质为财政差额拨款事业单位，无下设机构。</w:t>
      </w:r>
    </w:p>
    <w:p w:rsidR="008412C2" w:rsidRDefault="001F313C">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8412C2" w:rsidRDefault="001F313C">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8412C2" w:rsidRDefault="001F313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w:t>
      </w:r>
      <w:r w:rsidR="00601D6B">
        <w:rPr>
          <w:rFonts w:ascii="仿宋" w:eastAsia="仿宋" w:hAnsi="仿宋" w:hint="eastAsia"/>
          <w:color w:val="000000"/>
          <w:sz w:val="32"/>
          <w:szCs w:val="32"/>
        </w:rPr>
        <w:t>693.21</w:t>
      </w:r>
      <w:r>
        <w:rPr>
          <w:rFonts w:ascii="仿宋" w:eastAsia="仿宋" w:hAnsi="仿宋" w:hint="eastAsia"/>
          <w:color w:val="000000"/>
          <w:sz w:val="32"/>
          <w:szCs w:val="32"/>
        </w:rPr>
        <w:t>万元，支出总计</w:t>
      </w:r>
      <w:r w:rsidR="00601D6B">
        <w:rPr>
          <w:rFonts w:ascii="仿宋" w:eastAsia="仿宋" w:hAnsi="仿宋" w:hint="eastAsia"/>
          <w:color w:val="000000"/>
          <w:sz w:val="32"/>
          <w:szCs w:val="32"/>
        </w:rPr>
        <w:t>674.84</w:t>
      </w:r>
      <w:r>
        <w:rPr>
          <w:rFonts w:ascii="仿宋" w:eastAsia="仿宋" w:hAnsi="仿宋" w:hint="eastAsia"/>
          <w:color w:val="000000"/>
          <w:sz w:val="32"/>
          <w:szCs w:val="32"/>
        </w:rPr>
        <w:t>万元。与2018年相比，收入</w:t>
      </w:r>
      <w:r w:rsidR="005D3E18">
        <w:rPr>
          <w:rFonts w:ascii="仿宋" w:eastAsia="仿宋" w:hAnsi="仿宋" w:hint="eastAsia"/>
          <w:color w:val="000000"/>
          <w:sz w:val="32"/>
          <w:szCs w:val="32"/>
        </w:rPr>
        <w:t>增加34.28</w:t>
      </w:r>
      <w:r>
        <w:rPr>
          <w:rFonts w:ascii="仿宋" w:eastAsia="仿宋" w:hAnsi="仿宋" w:hint="eastAsia"/>
          <w:color w:val="000000"/>
          <w:sz w:val="32"/>
          <w:szCs w:val="32"/>
        </w:rPr>
        <w:t>万元，</w:t>
      </w:r>
      <w:r w:rsidR="005D3E18">
        <w:rPr>
          <w:rFonts w:ascii="仿宋" w:eastAsia="仿宋" w:hAnsi="仿宋" w:hint="eastAsia"/>
          <w:color w:val="000000"/>
          <w:sz w:val="32"/>
          <w:szCs w:val="32"/>
        </w:rPr>
        <w:t>增加</w:t>
      </w:r>
      <w:r w:rsidR="00601D6B">
        <w:rPr>
          <w:rFonts w:ascii="仿宋" w:eastAsia="仿宋" w:hAnsi="仿宋" w:hint="eastAsia"/>
          <w:color w:val="000000"/>
          <w:sz w:val="32"/>
          <w:szCs w:val="32"/>
        </w:rPr>
        <w:t>15.6</w:t>
      </w:r>
      <w:r>
        <w:rPr>
          <w:rFonts w:ascii="仿宋" w:eastAsia="仿宋" w:hAnsi="仿宋" w:hint="eastAsia"/>
          <w:color w:val="000000"/>
          <w:sz w:val="32"/>
          <w:szCs w:val="32"/>
        </w:rPr>
        <w:t>%；支出总计</w:t>
      </w:r>
      <w:r w:rsidR="005D3E18">
        <w:rPr>
          <w:rFonts w:ascii="仿宋" w:eastAsia="仿宋" w:hAnsi="仿宋" w:hint="eastAsia"/>
          <w:color w:val="000000"/>
          <w:sz w:val="32"/>
          <w:szCs w:val="32"/>
        </w:rPr>
        <w:t>增加</w:t>
      </w:r>
      <w:r w:rsidR="00A203CD">
        <w:rPr>
          <w:rFonts w:ascii="仿宋" w:eastAsia="仿宋" w:hAnsi="仿宋" w:hint="eastAsia"/>
          <w:color w:val="000000"/>
          <w:sz w:val="32"/>
          <w:szCs w:val="32"/>
        </w:rPr>
        <w:t>148.27</w:t>
      </w:r>
      <w:r>
        <w:rPr>
          <w:rFonts w:ascii="仿宋" w:eastAsia="仿宋" w:hAnsi="仿宋" w:hint="eastAsia"/>
          <w:color w:val="000000"/>
          <w:sz w:val="32"/>
          <w:szCs w:val="32"/>
        </w:rPr>
        <w:t>万元，</w:t>
      </w:r>
      <w:r w:rsidR="005D3E18">
        <w:rPr>
          <w:rFonts w:ascii="仿宋" w:eastAsia="仿宋" w:hAnsi="仿宋" w:hint="eastAsia"/>
          <w:color w:val="000000"/>
          <w:sz w:val="32"/>
          <w:szCs w:val="32"/>
        </w:rPr>
        <w:t>增加</w:t>
      </w:r>
      <w:r w:rsidR="00601D6B">
        <w:rPr>
          <w:rFonts w:ascii="仿宋" w:eastAsia="仿宋" w:hAnsi="仿宋" w:hint="eastAsia"/>
          <w:color w:val="000000"/>
          <w:sz w:val="32"/>
          <w:szCs w:val="32"/>
        </w:rPr>
        <w:t>28</w:t>
      </w:r>
      <w:r>
        <w:rPr>
          <w:rFonts w:ascii="仿宋" w:eastAsia="仿宋" w:hAnsi="仿宋"/>
          <w:color w:val="000000"/>
          <w:sz w:val="32"/>
          <w:szCs w:val="32"/>
        </w:rPr>
        <w:t>%</w:t>
      </w:r>
      <w:r>
        <w:rPr>
          <w:rFonts w:ascii="仿宋" w:eastAsia="仿宋" w:hAnsi="仿宋" w:hint="eastAsia"/>
          <w:color w:val="000000"/>
          <w:sz w:val="32"/>
          <w:szCs w:val="32"/>
        </w:rPr>
        <w:t>。收入主要变动原因是</w:t>
      </w:r>
      <w:r w:rsidR="00302E9F">
        <w:rPr>
          <w:rFonts w:ascii="仿宋" w:eastAsia="仿宋" w:hAnsi="仿宋" w:hint="eastAsia"/>
          <w:color w:val="000000"/>
          <w:sz w:val="32"/>
          <w:szCs w:val="32"/>
        </w:rPr>
        <w:t>2019年医疗业务收入增加</w:t>
      </w:r>
      <w:r w:rsidR="00601D6B">
        <w:rPr>
          <w:rFonts w:ascii="仿宋" w:eastAsia="仿宋" w:hAnsi="仿宋" w:hint="eastAsia"/>
          <w:color w:val="000000"/>
          <w:sz w:val="32"/>
          <w:szCs w:val="32"/>
        </w:rPr>
        <w:t>67.54</w:t>
      </w:r>
      <w:r w:rsidR="00302E9F">
        <w:rPr>
          <w:rFonts w:ascii="仿宋" w:eastAsia="仿宋" w:hAnsi="仿宋" w:hint="eastAsia"/>
          <w:color w:val="000000"/>
          <w:sz w:val="32"/>
          <w:szCs w:val="32"/>
        </w:rPr>
        <w:t>万元</w:t>
      </w:r>
      <w:r>
        <w:rPr>
          <w:rFonts w:ascii="仿宋" w:eastAsia="仿宋" w:hAnsi="仿宋" w:hint="eastAsia"/>
          <w:color w:val="000000"/>
          <w:sz w:val="32"/>
          <w:szCs w:val="32"/>
        </w:rPr>
        <w:t>。本年支出</w:t>
      </w:r>
      <w:r w:rsidR="00302E9F">
        <w:rPr>
          <w:rFonts w:ascii="仿宋" w:eastAsia="仿宋" w:hAnsi="仿宋" w:hint="eastAsia"/>
          <w:color w:val="000000"/>
          <w:sz w:val="32"/>
          <w:szCs w:val="32"/>
        </w:rPr>
        <w:t>增加的</w:t>
      </w:r>
      <w:r>
        <w:rPr>
          <w:rFonts w:ascii="仿宋" w:eastAsia="仿宋" w:hAnsi="仿宋" w:hint="eastAsia"/>
          <w:color w:val="000000"/>
          <w:sz w:val="32"/>
          <w:szCs w:val="32"/>
        </w:rPr>
        <w:t>主要原因</w:t>
      </w:r>
      <w:r w:rsidR="00302E9F">
        <w:rPr>
          <w:rFonts w:ascii="仿宋" w:eastAsia="仿宋" w:hAnsi="仿宋" w:hint="eastAsia"/>
          <w:color w:val="000000"/>
          <w:sz w:val="32"/>
          <w:szCs w:val="32"/>
        </w:rPr>
        <w:t>为</w:t>
      </w:r>
      <w:r w:rsidR="00A203CD">
        <w:rPr>
          <w:rFonts w:ascii="仿宋" w:eastAsia="仿宋" w:hAnsi="仿宋" w:hint="eastAsia"/>
          <w:color w:val="000000"/>
          <w:sz w:val="32"/>
          <w:szCs w:val="32"/>
        </w:rPr>
        <w:t>本年项目支出增加和</w:t>
      </w:r>
      <w:r w:rsidR="00601D6B">
        <w:rPr>
          <w:rFonts w:ascii="仿宋" w:eastAsia="仿宋" w:hAnsi="仿宋" w:hint="eastAsia"/>
          <w:color w:val="000000"/>
          <w:sz w:val="32"/>
          <w:szCs w:val="32"/>
        </w:rPr>
        <w:t>2018年结转</w:t>
      </w:r>
      <w:r w:rsidR="00A203CD">
        <w:rPr>
          <w:rFonts w:ascii="仿宋" w:eastAsia="仿宋" w:hAnsi="仿宋" w:hint="eastAsia"/>
          <w:color w:val="000000"/>
          <w:sz w:val="32"/>
          <w:szCs w:val="32"/>
        </w:rPr>
        <w:t>项目</w:t>
      </w:r>
      <w:r w:rsidR="00601D6B">
        <w:rPr>
          <w:rFonts w:ascii="仿宋" w:eastAsia="仿宋" w:hAnsi="仿宋" w:hint="eastAsia"/>
          <w:color w:val="000000"/>
          <w:sz w:val="32"/>
          <w:szCs w:val="32"/>
        </w:rPr>
        <w:t>资金</w:t>
      </w:r>
      <w:r w:rsidR="00A203CD">
        <w:rPr>
          <w:rFonts w:ascii="仿宋" w:eastAsia="仿宋" w:hAnsi="仿宋" w:hint="eastAsia"/>
          <w:color w:val="000000"/>
          <w:sz w:val="32"/>
          <w:szCs w:val="32"/>
        </w:rPr>
        <w:t>在本年支出</w:t>
      </w:r>
      <w:r>
        <w:rPr>
          <w:rFonts w:ascii="仿宋" w:eastAsia="仿宋" w:hAnsi="仿宋" w:hint="eastAsia"/>
          <w:color w:val="000000"/>
          <w:sz w:val="32"/>
          <w:szCs w:val="32"/>
        </w:rPr>
        <w:t>。</w:t>
      </w:r>
    </w:p>
    <w:p w:rsidR="008412C2" w:rsidRDefault="00C723BD">
      <w:pPr>
        <w:widowControl/>
        <w:jc w:val="center"/>
        <w:rPr>
          <w:rFonts w:ascii="宋体" w:hAnsi="宋体" w:cs="宋体"/>
          <w:color w:val="000000"/>
          <w:kern w:val="0"/>
          <w:sz w:val="22"/>
          <w:szCs w:val="22"/>
        </w:rPr>
      </w:pPr>
      <w:r>
        <w:rPr>
          <w:rFonts w:ascii="宋体" w:hAnsi="宋体" w:cs="宋体"/>
          <w:noProof/>
          <w:color w:val="000000"/>
          <w:kern w:val="0"/>
          <w:sz w:val="22"/>
          <w:szCs w:val="22"/>
        </w:rPr>
        <w:drawing>
          <wp:inline distT="0" distB="0" distL="0" distR="0">
            <wp:extent cx="4608369" cy="2888673"/>
            <wp:effectExtent l="19050" t="0" r="20781" b="6927"/>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12C2" w:rsidRDefault="000B0742" w:rsidP="002A426F">
      <w:pPr>
        <w:spacing w:line="600" w:lineRule="exact"/>
        <w:ind w:firstLineChars="200" w:firstLine="64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二、</w:t>
      </w:r>
      <w:r w:rsidR="001F313C">
        <w:rPr>
          <w:rFonts w:ascii="黑体" w:eastAsia="黑体" w:hAnsi="黑体" w:hint="eastAsia"/>
          <w:color w:val="000000"/>
          <w:sz w:val="32"/>
          <w:szCs w:val="32"/>
        </w:rPr>
        <w:t>收</w:t>
      </w:r>
      <w:r w:rsidR="001F313C">
        <w:rPr>
          <w:rStyle w:val="2Char"/>
          <w:rFonts w:ascii="黑体" w:eastAsia="黑体" w:hAnsi="黑体" w:hint="eastAsia"/>
          <w:b w:val="0"/>
        </w:rPr>
        <w:t>入决算情况说明</w:t>
      </w:r>
      <w:bookmarkEnd w:id="26"/>
      <w:bookmarkEnd w:id="27"/>
    </w:p>
    <w:p w:rsidR="008412C2" w:rsidRDefault="001F313C">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9年本年收入合计</w:t>
      </w:r>
      <w:r w:rsidR="002A1C12">
        <w:rPr>
          <w:rFonts w:ascii="仿宋" w:eastAsia="仿宋" w:hAnsi="仿宋" w:hint="eastAsia"/>
          <w:color w:val="000000"/>
          <w:sz w:val="32"/>
          <w:szCs w:val="32"/>
        </w:rPr>
        <w:t>693.21</w:t>
      </w:r>
      <w:r>
        <w:rPr>
          <w:rFonts w:ascii="仿宋" w:eastAsia="仿宋" w:hAnsi="仿宋" w:hint="eastAsia"/>
          <w:color w:val="000000"/>
          <w:sz w:val="32"/>
          <w:szCs w:val="32"/>
        </w:rPr>
        <w:t>万元，其中：一般公共预算财政拨款收入</w:t>
      </w:r>
      <w:r w:rsidR="002A1C12">
        <w:rPr>
          <w:rFonts w:ascii="仿宋" w:eastAsia="仿宋" w:hAnsi="仿宋" w:hint="eastAsia"/>
          <w:color w:val="000000"/>
          <w:sz w:val="32"/>
          <w:szCs w:val="32"/>
        </w:rPr>
        <w:t>237.76</w:t>
      </w:r>
      <w:r>
        <w:rPr>
          <w:rFonts w:ascii="仿宋" w:eastAsia="仿宋" w:hAnsi="仿宋" w:hint="eastAsia"/>
          <w:color w:val="000000"/>
          <w:sz w:val="32"/>
          <w:szCs w:val="32"/>
        </w:rPr>
        <w:t>万元，占</w:t>
      </w:r>
      <w:r w:rsidR="003A677F">
        <w:rPr>
          <w:rFonts w:ascii="仿宋" w:eastAsia="仿宋" w:hAnsi="仿宋" w:hint="eastAsia"/>
          <w:color w:val="000000"/>
          <w:sz w:val="32"/>
          <w:szCs w:val="32"/>
        </w:rPr>
        <w:t>34</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3A677F">
        <w:rPr>
          <w:rFonts w:ascii="仿宋" w:eastAsia="仿宋" w:hAnsi="仿宋" w:hint="eastAsia"/>
          <w:color w:val="000000" w:themeColor="text1"/>
          <w:sz w:val="32"/>
          <w:szCs w:val="32"/>
        </w:rPr>
        <w:t>3.86</w:t>
      </w:r>
      <w:r>
        <w:rPr>
          <w:rFonts w:ascii="仿宋" w:eastAsia="仿宋" w:hAnsi="仿宋" w:hint="eastAsia"/>
          <w:color w:val="000000"/>
          <w:sz w:val="32"/>
          <w:szCs w:val="32"/>
        </w:rPr>
        <w:t>万元</w:t>
      </w:r>
      <w:r w:rsidR="003A677F">
        <w:rPr>
          <w:rFonts w:ascii="仿宋" w:eastAsia="仿宋" w:hAnsi="仿宋" w:hint="eastAsia"/>
          <w:color w:val="000000"/>
          <w:sz w:val="32"/>
          <w:szCs w:val="32"/>
        </w:rPr>
        <w:t>，占1%</w:t>
      </w:r>
      <w:r>
        <w:rPr>
          <w:rFonts w:ascii="仿宋" w:eastAsia="仿宋" w:hAnsi="仿宋" w:hint="eastAsia"/>
          <w:color w:val="000000"/>
          <w:sz w:val="32"/>
          <w:szCs w:val="32"/>
        </w:rPr>
        <w:t>；事业收入</w:t>
      </w:r>
      <w:r w:rsidR="002A1C12">
        <w:rPr>
          <w:rFonts w:ascii="仿宋" w:eastAsia="仿宋" w:hAnsi="仿宋" w:hint="eastAsia"/>
          <w:color w:val="000000"/>
          <w:sz w:val="32"/>
          <w:szCs w:val="32"/>
        </w:rPr>
        <w:t>413.1</w:t>
      </w:r>
      <w:r>
        <w:rPr>
          <w:rFonts w:ascii="仿宋" w:eastAsia="仿宋" w:hAnsi="仿宋" w:hint="eastAsia"/>
          <w:color w:val="000000"/>
          <w:sz w:val="32"/>
          <w:szCs w:val="32"/>
        </w:rPr>
        <w:t>万元，占</w:t>
      </w:r>
      <w:r w:rsidR="003A677F">
        <w:rPr>
          <w:rFonts w:ascii="仿宋" w:eastAsia="仿宋" w:hAnsi="仿宋" w:hint="eastAsia"/>
          <w:color w:val="000000"/>
          <w:sz w:val="32"/>
          <w:szCs w:val="32"/>
        </w:rPr>
        <w:t>60</w:t>
      </w:r>
      <w:r>
        <w:rPr>
          <w:rFonts w:ascii="仿宋" w:eastAsia="仿宋" w:hAnsi="仿宋"/>
          <w:color w:val="000000"/>
          <w:sz w:val="32"/>
          <w:szCs w:val="32"/>
        </w:rPr>
        <w:t>%</w:t>
      </w:r>
      <w:r>
        <w:rPr>
          <w:rFonts w:ascii="仿宋" w:eastAsia="仿宋" w:hAnsi="仿宋" w:hint="eastAsia"/>
          <w:color w:val="000000"/>
          <w:sz w:val="32"/>
          <w:szCs w:val="32"/>
        </w:rPr>
        <w:t>；其他收入</w:t>
      </w:r>
      <w:r w:rsidR="002A1C12">
        <w:rPr>
          <w:rFonts w:ascii="仿宋" w:eastAsia="仿宋" w:hAnsi="仿宋" w:hint="eastAsia"/>
          <w:color w:val="000000"/>
          <w:sz w:val="32"/>
          <w:szCs w:val="32"/>
        </w:rPr>
        <w:t>38.49</w:t>
      </w:r>
      <w:r>
        <w:rPr>
          <w:rFonts w:ascii="仿宋" w:eastAsia="仿宋" w:hAnsi="仿宋" w:hint="eastAsia"/>
          <w:color w:val="000000"/>
          <w:sz w:val="32"/>
          <w:szCs w:val="32"/>
        </w:rPr>
        <w:t>万元，占</w:t>
      </w:r>
      <w:r w:rsidR="003A677F">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w:t>
      </w:r>
    </w:p>
    <w:p w:rsidR="008412C2" w:rsidRPr="005C0FE0" w:rsidRDefault="00445AF9" w:rsidP="005C0FE0">
      <w:pPr>
        <w:ind w:firstLineChars="200" w:firstLine="640"/>
        <w:jc w:val="left"/>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511386" cy="2660073"/>
            <wp:effectExtent l="19050" t="0" r="22514" b="6927"/>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12C2" w:rsidRPr="000B0742" w:rsidRDefault="001F313C" w:rsidP="000B0742">
      <w:pPr>
        <w:pStyle w:val="aa"/>
        <w:numPr>
          <w:ilvl w:val="0"/>
          <w:numId w:val="8"/>
        </w:numPr>
        <w:spacing w:line="600" w:lineRule="exact"/>
        <w:ind w:firstLineChars="0"/>
        <w:outlineLvl w:val="1"/>
        <w:rPr>
          <w:rStyle w:val="2Char"/>
          <w:rFonts w:ascii="黑体" w:eastAsia="黑体" w:hAnsi="黑体"/>
          <w:b w:val="0"/>
        </w:rPr>
      </w:pPr>
      <w:bookmarkStart w:id="28" w:name="_Toc15396605"/>
      <w:bookmarkStart w:id="29" w:name="_Toc15377207"/>
      <w:r w:rsidRPr="000B0742">
        <w:rPr>
          <w:rFonts w:ascii="黑体" w:eastAsia="黑体" w:hAnsi="黑体" w:hint="eastAsia"/>
          <w:color w:val="000000"/>
          <w:sz w:val="32"/>
          <w:szCs w:val="32"/>
        </w:rPr>
        <w:t>支</w:t>
      </w:r>
      <w:r w:rsidRPr="000B0742">
        <w:rPr>
          <w:rStyle w:val="2Char"/>
          <w:rFonts w:ascii="黑体" w:eastAsia="黑体" w:hAnsi="黑体" w:hint="eastAsia"/>
          <w:b w:val="0"/>
        </w:rPr>
        <w:t>出决算情况说明</w:t>
      </w:r>
      <w:bookmarkEnd w:id="28"/>
      <w:bookmarkEnd w:id="29"/>
    </w:p>
    <w:p w:rsidR="008412C2" w:rsidRDefault="001F313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4F0593">
        <w:rPr>
          <w:rFonts w:ascii="仿宋" w:eastAsia="仿宋" w:hAnsi="仿宋" w:hint="eastAsia"/>
          <w:color w:val="000000"/>
          <w:sz w:val="32"/>
          <w:szCs w:val="32"/>
        </w:rPr>
        <w:t>674.84</w:t>
      </w:r>
      <w:r>
        <w:rPr>
          <w:rFonts w:ascii="仿宋" w:eastAsia="仿宋" w:hAnsi="仿宋" w:hint="eastAsia"/>
          <w:color w:val="000000"/>
          <w:sz w:val="32"/>
          <w:szCs w:val="32"/>
        </w:rPr>
        <w:t>万元，其中：基本支出</w:t>
      </w:r>
      <w:r w:rsidR="004F0593">
        <w:rPr>
          <w:rFonts w:ascii="仿宋" w:eastAsia="仿宋" w:hAnsi="仿宋" w:hint="eastAsia"/>
          <w:color w:val="000000"/>
          <w:sz w:val="32"/>
          <w:szCs w:val="32"/>
        </w:rPr>
        <w:t>420.13</w:t>
      </w:r>
      <w:r>
        <w:rPr>
          <w:rFonts w:ascii="仿宋" w:eastAsia="仿宋" w:hAnsi="仿宋" w:hint="eastAsia"/>
          <w:color w:val="000000"/>
          <w:sz w:val="32"/>
          <w:szCs w:val="32"/>
        </w:rPr>
        <w:t>万元，占</w:t>
      </w:r>
      <w:r w:rsidR="004F0593">
        <w:rPr>
          <w:rFonts w:ascii="仿宋" w:eastAsia="仿宋" w:hAnsi="仿宋" w:hint="eastAsia"/>
          <w:color w:val="000000"/>
          <w:sz w:val="32"/>
          <w:szCs w:val="32"/>
        </w:rPr>
        <w:t>62</w:t>
      </w:r>
      <w:r>
        <w:rPr>
          <w:rFonts w:ascii="仿宋" w:eastAsia="仿宋" w:hAnsi="仿宋"/>
          <w:color w:val="000000"/>
          <w:sz w:val="32"/>
          <w:szCs w:val="32"/>
        </w:rPr>
        <w:t>%</w:t>
      </w:r>
      <w:r>
        <w:rPr>
          <w:rFonts w:ascii="仿宋" w:eastAsia="仿宋" w:hAnsi="仿宋" w:hint="eastAsia"/>
          <w:color w:val="000000"/>
          <w:sz w:val="32"/>
          <w:szCs w:val="32"/>
        </w:rPr>
        <w:t>；项目支出</w:t>
      </w:r>
      <w:r w:rsidR="004F0593">
        <w:rPr>
          <w:rFonts w:ascii="仿宋" w:eastAsia="仿宋" w:hAnsi="仿宋" w:hint="eastAsia"/>
          <w:color w:val="000000"/>
          <w:sz w:val="32"/>
          <w:szCs w:val="32"/>
        </w:rPr>
        <w:t>254.71</w:t>
      </w:r>
      <w:r>
        <w:rPr>
          <w:rFonts w:ascii="仿宋" w:eastAsia="仿宋" w:hAnsi="仿宋" w:hint="eastAsia"/>
          <w:color w:val="000000"/>
          <w:sz w:val="32"/>
          <w:szCs w:val="32"/>
        </w:rPr>
        <w:t>万元，占</w:t>
      </w:r>
      <w:r w:rsidR="004F0593">
        <w:rPr>
          <w:rFonts w:ascii="仿宋" w:eastAsia="仿宋" w:hAnsi="仿宋" w:hint="eastAsia"/>
          <w:color w:val="000000"/>
          <w:sz w:val="32"/>
          <w:szCs w:val="32"/>
        </w:rPr>
        <w:t>38</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8412C2" w:rsidRDefault="003B72FD" w:rsidP="003B72FD">
      <w:pPr>
        <w:ind w:firstLineChars="200" w:firstLine="640"/>
        <w:jc w:val="left"/>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546023" cy="2410691"/>
            <wp:effectExtent l="19050" t="0" r="25977" b="8659"/>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12C2" w:rsidRDefault="008412C2">
      <w:pPr>
        <w:spacing w:line="600" w:lineRule="exact"/>
        <w:ind w:firstLineChars="200" w:firstLine="640"/>
        <w:rPr>
          <w:rFonts w:ascii="仿宋_GB2312" w:eastAsia="仿宋_GB2312"/>
          <w:color w:val="FF0000"/>
          <w:sz w:val="32"/>
          <w:szCs w:val="32"/>
        </w:rPr>
      </w:pPr>
    </w:p>
    <w:p w:rsidR="008412C2" w:rsidRDefault="001F313C">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56023D" w:rsidRDefault="001F313C" w:rsidP="0056023D">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D03F63">
        <w:rPr>
          <w:rFonts w:ascii="仿宋" w:eastAsia="仿宋" w:hAnsi="仿宋" w:hint="eastAsia"/>
          <w:color w:val="000000"/>
          <w:sz w:val="32"/>
          <w:szCs w:val="32"/>
        </w:rPr>
        <w:t>241.62</w:t>
      </w:r>
      <w:r>
        <w:rPr>
          <w:rFonts w:ascii="仿宋" w:eastAsia="仿宋" w:hAnsi="仿宋" w:hint="eastAsia"/>
          <w:color w:val="000000"/>
          <w:sz w:val="32"/>
          <w:szCs w:val="32"/>
        </w:rPr>
        <w:t xml:space="preserve">万元，财政拨款支出 </w:t>
      </w:r>
      <w:r w:rsidR="00D03F63">
        <w:rPr>
          <w:rFonts w:ascii="仿宋" w:eastAsia="仿宋" w:hAnsi="仿宋" w:hint="eastAsia"/>
          <w:color w:val="000000"/>
          <w:sz w:val="32"/>
          <w:szCs w:val="32"/>
        </w:rPr>
        <w:t>259.9</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w:t>
      </w:r>
      <w:r w:rsidR="00D03F63">
        <w:rPr>
          <w:rFonts w:ascii="仿宋" w:eastAsia="仿宋" w:hAnsi="仿宋" w:hint="eastAsia"/>
          <w:color w:val="000000"/>
          <w:sz w:val="32"/>
          <w:szCs w:val="32"/>
        </w:rPr>
        <w:t>增加16.57</w:t>
      </w:r>
      <w:r>
        <w:rPr>
          <w:rFonts w:ascii="仿宋" w:eastAsia="仿宋" w:hAnsi="仿宋" w:hint="eastAsia"/>
          <w:color w:val="000000"/>
          <w:sz w:val="32"/>
          <w:szCs w:val="32"/>
        </w:rPr>
        <w:t>万元，</w:t>
      </w:r>
      <w:r w:rsidR="00D03F63">
        <w:rPr>
          <w:rFonts w:ascii="仿宋" w:eastAsia="仿宋" w:hAnsi="仿宋" w:hint="eastAsia"/>
          <w:color w:val="000000"/>
          <w:sz w:val="32"/>
          <w:szCs w:val="32"/>
        </w:rPr>
        <w:t>增加7</w:t>
      </w:r>
      <w:r>
        <w:rPr>
          <w:rFonts w:ascii="仿宋" w:eastAsia="仿宋" w:hAnsi="仿宋" w:hint="eastAsia"/>
          <w:color w:val="000000"/>
          <w:sz w:val="32"/>
          <w:szCs w:val="32"/>
        </w:rPr>
        <w:t>%；财政拨款支出</w:t>
      </w:r>
      <w:r w:rsidR="00E475E9">
        <w:rPr>
          <w:rFonts w:ascii="仿宋" w:eastAsia="仿宋" w:hAnsi="仿宋" w:hint="eastAsia"/>
          <w:color w:val="000000"/>
          <w:sz w:val="32"/>
          <w:szCs w:val="32"/>
        </w:rPr>
        <w:t>增加</w:t>
      </w:r>
      <w:r w:rsidR="00D03F63">
        <w:rPr>
          <w:rFonts w:ascii="仿宋" w:eastAsia="仿宋" w:hAnsi="仿宋" w:hint="eastAsia"/>
          <w:color w:val="000000"/>
          <w:sz w:val="32"/>
          <w:szCs w:val="32"/>
        </w:rPr>
        <w:t>77.48</w:t>
      </w:r>
      <w:r>
        <w:rPr>
          <w:rFonts w:ascii="仿宋" w:eastAsia="仿宋" w:hAnsi="仿宋" w:hint="eastAsia"/>
          <w:color w:val="000000"/>
          <w:sz w:val="32"/>
          <w:szCs w:val="32"/>
        </w:rPr>
        <w:t>万元，</w:t>
      </w:r>
      <w:r w:rsidR="00E475E9">
        <w:rPr>
          <w:rFonts w:ascii="仿宋" w:eastAsia="仿宋" w:hAnsi="仿宋" w:hint="eastAsia"/>
          <w:color w:val="000000"/>
          <w:sz w:val="32"/>
          <w:szCs w:val="32"/>
        </w:rPr>
        <w:t>增加</w:t>
      </w:r>
      <w:r w:rsidR="00D03F63">
        <w:rPr>
          <w:rFonts w:ascii="仿宋" w:eastAsia="仿宋" w:hAnsi="仿宋" w:hint="eastAsia"/>
          <w:color w:val="000000"/>
          <w:sz w:val="32"/>
          <w:szCs w:val="32"/>
        </w:rPr>
        <w:t>42</w:t>
      </w:r>
      <w:r>
        <w:rPr>
          <w:rFonts w:ascii="仿宋" w:eastAsia="仿宋" w:hAnsi="仿宋"/>
          <w:color w:val="000000"/>
          <w:sz w:val="32"/>
          <w:szCs w:val="32"/>
        </w:rPr>
        <w:t>%</w:t>
      </w:r>
      <w:r>
        <w:rPr>
          <w:rFonts w:ascii="仿宋" w:eastAsia="仿宋" w:hAnsi="仿宋" w:hint="eastAsia"/>
          <w:color w:val="000000"/>
          <w:sz w:val="32"/>
          <w:szCs w:val="32"/>
        </w:rPr>
        <w:t>。</w:t>
      </w:r>
      <w:r w:rsidR="0056023D">
        <w:rPr>
          <w:rFonts w:ascii="仿宋" w:eastAsia="仿宋" w:hAnsi="仿宋" w:hint="eastAsia"/>
          <w:color w:val="000000"/>
          <w:sz w:val="32"/>
          <w:szCs w:val="32"/>
        </w:rPr>
        <w:t>财政拨款支出增加</w:t>
      </w:r>
      <w:r>
        <w:rPr>
          <w:rFonts w:ascii="仿宋" w:eastAsia="仿宋" w:hAnsi="仿宋" w:hint="eastAsia"/>
          <w:color w:val="000000"/>
          <w:sz w:val="32"/>
          <w:szCs w:val="32"/>
        </w:rPr>
        <w:t>其原因为201</w:t>
      </w:r>
      <w:r w:rsidR="0056023D">
        <w:rPr>
          <w:rFonts w:ascii="仿宋" w:eastAsia="仿宋" w:hAnsi="仿宋" w:hint="eastAsia"/>
          <w:color w:val="000000"/>
          <w:sz w:val="32"/>
          <w:szCs w:val="32"/>
        </w:rPr>
        <w:t>9</w:t>
      </w:r>
      <w:r>
        <w:rPr>
          <w:rFonts w:ascii="仿宋" w:eastAsia="仿宋" w:hAnsi="仿宋" w:hint="eastAsia"/>
          <w:color w:val="000000"/>
          <w:sz w:val="32"/>
          <w:szCs w:val="32"/>
        </w:rPr>
        <w:t>年支出中包含</w:t>
      </w:r>
      <w:r w:rsidR="00D03F63">
        <w:rPr>
          <w:rFonts w:ascii="仿宋" w:eastAsia="仿宋" w:hAnsi="仿宋" w:hint="eastAsia"/>
          <w:color w:val="000000"/>
          <w:sz w:val="32"/>
          <w:szCs w:val="32"/>
        </w:rPr>
        <w:t>2018年结转的财政项目资金。</w:t>
      </w:r>
    </w:p>
    <w:p w:rsidR="008412C2" w:rsidRDefault="0056023D">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4472132" cy="2521528"/>
            <wp:effectExtent l="19050" t="0" r="23668"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12C2" w:rsidRDefault="001F313C">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8412C2" w:rsidRDefault="001F313C">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8412C2" w:rsidRDefault="001F313C">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9622E3">
        <w:rPr>
          <w:rFonts w:ascii="仿宋" w:eastAsia="仿宋" w:hAnsi="仿宋" w:hint="eastAsia"/>
          <w:color w:val="000000"/>
          <w:sz w:val="32"/>
          <w:szCs w:val="32"/>
        </w:rPr>
        <w:t>256.04</w:t>
      </w:r>
      <w:r>
        <w:rPr>
          <w:rFonts w:ascii="仿宋" w:eastAsia="仿宋" w:hAnsi="仿宋" w:hint="eastAsia"/>
          <w:color w:val="000000"/>
          <w:sz w:val="32"/>
          <w:szCs w:val="32"/>
        </w:rPr>
        <w:t>万元，占本年支出合计的</w:t>
      </w:r>
      <w:r w:rsidR="009622E3">
        <w:rPr>
          <w:rFonts w:ascii="仿宋" w:eastAsia="仿宋" w:hAnsi="仿宋" w:hint="eastAsia"/>
          <w:color w:val="000000"/>
          <w:sz w:val="32"/>
          <w:szCs w:val="32"/>
        </w:rPr>
        <w:t>38</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9622E3">
        <w:rPr>
          <w:rFonts w:ascii="仿宋" w:eastAsia="仿宋" w:hAnsi="仿宋" w:hint="eastAsia"/>
          <w:color w:val="000000"/>
          <w:sz w:val="32"/>
          <w:szCs w:val="32"/>
        </w:rPr>
        <w:t>68.06</w:t>
      </w:r>
      <w:r>
        <w:rPr>
          <w:rFonts w:ascii="仿宋" w:eastAsia="仿宋" w:hAnsi="仿宋" w:hint="eastAsia"/>
          <w:color w:val="000000"/>
          <w:sz w:val="32"/>
          <w:szCs w:val="32"/>
        </w:rPr>
        <w:t>万元，增加</w:t>
      </w:r>
      <w:r w:rsidR="009622E3">
        <w:rPr>
          <w:rFonts w:ascii="仿宋" w:eastAsia="仿宋" w:hAnsi="仿宋" w:hint="eastAsia"/>
          <w:color w:val="000000"/>
          <w:sz w:val="32"/>
          <w:szCs w:val="32"/>
        </w:rPr>
        <w:t>40</w:t>
      </w:r>
      <w:r>
        <w:rPr>
          <w:rFonts w:ascii="仿宋" w:eastAsia="仿宋" w:hAnsi="仿宋"/>
          <w:color w:val="000000"/>
          <w:sz w:val="32"/>
          <w:szCs w:val="32"/>
        </w:rPr>
        <w:t>%</w:t>
      </w:r>
      <w:r>
        <w:rPr>
          <w:rFonts w:ascii="仿宋" w:eastAsia="仿宋" w:hAnsi="仿宋" w:hint="eastAsia"/>
          <w:color w:val="000000"/>
          <w:sz w:val="32"/>
          <w:szCs w:val="32"/>
        </w:rPr>
        <w:t>。主要变动原因是2019年支出中包含2018年财政结转</w:t>
      </w:r>
      <w:r w:rsidR="00EF6AC6">
        <w:rPr>
          <w:rFonts w:ascii="仿宋" w:eastAsia="仿宋" w:hAnsi="仿宋" w:hint="eastAsia"/>
          <w:color w:val="000000"/>
          <w:sz w:val="32"/>
          <w:szCs w:val="32"/>
        </w:rPr>
        <w:t>的</w:t>
      </w:r>
      <w:r w:rsidR="009622E3">
        <w:rPr>
          <w:rFonts w:ascii="仿宋" w:eastAsia="仿宋" w:hAnsi="仿宋" w:hint="eastAsia"/>
          <w:color w:val="000000"/>
          <w:sz w:val="32"/>
          <w:szCs w:val="32"/>
        </w:rPr>
        <w:t>项目资金</w:t>
      </w:r>
      <w:r>
        <w:rPr>
          <w:rFonts w:ascii="仿宋" w:eastAsia="仿宋" w:hAnsi="仿宋" w:hint="eastAsia"/>
          <w:color w:val="000000"/>
          <w:sz w:val="32"/>
          <w:szCs w:val="32"/>
        </w:rPr>
        <w:t>。</w:t>
      </w:r>
    </w:p>
    <w:p w:rsidR="008412C2" w:rsidRDefault="008412C2">
      <w:pPr>
        <w:spacing w:line="600" w:lineRule="exact"/>
        <w:ind w:firstLineChars="200" w:firstLine="640"/>
        <w:rPr>
          <w:rFonts w:ascii="仿宋" w:eastAsia="仿宋" w:hAnsi="仿宋"/>
          <w:color w:val="000000" w:themeColor="text1"/>
          <w:sz w:val="32"/>
          <w:szCs w:val="32"/>
        </w:rPr>
      </w:pPr>
    </w:p>
    <w:p w:rsidR="008412C2" w:rsidRDefault="00320561" w:rsidP="00320561">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4670714" cy="2895600"/>
            <wp:effectExtent l="19050" t="0" r="15586"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12C2" w:rsidRDefault="001F313C">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8412C2" w:rsidRDefault="001F313C" w:rsidP="00741C91">
      <w:pPr>
        <w:spacing w:line="600" w:lineRule="exact"/>
        <w:ind w:firstLineChars="200"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573410">
        <w:rPr>
          <w:rFonts w:ascii="仿宋" w:eastAsia="仿宋" w:hAnsi="仿宋" w:hint="eastAsia"/>
          <w:sz w:val="32"/>
          <w:szCs w:val="32"/>
        </w:rPr>
        <w:t>256.04</w:t>
      </w:r>
      <w:r>
        <w:rPr>
          <w:rFonts w:ascii="仿宋" w:eastAsia="仿宋" w:hAnsi="仿宋" w:hint="eastAsia"/>
          <w:sz w:val="32"/>
          <w:szCs w:val="32"/>
        </w:rPr>
        <w:t>万元，主要用于以下方面</w:t>
      </w:r>
      <w:r>
        <w:rPr>
          <w:rFonts w:ascii="仿宋" w:eastAsia="仿宋" w:hAnsi="仿宋"/>
          <w:sz w:val="32"/>
          <w:szCs w:val="32"/>
        </w:rPr>
        <w:t>:</w:t>
      </w:r>
    </w:p>
    <w:p w:rsidR="008412C2" w:rsidRDefault="001F313C">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8412C2" w:rsidRDefault="001F313C" w:rsidP="00573410">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604726">
        <w:rPr>
          <w:rFonts w:ascii="仿宋" w:eastAsia="仿宋" w:hAnsi="仿宋" w:hint="eastAsia"/>
          <w:color w:val="000000" w:themeColor="text1"/>
          <w:sz w:val="32"/>
          <w:szCs w:val="32"/>
        </w:rPr>
        <w:t>4.</w:t>
      </w:r>
      <w:r w:rsidR="00573410">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bookmarkStart w:id="36" w:name="OLE_LINK1"/>
      <w:r>
        <w:rPr>
          <w:rFonts w:ascii="仿宋" w:eastAsia="仿宋" w:hAnsi="仿宋" w:hint="eastAsia"/>
          <w:b/>
          <w:bCs/>
          <w:color w:val="000000" w:themeColor="text1"/>
          <w:sz w:val="32"/>
          <w:szCs w:val="32"/>
        </w:rPr>
        <w:t>卫生健康支出</w:t>
      </w:r>
      <w:bookmarkEnd w:id="36"/>
      <w:r w:rsidR="00573410">
        <w:rPr>
          <w:rFonts w:ascii="仿宋" w:eastAsia="仿宋" w:hAnsi="仿宋" w:hint="eastAsia"/>
          <w:color w:val="000000" w:themeColor="text1"/>
          <w:sz w:val="32"/>
          <w:szCs w:val="32"/>
        </w:rPr>
        <w:t>248.68</w:t>
      </w:r>
      <w:r>
        <w:rPr>
          <w:rFonts w:ascii="仿宋" w:eastAsia="仿宋" w:hAnsi="仿宋" w:hint="eastAsia"/>
          <w:color w:val="000000" w:themeColor="text1"/>
          <w:sz w:val="32"/>
          <w:szCs w:val="32"/>
        </w:rPr>
        <w:t>万元，占一般公共预算财政拨款支出的9</w:t>
      </w:r>
      <w:r w:rsidR="00573410">
        <w:rPr>
          <w:rFonts w:ascii="仿宋" w:eastAsia="仿宋" w:hAnsi="仿宋" w:hint="eastAsia"/>
          <w:color w:val="000000" w:themeColor="text1"/>
          <w:sz w:val="32"/>
          <w:szCs w:val="32"/>
        </w:rPr>
        <w:t>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573410">
        <w:rPr>
          <w:rFonts w:ascii="仿宋" w:eastAsia="仿宋" w:hAnsi="仿宋" w:hint="eastAsia"/>
          <w:color w:val="000000" w:themeColor="text1"/>
          <w:sz w:val="32"/>
          <w:szCs w:val="32"/>
        </w:rPr>
        <w:t>25.56</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573410">
        <w:rPr>
          <w:rFonts w:ascii="仿宋" w:eastAsia="仿宋" w:hAnsi="仿宋" w:hint="eastAsia"/>
          <w:color w:val="000000" w:themeColor="text1"/>
          <w:sz w:val="32"/>
          <w:szCs w:val="32"/>
        </w:rPr>
        <w:t>60.67</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24</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2100408基本公共卫生服务支出</w:t>
      </w:r>
      <w:r w:rsidR="00573410">
        <w:rPr>
          <w:rFonts w:ascii="仿宋" w:eastAsia="仿宋" w:hAnsi="仿宋" w:hint="eastAsia"/>
          <w:color w:val="000000" w:themeColor="text1"/>
          <w:sz w:val="32"/>
          <w:szCs w:val="32"/>
        </w:rPr>
        <w:t>149.23</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573410">
        <w:rPr>
          <w:rFonts w:ascii="仿宋" w:eastAsia="仿宋" w:hAnsi="仿宋" w:hint="eastAsia"/>
          <w:color w:val="000000" w:themeColor="text1"/>
          <w:sz w:val="32"/>
          <w:szCs w:val="32"/>
        </w:rPr>
        <w:t>1.39</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p>
    <w:p w:rsidR="00604726" w:rsidRDefault="00604726">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w:t>
      </w:r>
      <w:r w:rsidR="00573410">
        <w:rPr>
          <w:rFonts w:ascii="仿宋" w:eastAsia="仿宋" w:hAnsi="仿宋" w:hint="eastAsia"/>
          <w:color w:val="000000" w:themeColor="text1"/>
          <w:sz w:val="32"/>
          <w:szCs w:val="32"/>
        </w:rPr>
        <w:t>0699</w:t>
      </w:r>
      <w:r>
        <w:rPr>
          <w:rFonts w:ascii="仿宋" w:eastAsia="仿宋" w:hAnsi="仿宋" w:hint="eastAsia"/>
          <w:color w:val="000000" w:themeColor="text1"/>
          <w:sz w:val="32"/>
          <w:szCs w:val="32"/>
        </w:rPr>
        <w:t>其他</w:t>
      </w:r>
      <w:r w:rsidR="00573410">
        <w:rPr>
          <w:rFonts w:ascii="仿宋" w:eastAsia="仿宋" w:hAnsi="仿宋" w:hint="eastAsia"/>
          <w:color w:val="000000" w:themeColor="text1"/>
          <w:sz w:val="32"/>
          <w:szCs w:val="32"/>
        </w:rPr>
        <w:t>中医药支出11.83</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5</w:t>
      </w:r>
      <w:r w:rsidR="008F55A0">
        <w:rPr>
          <w:rFonts w:ascii="仿宋" w:eastAsia="仿宋" w:hAnsi="仿宋" w:hint="eastAsia"/>
          <w:color w:val="000000" w:themeColor="text1"/>
          <w:sz w:val="32"/>
          <w:szCs w:val="32"/>
        </w:rPr>
        <w:t>%</w:t>
      </w:r>
    </w:p>
    <w:p w:rsidR="008412C2" w:rsidRDefault="001F313C" w:rsidP="005C0FE0">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themeColor="text1"/>
          <w:sz w:val="32"/>
          <w:szCs w:val="32"/>
        </w:rPr>
        <w:lastRenderedPageBreak/>
        <w:t>住房保障支出</w:t>
      </w:r>
      <w:r w:rsidR="00573410">
        <w:rPr>
          <w:rFonts w:ascii="仿宋" w:eastAsia="仿宋" w:hAnsi="仿宋" w:hint="eastAsia"/>
          <w:color w:val="000000" w:themeColor="text1"/>
          <w:sz w:val="32"/>
          <w:szCs w:val="32"/>
        </w:rPr>
        <w:t>2.56</w:t>
      </w:r>
      <w:r>
        <w:rPr>
          <w:rFonts w:ascii="仿宋" w:eastAsia="仿宋" w:hAnsi="仿宋" w:hint="eastAsia"/>
          <w:color w:val="000000" w:themeColor="text1"/>
          <w:sz w:val="32"/>
          <w:szCs w:val="32"/>
        </w:rPr>
        <w:t>万元，占</w:t>
      </w:r>
      <w:r w:rsidR="00573410">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A247FB">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4878532" cy="2687782"/>
            <wp:effectExtent l="19050" t="0" r="17318"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12C2" w:rsidRDefault="008412C2">
      <w:pPr>
        <w:spacing w:line="600" w:lineRule="exact"/>
        <w:rPr>
          <w:rFonts w:ascii="仿宋" w:eastAsia="仿宋" w:hAnsi="仿宋"/>
          <w:color w:val="000000"/>
          <w:sz w:val="32"/>
          <w:szCs w:val="32"/>
        </w:rPr>
      </w:pPr>
    </w:p>
    <w:p w:rsidR="008412C2" w:rsidRDefault="001F313C">
      <w:pPr>
        <w:spacing w:line="600" w:lineRule="exact"/>
        <w:ind w:firstLineChars="200" w:firstLine="643"/>
        <w:outlineLvl w:val="2"/>
        <w:rPr>
          <w:rFonts w:ascii="仿宋" w:eastAsia="仿宋" w:hAnsi="仿宋"/>
          <w:b/>
          <w:sz w:val="32"/>
          <w:szCs w:val="32"/>
        </w:rPr>
      </w:pPr>
      <w:bookmarkStart w:id="37" w:name="_Toc15377212"/>
      <w:r>
        <w:rPr>
          <w:rFonts w:ascii="仿宋" w:eastAsia="仿宋" w:hAnsi="仿宋" w:hint="eastAsia"/>
          <w:b/>
          <w:sz w:val="32"/>
          <w:szCs w:val="32"/>
        </w:rPr>
        <w:t>（三）一般公共预算财政拨款支出决算具体情况</w:t>
      </w:r>
      <w:bookmarkEnd w:id="37"/>
    </w:p>
    <w:p w:rsidR="008412C2" w:rsidRDefault="001F313C">
      <w:pPr>
        <w:spacing w:line="600" w:lineRule="exact"/>
        <w:ind w:firstLineChars="200" w:firstLine="643"/>
        <w:outlineLvl w:val="2"/>
        <w:rPr>
          <w:rFonts w:ascii="仿宋" w:eastAsia="仿宋" w:hAnsi="仿宋"/>
          <w:color w:val="FF0000"/>
          <w:sz w:val="32"/>
          <w:szCs w:val="32"/>
        </w:rPr>
      </w:pPr>
      <w:bookmarkStart w:id="38" w:name="_Toc15377213"/>
      <w:bookmarkStart w:id="39" w:name="_Toc15377444"/>
      <w:bookmarkStart w:id="40" w:name="_Toc15378460"/>
      <w:r>
        <w:rPr>
          <w:rFonts w:ascii="仿宋" w:eastAsia="仿宋" w:hAnsi="仿宋" w:hint="eastAsia"/>
          <w:b/>
          <w:color w:val="000000" w:themeColor="text1"/>
          <w:sz w:val="32"/>
          <w:szCs w:val="32"/>
        </w:rPr>
        <w:t>2019年一般公共预算支出决算数为</w:t>
      </w:r>
      <w:r w:rsidR="007668BD">
        <w:rPr>
          <w:rFonts w:ascii="仿宋" w:eastAsia="仿宋" w:hAnsi="仿宋" w:hint="eastAsia"/>
          <w:b/>
          <w:color w:val="000000" w:themeColor="text1"/>
          <w:sz w:val="32"/>
          <w:szCs w:val="32"/>
        </w:rPr>
        <w:t>256.04</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sidR="007668BD">
        <w:rPr>
          <w:rStyle w:val="a8"/>
          <w:rFonts w:ascii="仿宋" w:eastAsia="仿宋" w:hAnsi="仿宋" w:hint="eastAsia"/>
          <w:bCs/>
          <w:color w:val="000000"/>
          <w:sz w:val="32"/>
          <w:szCs w:val="32"/>
        </w:rPr>
        <w:t>88</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8"/>
      <w:bookmarkEnd w:id="39"/>
      <w:bookmarkEnd w:id="40"/>
    </w:p>
    <w:p w:rsidR="008412C2" w:rsidRDefault="00741C91" w:rsidP="00741C91">
      <w:pPr>
        <w:tabs>
          <w:tab w:val="left" w:pos="312"/>
        </w:tabs>
        <w:spacing w:line="600" w:lineRule="exact"/>
        <w:ind w:firstLineChars="196" w:firstLine="630"/>
        <w:rPr>
          <w:rStyle w:val="a8"/>
          <w:rFonts w:ascii="仿宋" w:eastAsia="仿宋" w:hAnsi="仿宋"/>
          <w:b w:val="0"/>
          <w:bCs/>
          <w:color w:val="000000"/>
          <w:sz w:val="32"/>
          <w:szCs w:val="32"/>
        </w:rPr>
      </w:pPr>
      <w:r>
        <w:rPr>
          <w:rStyle w:val="a8"/>
          <w:rFonts w:ascii="仿宋" w:eastAsia="仿宋" w:hAnsi="仿宋" w:hint="eastAsia"/>
          <w:bCs/>
          <w:color w:val="000000"/>
          <w:sz w:val="32"/>
          <w:szCs w:val="32"/>
        </w:rPr>
        <w:t>1.</w:t>
      </w:r>
      <w:r w:rsidR="001F313C">
        <w:rPr>
          <w:rStyle w:val="a8"/>
          <w:rFonts w:ascii="仿宋" w:eastAsia="仿宋" w:hAnsi="仿宋" w:hint="eastAsia"/>
          <w:bCs/>
          <w:color w:val="000000"/>
          <w:sz w:val="32"/>
          <w:szCs w:val="32"/>
        </w:rPr>
        <w:t>一般公共服务（类）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sidR="001F313C">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8412C2" w:rsidRPr="00741C91" w:rsidRDefault="00741C91" w:rsidP="00741C91">
      <w:pPr>
        <w:tabs>
          <w:tab w:val="left" w:pos="312"/>
        </w:tabs>
        <w:spacing w:line="600" w:lineRule="exact"/>
        <w:ind w:firstLineChars="196" w:firstLine="630"/>
        <w:rPr>
          <w:rFonts w:ascii="仿宋" w:eastAsia="仿宋" w:hAnsi="仿宋"/>
          <w:b/>
          <w:color w:val="000000"/>
          <w:sz w:val="32"/>
          <w:szCs w:val="32"/>
        </w:rPr>
      </w:pPr>
      <w:r>
        <w:rPr>
          <w:rStyle w:val="a8"/>
          <w:rFonts w:ascii="仿宋" w:eastAsia="仿宋" w:hAnsi="仿宋" w:hint="eastAsia"/>
          <w:bCs/>
          <w:color w:val="000000"/>
          <w:sz w:val="32"/>
          <w:szCs w:val="32"/>
        </w:rPr>
        <w:t>2.</w:t>
      </w:r>
      <w:r w:rsidR="001F313C">
        <w:rPr>
          <w:rStyle w:val="a8"/>
          <w:rFonts w:ascii="仿宋" w:eastAsia="仿宋" w:hAnsi="仿宋" w:hint="eastAsia"/>
          <w:bCs/>
          <w:color w:val="000000"/>
          <w:sz w:val="32"/>
          <w:szCs w:val="32"/>
        </w:rPr>
        <w:t>教育（类）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Pr>
          <w:rStyle w:val="a8"/>
          <w:rFonts w:ascii="仿宋" w:eastAsia="仿宋" w:hAnsi="仿宋" w:hint="eastAsia"/>
          <w:b w:val="0"/>
          <w:bCs/>
          <w:color w:val="000000"/>
          <w:sz w:val="32"/>
          <w:szCs w:val="32"/>
        </w:rPr>
        <w:t>%。</w:t>
      </w:r>
    </w:p>
    <w:p w:rsidR="008412C2" w:rsidRDefault="00741C91" w:rsidP="00741C91">
      <w:pPr>
        <w:tabs>
          <w:tab w:val="left" w:pos="312"/>
        </w:tabs>
        <w:spacing w:line="600" w:lineRule="exact"/>
        <w:ind w:left="643"/>
        <w:rPr>
          <w:rFonts w:ascii="仿宋" w:eastAsia="仿宋" w:hAnsi="仿宋"/>
          <w:b/>
          <w:color w:val="000000"/>
          <w:sz w:val="32"/>
          <w:szCs w:val="32"/>
        </w:rPr>
      </w:pPr>
      <w:r>
        <w:rPr>
          <w:rStyle w:val="a8"/>
          <w:rFonts w:ascii="仿宋" w:eastAsia="仿宋" w:hAnsi="仿宋" w:hint="eastAsia"/>
          <w:bCs/>
          <w:color w:val="000000"/>
          <w:sz w:val="32"/>
          <w:szCs w:val="32"/>
        </w:rPr>
        <w:t>3.</w:t>
      </w:r>
      <w:r w:rsidR="001F313C">
        <w:rPr>
          <w:rStyle w:val="a8"/>
          <w:rFonts w:ascii="仿宋" w:eastAsia="仿宋" w:hAnsi="仿宋" w:hint="eastAsia"/>
          <w:bCs/>
          <w:color w:val="000000"/>
          <w:sz w:val="32"/>
          <w:szCs w:val="32"/>
        </w:rPr>
        <w:t>科学技术（类）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Pr>
          <w:rStyle w:val="a8"/>
          <w:rFonts w:ascii="仿宋" w:eastAsia="仿宋" w:hAnsi="仿宋" w:hint="eastAsia"/>
          <w:b w:val="0"/>
          <w:bCs/>
          <w:color w:val="000000"/>
          <w:sz w:val="32"/>
          <w:szCs w:val="32"/>
        </w:rPr>
        <w:t>%。</w:t>
      </w:r>
    </w:p>
    <w:p w:rsidR="008412C2" w:rsidRDefault="00741C91" w:rsidP="00741C91">
      <w:pPr>
        <w:tabs>
          <w:tab w:val="left" w:pos="312"/>
        </w:tabs>
        <w:spacing w:line="600" w:lineRule="exact"/>
        <w:rPr>
          <w:rFonts w:ascii="仿宋" w:eastAsia="仿宋" w:hAnsi="仿宋"/>
          <w:b/>
          <w:color w:val="000000"/>
          <w:sz w:val="32"/>
          <w:szCs w:val="32"/>
        </w:rPr>
      </w:pPr>
      <w:r>
        <w:rPr>
          <w:rStyle w:val="a8"/>
          <w:rFonts w:ascii="仿宋" w:eastAsia="仿宋" w:hAnsi="仿宋" w:hint="eastAsia"/>
          <w:bCs/>
          <w:color w:val="000000"/>
          <w:sz w:val="32"/>
          <w:szCs w:val="32"/>
        </w:rPr>
        <w:t>4.</w:t>
      </w:r>
      <w:r w:rsidR="001F313C">
        <w:rPr>
          <w:rStyle w:val="a8"/>
          <w:rFonts w:ascii="仿宋" w:eastAsia="仿宋" w:hAnsi="仿宋" w:hint="eastAsia"/>
          <w:bCs/>
          <w:color w:val="000000"/>
          <w:sz w:val="32"/>
          <w:szCs w:val="32"/>
        </w:rPr>
        <w:t>文化旅游体育与传媒（类）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Pr>
          <w:rStyle w:val="a8"/>
          <w:rFonts w:ascii="仿宋" w:eastAsia="仿宋" w:hAnsi="仿宋" w:hint="eastAsia"/>
          <w:b w:val="0"/>
          <w:bCs/>
          <w:color w:val="000000"/>
          <w:sz w:val="32"/>
          <w:szCs w:val="32"/>
        </w:rPr>
        <w:t>%。</w:t>
      </w:r>
    </w:p>
    <w:p w:rsidR="008412C2" w:rsidRDefault="00741C91" w:rsidP="00741C91">
      <w:pPr>
        <w:tabs>
          <w:tab w:val="left" w:pos="312"/>
        </w:tabs>
        <w:spacing w:line="600" w:lineRule="exact"/>
        <w:ind w:firstLineChars="196" w:firstLine="630"/>
        <w:rPr>
          <w:rStyle w:val="a8"/>
          <w:rFonts w:ascii="仿宋" w:eastAsia="仿宋" w:hAnsi="仿宋"/>
          <w:b w:val="0"/>
          <w:bCs/>
          <w:color w:val="000000"/>
          <w:sz w:val="32"/>
          <w:szCs w:val="32"/>
        </w:rPr>
      </w:pPr>
      <w:r>
        <w:rPr>
          <w:rStyle w:val="a8"/>
          <w:rFonts w:ascii="仿宋" w:eastAsia="仿宋" w:hAnsi="仿宋" w:hint="eastAsia"/>
          <w:bCs/>
          <w:color w:val="000000"/>
          <w:sz w:val="32"/>
          <w:szCs w:val="32"/>
        </w:rPr>
        <w:t>5.</w:t>
      </w:r>
      <w:r w:rsidR="001F313C">
        <w:rPr>
          <w:rStyle w:val="a8"/>
          <w:rFonts w:ascii="仿宋" w:eastAsia="仿宋" w:hAnsi="仿宋" w:hint="eastAsia"/>
          <w:bCs/>
          <w:color w:val="000000"/>
          <w:sz w:val="32"/>
          <w:szCs w:val="32"/>
        </w:rPr>
        <w:t>社会保障和就业（类）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w:t>
      </w:r>
      <w:r w:rsidR="00334712">
        <w:rPr>
          <w:rStyle w:val="a8"/>
          <w:rFonts w:ascii="仿宋" w:eastAsia="仿宋" w:hAnsi="仿宋" w:hint="eastAsia"/>
          <w:b w:val="0"/>
          <w:bCs/>
          <w:color w:val="000000"/>
          <w:sz w:val="32"/>
          <w:szCs w:val="32"/>
        </w:rPr>
        <w:t>4.</w:t>
      </w:r>
      <w:r w:rsidR="007668BD">
        <w:rPr>
          <w:rStyle w:val="a8"/>
          <w:rFonts w:ascii="仿宋" w:eastAsia="仿宋" w:hAnsi="仿宋" w:hint="eastAsia"/>
          <w:b w:val="0"/>
          <w:bCs/>
          <w:color w:val="000000"/>
          <w:sz w:val="32"/>
          <w:szCs w:val="32"/>
        </w:rPr>
        <w:t>8</w:t>
      </w:r>
      <w:r w:rsidR="001F313C">
        <w:rPr>
          <w:rStyle w:val="a8"/>
          <w:rFonts w:ascii="仿宋" w:eastAsia="仿宋" w:hAnsi="仿宋" w:hint="eastAsia"/>
          <w:b w:val="0"/>
          <w:bCs/>
          <w:color w:val="000000"/>
          <w:sz w:val="32"/>
          <w:szCs w:val="32"/>
        </w:rPr>
        <w:t>万元，完成预算</w:t>
      </w:r>
      <w:r w:rsidR="00334712">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8412C2" w:rsidRDefault="00741C91" w:rsidP="00741C91">
      <w:pPr>
        <w:tabs>
          <w:tab w:val="left" w:pos="312"/>
        </w:tabs>
        <w:spacing w:line="600" w:lineRule="exact"/>
        <w:ind w:firstLineChars="196" w:firstLine="630"/>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6.</w:t>
      </w:r>
      <w:r w:rsidR="001F313C">
        <w:rPr>
          <w:rFonts w:ascii="仿宋" w:eastAsia="仿宋" w:hAnsi="仿宋" w:hint="eastAsia"/>
          <w:b/>
          <w:bCs/>
          <w:color w:val="000000" w:themeColor="text1"/>
          <w:sz w:val="32"/>
          <w:szCs w:val="32"/>
        </w:rPr>
        <w:t>卫生健康</w:t>
      </w:r>
      <w:r w:rsidR="001F313C">
        <w:rPr>
          <w:rStyle w:val="a8"/>
          <w:rFonts w:ascii="仿宋" w:eastAsia="仿宋" w:hAnsi="仿宋" w:hint="eastAsia"/>
          <w:bCs/>
          <w:color w:val="000000"/>
          <w:sz w:val="32"/>
          <w:szCs w:val="32"/>
        </w:rPr>
        <w:t>（类）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w:t>
      </w:r>
      <w:r w:rsidR="007668BD">
        <w:rPr>
          <w:rStyle w:val="a8"/>
          <w:rFonts w:ascii="仿宋" w:eastAsia="仿宋" w:hAnsi="仿宋" w:hint="eastAsia"/>
          <w:b w:val="0"/>
          <w:bCs/>
          <w:color w:val="000000"/>
          <w:sz w:val="32"/>
          <w:szCs w:val="32"/>
        </w:rPr>
        <w:t>248.68</w:t>
      </w:r>
      <w:r w:rsidR="001F313C">
        <w:rPr>
          <w:rStyle w:val="a8"/>
          <w:rFonts w:ascii="仿宋" w:eastAsia="仿宋" w:hAnsi="仿宋" w:hint="eastAsia"/>
          <w:b w:val="0"/>
          <w:bCs/>
          <w:color w:val="000000"/>
          <w:sz w:val="32"/>
          <w:szCs w:val="32"/>
        </w:rPr>
        <w:t>万元，完成预算</w:t>
      </w:r>
      <w:r w:rsidR="007668BD">
        <w:rPr>
          <w:rStyle w:val="a8"/>
          <w:rFonts w:ascii="仿宋" w:eastAsia="仿宋" w:hAnsi="仿宋" w:hint="eastAsia"/>
          <w:b w:val="0"/>
          <w:bCs/>
          <w:color w:val="000000"/>
          <w:sz w:val="32"/>
          <w:szCs w:val="32"/>
        </w:rPr>
        <w:t>87</w:t>
      </w:r>
      <w:r w:rsidR="001F313C">
        <w:rPr>
          <w:rStyle w:val="a8"/>
          <w:rFonts w:ascii="仿宋" w:eastAsia="仿宋" w:hAnsi="仿宋"/>
          <w:b w:val="0"/>
          <w:bCs/>
          <w:color w:val="000000"/>
          <w:sz w:val="32"/>
          <w:szCs w:val="32"/>
        </w:rPr>
        <w:t>%</w:t>
      </w:r>
      <w:r w:rsidR="001F313C">
        <w:rPr>
          <w:rStyle w:val="a8"/>
          <w:rFonts w:ascii="仿宋" w:eastAsia="仿宋" w:hAnsi="仿宋" w:hint="eastAsia"/>
          <w:b w:val="0"/>
          <w:bCs/>
          <w:color w:val="000000"/>
          <w:sz w:val="32"/>
          <w:szCs w:val="32"/>
        </w:rPr>
        <w:t>，决算数小于预算数的主要原因是当年有结转资金跨年</w:t>
      </w:r>
      <w:r w:rsidR="001F313C">
        <w:rPr>
          <w:rStyle w:val="a8"/>
          <w:rFonts w:ascii="仿宋" w:eastAsia="仿宋" w:hAnsi="仿宋" w:hint="eastAsia"/>
          <w:b w:val="0"/>
          <w:bCs/>
          <w:color w:val="000000"/>
          <w:sz w:val="32"/>
          <w:szCs w:val="32"/>
        </w:rPr>
        <w:lastRenderedPageBreak/>
        <w:t>使用。</w:t>
      </w:r>
    </w:p>
    <w:p w:rsidR="008412C2" w:rsidRDefault="001F313C" w:rsidP="00741C91">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7668BD">
        <w:rPr>
          <w:rStyle w:val="a8"/>
          <w:rFonts w:ascii="仿宋" w:eastAsia="仿宋" w:hAnsi="仿宋" w:hint="eastAsia"/>
          <w:b w:val="0"/>
          <w:bCs/>
          <w:color w:val="000000"/>
          <w:sz w:val="32"/>
          <w:szCs w:val="32"/>
        </w:rPr>
        <w:t>25.56</w:t>
      </w:r>
      <w:r>
        <w:rPr>
          <w:rStyle w:val="a8"/>
          <w:rFonts w:ascii="仿宋" w:eastAsia="仿宋" w:hAnsi="仿宋" w:hint="eastAsia"/>
          <w:b w:val="0"/>
          <w:bCs/>
          <w:color w:val="000000"/>
          <w:sz w:val="32"/>
          <w:szCs w:val="32"/>
        </w:rPr>
        <w:t>万元，完成预算100%。</w:t>
      </w:r>
    </w:p>
    <w:p w:rsidR="008412C2" w:rsidRDefault="001F313C" w:rsidP="00741C91">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其他基层医疗卫生机构支出决算数为</w:t>
      </w:r>
      <w:r w:rsidR="007668BD">
        <w:rPr>
          <w:rStyle w:val="a8"/>
          <w:rFonts w:ascii="仿宋" w:eastAsia="仿宋" w:hAnsi="仿宋" w:hint="eastAsia"/>
          <w:b w:val="0"/>
          <w:bCs/>
          <w:color w:val="000000"/>
          <w:sz w:val="32"/>
          <w:szCs w:val="32"/>
        </w:rPr>
        <w:t>60.67</w:t>
      </w:r>
      <w:r>
        <w:rPr>
          <w:rStyle w:val="a8"/>
          <w:rFonts w:ascii="仿宋" w:eastAsia="仿宋" w:hAnsi="仿宋" w:hint="eastAsia"/>
          <w:b w:val="0"/>
          <w:bCs/>
          <w:color w:val="000000"/>
          <w:sz w:val="32"/>
          <w:szCs w:val="32"/>
        </w:rPr>
        <w:t>万元，完成预算</w:t>
      </w:r>
      <w:r w:rsidR="003E72CC">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8412C2" w:rsidRDefault="001F313C" w:rsidP="00741C91">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7668BD">
        <w:rPr>
          <w:rStyle w:val="a8"/>
          <w:rFonts w:ascii="仿宋" w:eastAsia="仿宋" w:hAnsi="仿宋" w:hint="eastAsia"/>
          <w:b w:val="0"/>
          <w:bCs/>
          <w:color w:val="000000"/>
          <w:sz w:val="32"/>
          <w:szCs w:val="32"/>
        </w:rPr>
        <w:t>149.23</w:t>
      </w:r>
      <w:r>
        <w:rPr>
          <w:rStyle w:val="a8"/>
          <w:rFonts w:ascii="仿宋" w:eastAsia="仿宋" w:hAnsi="仿宋" w:hint="eastAsia"/>
          <w:b w:val="0"/>
          <w:bCs/>
          <w:color w:val="000000"/>
          <w:sz w:val="32"/>
          <w:szCs w:val="32"/>
        </w:rPr>
        <w:t>万元，完成预算</w:t>
      </w:r>
      <w:r w:rsidR="003E72CC">
        <w:rPr>
          <w:rStyle w:val="a8"/>
          <w:rFonts w:ascii="仿宋" w:eastAsia="仿宋" w:hAnsi="仿宋" w:hint="eastAsia"/>
          <w:b w:val="0"/>
          <w:bCs/>
          <w:color w:val="000000"/>
          <w:sz w:val="32"/>
          <w:szCs w:val="32"/>
        </w:rPr>
        <w:t>8</w:t>
      </w:r>
      <w:r w:rsidR="007668BD">
        <w:rPr>
          <w:rStyle w:val="a8"/>
          <w:rFonts w:ascii="仿宋" w:eastAsia="仿宋" w:hAnsi="仿宋" w:hint="eastAsia"/>
          <w:b w:val="0"/>
          <w:bCs/>
          <w:color w:val="000000"/>
          <w:sz w:val="32"/>
          <w:szCs w:val="32"/>
        </w:rPr>
        <w:t>1</w:t>
      </w:r>
      <w:r w:rsidR="003E72CC">
        <w:rPr>
          <w:rStyle w:val="a8"/>
          <w:rFonts w:ascii="仿宋" w:eastAsia="仿宋" w:hAnsi="仿宋" w:hint="eastAsia"/>
          <w:b w:val="0"/>
          <w:bCs/>
          <w:color w:val="000000"/>
          <w:sz w:val="32"/>
          <w:szCs w:val="32"/>
        </w:rPr>
        <w:t>%，结转资金跨年实施</w:t>
      </w:r>
      <w:r>
        <w:rPr>
          <w:rStyle w:val="a8"/>
          <w:rFonts w:ascii="仿宋" w:eastAsia="仿宋" w:hAnsi="仿宋" w:hint="eastAsia"/>
          <w:b w:val="0"/>
          <w:bCs/>
          <w:color w:val="000000"/>
          <w:sz w:val="32"/>
          <w:szCs w:val="32"/>
        </w:rPr>
        <w:t>。</w:t>
      </w:r>
    </w:p>
    <w:p w:rsidR="008412C2" w:rsidRDefault="001F313C" w:rsidP="00741C91">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7668BD">
        <w:rPr>
          <w:rStyle w:val="a8"/>
          <w:rFonts w:ascii="仿宋" w:eastAsia="仿宋" w:hAnsi="仿宋" w:hint="eastAsia"/>
          <w:b w:val="0"/>
          <w:bCs/>
          <w:color w:val="000000"/>
          <w:sz w:val="32"/>
          <w:szCs w:val="32"/>
        </w:rPr>
        <w:t>1.39</w:t>
      </w:r>
      <w:r>
        <w:rPr>
          <w:rStyle w:val="a8"/>
          <w:rFonts w:ascii="仿宋" w:eastAsia="仿宋" w:hAnsi="仿宋" w:hint="eastAsia"/>
          <w:b w:val="0"/>
          <w:bCs/>
          <w:color w:val="000000"/>
          <w:sz w:val="32"/>
          <w:szCs w:val="32"/>
        </w:rPr>
        <w:t>万元，完成预算100%</w:t>
      </w:r>
      <w:r w:rsidR="003E72CC">
        <w:rPr>
          <w:rStyle w:val="a8"/>
          <w:rFonts w:ascii="仿宋" w:eastAsia="仿宋" w:hAnsi="仿宋" w:hint="eastAsia"/>
          <w:b w:val="0"/>
          <w:bCs/>
          <w:color w:val="000000"/>
          <w:sz w:val="32"/>
          <w:szCs w:val="32"/>
        </w:rPr>
        <w:t>。</w:t>
      </w:r>
    </w:p>
    <w:p w:rsidR="003E72CC" w:rsidRDefault="003E72CC" w:rsidP="00741C91">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w:t>
      </w:r>
      <w:r w:rsidR="007668BD">
        <w:rPr>
          <w:rStyle w:val="a8"/>
          <w:rFonts w:ascii="仿宋" w:eastAsia="仿宋" w:hAnsi="仿宋" w:hint="eastAsia"/>
          <w:b w:val="0"/>
          <w:bCs/>
          <w:color w:val="000000"/>
          <w:sz w:val="32"/>
          <w:szCs w:val="32"/>
        </w:rPr>
        <w:t>0699</w:t>
      </w:r>
      <w:r>
        <w:rPr>
          <w:rStyle w:val="a8"/>
          <w:rFonts w:ascii="仿宋" w:eastAsia="仿宋" w:hAnsi="仿宋" w:hint="eastAsia"/>
          <w:b w:val="0"/>
          <w:bCs/>
          <w:color w:val="000000"/>
          <w:sz w:val="32"/>
          <w:szCs w:val="32"/>
        </w:rPr>
        <w:t>其他</w:t>
      </w:r>
      <w:r w:rsidR="007668BD">
        <w:rPr>
          <w:rStyle w:val="a8"/>
          <w:rFonts w:ascii="仿宋" w:eastAsia="仿宋" w:hAnsi="仿宋" w:hint="eastAsia"/>
          <w:b w:val="0"/>
          <w:bCs/>
          <w:color w:val="000000"/>
          <w:sz w:val="32"/>
          <w:szCs w:val="32"/>
        </w:rPr>
        <w:t>中医药</w:t>
      </w:r>
      <w:r>
        <w:rPr>
          <w:rStyle w:val="a8"/>
          <w:rFonts w:ascii="仿宋" w:eastAsia="仿宋" w:hAnsi="仿宋" w:hint="eastAsia"/>
          <w:b w:val="0"/>
          <w:bCs/>
          <w:color w:val="000000"/>
          <w:sz w:val="32"/>
          <w:szCs w:val="32"/>
        </w:rPr>
        <w:t>支出决算数为</w:t>
      </w:r>
      <w:r w:rsidR="007668BD">
        <w:rPr>
          <w:rStyle w:val="a8"/>
          <w:rFonts w:ascii="仿宋" w:eastAsia="仿宋" w:hAnsi="仿宋" w:hint="eastAsia"/>
          <w:b w:val="0"/>
          <w:bCs/>
          <w:color w:val="000000"/>
          <w:sz w:val="32"/>
          <w:szCs w:val="32"/>
        </w:rPr>
        <w:t>11.83</w:t>
      </w:r>
      <w:r>
        <w:rPr>
          <w:rStyle w:val="a8"/>
          <w:rFonts w:ascii="仿宋" w:eastAsia="仿宋" w:hAnsi="仿宋" w:hint="eastAsia"/>
          <w:b w:val="0"/>
          <w:bCs/>
          <w:color w:val="000000"/>
          <w:sz w:val="32"/>
          <w:szCs w:val="32"/>
        </w:rPr>
        <w:t>万元，完成预算</w:t>
      </w:r>
      <w:r w:rsidR="007668BD">
        <w:rPr>
          <w:rStyle w:val="a8"/>
          <w:rFonts w:ascii="仿宋" w:eastAsia="仿宋" w:hAnsi="仿宋" w:hint="eastAsia"/>
          <w:b w:val="0"/>
          <w:bCs/>
          <w:color w:val="000000"/>
          <w:sz w:val="32"/>
          <w:szCs w:val="32"/>
        </w:rPr>
        <w:t>92</w:t>
      </w:r>
      <w:r>
        <w:rPr>
          <w:rStyle w:val="a8"/>
          <w:rFonts w:ascii="仿宋" w:eastAsia="仿宋" w:hAnsi="仿宋" w:hint="eastAsia"/>
          <w:b w:val="0"/>
          <w:bCs/>
          <w:color w:val="000000"/>
          <w:sz w:val="32"/>
          <w:szCs w:val="32"/>
        </w:rPr>
        <w:t>%，结转资金跨年实施。</w:t>
      </w:r>
    </w:p>
    <w:p w:rsidR="008412C2" w:rsidRPr="00741C91" w:rsidRDefault="00741C91" w:rsidP="00741C91">
      <w:pPr>
        <w:tabs>
          <w:tab w:val="left" w:pos="312"/>
        </w:tabs>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7.</w:t>
      </w:r>
      <w:r w:rsidR="001F313C">
        <w:rPr>
          <w:rFonts w:ascii="仿宋" w:eastAsia="仿宋" w:hAnsi="仿宋" w:hint="eastAsia"/>
          <w:b/>
          <w:bCs/>
          <w:color w:val="000000"/>
          <w:sz w:val="32"/>
          <w:szCs w:val="32"/>
        </w:rPr>
        <w:t>住房保障支出</w:t>
      </w:r>
      <w:r w:rsidR="001F313C">
        <w:rPr>
          <w:rFonts w:ascii="仿宋" w:eastAsia="仿宋" w:hAnsi="仿宋" w:hint="eastAsia"/>
          <w:color w:val="000000"/>
          <w:sz w:val="32"/>
          <w:szCs w:val="32"/>
        </w:rPr>
        <w:t>：支出决算为</w:t>
      </w:r>
      <w:r w:rsidR="005D1851">
        <w:rPr>
          <w:rFonts w:ascii="仿宋" w:eastAsia="仿宋" w:hAnsi="仿宋" w:hint="eastAsia"/>
          <w:color w:val="000000"/>
          <w:sz w:val="32"/>
          <w:szCs w:val="32"/>
        </w:rPr>
        <w:t>2.56</w:t>
      </w:r>
      <w:r w:rsidR="001F313C">
        <w:rPr>
          <w:rFonts w:ascii="仿宋" w:eastAsia="仿宋" w:hAnsi="仿宋" w:hint="eastAsia"/>
          <w:color w:val="000000"/>
          <w:sz w:val="32"/>
          <w:szCs w:val="32"/>
        </w:rPr>
        <w:t>万元，完成预算100%。</w:t>
      </w:r>
    </w:p>
    <w:p w:rsidR="008412C2" w:rsidRDefault="001F313C">
      <w:pPr>
        <w:tabs>
          <w:tab w:val="right" w:pos="8306"/>
        </w:tabs>
        <w:spacing w:line="600" w:lineRule="exact"/>
        <w:ind w:firstLine="640"/>
        <w:outlineLvl w:val="1"/>
        <w:rPr>
          <w:rStyle w:val="2Char"/>
        </w:rPr>
      </w:pPr>
      <w:bookmarkStart w:id="41" w:name="_Toc15396608"/>
      <w:bookmarkStart w:id="42"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8412C2" w:rsidRDefault="001F313C">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5D1851">
        <w:rPr>
          <w:rFonts w:ascii="仿宋" w:eastAsia="仿宋" w:hAnsi="仿宋" w:hint="eastAsia"/>
          <w:color w:val="000000"/>
          <w:sz w:val="32"/>
          <w:szCs w:val="32"/>
        </w:rPr>
        <w:t>34.31</w:t>
      </w:r>
      <w:r>
        <w:rPr>
          <w:rFonts w:ascii="仿宋" w:eastAsia="仿宋" w:hAnsi="仿宋" w:hint="eastAsia"/>
          <w:color w:val="000000"/>
          <w:sz w:val="32"/>
          <w:szCs w:val="32"/>
        </w:rPr>
        <w:t>万元，其中：人员经费</w:t>
      </w:r>
      <w:r w:rsidR="005D1851">
        <w:rPr>
          <w:rFonts w:ascii="仿宋" w:eastAsia="仿宋" w:hAnsi="仿宋" w:hint="eastAsia"/>
          <w:color w:val="000000"/>
          <w:sz w:val="32"/>
          <w:szCs w:val="32"/>
        </w:rPr>
        <w:t>34.31</w:t>
      </w:r>
      <w:r>
        <w:rPr>
          <w:rFonts w:ascii="仿宋" w:eastAsia="仿宋" w:hAnsi="仿宋" w:hint="eastAsia"/>
          <w:color w:val="000000"/>
          <w:sz w:val="32"/>
          <w:szCs w:val="32"/>
        </w:rPr>
        <w:t>万元，主要包括：基本工资、津贴补贴、其他社会保障缴费、</w:t>
      </w:r>
      <w:r w:rsidR="005D1851">
        <w:rPr>
          <w:rFonts w:ascii="仿宋" w:eastAsia="仿宋" w:hAnsi="仿宋" w:hint="eastAsia"/>
          <w:color w:val="000000"/>
          <w:sz w:val="32"/>
          <w:szCs w:val="32"/>
        </w:rPr>
        <w:t>抚恤金、住房公积金</w:t>
      </w:r>
      <w:r>
        <w:rPr>
          <w:rFonts w:ascii="仿宋" w:eastAsia="仿宋" w:hAnsi="仿宋" w:hint="eastAsia"/>
          <w:color w:val="000000"/>
          <w:sz w:val="32"/>
          <w:szCs w:val="32"/>
        </w:rPr>
        <w:t>等。</w:t>
      </w:r>
      <w:r>
        <w:rPr>
          <w:rFonts w:ascii="仿宋" w:eastAsia="仿宋" w:hAnsi="仿宋"/>
          <w:color w:val="000000"/>
          <w:sz w:val="32"/>
          <w:szCs w:val="32"/>
        </w:rPr>
        <w:br/>
      </w:r>
      <w:r>
        <w:rPr>
          <w:rFonts w:ascii="仿宋" w:eastAsia="仿宋" w:hAnsi="仿宋" w:hint="eastAsia"/>
          <w:color w:val="000000"/>
          <w:sz w:val="32"/>
          <w:szCs w:val="32"/>
        </w:rPr>
        <w:t xml:space="preserve">　　日常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8412C2" w:rsidRDefault="001F313C">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color w:val="000000"/>
          <w:sz w:val="32"/>
          <w:szCs w:val="32"/>
        </w:rPr>
        <w:lastRenderedPageBreak/>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8412C2" w:rsidRDefault="001F313C">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8412C2" w:rsidRDefault="001F313C">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9年“三公”经费财政拨款支出决算为0万元，完成预算0</w:t>
      </w:r>
      <w:r>
        <w:rPr>
          <w:rFonts w:ascii="仿宋" w:eastAsia="仿宋" w:hAnsi="仿宋"/>
          <w:color w:val="000000"/>
          <w:sz w:val="32"/>
          <w:szCs w:val="32"/>
        </w:rPr>
        <w:t>%</w:t>
      </w:r>
    </w:p>
    <w:p w:rsidR="008412C2" w:rsidRDefault="001F313C">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8412C2" w:rsidRDefault="001F313C">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8412C2" w:rsidRDefault="001F313C">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8412C2" w:rsidRDefault="001F313C">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8年增加0万元，增长0</w:t>
      </w:r>
      <w:r>
        <w:rPr>
          <w:rFonts w:ascii="仿宋_GB2312" w:eastAsia="仿宋_GB2312"/>
          <w:color w:val="000000"/>
          <w:sz w:val="32"/>
          <w:szCs w:val="32"/>
        </w:rPr>
        <w:t>%</w:t>
      </w:r>
      <w:r>
        <w:rPr>
          <w:rFonts w:ascii="仿宋_GB2312" w:eastAsia="仿宋_GB2312" w:hint="eastAsia"/>
          <w:color w:val="000000"/>
          <w:sz w:val="32"/>
          <w:szCs w:val="32"/>
        </w:rPr>
        <w:t>。</w:t>
      </w:r>
    </w:p>
    <w:p w:rsidR="008412C2" w:rsidRDefault="001F313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4B1CEF">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辆，其中：主要领导干部用车0辆、机要通信用车0辆、应急保障用车</w:t>
      </w:r>
      <w:r w:rsidR="004B1CEF">
        <w:rPr>
          <w:rFonts w:ascii="仿宋_GB2312" w:eastAsia="仿宋_GB2312" w:hint="eastAsia"/>
          <w:color w:val="000000"/>
          <w:sz w:val="32"/>
          <w:szCs w:val="32"/>
        </w:rPr>
        <w:t>0</w:t>
      </w:r>
      <w:r>
        <w:rPr>
          <w:rFonts w:ascii="仿宋_GB2312" w:eastAsia="仿宋_GB2312" w:hint="eastAsia"/>
          <w:color w:val="000000"/>
          <w:sz w:val="32"/>
          <w:szCs w:val="32"/>
        </w:rPr>
        <w:t>辆</w:t>
      </w:r>
      <w:r w:rsidR="0067580D">
        <w:rPr>
          <w:rFonts w:ascii="仿宋_GB2312" w:eastAsia="仿宋_GB2312" w:hint="eastAsia"/>
          <w:color w:val="000000"/>
          <w:sz w:val="32"/>
          <w:szCs w:val="32"/>
        </w:rPr>
        <w:t>、其他用车1辆</w:t>
      </w:r>
      <w:r>
        <w:rPr>
          <w:rFonts w:ascii="仿宋_GB2312" w:eastAsia="仿宋_GB2312" w:hint="eastAsia"/>
          <w:color w:val="000000"/>
          <w:sz w:val="32"/>
          <w:szCs w:val="32"/>
        </w:rPr>
        <w:t>。</w:t>
      </w:r>
    </w:p>
    <w:p w:rsidR="008412C2" w:rsidRDefault="001F313C">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0万元。主要（具体工作）等所需的公务用车燃料费、维修费、过路过桥费、保险费等支</w:t>
      </w:r>
      <w:r>
        <w:rPr>
          <w:rFonts w:ascii="仿宋_GB2312" w:eastAsia="仿宋_GB2312" w:hint="eastAsia"/>
          <w:color w:val="000000"/>
          <w:sz w:val="32"/>
          <w:szCs w:val="32"/>
        </w:rPr>
        <w:lastRenderedPageBreak/>
        <w:t>出。</w:t>
      </w:r>
    </w:p>
    <w:p w:rsidR="008412C2" w:rsidRDefault="001F313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8412C2" w:rsidRDefault="001F313C">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8412C2" w:rsidRDefault="008412C2">
      <w:pPr>
        <w:spacing w:line="600" w:lineRule="exact"/>
        <w:ind w:firstLine="640"/>
        <w:outlineLvl w:val="1"/>
        <w:rPr>
          <w:rFonts w:ascii="黑体" w:eastAsia="黑体"/>
          <w:color w:val="000000"/>
          <w:sz w:val="32"/>
          <w:szCs w:val="32"/>
        </w:rPr>
      </w:pPr>
      <w:bookmarkStart w:id="47" w:name="_Toc15377218"/>
      <w:bookmarkStart w:id="48" w:name="_Toc15396610"/>
    </w:p>
    <w:p w:rsidR="008412C2" w:rsidRDefault="001F313C">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8412C2" w:rsidRPr="00F16F47" w:rsidRDefault="00F16F47" w:rsidP="00F16F4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9年政府性基金预算拨款支出3.86万元，完成预算100%。</w:t>
      </w:r>
    </w:p>
    <w:p w:rsidR="008412C2" w:rsidRDefault="001F313C">
      <w:pPr>
        <w:numPr>
          <w:ilvl w:val="0"/>
          <w:numId w:val="5"/>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8412C2" w:rsidRDefault="001F313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8412C2" w:rsidRDefault="008412C2">
      <w:pPr>
        <w:spacing w:line="580" w:lineRule="exact"/>
        <w:jc w:val="center"/>
        <w:rPr>
          <w:rFonts w:ascii="方正小标宋简体" w:eastAsia="方正小标宋简体" w:hAnsi="方正小标宋简体" w:cs="方正小标宋简体"/>
          <w:sz w:val="44"/>
          <w:szCs w:val="44"/>
        </w:rPr>
      </w:pPr>
    </w:p>
    <w:p w:rsidR="008412C2" w:rsidRDefault="001F313C">
      <w:pPr>
        <w:spacing w:line="600" w:lineRule="exact"/>
        <w:ind w:firstLineChars="250" w:firstLine="800"/>
        <w:outlineLvl w:val="1"/>
        <w:rPr>
          <w:rStyle w:val="2Char"/>
          <w:rFonts w:ascii="黑体" w:eastAsia="黑体" w:hAnsi="黑体"/>
        </w:rPr>
      </w:pPr>
      <w:bookmarkStart w:id="51" w:name="_Toc15377221"/>
      <w:bookmarkStart w:id="52"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8412C2" w:rsidRDefault="001F313C">
      <w:pPr>
        <w:spacing w:line="600" w:lineRule="exact"/>
        <w:ind w:firstLineChars="200" w:firstLine="643"/>
        <w:outlineLvl w:val="2"/>
        <w:rPr>
          <w:rFonts w:ascii="仿宋" w:eastAsia="仿宋" w:hAnsi="仿宋"/>
          <w:b/>
          <w:color w:val="000000"/>
          <w:sz w:val="32"/>
          <w:szCs w:val="32"/>
        </w:rPr>
      </w:pPr>
      <w:bookmarkStart w:id="53" w:name="_Toc15377222"/>
      <w:r>
        <w:rPr>
          <w:rFonts w:ascii="仿宋" w:eastAsia="仿宋" w:hAnsi="仿宋" w:hint="eastAsia"/>
          <w:b/>
          <w:color w:val="000000"/>
          <w:sz w:val="32"/>
          <w:szCs w:val="32"/>
        </w:rPr>
        <w:t>（一）机关运行经费支出情况</w:t>
      </w:r>
      <w:bookmarkEnd w:id="53"/>
    </w:p>
    <w:p w:rsidR="008412C2" w:rsidRDefault="004B1CEF">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罗目</w:t>
      </w:r>
      <w:r w:rsidR="00BB1CBA">
        <w:rPr>
          <w:rFonts w:ascii="仿宋" w:eastAsia="仿宋" w:hAnsi="仿宋" w:hint="eastAsia"/>
          <w:b/>
          <w:color w:val="000000"/>
          <w:sz w:val="32"/>
          <w:szCs w:val="32"/>
        </w:rPr>
        <w:t>镇</w:t>
      </w:r>
      <w:r w:rsidR="001F313C">
        <w:rPr>
          <w:rFonts w:ascii="仿宋" w:eastAsia="仿宋" w:hAnsi="仿宋" w:hint="eastAsia"/>
          <w:b/>
          <w:color w:val="000000"/>
          <w:sz w:val="32"/>
          <w:szCs w:val="32"/>
        </w:rPr>
        <w:t>卫生院属峨眉山市卫生健康局下属二级预算单位，事业编制，不属于机关单位，无机关运行经费支出。</w:t>
      </w:r>
    </w:p>
    <w:p w:rsidR="008412C2" w:rsidRPr="00BB1CBA" w:rsidRDefault="008412C2">
      <w:pPr>
        <w:spacing w:line="600" w:lineRule="exact"/>
        <w:ind w:firstLineChars="200" w:firstLine="643"/>
        <w:rPr>
          <w:rFonts w:ascii="仿宋" w:eastAsia="仿宋" w:hAnsi="仿宋"/>
          <w:b/>
          <w:color w:val="FF0000"/>
          <w:sz w:val="32"/>
          <w:szCs w:val="32"/>
        </w:rPr>
      </w:pPr>
    </w:p>
    <w:p w:rsidR="008412C2" w:rsidRDefault="001F313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t>（二）政府采购支出情况</w:t>
      </w:r>
      <w:bookmarkEnd w:id="54"/>
    </w:p>
    <w:p w:rsidR="008412C2" w:rsidRDefault="001F313C">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4B1CEF">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BB1CBA">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4B1CEF">
        <w:rPr>
          <w:rFonts w:ascii="仿宋_GB2312" w:eastAsia="仿宋_GB2312" w:hint="eastAsia"/>
          <w:color w:val="000000"/>
          <w:sz w:val="32"/>
          <w:szCs w:val="32"/>
        </w:rPr>
        <w:t>0</w:t>
      </w:r>
      <w:r>
        <w:rPr>
          <w:rFonts w:ascii="仿宋_GB2312" w:eastAsia="仿宋_GB2312" w:hint="eastAsia"/>
          <w:color w:val="000000"/>
          <w:sz w:val="32"/>
          <w:szCs w:val="32"/>
        </w:rPr>
        <w:t>万元、政府采购服务支出0</w:t>
      </w:r>
      <w:r w:rsidR="00BB1CBA">
        <w:rPr>
          <w:rFonts w:ascii="仿宋_GB2312" w:eastAsia="仿宋_GB2312" w:hint="eastAsia"/>
          <w:color w:val="000000"/>
          <w:sz w:val="32"/>
          <w:szCs w:val="32"/>
        </w:rPr>
        <w:t>万元</w:t>
      </w:r>
      <w:r>
        <w:rPr>
          <w:rFonts w:ascii="仿宋_GB2312" w:eastAsia="仿宋_GB2312" w:hint="eastAsia"/>
          <w:color w:val="000000"/>
          <w:sz w:val="32"/>
          <w:szCs w:val="32"/>
        </w:rPr>
        <w:t>。授予中小企业合同金额0万元，占政府采</w:t>
      </w:r>
      <w:r>
        <w:rPr>
          <w:rFonts w:ascii="仿宋_GB2312" w:eastAsia="仿宋_GB2312" w:hint="eastAsia"/>
          <w:color w:val="000000"/>
          <w:sz w:val="32"/>
          <w:szCs w:val="32"/>
        </w:rPr>
        <w:lastRenderedPageBreak/>
        <w:t>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8412C2" w:rsidRDefault="008412C2">
      <w:pPr>
        <w:spacing w:line="600" w:lineRule="exact"/>
        <w:ind w:firstLineChars="200" w:firstLine="640"/>
        <w:rPr>
          <w:rFonts w:ascii="仿宋_GB2312" w:eastAsia="仿宋_GB2312"/>
          <w:color w:val="000000"/>
          <w:sz w:val="32"/>
          <w:szCs w:val="32"/>
        </w:rPr>
      </w:pPr>
    </w:p>
    <w:p w:rsidR="008412C2" w:rsidRDefault="001F313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8412C2" w:rsidRDefault="001F313C">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BB1CBA">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辆，其中：主要领导干部用车0辆、机要通信用车0辆、应急保障用车</w:t>
      </w:r>
      <w:r w:rsidR="00BB1CBA">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BB1CBA">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8412C2" w:rsidRDefault="008412C2">
      <w:pPr>
        <w:autoSpaceDE w:val="0"/>
        <w:autoSpaceDN w:val="0"/>
        <w:adjustRightInd w:val="0"/>
        <w:spacing w:line="600" w:lineRule="exact"/>
        <w:ind w:firstLineChars="200" w:firstLine="640"/>
        <w:jc w:val="left"/>
        <w:rPr>
          <w:rFonts w:ascii="仿宋_GB2312" w:eastAsia="仿宋_GB2312"/>
          <w:color w:val="000000"/>
          <w:sz w:val="32"/>
          <w:szCs w:val="32"/>
        </w:rPr>
      </w:pPr>
    </w:p>
    <w:p w:rsidR="008412C2" w:rsidRDefault="001F313C">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6A3D87" w:rsidRPr="006A3D87" w:rsidRDefault="006A3D87" w:rsidP="006A3D87">
      <w:pPr>
        <w:spacing w:line="580" w:lineRule="exact"/>
        <w:ind w:firstLineChars="200" w:firstLine="640"/>
        <w:rPr>
          <w:rFonts w:ascii="仿宋_GB2312" w:eastAsia="仿宋_GB2312" w:hAnsi="仿宋_GB2312" w:cs="仿宋_GB2312"/>
          <w:sz w:val="32"/>
          <w:szCs w:val="32"/>
        </w:rPr>
      </w:pPr>
      <w:r w:rsidRPr="006A3D87">
        <w:rPr>
          <w:rFonts w:ascii="楷体_GB2312" w:eastAsia="楷体_GB2312" w:hAnsi="楷体_GB2312" w:cs="楷体_GB2312" w:hint="eastAsia"/>
          <w:sz w:val="32"/>
          <w:szCs w:val="32"/>
        </w:rPr>
        <w:t>1.项目绩效目标完成情况。</w:t>
      </w:r>
    </w:p>
    <w:p w:rsidR="006A3D87" w:rsidRPr="006A3D87" w:rsidRDefault="006A3D87" w:rsidP="006A3D87">
      <w:pPr>
        <w:spacing w:line="580" w:lineRule="exact"/>
        <w:ind w:firstLineChars="200" w:firstLine="640"/>
        <w:rPr>
          <w:rFonts w:ascii="仿宋_GB2312" w:eastAsia="仿宋_GB2312" w:hAnsi="仿宋_GB2312" w:cs="仿宋_GB2312"/>
          <w:sz w:val="32"/>
          <w:szCs w:val="32"/>
        </w:rPr>
      </w:pPr>
      <w:r w:rsidRPr="006A3D87">
        <w:rPr>
          <w:rFonts w:ascii="仿宋_GB2312" w:eastAsia="仿宋_GB2312" w:hAnsi="仿宋_GB2312" w:cs="仿宋_GB2312" w:hint="eastAsia"/>
          <w:sz w:val="32"/>
          <w:szCs w:val="32"/>
        </w:rPr>
        <w:t>根据预算绩效管理要求，</w:t>
      </w:r>
      <w:r w:rsidRPr="006A3D87">
        <w:rPr>
          <w:rFonts w:ascii="仿宋_GB2312" w:eastAsia="仿宋_GB2312" w:hAnsi="仿宋_GB2312" w:cs="仿宋_GB2312"/>
          <w:sz w:val="32"/>
          <w:szCs w:val="32"/>
        </w:rPr>
        <w:t>本单位无专项预算项，专项预算项目由主管局统一预算编制。2019年，本单位收到调整预算安排</w:t>
      </w:r>
      <w:r>
        <w:rPr>
          <w:rFonts w:ascii="仿宋_GB2312" w:eastAsia="仿宋_GB2312" w:hAnsi="仿宋_GB2312" w:cs="仿宋_GB2312" w:hint="eastAsia"/>
          <w:sz w:val="32"/>
          <w:szCs w:val="32"/>
        </w:rPr>
        <w:t>260.77</w:t>
      </w:r>
      <w:r w:rsidRPr="006A3D87">
        <w:rPr>
          <w:rFonts w:ascii="仿宋_GB2312" w:eastAsia="仿宋_GB2312" w:hAnsi="仿宋_GB2312" w:cs="仿宋_GB2312"/>
          <w:sz w:val="32"/>
          <w:szCs w:val="32"/>
        </w:rPr>
        <w:t>万元，其中基本支出0万元，项目支出</w:t>
      </w:r>
      <w:r>
        <w:rPr>
          <w:rFonts w:ascii="仿宋_GB2312" w:eastAsia="仿宋_GB2312" w:hAnsi="仿宋_GB2312" w:cs="仿宋_GB2312" w:hint="eastAsia"/>
          <w:sz w:val="32"/>
          <w:szCs w:val="32"/>
        </w:rPr>
        <w:t>260.77</w:t>
      </w:r>
      <w:r w:rsidRPr="006A3D87">
        <w:rPr>
          <w:rFonts w:ascii="仿宋_GB2312" w:eastAsia="仿宋_GB2312" w:hAnsi="仿宋_GB2312" w:cs="仿宋_GB2312"/>
          <w:sz w:val="32"/>
          <w:szCs w:val="32"/>
        </w:rPr>
        <w:t>万元。</w:t>
      </w:r>
      <w:r w:rsidRPr="006A3D87">
        <w:rPr>
          <w:rFonts w:ascii="仿宋_GB2312" w:eastAsia="仿宋_GB2312" w:hAnsi="仿宋_GB2312" w:cs="仿宋_GB2312" w:hint="eastAsia"/>
          <w:sz w:val="32"/>
          <w:szCs w:val="32"/>
        </w:rPr>
        <w:t>主要为</w:t>
      </w:r>
      <w:r w:rsidRPr="006A3D87">
        <w:rPr>
          <w:rFonts w:ascii="仿宋_GB2312" w:eastAsia="仿宋_GB2312" w:hAnsi="仿宋_GB2312" w:cs="仿宋_GB2312"/>
          <w:sz w:val="32"/>
          <w:szCs w:val="32"/>
        </w:rPr>
        <w:t>基层医疗卫生机构</w:t>
      </w:r>
      <w:r w:rsidRPr="006A3D87">
        <w:rPr>
          <w:rFonts w:ascii="仿宋_GB2312" w:eastAsia="仿宋_GB2312" w:hAnsi="仿宋_GB2312" w:cs="仿宋_GB2312" w:hint="eastAsia"/>
          <w:sz w:val="32"/>
          <w:szCs w:val="32"/>
        </w:rPr>
        <w:t>及村卫生室实施基本药物制度、基本公共卫生服务、</w:t>
      </w:r>
      <w:r>
        <w:rPr>
          <w:rFonts w:ascii="仿宋_GB2312" w:eastAsia="仿宋_GB2312" w:hAnsi="仿宋_GB2312" w:cs="仿宋_GB2312" w:hint="eastAsia"/>
          <w:sz w:val="32"/>
          <w:szCs w:val="32"/>
        </w:rPr>
        <w:t>中医馆建设和医疗废物暂存点建设</w:t>
      </w:r>
      <w:r w:rsidRPr="006A3D87">
        <w:rPr>
          <w:rFonts w:ascii="仿宋_GB2312" w:eastAsia="仿宋_GB2312" w:hAnsi="仿宋_GB2312" w:cs="仿宋_GB2312" w:hint="eastAsia"/>
          <w:sz w:val="32"/>
          <w:szCs w:val="32"/>
        </w:rPr>
        <w:t>等项目。</w:t>
      </w:r>
    </w:p>
    <w:p w:rsidR="008412C2" w:rsidRDefault="00B42357" w:rsidP="006B67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1F313C">
        <w:rPr>
          <w:rFonts w:ascii="仿宋_GB2312" w:eastAsia="仿宋_GB2312" w:hAnsi="仿宋_GB2312" w:cs="仿宋_GB2312" w:hint="eastAsia"/>
          <w:sz w:val="32"/>
          <w:szCs w:val="32"/>
        </w:rPr>
        <w:t>基本公共卫生服务项目绩效目标完成情况综述。项目全年预算数</w:t>
      </w:r>
      <w:r w:rsidR="009C18F7">
        <w:rPr>
          <w:rFonts w:ascii="仿宋_GB2312" w:eastAsia="仿宋_GB2312" w:hAnsi="仿宋_GB2312" w:cs="仿宋_GB2312" w:hint="eastAsia"/>
          <w:sz w:val="32"/>
          <w:szCs w:val="32"/>
        </w:rPr>
        <w:t>184.41</w:t>
      </w:r>
      <w:r w:rsidR="001F313C">
        <w:rPr>
          <w:rFonts w:ascii="仿宋_GB2312" w:eastAsia="仿宋_GB2312" w:hAnsi="仿宋_GB2312" w:cs="仿宋_GB2312" w:hint="eastAsia"/>
          <w:sz w:val="32"/>
          <w:szCs w:val="32"/>
        </w:rPr>
        <w:t>万元，执行数为</w:t>
      </w:r>
      <w:r w:rsidR="009C18F7">
        <w:rPr>
          <w:rFonts w:ascii="仿宋_GB2312" w:eastAsia="仿宋_GB2312" w:hAnsi="仿宋_GB2312" w:cs="仿宋_GB2312" w:hint="eastAsia"/>
          <w:sz w:val="32"/>
          <w:szCs w:val="32"/>
        </w:rPr>
        <w:t>149.23</w:t>
      </w:r>
      <w:r w:rsidR="001F313C">
        <w:rPr>
          <w:rFonts w:ascii="仿宋_GB2312" w:eastAsia="仿宋_GB2312" w:hAnsi="仿宋_GB2312" w:cs="仿宋_GB2312" w:hint="eastAsia"/>
          <w:sz w:val="32"/>
          <w:szCs w:val="32"/>
        </w:rPr>
        <w:t>万元，完成预算数的</w:t>
      </w:r>
      <w:r w:rsidR="001A7CC5">
        <w:rPr>
          <w:rFonts w:ascii="仿宋_GB2312" w:eastAsia="仿宋_GB2312" w:hAnsi="仿宋_GB2312" w:cs="仿宋_GB2312" w:hint="eastAsia"/>
          <w:sz w:val="32"/>
          <w:szCs w:val="32"/>
        </w:rPr>
        <w:t>8</w:t>
      </w:r>
      <w:r w:rsidR="009C18F7">
        <w:rPr>
          <w:rFonts w:ascii="仿宋_GB2312" w:eastAsia="仿宋_GB2312" w:hAnsi="仿宋_GB2312" w:cs="仿宋_GB2312" w:hint="eastAsia"/>
          <w:sz w:val="32"/>
          <w:szCs w:val="32"/>
        </w:rPr>
        <w:t>1</w:t>
      </w:r>
      <w:r w:rsidR="001F313C">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力，使城乡居民逐步享有均等化公共卫生服务。</w:t>
      </w:r>
    </w:p>
    <w:p w:rsidR="008412C2" w:rsidRDefault="00B42357" w:rsidP="006B67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1F313C">
        <w:rPr>
          <w:rFonts w:ascii="仿宋_GB2312" w:eastAsia="仿宋_GB2312" w:hAnsi="仿宋_GB2312" w:cs="仿宋_GB2312" w:hint="eastAsia"/>
          <w:sz w:val="32"/>
          <w:szCs w:val="32"/>
        </w:rPr>
        <w:t>基层医疗卫生机构项目绩效目标完成情况综述。项目全年预算</w:t>
      </w:r>
      <w:r w:rsidR="009C18F7">
        <w:rPr>
          <w:rFonts w:ascii="仿宋_GB2312" w:eastAsia="仿宋_GB2312" w:hAnsi="仿宋_GB2312" w:cs="仿宋_GB2312" w:hint="eastAsia"/>
          <w:sz w:val="32"/>
          <w:szCs w:val="32"/>
        </w:rPr>
        <w:t>60.67</w:t>
      </w:r>
      <w:r w:rsidR="001F313C">
        <w:rPr>
          <w:rFonts w:ascii="仿宋_GB2312" w:eastAsia="仿宋_GB2312" w:hAnsi="仿宋_GB2312" w:cs="仿宋_GB2312" w:hint="eastAsia"/>
          <w:sz w:val="32"/>
          <w:szCs w:val="32"/>
        </w:rPr>
        <w:t>万元，执行数为</w:t>
      </w:r>
      <w:r w:rsidR="009C18F7">
        <w:rPr>
          <w:rFonts w:ascii="仿宋_GB2312" w:eastAsia="仿宋_GB2312" w:hAnsi="仿宋_GB2312" w:cs="仿宋_GB2312" w:hint="eastAsia"/>
          <w:sz w:val="32"/>
          <w:szCs w:val="32"/>
        </w:rPr>
        <w:t>60.67</w:t>
      </w:r>
      <w:r w:rsidR="001F313C">
        <w:rPr>
          <w:rFonts w:ascii="仿宋_GB2312" w:eastAsia="仿宋_GB2312" w:hAnsi="仿宋_GB2312" w:cs="仿宋_GB2312" w:hint="eastAsia"/>
          <w:sz w:val="32"/>
          <w:szCs w:val="32"/>
        </w:rPr>
        <w:t>万元，完成预算数</w:t>
      </w:r>
      <w:r w:rsidR="001A7CC5">
        <w:rPr>
          <w:rFonts w:ascii="仿宋_GB2312" w:eastAsia="仿宋_GB2312" w:hAnsi="仿宋_GB2312" w:cs="仿宋_GB2312" w:hint="eastAsia"/>
          <w:sz w:val="32"/>
          <w:szCs w:val="32"/>
        </w:rPr>
        <w:t>100</w:t>
      </w:r>
      <w:r w:rsidR="001F313C">
        <w:rPr>
          <w:rFonts w:ascii="仿宋_GB2312" w:eastAsia="仿宋_GB2312" w:hAnsi="仿宋_GB2312" w:cs="仿宋_GB2312" w:hint="eastAsia"/>
          <w:sz w:val="32"/>
          <w:szCs w:val="32"/>
        </w:rPr>
        <w:t>%。</w:t>
      </w:r>
    </w:p>
    <w:p w:rsidR="00F22695" w:rsidRDefault="001F313C" w:rsidP="006B675B">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我院严格实施国家基本药物制度，实行国家基本药物零差价制度，保障基本药物合理使用，满足百姓用药需求，减轻群众用药负担。保障群众用药安全和身体健康，维护群众的基本医疗卫生权益。</w:t>
      </w:r>
      <w:r w:rsidR="002E1108" w:rsidRPr="002E1108">
        <w:rPr>
          <w:rFonts w:ascii="仿宋_GB2312" w:eastAsia="仿宋_GB2312" w:hAnsi="仿宋_GB2312" w:cs="仿宋_GB2312"/>
          <w:sz w:val="32"/>
          <w:szCs w:val="32"/>
        </w:rPr>
        <w:t>村卫生室基药资金按3000元/村卫生室，剩余部分按各村卫生室基药采购量进行分配。若督导或绩效考核发现配备非基药、加价、使用过期药品、加价、村卫生室自行采购等情况，</w:t>
      </w:r>
      <w:r w:rsidR="006A3D87">
        <w:rPr>
          <w:rFonts w:ascii="仿宋_GB2312" w:eastAsia="仿宋_GB2312" w:hAnsi="仿宋_GB2312" w:cs="仿宋_GB2312" w:hint="eastAsia"/>
          <w:sz w:val="32"/>
          <w:szCs w:val="32"/>
        </w:rPr>
        <w:t>按规定扣除相应补助</w:t>
      </w:r>
      <w:r w:rsidR="002E1108" w:rsidRPr="002E1108">
        <w:rPr>
          <w:rFonts w:ascii="仿宋_GB2312" w:eastAsia="仿宋_GB2312" w:hAnsi="仿宋_GB2312" w:cs="仿宋_GB2312"/>
          <w:sz w:val="32"/>
          <w:szCs w:val="32"/>
        </w:rPr>
        <w:t>。</w:t>
      </w:r>
    </w:p>
    <w:p w:rsidR="00F22695" w:rsidRDefault="00B42357" w:rsidP="008F2C8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F16F47">
        <w:rPr>
          <w:rFonts w:ascii="仿宋_GB2312" w:eastAsia="仿宋_GB2312" w:hAnsi="仿宋_GB2312" w:cs="仿宋_GB2312" w:hint="eastAsia"/>
          <w:sz w:val="32"/>
          <w:szCs w:val="32"/>
        </w:rPr>
        <w:t>中医馆建设项目绩效目标完成情况综述。项目全年预算11.83万元，执行数为11.83万元，完成预算数100%。</w:t>
      </w:r>
      <w:r w:rsidR="00F22695">
        <w:rPr>
          <w:rFonts w:ascii="仿宋_GB2312" w:eastAsia="仿宋_GB2312" w:hAnsi="仿宋_GB2312" w:cs="仿宋_GB2312" w:hint="eastAsia"/>
          <w:sz w:val="32"/>
          <w:szCs w:val="32"/>
        </w:rPr>
        <w:t>中医馆建成之后，</w:t>
      </w:r>
      <w:r w:rsidR="00C93BDD">
        <w:rPr>
          <w:rFonts w:ascii="仿宋_GB2312" w:eastAsia="仿宋_GB2312" w:hAnsi="仿宋_GB2312" w:cs="仿宋_GB2312" w:hint="eastAsia"/>
          <w:sz w:val="32"/>
          <w:szCs w:val="32"/>
        </w:rPr>
        <w:t>配备了专科特色的中医诊疗设备，开展了针灸、推拿、拔罐、刮痧等中医药传统疗法，为广大群众提供医疗、保健等中医药服务。</w:t>
      </w:r>
      <w:r w:rsidR="00C02C7B">
        <w:rPr>
          <w:rFonts w:ascii="仿宋_GB2312" w:eastAsia="仿宋_GB2312" w:hAnsi="仿宋_GB2312" w:cs="仿宋_GB2312" w:hint="eastAsia"/>
          <w:sz w:val="32"/>
          <w:szCs w:val="32"/>
        </w:rPr>
        <w:t>方便了百姓接受中医药诊疗</w:t>
      </w:r>
      <w:r w:rsidR="00F16F47">
        <w:rPr>
          <w:rFonts w:ascii="仿宋_GB2312" w:eastAsia="仿宋_GB2312" w:hAnsi="仿宋_GB2312" w:cs="仿宋_GB2312" w:hint="eastAsia"/>
          <w:sz w:val="32"/>
          <w:szCs w:val="32"/>
        </w:rPr>
        <w:t>服务。</w:t>
      </w:r>
    </w:p>
    <w:p w:rsidR="006A3D87" w:rsidRDefault="00B42357" w:rsidP="006A3D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F16F47">
        <w:rPr>
          <w:rFonts w:ascii="仿宋_GB2312" w:eastAsia="仿宋_GB2312" w:hAnsi="仿宋_GB2312" w:cs="仿宋_GB2312" w:hint="eastAsia"/>
          <w:sz w:val="32"/>
          <w:szCs w:val="32"/>
        </w:rPr>
        <w:t>医疗废物暂存点建设绩效目标完成情况综述。项目全年预算3.</w:t>
      </w:r>
      <w:r w:rsidR="009C18F7">
        <w:rPr>
          <w:rFonts w:ascii="仿宋_GB2312" w:eastAsia="仿宋_GB2312" w:hAnsi="仿宋_GB2312" w:cs="仿宋_GB2312" w:hint="eastAsia"/>
          <w:sz w:val="32"/>
          <w:szCs w:val="32"/>
        </w:rPr>
        <w:t>8</w:t>
      </w:r>
      <w:r w:rsidR="00F16F47">
        <w:rPr>
          <w:rFonts w:ascii="仿宋_GB2312" w:eastAsia="仿宋_GB2312" w:hAnsi="仿宋_GB2312" w:cs="仿宋_GB2312" w:hint="eastAsia"/>
          <w:sz w:val="32"/>
          <w:szCs w:val="32"/>
        </w:rPr>
        <w:t>6万元，执行数为3.</w:t>
      </w:r>
      <w:r w:rsidR="009C18F7">
        <w:rPr>
          <w:rFonts w:ascii="仿宋_GB2312" w:eastAsia="仿宋_GB2312" w:hAnsi="仿宋_GB2312" w:cs="仿宋_GB2312" w:hint="eastAsia"/>
          <w:sz w:val="32"/>
          <w:szCs w:val="32"/>
        </w:rPr>
        <w:t>8</w:t>
      </w:r>
      <w:r w:rsidR="00F16F47">
        <w:rPr>
          <w:rFonts w:ascii="仿宋_GB2312" w:eastAsia="仿宋_GB2312" w:hAnsi="仿宋_GB2312" w:cs="仿宋_GB2312" w:hint="eastAsia"/>
          <w:sz w:val="32"/>
          <w:szCs w:val="32"/>
        </w:rPr>
        <w:t>6万元，完成预算数100%。医疗废物暂存点的建立，有效的优化处理处置医疗废物，作到消毒效果好、环境污染小，保障医院在医疗活动中直接或间接产生的医疗废物及时处理处置，减少医疗废物污染风险。</w:t>
      </w:r>
    </w:p>
    <w:p w:rsidR="006A3D87" w:rsidRDefault="006A3D87" w:rsidP="006A3D87">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6A3D87" w:rsidRDefault="006A3D87" w:rsidP="00A36EE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本部门按要求对2019年部门整体支出绩效评价情况开展自评，《</w:t>
      </w:r>
      <w:r w:rsidR="00A36EE4" w:rsidRPr="00A36EE4">
        <w:rPr>
          <w:rFonts w:ascii="仿宋_GB2312" w:eastAsia="仿宋_GB2312" w:hAnsi="仿宋_GB2312" w:cs="仿宋_GB2312" w:hint="eastAsia"/>
          <w:sz w:val="32"/>
          <w:szCs w:val="32"/>
        </w:rPr>
        <w:t>峨眉山市罗目镇卫生院</w:t>
      </w:r>
      <w:r w:rsidR="00A36EE4" w:rsidRPr="00A36EE4">
        <w:rPr>
          <w:rFonts w:ascii="仿宋_GB2312" w:eastAsia="仿宋_GB2312" w:hAnsi="仿宋_GB2312" w:cs="仿宋_GB2312"/>
          <w:sz w:val="32"/>
          <w:szCs w:val="32"/>
        </w:rPr>
        <w:t>2019年部门</w:t>
      </w:r>
      <w:r w:rsidR="00A36EE4" w:rsidRPr="00A36EE4">
        <w:rPr>
          <w:rFonts w:ascii="仿宋_GB2312" w:eastAsia="仿宋_GB2312" w:hAnsi="仿宋_GB2312" w:cs="仿宋_GB2312" w:hint="eastAsia"/>
          <w:sz w:val="32"/>
          <w:szCs w:val="32"/>
          <w:lang w:val="zh-CN"/>
        </w:rPr>
        <w:t>整体支出绩效评价报告</w:t>
      </w:r>
      <w:r>
        <w:rPr>
          <w:rFonts w:ascii="仿宋_GB2312" w:eastAsia="仿宋_GB2312" w:hAnsi="仿宋_GB2312" w:cs="仿宋_GB2312" w:hint="eastAsia"/>
          <w:sz w:val="32"/>
          <w:szCs w:val="32"/>
        </w:rPr>
        <w:t>》见附件（附件1）。</w:t>
      </w:r>
    </w:p>
    <w:p w:rsidR="00F16F47" w:rsidRPr="006A3D87" w:rsidRDefault="00F16F47" w:rsidP="00F16F47">
      <w:pPr>
        <w:spacing w:line="580" w:lineRule="exact"/>
        <w:ind w:firstLineChars="200" w:firstLine="640"/>
        <w:rPr>
          <w:rFonts w:ascii="仿宋_GB2312" w:eastAsia="仿宋_GB2312" w:hAnsi="仿宋_GB2312" w:cs="仿宋_GB2312"/>
          <w:sz w:val="32"/>
          <w:szCs w:val="32"/>
        </w:rPr>
      </w:pPr>
    </w:p>
    <w:p w:rsidR="00F16F47" w:rsidRPr="00F16F47" w:rsidRDefault="00F16F47" w:rsidP="00F16F47">
      <w:pPr>
        <w:widowControl/>
        <w:jc w:val="left"/>
        <w:rPr>
          <w:rFonts w:ascii="仿宋_GB2312" w:eastAsia="仿宋_GB2312" w:hAnsi="仿宋_GB2312" w:cs="仿宋_GB2312"/>
          <w:sz w:val="32"/>
          <w:szCs w:val="32"/>
        </w:rPr>
      </w:pPr>
    </w:p>
    <w:p w:rsidR="008412C2" w:rsidRPr="00A36EE4" w:rsidRDefault="008412C2" w:rsidP="00F16F47">
      <w:pPr>
        <w:spacing w:line="580" w:lineRule="exact"/>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pPr>
        <w:spacing w:line="580" w:lineRule="exact"/>
        <w:rPr>
          <w:rFonts w:ascii="仿宋_GB2312" w:eastAsia="仿宋_GB2312" w:hAnsi="仿宋_GB2312" w:cs="仿宋_GB2312"/>
          <w:sz w:val="32"/>
          <w:szCs w:val="32"/>
        </w:rPr>
      </w:pPr>
    </w:p>
    <w:p w:rsidR="008412C2" w:rsidRDefault="001F313C">
      <w:pPr>
        <w:numPr>
          <w:ilvl w:val="0"/>
          <w:numId w:val="7"/>
        </w:numPr>
        <w:spacing w:line="600" w:lineRule="exact"/>
        <w:ind w:firstLineChars="150" w:firstLine="660"/>
        <w:jc w:val="center"/>
        <w:outlineLvl w:val="0"/>
        <w:rPr>
          <w:rStyle w:val="1Char"/>
          <w:rFonts w:ascii="黑体" w:eastAsia="黑体" w:hAnsi="黑体"/>
          <w:b w:val="0"/>
        </w:rPr>
      </w:pPr>
      <w:bookmarkStart w:id="56" w:name="_Toc15377225"/>
      <w:bookmarkStart w:id="57" w:name="_Toc15396613"/>
      <w:r>
        <w:rPr>
          <w:rFonts w:ascii="黑体" w:eastAsia="黑体" w:hAnsi="黑体" w:hint="eastAsia"/>
          <w:color w:val="000000"/>
          <w:sz w:val="44"/>
          <w:szCs w:val="44"/>
        </w:rPr>
        <w:t>名</w:t>
      </w:r>
      <w:r>
        <w:rPr>
          <w:rStyle w:val="1Char"/>
          <w:rFonts w:ascii="黑体" w:eastAsia="黑体" w:hAnsi="黑体" w:hint="eastAsia"/>
          <w:b w:val="0"/>
        </w:rPr>
        <w:t>词解释</w:t>
      </w:r>
      <w:bookmarkEnd w:id="56"/>
      <w:bookmarkEnd w:id="57"/>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事业收入：指事业单位开展专业业务活动及辅助活动取得的收入。如各类检查收入、药品收入、床位收入、护理收入、手术费等。</w:t>
      </w:r>
    </w:p>
    <w:p w:rsidR="008412C2" w:rsidRDefault="001F313C">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主要是指利息收入、培训收入、食堂收入、捐赠收入</w:t>
      </w:r>
      <w:r>
        <w:rPr>
          <w:rFonts w:ascii="仿宋_GB2312" w:eastAsia="仿宋_GB2312" w:hint="eastAsia"/>
          <w:sz w:val="32"/>
          <w:szCs w:val="32"/>
        </w:rPr>
        <w:t>等。</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8412C2" w:rsidRDefault="001F313C">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8412C2" w:rsidRDefault="001F313C">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指反映按规定用于烈士和牺牲、病故人员家属的一次性和定期抚恤金以及丧葬补助费。</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其他基层医疗卫生机构支出：反映其他用于基层医疗卫生机构的支出。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重大公共卫生专项：反映重大疾病预防控制等重大公共卫生服务项目支出。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lastRenderedPageBreak/>
        <w:t>16、</w:t>
      </w:r>
      <w:r>
        <w:rPr>
          <w:rFonts w:ascii="仿宋_GB2312" w:eastAsia="仿宋_GB2312" w:hAnsi="仿宋_GB2312" w:cs="仿宋_GB2312" w:hint="eastAsia"/>
          <w:sz w:val="32"/>
          <w:szCs w:val="32"/>
        </w:rPr>
        <w:t>中医（民族医）药专项：反映中医（民族医）药方面的专项支出。</w:t>
      </w:r>
    </w:p>
    <w:p w:rsidR="008412C2" w:rsidRDefault="001F313C">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8412C2" w:rsidRDefault="001F313C">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8412C2" w:rsidRDefault="001F313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8412C2" w:rsidRDefault="001F313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8412C2" w:rsidRDefault="001F313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21、</w:t>
      </w:r>
      <w:r>
        <w:rPr>
          <w:rFonts w:ascii="仿宋" w:eastAsia="仿宋" w:hAnsi="仿宋" w:cs="仿宋" w:hint="eastAsia"/>
          <w:sz w:val="32"/>
          <w:szCs w:val="32"/>
        </w:rPr>
        <w:t>基本支出：指为保障机构正常运转、完成日常工作任务而发生的人员支出和公用支出。</w:t>
      </w:r>
    </w:p>
    <w:p w:rsidR="008412C2" w:rsidRDefault="001F313C">
      <w:pPr>
        <w:ind w:firstLineChars="200" w:firstLine="640"/>
        <w:rPr>
          <w:rFonts w:ascii="仿宋" w:eastAsia="仿宋" w:hAnsi="仿宋" w:cs="仿宋"/>
          <w:sz w:val="32"/>
          <w:szCs w:val="32"/>
        </w:rPr>
      </w:pPr>
      <w:r>
        <w:rPr>
          <w:rFonts w:ascii="仿宋" w:eastAsia="仿宋" w:hAnsi="仿宋" w:cs="仿宋" w:hint="eastAsia"/>
          <w:sz w:val="32"/>
          <w:szCs w:val="32"/>
        </w:rPr>
        <w:t xml:space="preserve">22、项目支出：指在基本支出之外为完成特定行政任务和事业发展目标所发生的支出。 </w:t>
      </w:r>
    </w:p>
    <w:p w:rsidR="008412C2" w:rsidRDefault="001F313C">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 w:eastAsia="仿宋" w:hAnsi="仿宋" w:cs="仿宋" w:hint="eastAsia"/>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outlineLvl w:val="0"/>
        <w:rPr>
          <w:rStyle w:val="1Char"/>
          <w:rFonts w:ascii="黑体" w:eastAsia="黑体" w:hAnsi="黑体"/>
          <w:b w:val="0"/>
        </w:rPr>
      </w:pPr>
    </w:p>
    <w:p w:rsidR="008412C2" w:rsidRDefault="008412C2">
      <w:pPr>
        <w:spacing w:line="600" w:lineRule="exact"/>
        <w:jc w:val="left"/>
        <w:rPr>
          <w:rFonts w:ascii="宋体"/>
          <w:b/>
          <w:color w:val="000000"/>
          <w:sz w:val="44"/>
          <w:szCs w:val="44"/>
        </w:rPr>
      </w:pPr>
    </w:p>
    <w:p w:rsidR="008412C2" w:rsidRDefault="008412C2">
      <w:pPr>
        <w:spacing w:line="600" w:lineRule="exact"/>
        <w:jc w:val="left"/>
        <w:rPr>
          <w:rFonts w:ascii="宋体"/>
          <w:b/>
          <w:color w:val="000000"/>
          <w:sz w:val="44"/>
          <w:szCs w:val="44"/>
        </w:rPr>
      </w:pPr>
    </w:p>
    <w:p w:rsidR="008412C2" w:rsidRDefault="008412C2">
      <w:pPr>
        <w:spacing w:line="600" w:lineRule="exact"/>
        <w:jc w:val="center"/>
        <w:outlineLvl w:val="0"/>
        <w:rPr>
          <w:rFonts w:ascii="黑体" w:eastAsia="黑体" w:hAnsi="黑体"/>
          <w:color w:val="000000"/>
          <w:sz w:val="44"/>
          <w:szCs w:val="44"/>
        </w:rPr>
      </w:pPr>
      <w:bookmarkStart w:id="58" w:name="_Toc15396614"/>
      <w:bookmarkStart w:id="59" w:name="_Toc15377226"/>
    </w:p>
    <w:p w:rsidR="008412C2" w:rsidRDefault="001F313C">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 附件</w:t>
      </w:r>
      <w:bookmarkEnd w:id="58"/>
    </w:p>
    <w:p w:rsidR="008412C2" w:rsidRDefault="001F313C">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8412C2" w:rsidRDefault="008412C2">
      <w:pPr>
        <w:spacing w:line="580" w:lineRule="exact"/>
        <w:jc w:val="center"/>
        <w:rPr>
          <w:rFonts w:ascii="方正小标宋简体" w:eastAsia="方正小标宋简体" w:hAnsi="方正小标宋简体" w:cs="方正小标宋简体"/>
          <w:sz w:val="44"/>
          <w:szCs w:val="44"/>
        </w:rPr>
      </w:pPr>
    </w:p>
    <w:p w:rsidR="008412C2" w:rsidRDefault="001F313C">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DA4889">
        <w:rPr>
          <w:rFonts w:ascii="方正小标宋简体" w:eastAsia="方正小标宋简体" w:hAnsi="宋体" w:hint="eastAsia"/>
          <w:color w:val="000000"/>
          <w:kern w:val="0"/>
          <w:sz w:val="40"/>
          <w:szCs w:val="44"/>
        </w:rPr>
        <w:t>罗目</w:t>
      </w:r>
      <w:r w:rsidR="00173B45">
        <w:rPr>
          <w:rFonts w:ascii="方正小标宋简体" w:eastAsia="方正小标宋简体" w:hAnsi="宋体" w:hint="eastAsia"/>
          <w:color w:val="000000"/>
          <w:kern w:val="0"/>
          <w:sz w:val="40"/>
          <w:szCs w:val="44"/>
        </w:rPr>
        <w:t>镇</w:t>
      </w:r>
      <w:r>
        <w:rPr>
          <w:rFonts w:ascii="方正小标宋简体" w:eastAsia="方正小标宋简体" w:hAnsi="宋体" w:hint="eastAsia"/>
          <w:color w:val="000000"/>
          <w:kern w:val="0"/>
          <w:sz w:val="40"/>
          <w:szCs w:val="44"/>
        </w:rPr>
        <w:t>卫生院</w:t>
      </w:r>
    </w:p>
    <w:p w:rsidR="008412C2" w:rsidRDefault="001F313C">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8412C2" w:rsidRDefault="008412C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DA4889">
        <w:rPr>
          <w:rFonts w:ascii="仿宋_GB2312" w:eastAsia="仿宋_GB2312" w:hAnsi="宋体" w:cs="宋体" w:hint="eastAsia"/>
          <w:color w:val="000000"/>
          <w:kern w:val="0"/>
          <w:sz w:val="32"/>
          <w:szCs w:val="32"/>
          <w:shd w:val="clear" w:color="auto" w:fill="FFFFFF"/>
          <w:lang w:val="zh-CN"/>
        </w:rPr>
        <w:t>罗目</w:t>
      </w:r>
      <w:r w:rsidR="00173B45">
        <w:rPr>
          <w:rFonts w:ascii="仿宋_GB2312" w:eastAsia="仿宋_GB2312" w:hAnsi="宋体" w:cs="宋体" w:hint="eastAsia"/>
          <w:color w:val="000000"/>
          <w:kern w:val="0"/>
          <w:sz w:val="32"/>
          <w:szCs w:val="32"/>
          <w:shd w:val="clear" w:color="auto" w:fill="FFFFFF"/>
          <w:lang w:val="zh-CN"/>
        </w:rPr>
        <w:t>镇</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8412C2" w:rsidRDefault="001F313C">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lastRenderedPageBreak/>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DF2E5A">
        <w:rPr>
          <w:rFonts w:ascii="仿宋_GB2312" w:eastAsia="仿宋_GB2312" w:hAnsi="宋体" w:cs="宋体" w:hint="eastAsia"/>
          <w:color w:val="000000"/>
          <w:kern w:val="0"/>
          <w:sz w:val="32"/>
          <w:szCs w:val="32"/>
          <w:shd w:val="clear" w:color="auto" w:fill="FFFFFF"/>
          <w:lang w:val="zh-CN"/>
        </w:rPr>
        <w:t>罗目</w:t>
      </w:r>
      <w:r w:rsidR="00173B45">
        <w:rPr>
          <w:rFonts w:ascii="仿宋_GB2312" w:eastAsia="仿宋_GB2312" w:hAnsi="宋体" w:cs="宋体" w:hint="eastAsia"/>
          <w:color w:val="000000"/>
          <w:kern w:val="0"/>
          <w:sz w:val="32"/>
          <w:szCs w:val="32"/>
          <w:shd w:val="clear" w:color="auto" w:fill="FFFFFF"/>
          <w:lang w:val="zh-CN"/>
        </w:rPr>
        <w:t>镇</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DA4889">
        <w:rPr>
          <w:rFonts w:ascii="仿宋_GB2312" w:eastAsia="仿宋_GB2312" w:hAnsi="宋体" w:cs="宋体" w:hint="eastAsia"/>
          <w:color w:val="000000"/>
          <w:kern w:val="0"/>
          <w:sz w:val="32"/>
          <w:szCs w:val="32"/>
          <w:shd w:val="clear" w:color="auto" w:fill="FFFFFF"/>
        </w:rPr>
        <w:t>11</w:t>
      </w:r>
      <w:r>
        <w:rPr>
          <w:rFonts w:ascii="仿宋_GB2312" w:eastAsia="仿宋_GB2312" w:hAnsi="宋体" w:cs="宋体" w:hint="eastAsia"/>
          <w:color w:val="000000"/>
          <w:kern w:val="0"/>
          <w:sz w:val="32"/>
          <w:szCs w:val="32"/>
          <w:shd w:val="clear" w:color="auto" w:fill="FFFFFF"/>
        </w:rPr>
        <w:t>人。</w:t>
      </w: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DA4889">
        <w:rPr>
          <w:rFonts w:ascii="仿宋_GB2312" w:eastAsia="仿宋_GB2312" w:hAnsi="宋体" w:cs="宋体" w:hint="eastAsia"/>
          <w:color w:val="000000"/>
          <w:kern w:val="0"/>
          <w:sz w:val="32"/>
          <w:szCs w:val="32"/>
          <w:shd w:val="clear" w:color="auto" w:fill="FFFFFF"/>
        </w:rPr>
        <w:t>241.62</w:t>
      </w:r>
      <w:r>
        <w:rPr>
          <w:rFonts w:ascii="仿宋_GB2312" w:eastAsia="仿宋_GB2312" w:hAnsi="宋体" w:cs="宋体" w:hint="eastAsia"/>
          <w:color w:val="000000"/>
          <w:kern w:val="0"/>
          <w:sz w:val="32"/>
          <w:szCs w:val="32"/>
          <w:shd w:val="clear" w:color="auto" w:fill="FFFFFF"/>
        </w:rPr>
        <w:t>万元，其中一般公共预算财政拨款</w:t>
      </w:r>
      <w:r w:rsidR="00DA4889">
        <w:rPr>
          <w:rFonts w:ascii="仿宋_GB2312" w:eastAsia="仿宋_GB2312" w:hAnsi="宋体" w:cs="宋体" w:hint="eastAsia"/>
          <w:color w:val="000000"/>
          <w:kern w:val="0"/>
          <w:sz w:val="32"/>
          <w:szCs w:val="32"/>
          <w:shd w:val="clear" w:color="auto" w:fill="FFFFFF"/>
        </w:rPr>
        <w:t>237.76</w:t>
      </w:r>
      <w:r>
        <w:rPr>
          <w:rFonts w:ascii="仿宋_GB2312" w:eastAsia="仿宋_GB2312" w:hAnsi="宋体" w:cs="宋体" w:hint="eastAsia"/>
          <w:color w:val="000000"/>
          <w:kern w:val="0"/>
          <w:sz w:val="32"/>
          <w:szCs w:val="32"/>
          <w:shd w:val="clear" w:color="auto" w:fill="FFFFFF"/>
        </w:rPr>
        <w:t>万元，政府性基金预算财政拨款</w:t>
      </w:r>
      <w:r w:rsidR="00DA4889">
        <w:rPr>
          <w:rFonts w:ascii="仿宋_GB2312" w:eastAsia="仿宋_GB2312" w:hAnsi="宋体" w:cs="宋体" w:hint="eastAsia"/>
          <w:color w:val="000000"/>
          <w:kern w:val="0"/>
          <w:sz w:val="32"/>
          <w:szCs w:val="32"/>
          <w:shd w:val="clear" w:color="auto" w:fill="FFFFFF"/>
        </w:rPr>
        <w:t>3.86</w:t>
      </w:r>
      <w:r>
        <w:rPr>
          <w:rFonts w:ascii="仿宋_GB2312" w:eastAsia="仿宋_GB2312" w:hAnsi="宋体" w:cs="宋体" w:hint="eastAsia"/>
          <w:color w:val="000000"/>
          <w:kern w:val="0"/>
          <w:sz w:val="32"/>
          <w:szCs w:val="32"/>
          <w:shd w:val="clear" w:color="auto" w:fill="FFFFFF"/>
        </w:rPr>
        <w:t>万元。</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636818">
        <w:rPr>
          <w:rFonts w:ascii="仿宋_GB2312" w:eastAsia="仿宋_GB2312" w:hAnsi="宋体" w:cs="宋体" w:hint="eastAsia"/>
          <w:color w:val="000000"/>
          <w:kern w:val="0"/>
          <w:sz w:val="32"/>
          <w:szCs w:val="32"/>
          <w:shd w:val="clear" w:color="auto" w:fill="FFFFFF"/>
        </w:rPr>
        <w:t>259.9</w:t>
      </w:r>
      <w:r>
        <w:rPr>
          <w:rFonts w:ascii="仿宋_GB2312" w:eastAsia="仿宋_GB2312" w:hAnsi="宋体" w:cs="宋体" w:hint="eastAsia"/>
          <w:color w:val="000000"/>
          <w:kern w:val="0"/>
          <w:sz w:val="32"/>
          <w:szCs w:val="32"/>
          <w:shd w:val="clear" w:color="auto" w:fill="FFFFFF"/>
        </w:rPr>
        <w:t>万元。其中一般公共预算财政拨款支出为</w:t>
      </w:r>
      <w:r w:rsidR="00636818">
        <w:rPr>
          <w:rFonts w:ascii="仿宋_GB2312" w:eastAsia="仿宋_GB2312" w:hAnsi="宋体" w:cs="宋体" w:hint="eastAsia"/>
          <w:color w:val="000000"/>
          <w:kern w:val="0"/>
          <w:sz w:val="32"/>
          <w:szCs w:val="32"/>
          <w:shd w:val="clear" w:color="auto" w:fill="FFFFFF"/>
        </w:rPr>
        <w:t>256.04</w:t>
      </w:r>
      <w:r>
        <w:rPr>
          <w:rFonts w:ascii="仿宋_GB2312" w:eastAsia="仿宋_GB2312" w:hAnsi="宋体" w:cs="宋体" w:hint="eastAsia"/>
          <w:color w:val="000000"/>
          <w:kern w:val="0"/>
          <w:sz w:val="32"/>
          <w:szCs w:val="32"/>
          <w:shd w:val="clear" w:color="auto" w:fill="FFFFFF"/>
        </w:rPr>
        <w:t>万元，政府性基金预算财政拨款支出为</w:t>
      </w:r>
      <w:r w:rsidR="00636818">
        <w:rPr>
          <w:rFonts w:ascii="仿宋_GB2312" w:eastAsia="仿宋_GB2312" w:hAnsi="宋体" w:cs="宋体" w:hint="eastAsia"/>
          <w:color w:val="000000"/>
          <w:kern w:val="0"/>
          <w:sz w:val="32"/>
          <w:szCs w:val="32"/>
          <w:shd w:val="clear" w:color="auto" w:fill="FFFFFF"/>
        </w:rPr>
        <w:t>3.86</w:t>
      </w:r>
      <w:r>
        <w:rPr>
          <w:rFonts w:ascii="仿宋_GB2312" w:eastAsia="仿宋_GB2312" w:hAnsi="宋体" w:cs="宋体" w:hint="eastAsia"/>
          <w:color w:val="000000"/>
          <w:kern w:val="0"/>
          <w:sz w:val="32"/>
          <w:szCs w:val="32"/>
          <w:shd w:val="clear" w:color="auto" w:fill="FFFFFF"/>
        </w:rPr>
        <w:t>万元。</w:t>
      </w: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8412C2" w:rsidRDefault="001F313C">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8412C2" w:rsidRDefault="001F313C">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lastRenderedPageBreak/>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8412C2" w:rsidRDefault="001F313C">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DF2E5A">
        <w:rPr>
          <w:rFonts w:ascii="仿宋_GB2312" w:eastAsia="仿宋_GB2312" w:hAnsi="仿宋_GB2312" w:cs="仿宋_GB2312" w:hint="eastAsia"/>
          <w:color w:val="000000"/>
          <w:kern w:val="0"/>
          <w:sz w:val="32"/>
          <w:szCs w:val="32"/>
          <w:shd w:val="clear" w:color="auto" w:fill="FFFFFF"/>
        </w:rPr>
        <w:t>241.62</w:t>
      </w:r>
      <w:r>
        <w:rPr>
          <w:rFonts w:ascii="仿宋_GB2312" w:eastAsia="仿宋_GB2312" w:hAnsi="仿宋_GB2312" w:cs="仿宋_GB2312" w:hint="eastAsia"/>
          <w:color w:val="000000"/>
          <w:kern w:val="0"/>
          <w:sz w:val="32"/>
          <w:szCs w:val="32"/>
          <w:shd w:val="clear" w:color="auto" w:fill="FFFFFF"/>
        </w:rPr>
        <w:t>万元，其中基本资金</w:t>
      </w:r>
      <w:r w:rsidR="00DF2E5A">
        <w:rPr>
          <w:rFonts w:ascii="仿宋_GB2312" w:eastAsia="仿宋_GB2312" w:hAnsi="仿宋_GB2312" w:cs="仿宋_GB2312" w:hint="eastAsia"/>
          <w:color w:val="000000"/>
          <w:kern w:val="0"/>
          <w:sz w:val="32"/>
          <w:szCs w:val="32"/>
          <w:shd w:val="clear" w:color="auto" w:fill="FFFFFF"/>
        </w:rPr>
        <w:t>34.31</w:t>
      </w:r>
      <w:r>
        <w:rPr>
          <w:rFonts w:ascii="仿宋_GB2312" w:eastAsia="仿宋_GB2312" w:hAnsi="仿宋_GB2312" w:cs="仿宋_GB2312" w:hint="eastAsia"/>
          <w:color w:val="000000"/>
          <w:kern w:val="0"/>
          <w:sz w:val="32"/>
          <w:szCs w:val="32"/>
          <w:shd w:val="clear" w:color="auto" w:fill="FFFFFF"/>
        </w:rPr>
        <w:t>万元，项目资金</w:t>
      </w:r>
      <w:r w:rsidR="00DF2E5A">
        <w:rPr>
          <w:rFonts w:ascii="仿宋_GB2312" w:eastAsia="仿宋_GB2312" w:hAnsi="仿宋_GB2312" w:cs="仿宋_GB2312" w:hint="eastAsia"/>
          <w:color w:val="000000"/>
          <w:kern w:val="0"/>
          <w:sz w:val="32"/>
          <w:szCs w:val="32"/>
          <w:shd w:val="clear" w:color="auto" w:fill="FFFFFF"/>
        </w:rPr>
        <w:t>207.31</w:t>
      </w:r>
      <w:r>
        <w:rPr>
          <w:rFonts w:ascii="仿宋_GB2312" w:eastAsia="仿宋_GB2312" w:hAnsi="仿宋_GB2312" w:cs="仿宋_GB2312" w:hint="eastAsia"/>
          <w:color w:val="000000"/>
          <w:kern w:val="0"/>
          <w:sz w:val="32"/>
          <w:szCs w:val="32"/>
          <w:shd w:val="clear" w:color="auto" w:fill="FFFFFF"/>
        </w:rPr>
        <w:t>万元。</w:t>
      </w:r>
    </w:p>
    <w:p w:rsidR="008412C2" w:rsidRDefault="001F313C">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 w:eastAsia="仿宋" w:hAnsi="仿宋" w:cs="仿宋" w:hint="eastAsia"/>
          <w:color w:val="333333"/>
          <w:sz w:val="32"/>
          <w:szCs w:val="32"/>
        </w:rPr>
        <w:t>（二）预算编制原则</w:t>
      </w:r>
    </w:p>
    <w:p w:rsidR="008412C2" w:rsidRDefault="001F313C" w:rsidP="000B074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8412C2" w:rsidRDefault="001F313C" w:rsidP="000B0742">
      <w:pPr>
        <w:pStyle w:val="a7"/>
        <w:widowControl/>
        <w:spacing w:beforeAutospacing="0" w:after="120" w:afterAutospacing="0" w:line="288" w:lineRule="atLeas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（4）必须遵循真实性原则。单位的预算收支项目的数字必须依据充分确定的资料，按批准部门认可的计算依据和计算方法计算得来，不允许估算。</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8412C2" w:rsidRDefault="001F313C" w:rsidP="00C723BD">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8412C2" w:rsidRDefault="008412C2" w:rsidP="00C723BD">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（三）改进建议：建议各部门按项目预算要求和原则，按时对项目进行考核，及时拨付项目资金。</w:t>
      </w: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rsidP="00B42357">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42357" w:rsidRDefault="00B4235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p>
    <w:p w:rsidR="008412C2" w:rsidRDefault="008412C2">
      <w:pPr>
        <w:spacing w:line="600" w:lineRule="exact"/>
        <w:jc w:val="center"/>
        <w:outlineLvl w:val="0"/>
        <w:rPr>
          <w:rStyle w:val="1Char"/>
          <w:rFonts w:ascii="黑体" w:eastAsia="黑体" w:hAnsi="黑体"/>
          <w:b w:val="0"/>
        </w:rPr>
      </w:pPr>
    </w:p>
    <w:p w:rsidR="008412C2" w:rsidRDefault="001F313C">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9"/>
      <w:bookmarkEnd w:id="60"/>
    </w:p>
    <w:p w:rsidR="008412C2" w:rsidRDefault="008412C2">
      <w:pPr>
        <w:spacing w:line="600" w:lineRule="exact"/>
        <w:jc w:val="center"/>
        <w:outlineLvl w:val="0"/>
        <w:rPr>
          <w:rFonts w:ascii="仿宋" w:eastAsia="仿宋" w:hAnsi="仿宋"/>
          <w:b/>
          <w:color w:val="000000"/>
          <w:sz w:val="44"/>
          <w:szCs w:val="44"/>
        </w:rPr>
      </w:pPr>
    </w:p>
    <w:p w:rsidR="008412C2" w:rsidRDefault="001F313C">
      <w:pPr>
        <w:pStyle w:val="2"/>
        <w:rPr>
          <w:rFonts w:ascii="仿宋" w:eastAsia="仿宋" w:hAnsi="仿宋"/>
          <w:color w:val="000000"/>
        </w:rPr>
      </w:pPr>
      <w:bookmarkStart w:id="61"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61"/>
    </w:p>
    <w:p w:rsidR="008412C2" w:rsidRDefault="001F313C">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8412C2" w:rsidRDefault="001F313C">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8412C2" w:rsidRDefault="001F313C">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8412C2" w:rsidRDefault="001F313C">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8412C2" w:rsidRDefault="001F313C">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8412C2" w:rsidRDefault="001F313C">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8412C2" w:rsidRDefault="001F313C">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8412C2" w:rsidRDefault="001F313C">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8412C2" w:rsidRDefault="001F313C">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8412C2" w:rsidRDefault="001F313C">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8412C2" w:rsidRDefault="001F313C">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8412C2" w:rsidRDefault="001F313C">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8412C2" w:rsidSect="008412C2">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DAE" w:rsidRDefault="00282DAE" w:rsidP="008412C2">
      <w:r>
        <w:separator/>
      </w:r>
    </w:p>
  </w:endnote>
  <w:endnote w:type="continuationSeparator" w:id="1">
    <w:p w:rsidR="00282DAE" w:rsidRDefault="00282DAE" w:rsidP="00841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73B45" w:rsidRDefault="00877012">
        <w:pPr>
          <w:pStyle w:val="a5"/>
          <w:jc w:val="center"/>
        </w:pPr>
        <w:fldSimple w:instr="PAGE   \* MERGEFORMAT">
          <w:r w:rsidR="005C0FE0" w:rsidRPr="005C0FE0">
            <w:rPr>
              <w:noProof/>
              <w:lang w:val="zh-CN"/>
            </w:rPr>
            <w:t>14</w:t>
          </w:r>
        </w:fldSimple>
      </w:p>
    </w:sdtContent>
  </w:sdt>
  <w:p w:rsidR="00173B45" w:rsidRDefault="00173B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DAE" w:rsidRDefault="00282DAE" w:rsidP="008412C2">
      <w:r>
        <w:separator/>
      </w:r>
    </w:p>
  </w:footnote>
  <w:footnote w:type="continuationSeparator" w:id="1">
    <w:p w:rsidR="00282DAE" w:rsidRDefault="00282DAE" w:rsidP="00841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B45" w:rsidRDefault="00173B4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CA8877AA"/>
    <w:lvl w:ilvl="0">
      <w:start w:val="4"/>
      <w:numFmt w:val="chineseCounting"/>
      <w:suff w:val="nothing"/>
      <w:lvlText w:val="（%1）"/>
      <w:lvlJc w:val="left"/>
      <w:rPr>
        <w:rFonts w:hint="eastAsia"/>
        <w:lang w:val="en-US"/>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23188DC"/>
    <w:multiLevelType w:val="singleLevel"/>
    <w:tmpl w:val="223188DC"/>
    <w:lvl w:ilvl="0">
      <w:start w:val="1"/>
      <w:numFmt w:val="decimal"/>
      <w:lvlText w:val="%1."/>
      <w:lvlJc w:val="left"/>
      <w:pPr>
        <w:tabs>
          <w:tab w:val="left" w:pos="312"/>
        </w:tabs>
      </w:pPr>
      <w:rPr>
        <w:rFonts w:hint="default"/>
        <w:color w:val="auto"/>
      </w:rPr>
    </w:lvl>
  </w:abstractNum>
  <w:abstractNum w:abstractNumId="6">
    <w:nsid w:val="36E6546F"/>
    <w:multiLevelType w:val="hybridMultilevel"/>
    <w:tmpl w:val="F028EA16"/>
    <w:lvl w:ilvl="0" w:tplc="78FA9844">
      <w:start w:val="3"/>
      <w:numFmt w:val="japaneseCounting"/>
      <w:lvlText w:val="%1、"/>
      <w:lvlJc w:val="left"/>
      <w:pPr>
        <w:ind w:left="1360" w:hanging="720"/>
      </w:pPr>
      <w:rPr>
        <w:rFonts w:cs="Times New Roman"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49F"/>
    <w:rsid w:val="0003428B"/>
    <w:rsid w:val="00037420"/>
    <w:rsid w:val="000468DB"/>
    <w:rsid w:val="0006487A"/>
    <w:rsid w:val="00065F8F"/>
    <w:rsid w:val="000702D0"/>
    <w:rsid w:val="00070A43"/>
    <w:rsid w:val="000768F2"/>
    <w:rsid w:val="00087006"/>
    <w:rsid w:val="0009184B"/>
    <w:rsid w:val="00094236"/>
    <w:rsid w:val="0009593C"/>
    <w:rsid w:val="00097322"/>
    <w:rsid w:val="000A25B0"/>
    <w:rsid w:val="000A6A92"/>
    <w:rsid w:val="000B047F"/>
    <w:rsid w:val="000B0742"/>
    <w:rsid w:val="000B5923"/>
    <w:rsid w:val="000B5A48"/>
    <w:rsid w:val="000B6FF3"/>
    <w:rsid w:val="000C096C"/>
    <w:rsid w:val="000C3467"/>
    <w:rsid w:val="000C3CA6"/>
    <w:rsid w:val="000D1267"/>
    <w:rsid w:val="000D1D50"/>
    <w:rsid w:val="000D5782"/>
    <w:rsid w:val="000E6613"/>
    <w:rsid w:val="000E7119"/>
    <w:rsid w:val="001028D9"/>
    <w:rsid w:val="00114E9B"/>
    <w:rsid w:val="00115146"/>
    <w:rsid w:val="001312EF"/>
    <w:rsid w:val="001333E0"/>
    <w:rsid w:val="00142216"/>
    <w:rsid w:val="00144D6A"/>
    <w:rsid w:val="0014729F"/>
    <w:rsid w:val="00157BAB"/>
    <w:rsid w:val="001654D1"/>
    <w:rsid w:val="00173B45"/>
    <w:rsid w:val="00174518"/>
    <w:rsid w:val="0018106D"/>
    <w:rsid w:val="001877A7"/>
    <w:rsid w:val="00191536"/>
    <w:rsid w:val="00196687"/>
    <w:rsid w:val="001A7CC5"/>
    <w:rsid w:val="001C0962"/>
    <w:rsid w:val="001D5620"/>
    <w:rsid w:val="001D7531"/>
    <w:rsid w:val="001E737D"/>
    <w:rsid w:val="001F0592"/>
    <w:rsid w:val="001F313C"/>
    <w:rsid w:val="001F7506"/>
    <w:rsid w:val="002006CD"/>
    <w:rsid w:val="00202B36"/>
    <w:rsid w:val="00204B7A"/>
    <w:rsid w:val="00204CDE"/>
    <w:rsid w:val="0021101A"/>
    <w:rsid w:val="002115EC"/>
    <w:rsid w:val="00220536"/>
    <w:rsid w:val="00233624"/>
    <w:rsid w:val="00235629"/>
    <w:rsid w:val="00260C38"/>
    <w:rsid w:val="002616C0"/>
    <w:rsid w:val="00265372"/>
    <w:rsid w:val="002662AA"/>
    <w:rsid w:val="00280496"/>
    <w:rsid w:val="00282DAE"/>
    <w:rsid w:val="00286195"/>
    <w:rsid w:val="00294DC9"/>
    <w:rsid w:val="00295495"/>
    <w:rsid w:val="002A1C12"/>
    <w:rsid w:val="002A31DE"/>
    <w:rsid w:val="002A426F"/>
    <w:rsid w:val="002B2613"/>
    <w:rsid w:val="002D19B0"/>
    <w:rsid w:val="002D6D05"/>
    <w:rsid w:val="002E1108"/>
    <w:rsid w:val="002F1818"/>
    <w:rsid w:val="002F567B"/>
    <w:rsid w:val="00302E9F"/>
    <w:rsid w:val="00320561"/>
    <w:rsid w:val="003216A9"/>
    <w:rsid w:val="00334712"/>
    <w:rsid w:val="00335A74"/>
    <w:rsid w:val="003510DE"/>
    <w:rsid w:val="0036561B"/>
    <w:rsid w:val="0037013F"/>
    <w:rsid w:val="00380C92"/>
    <w:rsid w:val="003A484F"/>
    <w:rsid w:val="003A4883"/>
    <w:rsid w:val="003A677F"/>
    <w:rsid w:val="003B0BE0"/>
    <w:rsid w:val="003B0C1B"/>
    <w:rsid w:val="003B688C"/>
    <w:rsid w:val="003B72FD"/>
    <w:rsid w:val="003C0291"/>
    <w:rsid w:val="003C39AE"/>
    <w:rsid w:val="003C7B60"/>
    <w:rsid w:val="003D0C0F"/>
    <w:rsid w:val="003D1FB2"/>
    <w:rsid w:val="003D66DA"/>
    <w:rsid w:val="003E1310"/>
    <w:rsid w:val="003E6F55"/>
    <w:rsid w:val="003E72CC"/>
    <w:rsid w:val="00406254"/>
    <w:rsid w:val="00416CD4"/>
    <w:rsid w:val="004223DE"/>
    <w:rsid w:val="00434489"/>
    <w:rsid w:val="00437085"/>
    <w:rsid w:val="00443880"/>
    <w:rsid w:val="00445AF9"/>
    <w:rsid w:val="004464F4"/>
    <w:rsid w:val="00471401"/>
    <w:rsid w:val="00473F31"/>
    <w:rsid w:val="0048263A"/>
    <w:rsid w:val="00487E5D"/>
    <w:rsid w:val="004A711F"/>
    <w:rsid w:val="004B199D"/>
    <w:rsid w:val="004B1CEF"/>
    <w:rsid w:val="004B4690"/>
    <w:rsid w:val="004E0A2D"/>
    <w:rsid w:val="004E206B"/>
    <w:rsid w:val="004E6DF7"/>
    <w:rsid w:val="004F0593"/>
    <w:rsid w:val="004F0FBD"/>
    <w:rsid w:val="004F403E"/>
    <w:rsid w:val="00501095"/>
    <w:rsid w:val="00505A47"/>
    <w:rsid w:val="00512FDA"/>
    <w:rsid w:val="00520DA0"/>
    <w:rsid w:val="0056023D"/>
    <w:rsid w:val="005664BB"/>
    <w:rsid w:val="00566FFA"/>
    <w:rsid w:val="00573410"/>
    <w:rsid w:val="00573D9C"/>
    <w:rsid w:val="0057481D"/>
    <w:rsid w:val="00575F0B"/>
    <w:rsid w:val="0058486E"/>
    <w:rsid w:val="00585B33"/>
    <w:rsid w:val="0059014D"/>
    <w:rsid w:val="005A3ACD"/>
    <w:rsid w:val="005B5C64"/>
    <w:rsid w:val="005C0FE0"/>
    <w:rsid w:val="005C6BD0"/>
    <w:rsid w:val="005C6C4C"/>
    <w:rsid w:val="005D1851"/>
    <w:rsid w:val="005D1C8B"/>
    <w:rsid w:val="005D3E18"/>
    <w:rsid w:val="005D468D"/>
    <w:rsid w:val="005D5CED"/>
    <w:rsid w:val="005F1A4C"/>
    <w:rsid w:val="00601D6B"/>
    <w:rsid w:val="00604726"/>
    <w:rsid w:val="00605688"/>
    <w:rsid w:val="006070AF"/>
    <w:rsid w:val="00607E6C"/>
    <w:rsid w:val="006101B1"/>
    <w:rsid w:val="00614E44"/>
    <w:rsid w:val="0062270A"/>
    <w:rsid w:val="00622830"/>
    <w:rsid w:val="00623DA0"/>
    <w:rsid w:val="00630AEF"/>
    <w:rsid w:val="006325F8"/>
    <w:rsid w:val="00633463"/>
    <w:rsid w:val="00634C9A"/>
    <w:rsid w:val="00636818"/>
    <w:rsid w:val="006440E4"/>
    <w:rsid w:val="00645926"/>
    <w:rsid w:val="0066343B"/>
    <w:rsid w:val="00664777"/>
    <w:rsid w:val="00671BC9"/>
    <w:rsid w:val="006748A4"/>
    <w:rsid w:val="0067580D"/>
    <w:rsid w:val="00681A31"/>
    <w:rsid w:val="00683E73"/>
    <w:rsid w:val="00695F5F"/>
    <w:rsid w:val="006A3141"/>
    <w:rsid w:val="006A3D87"/>
    <w:rsid w:val="006A5E34"/>
    <w:rsid w:val="006B2422"/>
    <w:rsid w:val="006B2B9A"/>
    <w:rsid w:val="006B675B"/>
    <w:rsid w:val="006C1937"/>
    <w:rsid w:val="006F020C"/>
    <w:rsid w:val="007075EB"/>
    <w:rsid w:val="007127B7"/>
    <w:rsid w:val="0071798E"/>
    <w:rsid w:val="00727533"/>
    <w:rsid w:val="00736BB8"/>
    <w:rsid w:val="007416B6"/>
    <w:rsid w:val="00741C91"/>
    <w:rsid w:val="00742BE8"/>
    <w:rsid w:val="00746F48"/>
    <w:rsid w:val="0075404D"/>
    <w:rsid w:val="0076182A"/>
    <w:rsid w:val="007668BD"/>
    <w:rsid w:val="00767B7E"/>
    <w:rsid w:val="007770C3"/>
    <w:rsid w:val="00784D24"/>
    <w:rsid w:val="00785FBA"/>
    <w:rsid w:val="00786E4A"/>
    <w:rsid w:val="007875EB"/>
    <w:rsid w:val="0079426B"/>
    <w:rsid w:val="007D1682"/>
    <w:rsid w:val="007D312A"/>
    <w:rsid w:val="007D3F19"/>
    <w:rsid w:val="007D6CAC"/>
    <w:rsid w:val="007E23B0"/>
    <w:rsid w:val="007F1991"/>
    <w:rsid w:val="007F2C2F"/>
    <w:rsid w:val="007F55FC"/>
    <w:rsid w:val="007F5665"/>
    <w:rsid w:val="00800112"/>
    <w:rsid w:val="00807EF9"/>
    <w:rsid w:val="00813348"/>
    <w:rsid w:val="008253BB"/>
    <w:rsid w:val="00833962"/>
    <w:rsid w:val="0083706E"/>
    <w:rsid w:val="008408F6"/>
    <w:rsid w:val="008412C2"/>
    <w:rsid w:val="008423A5"/>
    <w:rsid w:val="00850625"/>
    <w:rsid w:val="00853718"/>
    <w:rsid w:val="00855221"/>
    <w:rsid w:val="008572D7"/>
    <w:rsid w:val="00860645"/>
    <w:rsid w:val="00862261"/>
    <w:rsid w:val="00871F71"/>
    <w:rsid w:val="00872FD8"/>
    <w:rsid w:val="00877012"/>
    <w:rsid w:val="00885AF4"/>
    <w:rsid w:val="008939CD"/>
    <w:rsid w:val="008B63F5"/>
    <w:rsid w:val="008B768C"/>
    <w:rsid w:val="008C2A99"/>
    <w:rsid w:val="008C4DB1"/>
    <w:rsid w:val="008C4EAF"/>
    <w:rsid w:val="008C5176"/>
    <w:rsid w:val="008C7FD0"/>
    <w:rsid w:val="008E1DE7"/>
    <w:rsid w:val="008E707C"/>
    <w:rsid w:val="008F2C89"/>
    <w:rsid w:val="008F55A0"/>
    <w:rsid w:val="00900B08"/>
    <w:rsid w:val="00902155"/>
    <w:rsid w:val="00902FA3"/>
    <w:rsid w:val="00923564"/>
    <w:rsid w:val="0092392E"/>
    <w:rsid w:val="009315F9"/>
    <w:rsid w:val="00933499"/>
    <w:rsid w:val="00935C98"/>
    <w:rsid w:val="00946945"/>
    <w:rsid w:val="00951248"/>
    <w:rsid w:val="0095152F"/>
    <w:rsid w:val="00954C49"/>
    <w:rsid w:val="00955E37"/>
    <w:rsid w:val="009622E3"/>
    <w:rsid w:val="0097099F"/>
    <w:rsid w:val="00971997"/>
    <w:rsid w:val="00971FFC"/>
    <w:rsid w:val="0098660A"/>
    <w:rsid w:val="009931C3"/>
    <w:rsid w:val="009B2C43"/>
    <w:rsid w:val="009B4EAE"/>
    <w:rsid w:val="009B7573"/>
    <w:rsid w:val="009C18F7"/>
    <w:rsid w:val="009C22F4"/>
    <w:rsid w:val="009C2E98"/>
    <w:rsid w:val="009C37FB"/>
    <w:rsid w:val="009D3447"/>
    <w:rsid w:val="009D4711"/>
    <w:rsid w:val="009F1185"/>
    <w:rsid w:val="009F18CD"/>
    <w:rsid w:val="009F2A13"/>
    <w:rsid w:val="009F7527"/>
    <w:rsid w:val="00A0147F"/>
    <w:rsid w:val="00A02D7C"/>
    <w:rsid w:val="00A039ED"/>
    <w:rsid w:val="00A04EB0"/>
    <w:rsid w:val="00A13CC1"/>
    <w:rsid w:val="00A16847"/>
    <w:rsid w:val="00A203CD"/>
    <w:rsid w:val="00A237D8"/>
    <w:rsid w:val="00A247FB"/>
    <w:rsid w:val="00A2656E"/>
    <w:rsid w:val="00A268C4"/>
    <w:rsid w:val="00A307CD"/>
    <w:rsid w:val="00A331C8"/>
    <w:rsid w:val="00A35117"/>
    <w:rsid w:val="00A36EE4"/>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357"/>
    <w:rsid w:val="00B425E0"/>
    <w:rsid w:val="00B440AA"/>
    <w:rsid w:val="00B44B70"/>
    <w:rsid w:val="00B53C56"/>
    <w:rsid w:val="00B57DAF"/>
    <w:rsid w:val="00B77EA6"/>
    <w:rsid w:val="00B81598"/>
    <w:rsid w:val="00B841F1"/>
    <w:rsid w:val="00B944D6"/>
    <w:rsid w:val="00BB1CBA"/>
    <w:rsid w:val="00BB4DF0"/>
    <w:rsid w:val="00BC289F"/>
    <w:rsid w:val="00BC2D50"/>
    <w:rsid w:val="00BC5361"/>
    <w:rsid w:val="00BC5460"/>
    <w:rsid w:val="00BC6B50"/>
    <w:rsid w:val="00BD0E25"/>
    <w:rsid w:val="00BF22BD"/>
    <w:rsid w:val="00BF5BD6"/>
    <w:rsid w:val="00C02C7B"/>
    <w:rsid w:val="00C03E31"/>
    <w:rsid w:val="00C30E69"/>
    <w:rsid w:val="00C33E72"/>
    <w:rsid w:val="00C354B2"/>
    <w:rsid w:val="00C35554"/>
    <w:rsid w:val="00C42709"/>
    <w:rsid w:val="00C533CC"/>
    <w:rsid w:val="00C5751C"/>
    <w:rsid w:val="00C61BFC"/>
    <w:rsid w:val="00C62B85"/>
    <w:rsid w:val="00C65438"/>
    <w:rsid w:val="00C723BD"/>
    <w:rsid w:val="00C91CBB"/>
    <w:rsid w:val="00C93BDD"/>
    <w:rsid w:val="00CB4E70"/>
    <w:rsid w:val="00CC09B6"/>
    <w:rsid w:val="00CC666F"/>
    <w:rsid w:val="00CD1E3F"/>
    <w:rsid w:val="00CE44F6"/>
    <w:rsid w:val="00CE49DA"/>
    <w:rsid w:val="00CE7B61"/>
    <w:rsid w:val="00CF146B"/>
    <w:rsid w:val="00D00095"/>
    <w:rsid w:val="00D03F63"/>
    <w:rsid w:val="00D114F0"/>
    <w:rsid w:val="00D20620"/>
    <w:rsid w:val="00D2356B"/>
    <w:rsid w:val="00D254F7"/>
    <w:rsid w:val="00D26091"/>
    <w:rsid w:val="00D2685C"/>
    <w:rsid w:val="00D34E7C"/>
    <w:rsid w:val="00D35489"/>
    <w:rsid w:val="00D36AFE"/>
    <w:rsid w:val="00D42A43"/>
    <w:rsid w:val="00D51276"/>
    <w:rsid w:val="00D657ED"/>
    <w:rsid w:val="00D7035F"/>
    <w:rsid w:val="00DA4889"/>
    <w:rsid w:val="00DA634F"/>
    <w:rsid w:val="00DA63AD"/>
    <w:rsid w:val="00DA65AC"/>
    <w:rsid w:val="00DB1913"/>
    <w:rsid w:val="00DC410D"/>
    <w:rsid w:val="00DC5A81"/>
    <w:rsid w:val="00DC68CA"/>
    <w:rsid w:val="00DC7CBA"/>
    <w:rsid w:val="00DD73B7"/>
    <w:rsid w:val="00DE5A08"/>
    <w:rsid w:val="00DF0525"/>
    <w:rsid w:val="00DF1B57"/>
    <w:rsid w:val="00DF28BC"/>
    <w:rsid w:val="00DF2E5A"/>
    <w:rsid w:val="00DF34B9"/>
    <w:rsid w:val="00E002E5"/>
    <w:rsid w:val="00E01053"/>
    <w:rsid w:val="00E065DB"/>
    <w:rsid w:val="00E07ACF"/>
    <w:rsid w:val="00E331A1"/>
    <w:rsid w:val="00E33202"/>
    <w:rsid w:val="00E336A9"/>
    <w:rsid w:val="00E472B1"/>
    <w:rsid w:val="00E475E9"/>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07DF"/>
    <w:rsid w:val="00EE2F57"/>
    <w:rsid w:val="00EE6EF9"/>
    <w:rsid w:val="00EF4C34"/>
    <w:rsid w:val="00EF6AC6"/>
    <w:rsid w:val="00EF77C6"/>
    <w:rsid w:val="00F034D9"/>
    <w:rsid w:val="00F05438"/>
    <w:rsid w:val="00F1361C"/>
    <w:rsid w:val="00F156F0"/>
    <w:rsid w:val="00F160C7"/>
    <w:rsid w:val="00F16F47"/>
    <w:rsid w:val="00F22695"/>
    <w:rsid w:val="00F2408F"/>
    <w:rsid w:val="00F240E9"/>
    <w:rsid w:val="00F36D8F"/>
    <w:rsid w:val="00F417B1"/>
    <w:rsid w:val="00F45853"/>
    <w:rsid w:val="00F602DF"/>
    <w:rsid w:val="00F754A1"/>
    <w:rsid w:val="00F77469"/>
    <w:rsid w:val="00F81FD9"/>
    <w:rsid w:val="00F841AA"/>
    <w:rsid w:val="00F84A94"/>
    <w:rsid w:val="00F87E96"/>
    <w:rsid w:val="00FA23E8"/>
    <w:rsid w:val="00FC202C"/>
    <w:rsid w:val="00FD3CC1"/>
    <w:rsid w:val="00FF1E02"/>
    <w:rsid w:val="00FF30B4"/>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C2"/>
    <w:pPr>
      <w:widowControl w:val="0"/>
      <w:jc w:val="both"/>
    </w:pPr>
    <w:rPr>
      <w:kern w:val="2"/>
      <w:sz w:val="21"/>
      <w:szCs w:val="24"/>
    </w:rPr>
  </w:style>
  <w:style w:type="paragraph" w:styleId="1">
    <w:name w:val="heading 1"/>
    <w:basedOn w:val="a"/>
    <w:next w:val="a"/>
    <w:link w:val="1Char"/>
    <w:uiPriority w:val="9"/>
    <w:qFormat/>
    <w:rsid w:val="008412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412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412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8412C2"/>
    <w:pPr>
      <w:spacing w:beforeLines="30"/>
    </w:pPr>
    <w:rPr>
      <w:rFonts w:ascii="仿宋_GB2312" w:eastAsia="仿宋_GB2312"/>
      <w:kern w:val="0"/>
      <w:sz w:val="30"/>
    </w:rPr>
  </w:style>
  <w:style w:type="paragraph" w:styleId="30">
    <w:name w:val="toc 3"/>
    <w:basedOn w:val="a"/>
    <w:next w:val="a"/>
    <w:uiPriority w:val="39"/>
    <w:unhideWhenUsed/>
    <w:qFormat/>
    <w:rsid w:val="008412C2"/>
    <w:pPr>
      <w:tabs>
        <w:tab w:val="right" w:leader="dot" w:pos="8296"/>
      </w:tabs>
      <w:ind w:leftChars="400" w:left="840"/>
    </w:pPr>
  </w:style>
  <w:style w:type="paragraph" w:styleId="a4">
    <w:name w:val="Balloon Text"/>
    <w:basedOn w:val="a"/>
    <w:link w:val="Char0"/>
    <w:uiPriority w:val="99"/>
    <w:semiHidden/>
    <w:unhideWhenUsed/>
    <w:qFormat/>
    <w:rsid w:val="008412C2"/>
    <w:rPr>
      <w:sz w:val="18"/>
      <w:szCs w:val="18"/>
    </w:rPr>
  </w:style>
  <w:style w:type="paragraph" w:styleId="a5">
    <w:name w:val="footer"/>
    <w:basedOn w:val="a"/>
    <w:link w:val="Char1"/>
    <w:uiPriority w:val="99"/>
    <w:qFormat/>
    <w:rsid w:val="008412C2"/>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8412C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412C2"/>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8412C2"/>
    <w:pPr>
      <w:tabs>
        <w:tab w:val="right" w:leader="dot" w:pos="8296"/>
      </w:tabs>
      <w:ind w:leftChars="200" w:left="420"/>
    </w:pPr>
  </w:style>
  <w:style w:type="paragraph" w:styleId="a7">
    <w:name w:val="Normal (Web)"/>
    <w:basedOn w:val="a"/>
    <w:uiPriority w:val="99"/>
    <w:semiHidden/>
    <w:unhideWhenUsed/>
    <w:rsid w:val="008412C2"/>
    <w:pPr>
      <w:spacing w:beforeAutospacing="1" w:afterAutospacing="1"/>
      <w:jc w:val="left"/>
    </w:pPr>
    <w:rPr>
      <w:kern w:val="0"/>
      <w:sz w:val="24"/>
    </w:rPr>
  </w:style>
  <w:style w:type="character" w:styleId="a8">
    <w:name w:val="Strong"/>
    <w:basedOn w:val="a0"/>
    <w:uiPriority w:val="99"/>
    <w:qFormat/>
    <w:rsid w:val="008412C2"/>
    <w:rPr>
      <w:b/>
    </w:rPr>
  </w:style>
  <w:style w:type="character" w:styleId="a9">
    <w:name w:val="Hyperlink"/>
    <w:basedOn w:val="a0"/>
    <w:uiPriority w:val="99"/>
    <w:unhideWhenUsed/>
    <w:qFormat/>
    <w:rsid w:val="008412C2"/>
    <w:rPr>
      <w:color w:val="0000FF" w:themeColor="hyperlink"/>
      <w:u w:val="single"/>
    </w:rPr>
  </w:style>
  <w:style w:type="character" w:customStyle="1" w:styleId="HeaderChar">
    <w:name w:val="Header Char"/>
    <w:basedOn w:val="a0"/>
    <w:uiPriority w:val="99"/>
    <w:semiHidden/>
    <w:qFormat/>
    <w:rsid w:val="008412C2"/>
    <w:rPr>
      <w:rFonts w:ascii="Times New Roman" w:hAnsi="Times New Roman"/>
      <w:sz w:val="18"/>
      <w:szCs w:val="18"/>
    </w:rPr>
  </w:style>
  <w:style w:type="character" w:customStyle="1" w:styleId="Char2">
    <w:name w:val="页眉 Char"/>
    <w:link w:val="a6"/>
    <w:uiPriority w:val="99"/>
    <w:semiHidden/>
    <w:qFormat/>
    <w:locked/>
    <w:rsid w:val="008412C2"/>
    <w:rPr>
      <w:sz w:val="18"/>
    </w:rPr>
  </w:style>
  <w:style w:type="character" w:customStyle="1" w:styleId="FooterChar">
    <w:name w:val="Footer Char"/>
    <w:basedOn w:val="a0"/>
    <w:uiPriority w:val="99"/>
    <w:semiHidden/>
    <w:qFormat/>
    <w:rsid w:val="008412C2"/>
    <w:rPr>
      <w:rFonts w:ascii="Times New Roman" w:hAnsi="Times New Roman"/>
      <w:sz w:val="18"/>
      <w:szCs w:val="18"/>
    </w:rPr>
  </w:style>
  <w:style w:type="character" w:customStyle="1" w:styleId="Char1">
    <w:name w:val="页脚 Char"/>
    <w:link w:val="a5"/>
    <w:uiPriority w:val="99"/>
    <w:qFormat/>
    <w:locked/>
    <w:rsid w:val="008412C2"/>
    <w:rPr>
      <w:sz w:val="18"/>
    </w:rPr>
  </w:style>
  <w:style w:type="character" w:customStyle="1" w:styleId="BodyTextChar">
    <w:name w:val="Body Text Char"/>
    <w:basedOn w:val="a0"/>
    <w:uiPriority w:val="99"/>
    <w:semiHidden/>
    <w:qFormat/>
    <w:rsid w:val="008412C2"/>
    <w:rPr>
      <w:rFonts w:ascii="Times New Roman" w:hAnsi="Times New Roman"/>
      <w:szCs w:val="24"/>
    </w:rPr>
  </w:style>
  <w:style w:type="character" w:customStyle="1" w:styleId="Char">
    <w:name w:val="正文文本 Char"/>
    <w:link w:val="a3"/>
    <w:uiPriority w:val="99"/>
    <w:qFormat/>
    <w:locked/>
    <w:rsid w:val="008412C2"/>
    <w:rPr>
      <w:rFonts w:ascii="仿宋_GB2312" w:eastAsia="仿宋_GB2312" w:hAnsi="Times New Roman"/>
      <w:sz w:val="24"/>
    </w:rPr>
  </w:style>
  <w:style w:type="paragraph" w:customStyle="1" w:styleId="Default">
    <w:name w:val="Default"/>
    <w:uiPriority w:val="99"/>
    <w:qFormat/>
    <w:rsid w:val="008412C2"/>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8412C2"/>
    <w:pPr>
      <w:ind w:firstLineChars="200" w:firstLine="420"/>
    </w:pPr>
  </w:style>
  <w:style w:type="character" w:customStyle="1" w:styleId="1Char">
    <w:name w:val="标题 1 Char"/>
    <w:basedOn w:val="a0"/>
    <w:link w:val="1"/>
    <w:uiPriority w:val="9"/>
    <w:qFormat/>
    <w:rsid w:val="008412C2"/>
    <w:rPr>
      <w:rFonts w:ascii="Times New Roman" w:hAnsi="Times New Roman"/>
      <w:b/>
      <w:bCs/>
      <w:kern w:val="44"/>
      <w:sz w:val="44"/>
      <w:szCs w:val="44"/>
    </w:rPr>
  </w:style>
  <w:style w:type="character" w:customStyle="1" w:styleId="2Char">
    <w:name w:val="标题 2 Char"/>
    <w:basedOn w:val="a0"/>
    <w:link w:val="2"/>
    <w:uiPriority w:val="9"/>
    <w:qFormat/>
    <w:rsid w:val="008412C2"/>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412C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8412C2"/>
    <w:rPr>
      <w:rFonts w:ascii="Times New Roman" w:hAnsi="Times New Roman"/>
      <w:kern w:val="2"/>
      <w:sz w:val="18"/>
      <w:szCs w:val="18"/>
    </w:rPr>
  </w:style>
  <w:style w:type="character" w:customStyle="1" w:styleId="3Char">
    <w:name w:val="标题 3 Char"/>
    <w:basedOn w:val="a0"/>
    <w:link w:val="3"/>
    <w:uiPriority w:val="9"/>
    <w:qFormat/>
    <w:rsid w:val="008412C2"/>
    <w:rPr>
      <w:rFonts w:ascii="Times New Roman" w:hAnsi="Times New Roman"/>
      <w:b/>
      <w:bCs/>
      <w:kern w:val="2"/>
      <w:sz w:val="32"/>
      <w:szCs w:val="32"/>
    </w:rPr>
  </w:style>
  <w:style w:type="paragraph" w:customStyle="1" w:styleId="TOC2">
    <w:name w:val="TOC 标题2"/>
    <w:basedOn w:val="1"/>
    <w:next w:val="a"/>
    <w:uiPriority w:val="39"/>
    <w:unhideWhenUsed/>
    <w:qFormat/>
    <w:rsid w:val="008412C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semiHidden/>
    <w:unhideWhenUsed/>
    <w:qFormat/>
    <w:rsid w:val="00A2656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sz="1800"/>
              <a:t>图</a:t>
            </a:r>
            <a:r>
              <a:rPr lang="en-US" sz="1800"/>
              <a:t>1</a:t>
            </a:r>
            <a:r>
              <a:rPr lang="zh-CN" sz="1800"/>
              <a:t>：收、支决算总计变动情况图</a:t>
            </a:r>
          </a:p>
        </c:rich>
      </c:tx>
    </c:title>
    <c:plotArea>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#,##0.00</c:formatCode>
                <c:ptCount val="2"/>
                <c:pt idx="0" formatCode="General">
                  <c:v>599.74</c:v>
                </c:pt>
                <c:pt idx="1">
                  <c:v>693.21</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526.57000000000005</c:v>
                </c:pt>
                <c:pt idx="1">
                  <c:v>674.83999999999946</c:v>
                </c:pt>
              </c:numCache>
            </c:numRef>
          </c:val>
        </c:ser>
        <c:dLbls>
          <c:showVal val="1"/>
        </c:dLbls>
        <c:overlap val="-25"/>
        <c:axId val="94879104"/>
        <c:axId val="95164288"/>
      </c:barChart>
      <c:catAx>
        <c:axId val="94879104"/>
        <c:scaling>
          <c:orientation val="minMax"/>
        </c:scaling>
        <c:axPos val="b"/>
        <c:majorTickMark val="none"/>
        <c:tickLblPos val="nextTo"/>
        <c:crossAx val="95164288"/>
        <c:crosses val="autoZero"/>
        <c:auto val="1"/>
        <c:lblAlgn val="ctr"/>
        <c:lblOffset val="100"/>
      </c:catAx>
      <c:valAx>
        <c:axId val="95164288"/>
        <c:scaling>
          <c:orientation val="minMax"/>
        </c:scaling>
        <c:delete val="1"/>
        <c:axPos val="l"/>
        <c:numFmt formatCode="General" sourceLinked="1"/>
        <c:majorTickMark val="none"/>
        <c:tickLblPos val="nextTo"/>
        <c:crossAx val="94879104"/>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237.76</c:v>
                </c:pt>
                <c:pt idx="1">
                  <c:v>3.86</c:v>
                </c:pt>
                <c:pt idx="2">
                  <c:v>413.1</c:v>
                </c:pt>
                <c:pt idx="3">
                  <c:v>38.49</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420.13</c:v>
                </c:pt>
                <c:pt idx="1">
                  <c:v>254.70999999999998</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800" b="1" i="0" u="none" strike="noStrike" baseline="0"/>
              <a:t>图</a:t>
            </a:r>
            <a:r>
              <a:rPr lang="en-US" sz="1800" b="1" i="0" u="none" strike="noStrike" baseline="0"/>
              <a:t>4</a:t>
            </a:r>
            <a:r>
              <a:rPr lang="zh-CN" altLang="en-US" sz="1800" b="1" i="0" u="none" strike="noStrike" baseline="0"/>
              <a:t>：财政拨款收、支决算总计变动情况</a:t>
            </a:r>
            <a:endParaRPr lang="zh-CN" altLang="en-US"/>
          </a:p>
        </c:rich>
      </c:tx>
    </c:title>
    <c:plotArea>
      <c:layout/>
      <c:barChart>
        <c:barDir val="col"/>
        <c:grouping val="clustered"/>
        <c:ser>
          <c:idx val="0"/>
          <c:order val="0"/>
          <c:tx>
            <c:strRef>
              <c:f>Sheet1!$B$1</c:f>
              <c:strCache>
                <c:ptCount val="1"/>
                <c:pt idx="0">
                  <c:v>财政拨款收入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225.05</c:v>
                </c:pt>
                <c:pt idx="1">
                  <c:v>241.62</c:v>
                </c:pt>
              </c:numCache>
            </c:numRef>
          </c:val>
        </c:ser>
        <c:ser>
          <c:idx val="1"/>
          <c:order val="1"/>
          <c:tx>
            <c:strRef>
              <c:f>Sheet1!$C$1</c:f>
              <c:strCache>
                <c:ptCount val="1"/>
                <c:pt idx="0">
                  <c:v>财政拨款支出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182.42000000000004</c:v>
                </c:pt>
                <c:pt idx="1">
                  <c:v>259.89999999999969</c:v>
                </c:pt>
              </c:numCache>
            </c:numRef>
          </c:val>
        </c:ser>
        <c:dLbls>
          <c:showVal val="1"/>
        </c:dLbls>
        <c:overlap val="-25"/>
        <c:axId val="66297216"/>
        <c:axId val="66319488"/>
      </c:barChart>
      <c:catAx>
        <c:axId val="66297216"/>
        <c:scaling>
          <c:orientation val="minMax"/>
        </c:scaling>
        <c:axPos val="b"/>
        <c:majorTickMark val="none"/>
        <c:tickLblPos val="nextTo"/>
        <c:crossAx val="66319488"/>
        <c:crosses val="autoZero"/>
        <c:auto val="1"/>
        <c:lblAlgn val="ctr"/>
        <c:lblOffset val="100"/>
      </c:catAx>
      <c:valAx>
        <c:axId val="66319488"/>
        <c:scaling>
          <c:orientation val="minMax"/>
        </c:scaling>
        <c:delete val="1"/>
        <c:axPos val="l"/>
        <c:numFmt formatCode="General" sourceLinked="1"/>
        <c:majorTickMark val="none"/>
        <c:tickLblPos val="nextTo"/>
        <c:crossAx val="66297216"/>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图</a:t>
            </a:r>
            <a:r>
              <a:rPr lang="en-US" altLang="zh-CN"/>
              <a:t>5</a:t>
            </a:r>
            <a:r>
              <a:rPr lang="zh-CN" altLang="en-US"/>
              <a:t>：一般公共预算财政拨款支出决算变动情况</a:t>
            </a:r>
          </a:p>
        </c:rich>
      </c:tx>
    </c:title>
    <c:plotArea>
      <c:layout/>
      <c:barChart>
        <c:barDir val="col"/>
        <c:grouping val="clustered"/>
        <c:ser>
          <c:idx val="0"/>
          <c:order val="0"/>
          <c:tx>
            <c:strRef>
              <c:f>Sheet1!$B$1</c:f>
              <c:strCache>
                <c:ptCount val="1"/>
                <c:pt idx="0">
                  <c:v>一般公共预算财政拨款支出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169.7</c:v>
                </c:pt>
                <c:pt idx="1">
                  <c:v>237.76</c:v>
                </c:pt>
              </c:numCache>
            </c:numRef>
          </c:val>
        </c:ser>
        <c:dLbls>
          <c:showVal val="1"/>
        </c:dLbls>
        <c:overlap val="-25"/>
        <c:axId val="80307328"/>
        <c:axId val="80308864"/>
      </c:barChart>
      <c:catAx>
        <c:axId val="80307328"/>
        <c:scaling>
          <c:orientation val="minMax"/>
        </c:scaling>
        <c:axPos val="b"/>
        <c:majorTickMark val="none"/>
        <c:tickLblPos val="nextTo"/>
        <c:crossAx val="80308864"/>
        <c:crosses val="autoZero"/>
        <c:auto val="1"/>
        <c:lblAlgn val="ctr"/>
        <c:lblOffset val="100"/>
      </c:catAx>
      <c:valAx>
        <c:axId val="80308864"/>
        <c:scaling>
          <c:orientation val="minMax"/>
        </c:scaling>
        <c:delete val="1"/>
        <c:axPos val="l"/>
        <c:numFmt formatCode="General" sourceLinked="1"/>
        <c:tickLblPos val="nextTo"/>
        <c:crossAx val="80307328"/>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图6：一般公共预算财政拨款支出决算结构</c:v>
                </c:pt>
              </c:strCache>
            </c:strRef>
          </c:tx>
          <c:dLbls>
            <c:showPercent val="1"/>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4.8</c:v>
                </c:pt>
                <c:pt idx="1">
                  <c:v>248.68</c:v>
                </c:pt>
                <c:pt idx="2">
                  <c:v>2.56</c:v>
                </c:pt>
              </c:numCache>
            </c:numRef>
          </c:val>
        </c:ser>
        <c:dLbls>
          <c:showPercent val="1"/>
        </c:dLbls>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07B2E4-1F57-4F24-BFA2-2D1E13B7DC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22</Pages>
  <Words>1134</Words>
  <Characters>6464</Characters>
  <Application>Microsoft Office Word</Application>
  <DocSecurity>0</DocSecurity>
  <Lines>53</Lines>
  <Paragraphs>15</Paragraphs>
  <ScaleCrop>false</ScaleCrop>
  <Company>四川省财政厅</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85</cp:revision>
  <cp:lastPrinted>2020-07-23T02:58:00Z</cp:lastPrinted>
  <dcterms:created xsi:type="dcterms:W3CDTF">2020-08-04T01:49:00Z</dcterms:created>
  <dcterms:modified xsi:type="dcterms:W3CDTF">2020-10-29T07:50:00Z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