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8441"/>
      <w:bookmarkStart w:id="4" w:name="_Toc1539647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96476"/>
      <w:bookmarkStart w:id="8" w:name="_Toc15378442"/>
      <w:bookmarkStart w:id="9" w:name="_Toc15377194"/>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峨眉山市疾病预防控制中心部门</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公开时间：2020年9月3日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pStyle w:val="2"/>
        <w:ind w:firstLine="1760" w:firstLineChars="400"/>
        <w:jc w:val="both"/>
        <w:rPr>
          <w:rStyle w:val="24"/>
          <w:rFonts w:ascii="黑体" w:hAnsi="黑体" w:eastAsia="黑体"/>
          <w:b/>
          <w:bCs w:val="0"/>
        </w:rPr>
      </w:pPr>
      <w:bookmarkStart w:id="12" w:name="_Toc15377196"/>
      <w:bookmarkStart w:id="13" w:name="_Toc15396599"/>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snapToGrid w:val="0"/>
        <w:spacing w:line="580" w:lineRule="exact"/>
        <w:ind w:firstLine="640" w:firstLineChars="200"/>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snapToGrid w:val="0"/>
        <w:spacing w:line="580" w:lineRule="exact"/>
        <w:ind w:firstLine="664" w:firstLineChars="200"/>
        <w:rPr>
          <w:rFonts w:hint="eastAsia" w:ascii="仿宋" w:hAnsi="仿宋" w:eastAsia="仿宋"/>
          <w:bCs/>
          <w:color w:val="000000"/>
          <w:sz w:val="32"/>
          <w:szCs w:val="32"/>
          <w:lang w:val="en-US" w:eastAsia="zh-CN"/>
        </w:rPr>
      </w:pPr>
      <w:r>
        <w:rPr>
          <w:rFonts w:hint="eastAsia" w:ascii="仿宋_GB2312" w:hAnsi="仿宋_GB2312" w:eastAsia="仿宋_GB2312"/>
          <w:spacing w:val="6"/>
          <w:sz w:val="32"/>
          <w:szCs w:val="32"/>
          <w:lang w:eastAsia="zh-CN"/>
        </w:rPr>
        <w:t>单位主要职能：</w:t>
      </w:r>
      <w:r>
        <w:rPr>
          <w:rFonts w:hint="eastAsia" w:ascii="仿宋_GB2312" w:hAnsi="仿宋_GB2312" w:eastAsia="仿宋_GB2312"/>
          <w:spacing w:val="6"/>
          <w:sz w:val="32"/>
          <w:szCs w:val="32"/>
        </w:rPr>
        <w:t>传染病疫情管理；地方病、寄生虫病的防治；慢性非传染性疾病的防治；基本公共卫生；免疫规划；艾滋病性病防治以及卫生监测检验等。</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30"/>
        <w:spacing w:before="31"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1、加强疫情管理。</w:t>
      </w:r>
    </w:p>
    <w:p>
      <w:pPr>
        <w:pStyle w:val="30"/>
        <w:spacing w:before="31"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lang w:eastAsia="zh-CN"/>
        </w:rPr>
        <w:t>2019</w:t>
      </w:r>
      <w:r>
        <w:rPr>
          <w:rFonts w:hint="eastAsia" w:ascii="仿宋_GB2312" w:hAnsi="宋体" w:eastAsia="仿宋_GB2312" w:cs="仿宋"/>
          <w:sz w:val="32"/>
          <w:szCs w:val="32"/>
        </w:rPr>
        <w:t>年</w:t>
      </w:r>
      <w:r>
        <w:rPr>
          <w:rFonts w:ascii="仿宋_GB2312" w:hAnsi="宋体" w:eastAsia="仿宋_GB2312" w:cs="仿宋"/>
          <w:sz w:val="32"/>
          <w:szCs w:val="32"/>
        </w:rPr>
        <w:t>1</w:t>
      </w:r>
      <w:r>
        <w:rPr>
          <w:rFonts w:hint="eastAsia" w:ascii="仿宋_GB2312" w:hAnsi="宋体" w:eastAsia="仿宋_GB2312" w:cs="仿宋"/>
          <w:sz w:val="32"/>
          <w:szCs w:val="32"/>
        </w:rPr>
        <w:t>月</w:t>
      </w:r>
      <w:r>
        <w:rPr>
          <w:rFonts w:ascii="仿宋_GB2312" w:hAnsi="宋体" w:eastAsia="仿宋_GB2312" w:cs="仿宋"/>
          <w:sz w:val="32"/>
          <w:szCs w:val="32"/>
        </w:rPr>
        <w:t>1</w:t>
      </w:r>
      <w:r>
        <w:rPr>
          <w:rFonts w:hint="eastAsia" w:ascii="仿宋_GB2312" w:hAnsi="宋体" w:eastAsia="仿宋_GB2312" w:cs="仿宋"/>
          <w:sz w:val="32"/>
          <w:szCs w:val="32"/>
        </w:rPr>
        <w:t>日至</w:t>
      </w:r>
      <w:r>
        <w:rPr>
          <w:rFonts w:hint="eastAsia" w:ascii="仿宋_GB2312" w:hAnsi="宋体" w:eastAsia="仿宋_GB2312" w:cs="仿宋"/>
          <w:sz w:val="32"/>
          <w:szCs w:val="32"/>
          <w:lang w:eastAsia="zh-CN"/>
        </w:rPr>
        <w:t>2019</w:t>
      </w:r>
      <w:r>
        <w:rPr>
          <w:rFonts w:hint="eastAsia" w:ascii="仿宋_GB2312" w:hAnsi="宋体" w:eastAsia="仿宋_GB2312" w:cs="仿宋"/>
          <w:sz w:val="32"/>
          <w:szCs w:val="32"/>
        </w:rPr>
        <w:t>年</w:t>
      </w:r>
      <w:r>
        <w:rPr>
          <w:rFonts w:hint="eastAsia" w:ascii="仿宋_GB2312" w:hAnsi="宋体" w:eastAsia="仿宋_GB2312" w:cs="仿宋"/>
          <w:sz w:val="32"/>
          <w:szCs w:val="32"/>
          <w:lang w:val="en-US" w:eastAsia="zh-CN"/>
        </w:rPr>
        <w:t>12</w:t>
      </w:r>
      <w:r>
        <w:rPr>
          <w:rFonts w:hint="eastAsia" w:ascii="仿宋_GB2312" w:hAnsi="宋体" w:eastAsia="仿宋_GB2312" w:cs="仿宋"/>
          <w:sz w:val="32"/>
          <w:szCs w:val="32"/>
        </w:rPr>
        <w:t>月</w:t>
      </w:r>
      <w:r>
        <w:rPr>
          <w:rFonts w:hint="eastAsia" w:ascii="仿宋_GB2312" w:hAnsi="宋体" w:eastAsia="仿宋_GB2312" w:cs="仿宋"/>
          <w:sz w:val="32"/>
          <w:szCs w:val="32"/>
          <w:lang w:val="en-US" w:eastAsia="zh-CN"/>
        </w:rPr>
        <w:t>31</w:t>
      </w:r>
      <w:r>
        <w:rPr>
          <w:rFonts w:hint="eastAsia" w:ascii="仿宋_GB2312" w:hAnsi="宋体" w:eastAsia="仿宋_GB2312" w:cs="仿宋"/>
          <w:sz w:val="32"/>
          <w:szCs w:val="32"/>
        </w:rPr>
        <w:t>日全市各网络直报单位网络直报率</w:t>
      </w:r>
      <w:r>
        <w:rPr>
          <w:rFonts w:ascii="仿宋_GB2312" w:hAnsi="宋体" w:eastAsia="仿宋_GB2312" w:cs="仿宋"/>
          <w:sz w:val="32"/>
          <w:szCs w:val="32"/>
        </w:rPr>
        <w:t>100%</w:t>
      </w:r>
      <w:r>
        <w:rPr>
          <w:rFonts w:hint="eastAsia" w:ascii="仿宋_GB2312" w:hAnsi="宋体" w:eastAsia="仿宋_GB2312" w:cs="仿宋"/>
          <w:sz w:val="32"/>
          <w:szCs w:val="32"/>
        </w:rPr>
        <w:t>；传染病的网络直报各项指标均符合上级网络直报标准；全市传染病疫情信息管理通报疫情报告综合质量评价指标综合率为</w:t>
      </w:r>
      <w:r>
        <w:rPr>
          <w:rFonts w:ascii="仿宋_GB2312" w:hAnsi="宋体" w:eastAsia="仿宋_GB2312" w:cs="仿宋"/>
          <w:sz w:val="32"/>
          <w:szCs w:val="32"/>
        </w:rPr>
        <w:t>100%</w:t>
      </w:r>
      <w:r>
        <w:rPr>
          <w:rFonts w:hint="eastAsia" w:ascii="仿宋_GB2312" w:hAnsi="宋体" w:eastAsia="仿宋_GB2312" w:cs="仿宋"/>
          <w:sz w:val="32"/>
          <w:szCs w:val="32"/>
        </w:rPr>
        <w:t>。</w:t>
      </w:r>
      <w:r>
        <w:rPr>
          <w:rFonts w:hint="eastAsia" w:ascii="仿宋_GB2312" w:hAnsi="宋体" w:eastAsia="仿宋_GB2312" w:cs="仿宋"/>
          <w:sz w:val="32"/>
          <w:szCs w:val="32"/>
          <w:lang w:val="en-US" w:eastAsia="zh-CN"/>
        </w:rPr>
        <w:t>2019</w:t>
      </w:r>
      <w:r>
        <w:rPr>
          <w:rFonts w:hint="eastAsia" w:ascii="仿宋_GB2312" w:hAnsi="宋体" w:eastAsia="仿宋_GB2312" w:cs="仿宋"/>
          <w:sz w:val="32"/>
          <w:szCs w:val="32"/>
        </w:rPr>
        <w:t>年我市传染病总体发病平稳。</w:t>
      </w:r>
    </w:p>
    <w:p>
      <w:pPr>
        <w:pStyle w:val="30"/>
        <w:spacing w:before="31"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2、加强突发性公共卫生应急处置能力建设，全面提升疾控能力</w:t>
      </w:r>
      <w:r>
        <w:rPr>
          <w:rFonts w:hint="eastAsia" w:ascii="仿宋_GB2312" w:hAnsi="宋体" w:eastAsia="仿宋_GB2312" w:cs="仿宋"/>
          <w:sz w:val="32"/>
          <w:szCs w:val="32"/>
          <w:lang w:eastAsia="zh-CN"/>
        </w:rPr>
        <w:t>。</w:t>
      </w:r>
      <w:r>
        <w:rPr>
          <w:rFonts w:hint="eastAsia" w:ascii="仿宋_GB2312" w:hAnsi="宋体" w:eastAsia="仿宋_GB2312" w:cs="仿宋"/>
          <w:sz w:val="32"/>
          <w:szCs w:val="32"/>
        </w:rPr>
        <w:t>对疫情进行了认真、科学的调查处理，防止了疫情的进一步扩散和蔓延。</w:t>
      </w:r>
    </w:p>
    <w:p>
      <w:pPr>
        <w:pStyle w:val="30"/>
        <w:spacing w:before="31" w:beforeLines="10" w:after="2" w:line="360" w:lineRule="auto"/>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3、积极开展“Ⅱ”号病防治工作</w:t>
      </w:r>
    </w:p>
    <w:p>
      <w:pPr>
        <w:pStyle w:val="30"/>
        <w:spacing w:before="31"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每月采集自来水、江河水、城市污水排放处水样、水产品、卤制品进行检测。监测结果均为阴性。</w:t>
      </w:r>
    </w:p>
    <w:p>
      <w:pPr>
        <w:pStyle w:val="30"/>
        <w:spacing w:before="31" w:beforeLines="10" w:after="2" w:line="360" w:lineRule="auto"/>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4、积极开展死因监测工作和心脑血管疾病监测报告</w:t>
      </w:r>
    </w:p>
    <w:p>
      <w:pPr>
        <w:pStyle w:val="30"/>
        <w:spacing w:before="31" w:beforeLines="10" w:after="2" w:line="360" w:lineRule="auto"/>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我市</w:t>
      </w:r>
      <w:r>
        <w:rPr>
          <w:rFonts w:hint="eastAsia" w:ascii="仿宋_GB2312" w:hAnsi="宋体" w:eastAsia="仿宋_GB2312" w:cs="仿宋"/>
          <w:sz w:val="32"/>
          <w:szCs w:val="32"/>
          <w:lang w:eastAsia="zh-CN"/>
        </w:rPr>
        <w:t>2019</w:t>
      </w:r>
      <w:r>
        <w:rPr>
          <w:rFonts w:hint="eastAsia" w:ascii="仿宋_GB2312" w:hAnsi="宋体" w:eastAsia="仿宋_GB2312" w:cs="仿宋"/>
          <w:sz w:val="32"/>
          <w:szCs w:val="32"/>
        </w:rPr>
        <w:t>年</w:t>
      </w:r>
      <w:r>
        <w:rPr>
          <w:rFonts w:ascii="仿宋_GB2312" w:hAnsi="宋体" w:eastAsia="仿宋_GB2312" w:cs="仿宋"/>
          <w:sz w:val="32"/>
          <w:szCs w:val="32"/>
        </w:rPr>
        <w:t>1-1</w:t>
      </w:r>
      <w:r>
        <w:rPr>
          <w:rFonts w:hint="eastAsia" w:ascii="仿宋_GB2312" w:hAnsi="宋体" w:eastAsia="仿宋_GB2312" w:cs="仿宋"/>
          <w:sz w:val="32"/>
          <w:szCs w:val="32"/>
          <w:lang w:val="en-US" w:eastAsia="zh-CN"/>
        </w:rPr>
        <w:t>2</w:t>
      </w:r>
      <w:r>
        <w:rPr>
          <w:rFonts w:hint="eastAsia" w:ascii="仿宋_GB2312" w:hAnsi="宋体" w:eastAsia="仿宋_GB2312" w:cs="仿宋"/>
          <w:sz w:val="32"/>
          <w:szCs w:val="32"/>
        </w:rPr>
        <w:t>月共报告死亡病例</w:t>
      </w:r>
      <w:r>
        <w:rPr>
          <w:rFonts w:ascii="仿宋_GB2312" w:hAnsi="宋体" w:eastAsia="仿宋_GB2312" w:cs="仿宋"/>
          <w:sz w:val="32"/>
          <w:szCs w:val="32"/>
        </w:rPr>
        <w:t>2369</w:t>
      </w:r>
      <w:r>
        <w:rPr>
          <w:rFonts w:hint="eastAsia" w:ascii="仿宋_GB2312" w:hAnsi="宋体" w:eastAsia="仿宋_GB2312" w:cs="仿宋"/>
          <w:sz w:val="32"/>
          <w:szCs w:val="32"/>
        </w:rPr>
        <w:t>人，人群粗死亡率为</w:t>
      </w:r>
      <w:r>
        <w:rPr>
          <w:rFonts w:ascii="仿宋_GB2312" w:hAnsi="宋体" w:eastAsia="仿宋_GB2312" w:cs="仿宋"/>
          <w:sz w:val="32"/>
          <w:szCs w:val="32"/>
        </w:rPr>
        <w:t>5.48</w:t>
      </w:r>
      <w:r>
        <w:rPr>
          <w:rFonts w:hint="eastAsia" w:ascii="仿宋_GB2312" w:hAnsi="宋体" w:eastAsia="仿宋_GB2312" w:cs="仿宋"/>
          <w:sz w:val="32"/>
          <w:szCs w:val="32"/>
        </w:rPr>
        <w:t>‰；报告心脑血管事件</w:t>
      </w:r>
      <w:r>
        <w:rPr>
          <w:rFonts w:ascii="仿宋_GB2312" w:hAnsi="宋体" w:eastAsia="仿宋_GB2312" w:cs="仿宋"/>
          <w:sz w:val="32"/>
          <w:szCs w:val="32"/>
        </w:rPr>
        <w:t>1690</w:t>
      </w:r>
      <w:r>
        <w:rPr>
          <w:rFonts w:hint="eastAsia" w:ascii="仿宋_GB2312" w:hAnsi="宋体" w:eastAsia="仿宋_GB2312" w:cs="仿宋"/>
          <w:sz w:val="32"/>
          <w:szCs w:val="32"/>
        </w:rPr>
        <w:t>例，人群发病率为</w:t>
      </w:r>
      <w:r>
        <w:rPr>
          <w:rFonts w:ascii="仿宋_GB2312" w:hAnsi="宋体" w:eastAsia="仿宋_GB2312" w:cs="仿宋"/>
          <w:sz w:val="32"/>
          <w:szCs w:val="32"/>
        </w:rPr>
        <w:t>390/10</w:t>
      </w:r>
      <w:r>
        <w:rPr>
          <w:rFonts w:hint="eastAsia" w:ascii="仿宋_GB2312" w:hAnsi="宋体" w:eastAsia="仿宋_GB2312" w:cs="仿宋"/>
          <w:sz w:val="32"/>
          <w:szCs w:val="32"/>
        </w:rPr>
        <w:t>万，其中死亡</w:t>
      </w:r>
      <w:r>
        <w:rPr>
          <w:rFonts w:ascii="仿宋_GB2312" w:hAnsi="宋体" w:eastAsia="仿宋_GB2312" w:cs="仿宋"/>
          <w:sz w:val="32"/>
          <w:szCs w:val="32"/>
        </w:rPr>
        <w:t>327</w:t>
      </w:r>
      <w:r>
        <w:rPr>
          <w:rFonts w:hint="eastAsia" w:ascii="仿宋_GB2312" w:hAnsi="宋体" w:eastAsia="仿宋_GB2312" w:cs="仿宋"/>
          <w:sz w:val="32"/>
          <w:szCs w:val="32"/>
        </w:rPr>
        <w:t>人，人群死亡率为</w:t>
      </w:r>
      <w:r>
        <w:rPr>
          <w:rFonts w:ascii="仿宋_GB2312" w:hAnsi="宋体" w:eastAsia="仿宋_GB2312" w:cs="仿宋"/>
          <w:sz w:val="32"/>
          <w:szCs w:val="32"/>
        </w:rPr>
        <w:t>75.80/10</w:t>
      </w:r>
      <w:r>
        <w:rPr>
          <w:rFonts w:hint="eastAsia" w:ascii="仿宋_GB2312" w:hAnsi="宋体" w:eastAsia="仿宋_GB2312" w:cs="仿宋"/>
          <w:sz w:val="32"/>
          <w:szCs w:val="32"/>
        </w:rPr>
        <w:t>万；全民健康生活方式行动工作开展主题日活动</w:t>
      </w:r>
      <w:r>
        <w:rPr>
          <w:rFonts w:ascii="仿宋_GB2312" w:hAnsi="宋体" w:eastAsia="仿宋_GB2312" w:cs="仿宋"/>
          <w:sz w:val="32"/>
          <w:szCs w:val="32"/>
        </w:rPr>
        <w:t>3</w:t>
      </w:r>
      <w:r>
        <w:rPr>
          <w:rFonts w:hint="eastAsia" w:ascii="仿宋_GB2312" w:hAnsi="宋体" w:eastAsia="仿宋_GB2312" w:cs="仿宋"/>
          <w:sz w:val="32"/>
          <w:szCs w:val="32"/>
        </w:rPr>
        <w:t>次，培养健康生活方式指导员</w:t>
      </w:r>
      <w:r>
        <w:rPr>
          <w:rFonts w:ascii="仿宋_GB2312" w:hAnsi="宋体" w:eastAsia="仿宋_GB2312" w:cs="仿宋"/>
          <w:sz w:val="32"/>
          <w:szCs w:val="32"/>
        </w:rPr>
        <w:t>207</w:t>
      </w:r>
      <w:r>
        <w:rPr>
          <w:rFonts w:hint="eastAsia" w:ascii="仿宋_GB2312" w:hAnsi="宋体" w:eastAsia="仿宋_GB2312" w:cs="仿宋"/>
          <w:sz w:val="32"/>
          <w:szCs w:val="32"/>
        </w:rPr>
        <w:t>人；开展死因监测和心脑血管疾病监测报告培训各一期，培训</w:t>
      </w:r>
      <w:r>
        <w:rPr>
          <w:rFonts w:ascii="仿宋_GB2312" w:hAnsi="宋体" w:eastAsia="仿宋_GB2312" w:cs="仿宋"/>
          <w:sz w:val="32"/>
          <w:szCs w:val="32"/>
        </w:rPr>
        <w:t>36</w:t>
      </w:r>
      <w:r>
        <w:rPr>
          <w:rFonts w:hint="eastAsia" w:ascii="仿宋_GB2312" w:hAnsi="宋体" w:eastAsia="仿宋_GB2312" w:cs="仿宋"/>
          <w:sz w:val="32"/>
          <w:szCs w:val="32"/>
        </w:rPr>
        <w:t>余名医务人员，开展慢病及相关健康主题日宣传活动</w:t>
      </w:r>
      <w:r>
        <w:rPr>
          <w:rFonts w:ascii="仿宋_GB2312" w:hAnsi="宋体" w:eastAsia="仿宋_GB2312" w:cs="仿宋"/>
          <w:sz w:val="32"/>
          <w:szCs w:val="32"/>
        </w:rPr>
        <w:t>7</w:t>
      </w:r>
      <w:r>
        <w:rPr>
          <w:rFonts w:hint="eastAsia" w:ascii="仿宋_GB2312" w:hAnsi="宋体" w:eastAsia="仿宋_GB2312" w:cs="仿宋"/>
          <w:sz w:val="32"/>
          <w:szCs w:val="32"/>
        </w:rPr>
        <w:t>次。</w:t>
      </w:r>
    </w:p>
    <w:p>
      <w:pPr>
        <w:pStyle w:val="30"/>
        <w:spacing w:before="31" w:beforeLines="10" w:after="2" w:line="360" w:lineRule="auto"/>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5、免疫规划工作</w:t>
      </w:r>
    </w:p>
    <w:p>
      <w:pPr>
        <w:pStyle w:val="30"/>
        <w:spacing w:before="31"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积极开展培训、宣传和健康教育工作。全年累计培训</w:t>
      </w:r>
      <w:r>
        <w:rPr>
          <w:rFonts w:ascii="仿宋_GB2312" w:hAnsi="宋体" w:eastAsia="仿宋_GB2312" w:cs="仿宋"/>
          <w:sz w:val="32"/>
          <w:szCs w:val="32"/>
        </w:rPr>
        <w:t>8</w:t>
      </w:r>
      <w:r>
        <w:rPr>
          <w:rFonts w:hint="eastAsia" w:ascii="仿宋_GB2312" w:hAnsi="宋体" w:eastAsia="仿宋_GB2312" w:cs="仿宋"/>
          <w:sz w:val="32"/>
          <w:szCs w:val="32"/>
        </w:rPr>
        <w:t>天，培训人员</w:t>
      </w:r>
      <w:r>
        <w:rPr>
          <w:rFonts w:ascii="仿宋_GB2312" w:hAnsi="宋体" w:eastAsia="仿宋_GB2312" w:cs="仿宋"/>
          <w:sz w:val="32"/>
          <w:szCs w:val="32"/>
        </w:rPr>
        <w:t>356</w:t>
      </w:r>
      <w:r>
        <w:rPr>
          <w:rFonts w:hint="eastAsia" w:ascii="仿宋_GB2312" w:hAnsi="宋体" w:eastAsia="仿宋_GB2312" w:cs="仿宋"/>
          <w:sz w:val="32"/>
          <w:szCs w:val="32"/>
        </w:rPr>
        <w:t>人次，内容包括免疫规划常规管理、预防接种人员资格培训、脊灰</w:t>
      </w:r>
      <w:r>
        <w:rPr>
          <w:rFonts w:ascii="仿宋_GB2312" w:hAnsi="宋体" w:eastAsia="仿宋_GB2312" w:cs="仿宋"/>
          <w:sz w:val="32"/>
          <w:szCs w:val="32"/>
        </w:rPr>
        <w:t>/</w:t>
      </w:r>
      <w:r>
        <w:rPr>
          <w:rFonts w:hint="eastAsia" w:ascii="仿宋_GB2312" w:hAnsi="宋体" w:eastAsia="仿宋_GB2312" w:cs="仿宋"/>
          <w:sz w:val="32"/>
          <w:szCs w:val="32"/>
        </w:rPr>
        <w:t>麻疹补充免疫和查漏补种、脊灰疫苗策略转换、查验预防接种证及计免精细化管理等；通过下发各种宣传单</w:t>
      </w:r>
      <w:r>
        <w:rPr>
          <w:rFonts w:ascii="仿宋_GB2312" w:hAnsi="宋体" w:eastAsia="仿宋_GB2312" w:cs="仿宋"/>
          <w:sz w:val="32"/>
          <w:szCs w:val="32"/>
        </w:rPr>
        <w:t>42000</w:t>
      </w:r>
      <w:r>
        <w:rPr>
          <w:rFonts w:hint="eastAsia" w:ascii="仿宋_GB2312" w:hAnsi="宋体" w:eastAsia="仿宋_GB2312" w:cs="仿宋"/>
          <w:sz w:val="32"/>
          <w:szCs w:val="32"/>
        </w:rPr>
        <w:t>余份，峨眉山市图文信息台滚动宣传，为我市脊灰</w:t>
      </w:r>
      <w:r>
        <w:rPr>
          <w:rFonts w:ascii="仿宋_GB2312" w:hAnsi="宋体" w:eastAsia="仿宋_GB2312" w:cs="仿宋"/>
          <w:sz w:val="32"/>
          <w:szCs w:val="32"/>
        </w:rPr>
        <w:t>/</w:t>
      </w:r>
      <w:r>
        <w:rPr>
          <w:rFonts w:hint="eastAsia" w:ascii="仿宋_GB2312" w:hAnsi="宋体" w:eastAsia="仿宋_GB2312" w:cs="仿宋"/>
          <w:sz w:val="32"/>
          <w:szCs w:val="32"/>
        </w:rPr>
        <w:t>麻疹补充免疫及查漏补种，以及脊灰疫苗转型工作的顺利实施奠定了坚实的基础；此外，还开展了计免抽样调查、脊灰</w:t>
      </w:r>
      <w:r>
        <w:rPr>
          <w:rFonts w:ascii="仿宋_GB2312" w:hAnsi="宋体" w:eastAsia="仿宋_GB2312" w:cs="仿宋"/>
          <w:sz w:val="32"/>
          <w:szCs w:val="32"/>
        </w:rPr>
        <w:t>/</w:t>
      </w:r>
      <w:r>
        <w:rPr>
          <w:rFonts w:hint="eastAsia" w:ascii="仿宋_GB2312" w:hAnsi="宋体" w:eastAsia="仿宋_GB2312" w:cs="仿宋"/>
          <w:sz w:val="32"/>
          <w:szCs w:val="32"/>
        </w:rPr>
        <w:t>麻疹疫苗补充免疫和查漏补种、脊灰疫苗策略转换工作。</w:t>
      </w:r>
    </w:p>
    <w:p>
      <w:pPr>
        <w:pStyle w:val="30"/>
        <w:spacing w:before="31" w:beforeLines="10" w:after="2" w:line="360" w:lineRule="auto"/>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6、艾滋病防治方面</w:t>
      </w:r>
    </w:p>
    <w:p>
      <w:pPr>
        <w:pStyle w:val="30"/>
        <w:spacing w:before="31"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健全了以政府领导、部门负责、全社会共同参与的防治工作机制，推进艾滋病预防与控制体系建设。继续开展艾滋病防治宣传、安全套促进、美沙酮奖励、多部门协调、加强艾防专业队伍建设等防治措施。通过艾滋病防治进学校活动开展对广大大学生艾滋病防治知识宣传，加强了艾滋病感染者和病人的管理、开展</w:t>
      </w:r>
      <w:r>
        <w:rPr>
          <w:rFonts w:ascii="仿宋_GB2312" w:hAnsi="宋体" w:eastAsia="仿宋_GB2312" w:cs="仿宋"/>
          <w:sz w:val="32"/>
          <w:szCs w:val="32"/>
        </w:rPr>
        <w:t>HIV</w:t>
      </w:r>
      <w:r>
        <w:rPr>
          <w:rFonts w:hint="eastAsia" w:ascii="仿宋_GB2312" w:hAnsi="宋体" w:eastAsia="仿宋_GB2312" w:cs="仿宋"/>
          <w:sz w:val="32"/>
          <w:szCs w:val="32"/>
        </w:rPr>
        <w:t>监测、“四免一关怀”政策落实、高危人群干预、药物维持治疗、预防艾滋病母婴传播、抗病毒治疗这些措施的开展，有力地推动了我市艾滋病防治工作的顺利进行。</w:t>
      </w:r>
    </w:p>
    <w:p>
      <w:pPr>
        <w:pStyle w:val="30"/>
        <w:spacing w:before="31" w:beforeLines="10" w:after="2" w:line="360" w:lineRule="auto"/>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7、结核病防治方面</w:t>
      </w:r>
    </w:p>
    <w:p>
      <w:pPr>
        <w:pStyle w:val="30"/>
        <w:spacing w:before="31"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继续推行“三位一体”的新型结核病防治模式，理顺在结核病防治中与定点医院和乡镇卫生院的关系。积极开展“结核病防治知识进学校活动”。</w:t>
      </w:r>
    </w:p>
    <w:p>
      <w:pPr>
        <w:pStyle w:val="30"/>
        <w:spacing w:before="31" w:beforeLines="10" w:after="2" w:line="360" w:lineRule="auto"/>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8、地方病和寄生虫病防治平稳推进，无新发地方病出现</w:t>
      </w:r>
    </w:p>
    <w:p>
      <w:pPr>
        <w:pStyle w:val="30"/>
        <w:spacing w:before="31"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积极开展疟疾防治、血吸虫病防治、克山病防治、钩体病防治、麻风病防治、碘盐监测和土源性线虫监测工作。积极开展克山病达标准备工作。</w:t>
      </w:r>
    </w:p>
    <w:p>
      <w:pPr>
        <w:pStyle w:val="30"/>
        <w:spacing w:before="31" w:beforeLines="10" w:after="2" w:line="360" w:lineRule="auto"/>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9、积极开展卫生监测工作</w:t>
      </w:r>
    </w:p>
    <w:p>
      <w:pPr>
        <w:pStyle w:val="30"/>
        <w:spacing w:before="31" w:beforeLines="10" w:after="2"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开展了对游泳池、汽车站、超市、宾旅馆、娱乐场所、</w:t>
      </w:r>
    </w:p>
    <w:p>
      <w:pPr>
        <w:pStyle w:val="30"/>
        <w:spacing w:before="31" w:beforeLines="10" w:after="2" w:line="360" w:lineRule="auto"/>
        <w:rPr>
          <w:rFonts w:hint="eastAsia" w:ascii="仿宋_GB2312" w:hAnsi="宋体" w:eastAsia="仿宋_GB2312" w:cs="宋体"/>
          <w:sz w:val="32"/>
          <w:szCs w:val="32"/>
        </w:rPr>
      </w:pPr>
      <w:r>
        <w:rPr>
          <w:rFonts w:hint="eastAsia" w:ascii="仿宋_GB2312" w:hAnsi="宋体" w:eastAsia="仿宋_GB2312" w:cs="仿宋"/>
          <w:sz w:val="32"/>
          <w:szCs w:val="32"/>
        </w:rPr>
        <w:t>美容、美发监测工作；积极开展生活饮用水监测；积极开展医院院内感染和托幼机构消毒质量监测；积极开展学校生活环境监测和学生健康体检工作，监测教室</w:t>
      </w:r>
      <w:r>
        <w:rPr>
          <w:rFonts w:ascii="仿宋_GB2312" w:hAnsi="宋体" w:eastAsia="仿宋_GB2312" w:cs="仿宋"/>
          <w:sz w:val="32"/>
          <w:szCs w:val="32"/>
        </w:rPr>
        <w:t>12</w:t>
      </w:r>
      <w:r>
        <w:rPr>
          <w:rFonts w:hint="eastAsia" w:ascii="仿宋_GB2312" w:hAnsi="宋体" w:eastAsia="仿宋_GB2312" w:cs="仿宋"/>
          <w:sz w:val="32"/>
          <w:szCs w:val="32"/>
        </w:rPr>
        <w:t>个，体检学生</w:t>
      </w:r>
      <w:r>
        <w:rPr>
          <w:rFonts w:ascii="仿宋_GB2312" w:hAnsi="宋体" w:eastAsia="仿宋_GB2312" w:cs="仿宋"/>
          <w:sz w:val="32"/>
          <w:szCs w:val="32"/>
        </w:rPr>
        <w:t>600</w:t>
      </w:r>
      <w:r>
        <w:rPr>
          <w:rFonts w:hint="eastAsia" w:ascii="仿宋_GB2312" w:hAnsi="宋体" w:eastAsia="仿宋_GB2312" w:cs="仿宋"/>
          <w:sz w:val="32"/>
          <w:szCs w:val="32"/>
        </w:rPr>
        <w:t>人；积极开展食品安全监测和病媒生</w:t>
      </w:r>
      <w:r>
        <w:rPr>
          <w:rFonts w:hint="eastAsia" w:ascii="仿宋_GB2312" w:hAnsi="宋体" w:eastAsia="仿宋_GB2312" w:cs="宋体"/>
          <w:sz w:val="32"/>
          <w:szCs w:val="32"/>
        </w:rPr>
        <w:t>物监测工作。</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keepNext w:val="0"/>
        <w:keepLines w:val="0"/>
        <w:pageBreakBefore w:val="0"/>
        <w:widowControl w:val="0"/>
        <w:kinsoku/>
        <w:wordWrap/>
        <w:overflowPunct/>
        <w:topLinePunct w:val="0"/>
        <w:bidi w:val="0"/>
        <w:snapToGrid/>
        <w:spacing w:line="360" w:lineRule="auto"/>
        <w:ind w:firstLine="640" w:firstLineChars="200"/>
        <w:textAlignment w:val="auto"/>
        <w:outlineLvl w:val="9"/>
        <w:rPr>
          <w:rFonts w:hint="eastAsia" w:ascii="仿宋_GB2312" w:hAnsi="仿宋" w:eastAsia="仿宋_GB2312"/>
          <w:sz w:val="32"/>
          <w:szCs w:val="32"/>
          <w:lang w:eastAsia="zh-CN"/>
        </w:rPr>
      </w:pPr>
      <w:bookmarkStart w:id="22" w:name="_Toc15396602"/>
      <w:bookmarkStart w:id="23" w:name="_Toc15377204"/>
      <w:r>
        <w:rPr>
          <w:rFonts w:hint="eastAsia" w:ascii="仿宋_GB2312" w:hAnsi="仿宋" w:eastAsia="仿宋_GB2312"/>
          <w:sz w:val="32"/>
          <w:szCs w:val="32"/>
          <w:lang w:val="en-US" w:eastAsia="zh-CN"/>
        </w:rPr>
        <w:t>1</w:t>
      </w:r>
      <w:r>
        <w:rPr>
          <w:rFonts w:hint="eastAsia" w:ascii="仿宋_GB2312" w:hAnsi="仿宋" w:eastAsia="仿宋_GB2312"/>
          <w:sz w:val="32"/>
          <w:szCs w:val="32"/>
        </w:rPr>
        <w:t>．机构情况：单位负责人为杨永忠</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bidi w:val="0"/>
        <w:snapToGrid/>
        <w:spacing w:line="360" w:lineRule="auto"/>
        <w:ind w:firstLine="664" w:firstLineChars="200"/>
        <w:textAlignment w:val="auto"/>
        <w:outlineLvl w:val="9"/>
        <w:rPr>
          <w:rFonts w:hint="default" w:ascii="仿宋_GB2312" w:hAnsi="仿宋" w:eastAsia="仿宋_GB2312"/>
          <w:sz w:val="32"/>
          <w:szCs w:val="32"/>
          <w:lang w:val="en-US" w:eastAsia="zh-CN"/>
        </w:rPr>
      </w:pPr>
      <w:r>
        <w:rPr>
          <w:rFonts w:hint="eastAsia" w:ascii="仿宋_GB2312" w:hAnsi="仿宋_GB2312" w:eastAsia="仿宋_GB2312"/>
          <w:spacing w:val="6"/>
          <w:sz w:val="32"/>
          <w:szCs w:val="32"/>
          <w:lang w:val="en-US" w:eastAsia="zh-CN"/>
        </w:rPr>
        <w:t>2.</w:t>
      </w:r>
      <w:r>
        <w:rPr>
          <w:rFonts w:hint="eastAsia" w:ascii="仿宋_GB2312" w:hAnsi="仿宋_GB2312" w:eastAsia="仿宋_GB2312"/>
          <w:sz w:val="30"/>
        </w:rPr>
        <w:t>我单位核定事业单位编制人员共计58人，</w:t>
      </w:r>
      <w:r>
        <w:rPr>
          <w:rFonts w:hint="eastAsia" w:ascii="仿宋_GB2312" w:hAnsi="仿宋_GB2312" w:eastAsia="仿宋_GB2312"/>
          <w:sz w:val="30"/>
          <w:lang w:val="en-US" w:eastAsia="zh-CN"/>
        </w:rPr>
        <w:t>2019年底</w:t>
      </w:r>
      <w:r>
        <w:rPr>
          <w:rFonts w:hint="eastAsia" w:ascii="仿宋_GB2312" w:hAnsi="仿宋_GB2312" w:eastAsia="仿宋_GB2312"/>
          <w:sz w:val="30"/>
        </w:rPr>
        <w:t>有编制人员数</w:t>
      </w:r>
      <w:r>
        <w:rPr>
          <w:rFonts w:hint="eastAsia" w:ascii="仿宋_GB2312" w:hAnsi="仿宋_GB2312" w:eastAsia="仿宋_GB2312"/>
          <w:sz w:val="30"/>
          <w:lang w:val="en-US" w:eastAsia="zh-CN"/>
        </w:rPr>
        <w:t>51</w:t>
      </w:r>
      <w:r>
        <w:rPr>
          <w:rFonts w:hint="eastAsia" w:ascii="仿宋_GB2312" w:hAnsi="仿宋_GB2312" w:eastAsia="仿宋_GB2312"/>
          <w:sz w:val="30"/>
        </w:rPr>
        <w:t>人，临聘工作人员</w:t>
      </w:r>
      <w:r>
        <w:rPr>
          <w:rFonts w:hint="eastAsia" w:ascii="仿宋_GB2312" w:hAnsi="仿宋_GB2312" w:eastAsia="仿宋_GB2312"/>
          <w:sz w:val="30"/>
          <w:lang w:val="en-US" w:eastAsia="zh-CN"/>
        </w:rPr>
        <w:t>9</w:t>
      </w:r>
      <w:r>
        <w:rPr>
          <w:rFonts w:hint="eastAsia" w:ascii="仿宋_GB2312" w:hAnsi="仿宋_GB2312" w:eastAsia="仿宋_GB2312"/>
          <w:sz w:val="30"/>
        </w:rPr>
        <w:t>人，离休人员1人。</w:t>
      </w:r>
      <w:r>
        <w:rPr>
          <w:rFonts w:hint="eastAsia" w:ascii="仿宋_GB2312" w:hAnsi="仿宋_GB2312" w:eastAsia="仿宋_GB2312"/>
          <w:sz w:val="30"/>
          <w:lang w:val="en-US" w:eastAsia="zh-CN"/>
        </w:rPr>
        <w:t>2019年1月辞职1人，退休1人，2019年10月2名在职人员退休。</w:t>
      </w:r>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总收入</w:t>
      </w:r>
      <w:r>
        <w:rPr>
          <w:rFonts w:hint="eastAsia" w:ascii="仿宋" w:hAnsi="仿宋" w:eastAsia="仿宋"/>
          <w:color w:val="000000"/>
          <w:sz w:val="32"/>
          <w:szCs w:val="32"/>
          <w:lang w:val="en-US" w:eastAsia="zh-CN"/>
        </w:rPr>
        <w:t>2425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，总支出</w:t>
      </w:r>
      <w:r>
        <w:rPr>
          <w:rFonts w:hint="eastAsia" w:ascii="仿宋" w:hAnsi="仿宋" w:eastAsia="仿宋"/>
          <w:color w:val="000000"/>
          <w:sz w:val="32"/>
          <w:szCs w:val="32"/>
          <w:lang w:val="en-US" w:eastAsia="zh-CN"/>
        </w:rPr>
        <w:t>2580万元</w:t>
      </w:r>
      <w:r>
        <w:rPr>
          <w:rFonts w:hint="eastAsia" w:ascii="仿宋" w:hAnsi="仿宋" w:eastAsia="仿宋"/>
          <w:color w:val="000000"/>
          <w:sz w:val="32"/>
          <w:szCs w:val="32"/>
        </w:rPr>
        <w:t>。与</w:t>
      </w:r>
      <w:r>
        <w:rPr>
          <w:rFonts w:hint="eastAsia" w:ascii="仿宋" w:hAnsi="仿宋" w:eastAsia="仿宋"/>
          <w:color w:val="000000"/>
          <w:sz w:val="32"/>
          <w:szCs w:val="32"/>
          <w:lang w:eastAsia="zh-CN"/>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收入2697万元、支出2274万元</w:t>
      </w:r>
      <w:r>
        <w:rPr>
          <w:rFonts w:hint="eastAsia" w:ascii="仿宋" w:hAnsi="仿宋" w:eastAsia="仿宋"/>
          <w:color w:val="000000"/>
          <w:sz w:val="32"/>
          <w:szCs w:val="32"/>
        </w:rPr>
        <w:t>相比，</w:t>
      </w:r>
      <w:r>
        <w:rPr>
          <w:rFonts w:hint="eastAsia" w:ascii="仿宋" w:hAnsi="仿宋" w:eastAsia="仿宋"/>
          <w:color w:val="000000"/>
          <w:sz w:val="32"/>
          <w:szCs w:val="32"/>
          <w:lang w:eastAsia="zh-CN"/>
        </w:rPr>
        <w:t>收入总计减少</w:t>
      </w:r>
      <w:r>
        <w:rPr>
          <w:rFonts w:hint="eastAsia" w:ascii="仿宋" w:hAnsi="仿宋" w:eastAsia="仿宋"/>
          <w:color w:val="000000"/>
          <w:sz w:val="32"/>
          <w:szCs w:val="32"/>
          <w:lang w:val="en-US" w:eastAsia="zh-CN"/>
        </w:rPr>
        <w:t>155万元、减少率为5.75%，支出增加306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、增加率为</w:t>
      </w:r>
      <w:r>
        <w:rPr>
          <w:rFonts w:hint="eastAsia" w:ascii="仿宋" w:hAnsi="仿宋" w:eastAsia="仿宋"/>
          <w:color w:val="000000"/>
          <w:sz w:val="32"/>
          <w:szCs w:val="32"/>
          <w:lang w:val="en-US" w:eastAsia="zh-CN"/>
        </w:rPr>
        <w:t>13.46%</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上半年业务用房改建项目支出</w:t>
      </w:r>
      <w:r>
        <w:rPr>
          <w:rFonts w:hint="eastAsia" w:ascii="仿宋" w:hAnsi="仿宋" w:eastAsia="仿宋"/>
          <w:color w:val="000000"/>
          <w:sz w:val="32"/>
          <w:szCs w:val="32"/>
          <w:lang w:val="en-US" w:eastAsia="zh-CN"/>
        </w:rPr>
        <w:t>360万元，购买饮用水设备约100万元。</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pPr>
        <w:spacing w:line="24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584065" cy="2755265"/>
            <wp:effectExtent l="0" t="0" r="6985" b="698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4584065" cy="2755265"/>
                    </a:xfrm>
                    <a:prstGeom prst="rect">
                      <a:avLst/>
                    </a:prstGeom>
                  </pic:spPr>
                </pic:pic>
              </a:graphicData>
            </a:graphic>
          </wp:inline>
        </w:drawing>
      </w:r>
    </w:p>
    <w:p>
      <w:pPr>
        <w:spacing w:line="240" w:lineRule="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584065" cy="2755265"/>
            <wp:effectExtent l="0" t="0" r="6985" b="6985"/>
            <wp:docPr id="8" name="图片 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2"/>
                    <pic:cNvPicPr>
                      <a:picLocks noChangeAspect="1"/>
                    </pic:cNvPicPr>
                  </pic:nvPicPr>
                  <pic:blipFill>
                    <a:blip r:embed="rId7"/>
                    <a:stretch>
                      <a:fillRect/>
                    </a:stretch>
                  </pic:blipFill>
                  <pic:spPr>
                    <a:xfrm>
                      <a:off x="0" y="0"/>
                      <a:ext cx="4584065" cy="2755265"/>
                    </a:xfrm>
                    <a:prstGeom prst="rect">
                      <a:avLst/>
                    </a:prstGeom>
                  </pic:spPr>
                </pic:pic>
              </a:graphicData>
            </a:graphic>
          </wp:inline>
        </w:drawing>
      </w: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2425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1383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57.03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1042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42.97</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（图2：收入决算结构图）</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240" w:lineRule="auto"/>
        <w:ind w:firstLine="640" w:firstLineChars="200"/>
        <w:rPr>
          <w:rFonts w:hint="eastAsia" w:ascii="仿宋" w:hAnsi="仿宋" w:eastAsia="仿宋"/>
          <w:color w:val="000000" w:themeColor="text1"/>
          <w:sz w:val="32"/>
          <w:szCs w:val="32"/>
          <w:highlight w:val="yellow"/>
          <w:lang w:eastAsia="zh-CN"/>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drawing>
          <wp:inline distT="0" distB="0" distL="114300" distR="114300">
            <wp:extent cx="4584065" cy="2755265"/>
            <wp:effectExtent l="0" t="0" r="6985" b="6985"/>
            <wp:docPr id="9" name="图片 9"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3"/>
                    <pic:cNvPicPr>
                      <a:picLocks noChangeAspect="1"/>
                    </pic:cNvPicPr>
                  </pic:nvPicPr>
                  <pic:blipFill>
                    <a:blip r:embed="rId8"/>
                    <a:stretch>
                      <a:fillRect/>
                    </a:stretch>
                  </pic:blipFill>
                  <pic:spPr>
                    <a:xfrm>
                      <a:off x="0" y="0"/>
                      <a:ext cx="4584065" cy="2755265"/>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2580</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1967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76.24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613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23.76</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w:t>
      </w:r>
      <w:r>
        <w:rPr>
          <w:rFonts w:hint="eastAsia" w:ascii="仿宋" w:hAnsi="仿宋" w:eastAsia="仿宋"/>
          <w:color w:val="000000" w:themeColor="text1"/>
          <w:sz w:val="32"/>
          <w:szCs w:val="32"/>
          <w:highlight w:val="none"/>
          <w14:textFill>
            <w14:solidFill>
              <w14:schemeClr w14:val="tx1"/>
            </w14:solidFill>
          </w14:textFill>
        </w:rPr>
        <w:t>：支出决算结构图）</w:t>
      </w:r>
    </w:p>
    <w:p>
      <w:pPr>
        <w:spacing w:line="24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584065" cy="2755265"/>
            <wp:effectExtent l="0" t="0" r="6985" b="6985"/>
            <wp:docPr id="10" name="图片 10"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4"/>
                    <pic:cNvPicPr>
                      <a:picLocks noChangeAspect="1"/>
                    </pic:cNvPicPr>
                  </pic:nvPicPr>
                  <pic:blipFill>
                    <a:blip r:embed="rId9"/>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1383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1503.41万元</w:t>
      </w:r>
      <w:r>
        <w:rPr>
          <w:rFonts w:hint="eastAsia" w:ascii="仿宋" w:hAnsi="仿宋" w:eastAsia="仿宋"/>
          <w:color w:val="000000"/>
          <w:sz w:val="32"/>
          <w:szCs w:val="32"/>
        </w:rPr>
        <w:t>。与</w:t>
      </w:r>
      <w:r>
        <w:rPr>
          <w:rFonts w:hint="eastAsia" w:ascii="仿宋" w:hAnsi="仿宋" w:eastAsia="仿宋"/>
          <w:color w:val="000000"/>
          <w:sz w:val="32"/>
          <w:szCs w:val="32"/>
          <w:lang w:eastAsia="zh-CN"/>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1855万元、1360.7万元</w:t>
      </w:r>
      <w:r>
        <w:rPr>
          <w:rFonts w:hint="eastAsia" w:ascii="仿宋" w:hAnsi="仿宋" w:eastAsia="仿宋"/>
          <w:color w:val="000000"/>
          <w:sz w:val="32"/>
          <w:szCs w:val="32"/>
        </w:rPr>
        <w:t>相比，财政拨款收、支总计各减少</w:t>
      </w:r>
      <w:r>
        <w:rPr>
          <w:rFonts w:hint="eastAsia" w:ascii="仿宋" w:hAnsi="仿宋" w:eastAsia="仿宋"/>
          <w:color w:val="000000"/>
          <w:sz w:val="32"/>
          <w:szCs w:val="32"/>
          <w:lang w:val="en-US" w:eastAsia="zh-CN"/>
        </w:rPr>
        <w:t>472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142.7万元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财政拨款收入</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25.44</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是今年上级拨我单位业务用房改建项目经费减少。财政拨款支出增长</w:t>
      </w:r>
      <w:r>
        <w:rPr>
          <w:rFonts w:hint="eastAsia" w:ascii="仿宋" w:hAnsi="仿宋" w:eastAsia="仿宋"/>
          <w:color w:val="000000"/>
          <w:sz w:val="32"/>
          <w:szCs w:val="32"/>
          <w:lang w:val="en-US" w:eastAsia="zh-CN"/>
        </w:rPr>
        <w:t>10.49%，主要变动原因是业务用房改建项目支出360万元，购买饮用水设备约100万元。</w:t>
      </w:r>
    </w:p>
    <w:p>
      <w:pPr>
        <w:spacing w:line="240" w:lineRule="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（图4：财政拨款收、支决算总计变动情况）</w:t>
      </w:r>
    </w:p>
    <w:p>
      <w:pPr>
        <w:spacing w:line="240" w:lineRule="auto"/>
        <w:rPr>
          <w:rFonts w:hint="eastAsia" w:ascii="仿宋" w:hAnsi="仿宋" w:eastAsia="仿宋"/>
          <w:color w:val="000000"/>
          <w:sz w:val="32"/>
          <w:szCs w:val="32"/>
          <w:lang w:val="en-US" w:eastAsia="zh-CN"/>
        </w:rPr>
      </w:pPr>
    </w:p>
    <w:p>
      <w:pPr>
        <w:spacing w:line="240" w:lineRule="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val="en-US" w:eastAsia="zh-CN"/>
        </w:rPr>
        <w:drawing>
          <wp:inline distT="0" distB="0" distL="114300" distR="114300">
            <wp:extent cx="4584065" cy="2755265"/>
            <wp:effectExtent l="0" t="0" r="6985" b="6985"/>
            <wp:docPr id="11" name="图片 11"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5"/>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pPr>
        <w:spacing w:line="240" w:lineRule="auto"/>
        <w:rPr>
          <w:rFonts w:hint="eastAsia" w:ascii="仿宋" w:hAnsi="仿宋" w:eastAsia="仿宋"/>
          <w:b/>
          <w:color w:val="00B050"/>
          <w:sz w:val="32"/>
          <w:szCs w:val="32"/>
          <w:lang w:eastAsia="zh-CN"/>
        </w:rPr>
      </w:pPr>
      <w:r>
        <w:rPr>
          <w:rFonts w:hint="eastAsia" w:ascii="仿宋" w:hAnsi="仿宋" w:eastAsia="仿宋"/>
          <w:b/>
          <w:color w:val="00B050"/>
          <w:sz w:val="32"/>
          <w:szCs w:val="32"/>
          <w:lang w:val="en-US" w:eastAsia="zh-CN"/>
        </w:rPr>
        <w:t xml:space="preserve">     </w:t>
      </w:r>
      <w:r>
        <w:rPr>
          <w:rFonts w:hint="eastAsia" w:ascii="仿宋" w:hAnsi="仿宋" w:eastAsia="仿宋"/>
          <w:b/>
          <w:color w:val="00B050"/>
          <w:sz w:val="32"/>
          <w:szCs w:val="32"/>
          <w:lang w:eastAsia="zh-CN"/>
        </w:rPr>
        <w:drawing>
          <wp:inline distT="0" distB="0" distL="114300" distR="114300">
            <wp:extent cx="4584065" cy="2755265"/>
            <wp:effectExtent l="0" t="0" r="6985" b="6985"/>
            <wp:docPr id="12" name="图片 12"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6"/>
                    <pic:cNvPicPr>
                      <a:picLocks noChangeAspect="1"/>
                    </pic:cNvPicPr>
                  </pic:nvPicPr>
                  <pic:blipFill>
                    <a:blip r:embed="rId11"/>
                    <a:stretch>
                      <a:fillRect/>
                    </a:stretch>
                  </pic:blipFill>
                  <pic:spPr>
                    <a:xfrm>
                      <a:off x="0" y="0"/>
                      <a:ext cx="4584065" cy="2755265"/>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1503.41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58.27</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支出增长</w:t>
      </w:r>
      <w:r>
        <w:rPr>
          <w:rFonts w:hint="eastAsia" w:ascii="仿宋" w:hAnsi="仿宋" w:eastAsia="仿宋"/>
          <w:color w:val="000000"/>
          <w:sz w:val="32"/>
          <w:szCs w:val="32"/>
          <w:lang w:val="en-US" w:eastAsia="zh-CN"/>
        </w:rPr>
        <w:t>10.49%，主要变动原因是业务用房改建项目支出360万元，购买饮用水设备约100万元。</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pPr>
        <w:spacing w:line="240" w:lineRule="auto"/>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lang w:eastAsia="zh-CN"/>
        </w:rPr>
        <w:drawing>
          <wp:inline distT="0" distB="0" distL="114300" distR="114300">
            <wp:extent cx="4318000" cy="2595245"/>
            <wp:effectExtent l="0" t="0" r="6350" b="14605"/>
            <wp:docPr id="13" name="图片 13"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7"/>
                    <pic:cNvPicPr>
                      <a:picLocks noChangeAspect="1"/>
                    </pic:cNvPicPr>
                  </pic:nvPicPr>
                  <pic:blipFill>
                    <a:blip r:embed="rId12"/>
                    <a:stretch>
                      <a:fillRect/>
                    </a:stretch>
                  </pic:blipFill>
                  <pic:spPr>
                    <a:xfrm>
                      <a:off x="0" y="0"/>
                      <a:ext cx="4318000" cy="2595245"/>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1503.41</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p>
    <w:p>
      <w:pPr>
        <w:numPr>
          <w:ilvl w:val="0"/>
          <w:numId w:val="2"/>
        </w:numPr>
        <w:spacing w:line="600" w:lineRule="exact"/>
        <w:ind w:firstLine="640"/>
        <w:rPr>
          <w:rFonts w:hint="eastAsia" w:ascii="仿宋" w:hAnsi="仿宋" w:eastAsia="仿宋"/>
          <w:b w:val="0"/>
          <w:bCs/>
          <w:color w:val="000000" w:themeColor="text1"/>
          <w:sz w:val="32"/>
          <w:szCs w:val="32"/>
          <w14:textFill>
            <w14:solidFill>
              <w14:schemeClr w14:val="tx1"/>
            </w14:solidFill>
          </w14:textFill>
        </w:rPr>
      </w:pPr>
      <w:r>
        <w:rPr>
          <w:rFonts w:hint="eastAsia" w:ascii="仿宋" w:hAnsi="仿宋" w:eastAsia="仿宋"/>
          <w:b w:val="0"/>
          <w:bCs/>
          <w:color w:val="000000" w:themeColor="text1"/>
          <w:sz w:val="32"/>
          <w:szCs w:val="32"/>
          <w:lang w:val="en-US" w:eastAsia="zh-CN"/>
          <w14:textFill>
            <w14:solidFill>
              <w14:schemeClr w14:val="tx1"/>
            </w14:solidFill>
          </w14:textFill>
        </w:rPr>
        <w:t>208</w:t>
      </w:r>
      <w:r>
        <w:rPr>
          <w:rFonts w:hint="eastAsia" w:ascii="仿宋" w:hAnsi="仿宋" w:eastAsia="仿宋"/>
          <w:b w:val="0"/>
          <w:bCs/>
          <w:color w:val="000000" w:themeColor="text1"/>
          <w:sz w:val="32"/>
          <w:szCs w:val="32"/>
          <w14:textFill>
            <w14:solidFill>
              <w14:schemeClr w14:val="tx1"/>
            </w14:solidFill>
          </w14:textFill>
        </w:rPr>
        <w:t>社会保障和就业</w:t>
      </w:r>
      <w:r>
        <w:rPr>
          <w:rFonts w:hint="eastAsia" w:ascii="仿宋" w:hAnsi="仿宋" w:eastAsia="仿宋"/>
          <w:b w:val="0"/>
          <w:bCs/>
          <w:color w:val="000000" w:themeColor="text1"/>
          <w:sz w:val="32"/>
          <w:szCs w:val="32"/>
          <w:lang w:eastAsia="zh-CN"/>
          <w14:textFill>
            <w14:solidFill>
              <w14:schemeClr w14:val="tx1"/>
            </w14:solidFill>
          </w14:textFill>
        </w:rPr>
        <w:t>总计支出</w:t>
      </w:r>
      <w:r>
        <w:rPr>
          <w:rFonts w:hint="eastAsia" w:ascii="仿宋" w:hAnsi="仿宋" w:eastAsia="仿宋"/>
          <w:b w:val="0"/>
          <w:bCs/>
          <w:color w:val="000000" w:themeColor="text1"/>
          <w:sz w:val="32"/>
          <w:szCs w:val="32"/>
          <w:lang w:val="en-US" w:eastAsia="zh-CN"/>
          <w14:textFill>
            <w14:solidFill>
              <w14:schemeClr w14:val="tx1"/>
            </w14:solidFill>
          </w14:textFill>
        </w:rPr>
        <w:t>109.7万元，占7.3%。其中：</w:t>
      </w:r>
    </w:p>
    <w:p>
      <w:pPr>
        <w:numPr>
          <w:numId w:val="0"/>
        </w:numPr>
        <w:spacing w:line="600" w:lineRule="exact"/>
        <w:ind w:firstLine="640"/>
        <w:rPr>
          <w:rFonts w:hint="eastAsia" w:ascii="仿宋" w:hAnsi="仿宋" w:eastAsia="仿宋"/>
          <w:b w:val="0"/>
          <w:bCs/>
          <w:color w:val="000000"/>
          <w:sz w:val="32"/>
          <w:szCs w:val="32"/>
          <w:lang w:val="en-US" w:eastAsia="zh-CN"/>
        </w:rPr>
      </w:pPr>
      <w:r>
        <w:rPr>
          <w:rFonts w:hint="eastAsia" w:ascii="仿宋" w:hAnsi="仿宋" w:eastAsia="仿宋"/>
          <w:b w:val="0"/>
          <w:bCs/>
          <w:color w:val="000000" w:themeColor="text1"/>
          <w:sz w:val="32"/>
          <w:szCs w:val="32"/>
          <w:lang w:val="en-US" w:eastAsia="zh-CN"/>
          <w14:textFill>
            <w14:solidFill>
              <w14:schemeClr w14:val="tx1"/>
            </w14:solidFill>
          </w14:textFill>
        </w:rPr>
        <w:t>208.05.05支出61.74万元，占</w:t>
      </w:r>
      <w:r>
        <w:rPr>
          <w:rFonts w:hint="eastAsia" w:ascii="仿宋" w:hAnsi="仿宋" w:eastAsia="仿宋"/>
          <w:b w:val="0"/>
          <w:bCs/>
          <w:color w:val="000000"/>
          <w:sz w:val="32"/>
          <w:szCs w:val="32"/>
        </w:rPr>
        <w:t>一般公共预算财政拨款支出</w:t>
      </w:r>
      <w:r>
        <w:rPr>
          <w:rFonts w:hint="eastAsia" w:ascii="仿宋" w:hAnsi="仿宋" w:eastAsia="仿宋"/>
          <w:b w:val="0"/>
          <w:bCs/>
          <w:color w:val="000000"/>
          <w:sz w:val="32"/>
          <w:szCs w:val="32"/>
          <w:lang w:eastAsia="zh-CN"/>
        </w:rPr>
        <w:t>总额的</w:t>
      </w:r>
      <w:r>
        <w:rPr>
          <w:rFonts w:hint="eastAsia" w:ascii="仿宋" w:hAnsi="仿宋" w:eastAsia="仿宋"/>
          <w:b w:val="0"/>
          <w:bCs/>
          <w:color w:val="000000"/>
          <w:sz w:val="32"/>
          <w:szCs w:val="32"/>
          <w:lang w:val="en-US" w:eastAsia="zh-CN"/>
        </w:rPr>
        <w:t>4.11%；</w:t>
      </w:r>
    </w:p>
    <w:p>
      <w:pPr>
        <w:numPr>
          <w:numId w:val="0"/>
        </w:numPr>
        <w:spacing w:line="600" w:lineRule="exact"/>
        <w:ind w:firstLine="640"/>
        <w:rPr>
          <w:rFonts w:hint="eastAsia"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t>208.05.06支出31.54万元，</w:t>
      </w:r>
      <w:r>
        <w:rPr>
          <w:rFonts w:hint="eastAsia" w:ascii="仿宋" w:hAnsi="仿宋" w:eastAsia="仿宋"/>
          <w:b w:val="0"/>
          <w:bCs/>
          <w:color w:val="000000" w:themeColor="text1"/>
          <w:sz w:val="32"/>
          <w:szCs w:val="32"/>
          <w:lang w:val="en-US" w:eastAsia="zh-CN"/>
          <w14:textFill>
            <w14:solidFill>
              <w14:schemeClr w14:val="tx1"/>
            </w14:solidFill>
          </w14:textFill>
        </w:rPr>
        <w:t>占</w:t>
      </w:r>
      <w:r>
        <w:rPr>
          <w:rFonts w:hint="eastAsia" w:ascii="仿宋" w:hAnsi="仿宋" w:eastAsia="仿宋"/>
          <w:b w:val="0"/>
          <w:bCs/>
          <w:color w:val="000000"/>
          <w:sz w:val="32"/>
          <w:szCs w:val="32"/>
        </w:rPr>
        <w:t>一般公共预算财政拨款支出</w:t>
      </w:r>
      <w:r>
        <w:rPr>
          <w:rFonts w:hint="eastAsia" w:ascii="仿宋" w:hAnsi="仿宋" w:eastAsia="仿宋"/>
          <w:b w:val="0"/>
          <w:bCs/>
          <w:color w:val="000000"/>
          <w:sz w:val="32"/>
          <w:szCs w:val="32"/>
          <w:lang w:eastAsia="zh-CN"/>
        </w:rPr>
        <w:t>总额的</w:t>
      </w:r>
      <w:r>
        <w:rPr>
          <w:rFonts w:hint="eastAsia" w:ascii="仿宋" w:hAnsi="仿宋" w:eastAsia="仿宋"/>
          <w:b w:val="0"/>
          <w:bCs/>
          <w:color w:val="000000"/>
          <w:sz w:val="32"/>
          <w:szCs w:val="32"/>
          <w:lang w:val="en-US" w:eastAsia="zh-CN"/>
        </w:rPr>
        <w:t>2.1%；</w:t>
      </w:r>
    </w:p>
    <w:p>
      <w:pPr>
        <w:numPr>
          <w:numId w:val="0"/>
        </w:numPr>
        <w:spacing w:line="600" w:lineRule="exact"/>
        <w:ind w:firstLine="640"/>
        <w:rPr>
          <w:rFonts w:hint="eastAsia"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t>208.05.99支出14.31万元，</w:t>
      </w:r>
      <w:r>
        <w:rPr>
          <w:rFonts w:hint="eastAsia" w:ascii="仿宋" w:hAnsi="仿宋" w:eastAsia="仿宋"/>
          <w:b w:val="0"/>
          <w:bCs/>
          <w:color w:val="000000" w:themeColor="text1"/>
          <w:sz w:val="32"/>
          <w:szCs w:val="32"/>
          <w:lang w:val="en-US" w:eastAsia="zh-CN"/>
          <w14:textFill>
            <w14:solidFill>
              <w14:schemeClr w14:val="tx1"/>
            </w14:solidFill>
          </w14:textFill>
        </w:rPr>
        <w:t>占</w:t>
      </w:r>
      <w:r>
        <w:rPr>
          <w:rFonts w:hint="eastAsia" w:ascii="仿宋" w:hAnsi="仿宋" w:eastAsia="仿宋"/>
          <w:b w:val="0"/>
          <w:bCs/>
          <w:color w:val="000000"/>
          <w:sz w:val="32"/>
          <w:szCs w:val="32"/>
        </w:rPr>
        <w:t>一般公共预算财政拨款支出</w:t>
      </w:r>
      <w:r>
        <w:rPr>
          <w:rFonts w:hint="eastAsia" w:ascii="仿宋" w:hAnsi="仿宋" w:eastAsia="仿宋"/>
          <w:b w:val="0"/>
          <w:bCs/>
          <w:color w:val="000000"/>
          <w:sz w:val="32"/>
          <w:szCs w:val="32"/>
          <w:lang w:eastAsia="zh-CN"/>
        </w:rPr>
        <w:t>总额的</w:t>
      </w:r>
      <w:r>
        <w:rPr>
          <w:rFonts w:hint="eastAsia" w:ascii="仿宋" w:hAnsi="仿宋" w:eastAsia="仿宋"/>
          <w:b w:val="0"/>
          <w:bCs/>
          <w:color w:val="000000"/>
          <w:sz w:val="32"/>
          <w:szCs w:val="32"/>
          <w:lang w:val="en-US" w:eastAsia="zh-CN"/>
        </w:rPr>
        <w:t>0.95%；</w:t>
      </w:r>
    </w:p>
    <w:p>
      <w:pPr>
        <w:numPr>
          <w:numId w:val="0"/>
        </w:numPr>
        <w:spacing w:line="600" w:lineRule="exact"/>
        <w:ind w:firstLine="640"/>
        <w:rPr>
          <w:rFonts w:hint="default"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t>208.08.99支出2.13万元，</w:t>
      </w:r>
      <w:r>
        <w:rPr>
          <w:rFonts w:hint="eastAsia" w:ascii="仿宋" w:hAnsi="仿宋" w:eastAsia="仿宋"/>
          <w:b w:val="0"/>
          <w:bCs/>
          <w:color w:val="000000" w:themeColor="text1"/>
          <w:sz w:val="32"/>
          <w:szCs w:val="32"/>
          <w:lang w:val="en-US" w:eastAsia="zh-CN"/>
          <w14:textFill>
            <w14:solidFill>
              <w14:schemeClr w14:val="tx1"/>
            </w14:solidFill>
          </w14:textFill>
        </w:rPr>
        <w:t>占</w:t>
      </w:r>
      <w:r>
        <w:rPr>
          <w:rFonts w:hint="eastAsia" w:ascii="仿宋" w:hAnsi="仿宋" w:eastAsia="仿宋"/>
          <w:b w:val="0"/>
          <w:bCs/>
          <w:color w:val="000000"/>
          <w:sz w:val="32"/>
          <w:szCs w:val="32"/>
        </w:rPr>
        <w:t>一般公共预算财政拨款支出</w:t>
      </w:r>
      <w:r>
        <w:rPr>
          <w:rFonts w:hint="eastAsia" w:ascii="仿宋" w:hAnsi="仿宋" w:eastAsia="仿宋"/>
          <w:b w:val="0"/>
          <w:bCs/>
          <w:color w:val="000000"/>
          <w:sz w:val="32"/>
          <w:szCs w:val="32"/>
          <w:lang w:eastAsia="zh-CN"/>
        </w:rPr>
        <w:t>总额的</w:t>
      </w:r>
      <w:r>
        <w:rPr>
          <w:rFonts w:hint="eastAsia" w:ascii="仿宋" w:hAnsi="仿宋" w:eastAsia="仿宋"/>
          <w:b w:val="0"/>
          <w:bCs/>
          <w:color w:val="000000"/>
          <w:sz w:val="32"/>
          <w:szCs w:val="32"/>
          <w:lang w:val="en-US" w:eastAsia="zh-CN"/>
        </w:rPr>
        <w:t>0.14%。</w:t>
      </w:r>
    </w:p>
    <w:p>
      <w:pPr>
        <w:numPr>
          <w:ilvl w:val="0"/>
          <w:numId w:val="2"/>
        </w:numPr>
        <w:spacing w:line="600" w:lineRule="exact"/>
        <w:ind w:firstLine="640"/>
        <w:rPr>
          <w:rFonts w:ascii="仿宋" w:hAnsi="仿宋" w:eastAsia="仿宋"/>
          <w:b w:val="0"/>
          <w:bCs/>
          <w:color w:val="000000" w:themeColor="text1"/>
          <w:sz w:val="32"/>
          <w:szCs w:val="32"/>
          <w14:textFill>
            <w14:solidFill>
              <w14:schemeClr w14:val="tx1"/>
            </w14:solidFill>
          </w14:textFill>
        </w:rPr>
      </w:pPr>
      <w:r>
        <w:rPr>
          <w:rFonts w:hint="eastAsia" w:ascii="仿宋" w:hAnsi="仿宋" w:eastAsia="仿宋"/>
          <w:b w:val="0"/>
          <w:bCs/>
          <w:color w:val="000000" w:themeColor="text1"/>
          <w:sz w:val="32"/>
          <w:szCs w:val="32"/>
          <w:lang w:val="en-US" w:eastAsia="zh-CN"/>
          <w14:textFill>
            <w14:solidFill>
              <w14:schemeClr w14:val="tx1"/>
            </w14:solidFill>
          </w14:textFill>
        </w:rPr>
        <w:t>210</w:t>
      </w:r>
      <w:r>
        <w:rPr>
          <w:rFonts w:hint="eastAsia" w:ascii="仿宋" w:hAnsi="仿宋" w:eastAsia="仿宋"/>
          <w:b w:val="0"/>
          <w:bCs/>
          <w:color w:val="000000" w:themeColor="text1"/>
          <w:sz w:val="32"/>
          <w:szCs w:val="32"/>
          <w14:textFill>
            <w14:solidFill>
              <w14:schemeClr w14:val="tx1"/>
            </w14:solidFill>
          </w14:textFill>
        </w:rPr>
        <w:t>支出</w:t>
      </w:r>
      <w:r>
        <w:rPr>
          <w:rFonts w:hint="eastAsia" w:ascii="仿宋" w:hAnsi="仿宋" w:eastAsia="仿宋"/>
          <w:b w:val="0"/>
          <w:bCs/>
          <w:color w:val="000000" w:themeColor="text1"/>
          <w:sz w:val="32"/>
          <w:szCs w:val="32"/>
          <w:lang w:val="en-US" w:eastAsia="zh-CN"/>
          <w14:textFill>
            <w14:solidFill>
              <w14:schemeClr w14:val="tx1"/>
            </w14:solidFill>
          </w14:textFill>
        </w:rPr>
        <w:t>1324.5</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88.1</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lang w:eastAsia="zh-CN"/>
          <w14:textFill>
            <w14:solidFill>
              <w14:schemeClr w14:val="tx1"/>
            </w14:solidFill>
          </w14:textFill>
        </w:rPr>
        <w:t>。其中：</w:t>
      </w:r>
    </w:p>
    <w:p>
      <w:pPr>
        <w:numPr>
          <w:numId w:val="0"/>
        </w:numPr>
        <w:spacing w:line="600" w:lineRule="exact"/>
        <w:ind w:firstLine="640"/>
        <w:rPr>
          <w:rFonts w:hint="eastAsia" w:ascii="仿宋" w:hAnsi="仿宋" w:eastAsia="仿宋"/>
          <w:b w:val="0"/>
          <w:bCs/>
          <w:color w:val="000000"/>
          <w:sz w:val="32"/>
          <w:szCs w:val="32"/>
          <w:lang w:val="en-US" w:eastAsia="zh-CN"/>
        </w:rPr>
      </w:pPr>
      <w:r>
        <w:rPr>
          <w:rFonts w:hint="eastAsia" w:ascii="仿宋" w:hAnsi="仿宋" w:eastAsia="仿宋"/>
          <w:b w:val="0"/>
          <w:bCs/>
          <w:color w:val="000000" w:themeColor="text1"/>
          <w:sz w:val="32"/>
          <w:szCs w:val="32"/>
          <w:lang w:val="en-US" w:eastAsia="zh-CN"/>
          <w14:textFill>
            <w14:solidFill>
              <w14:schemeClr w14:val="tx1"/>
            </w14:solidFill>
          </w14:textFill>
        </w:rPr>
        <w:t>210.04.01支出692.68万元，占</w:t>
      </w:r>
      <w:r>
        <w:rPr>
          <w:rFonts w:hint="eastAsia" w:ascii="仿宋" w:hAnsi="仿宋" w:eastAsia="仿宋"/>
          <w:b w:val="0"/>
          <w:bCs/>
          <w:color w:val="000000"/>
          <w:sz w:val="32"/>
          <w:szCs w:val="32"/>
        </w:rPr>
        <w:t>一般公共预算财政拨款支出</w:t>
      </w:r>
      <w:r>
        <w:rPr>
          <w:rFonts w:hint="eastAsia" w:ascii="仿宋" w:hAnsi="仿宋" w:eastAsia="仿宋"/>
          <w:b w:val="0"/>
          <w:bCs/>
          <w:color w:val="000000"/>
          <w:sz w:val="32"/>
          <w:szCs w:val="32"/>
          <w:lang w:eastAsia="zh-CN"/>
        </w:rPr>
        <w:t>总额的</w:t>
      </w:r>
      <w:r>
        <w:rPr>
          <w:rFonts w:hint="eastAsia" w:ascii="仿宋" w:hAnsi="仿宋" w:eastAsia="仿宋"/>
          <w:b w:val="0"/>
          <w:bCs/>
          <w:color w:val="000000"/>
          <w:sz w:val="32"/>
          <w:szCs w:val="32"/>
          <w:lang w:val="en-US" w:eastAsia="zh-CN"/>
        </w:rPr>
        <w:t>46.07%；</w:t>
      </w:r>
    </w:p>
    <w:p>
      <w:pPr>
        <w:numPr>
          <w:numId w:val="0"/>
        </w:numPr>
        <w:spacing w:line="600" w:lineRule="exact"/>
        <w:ind w:firstLine="640"/>
        <w:rPr>
          <w:rFonts w:hint="eastAsia"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t>210.04.08 支出12.78万元，</w:t>
      </w:r>
      <w:r>
        <w:rPr>
          <w:rFonts w:hint="eastAsia" w:ascii="仿宋" w:hAnsi="仿宋" w:eastAsia="仿宋"/>
          <w:b w:val="0"/>
          <w:bCs/>
          <w:color w:val="000000" w:themeColor="text1"/>
          <w:sz w:val="32"/>
          <w:szCs w:val="32"/>
          <w:lang w:val="en-US" w:eastAsia="zh-CN"/>
          <w14:textFill>
            <w14:solidFill>
              <w14:schemeClr w14:val="tx1"/>
            </w14:solidFill>
          </w14:textFill>
        </w:rPr>
        <w:t>占</w:t>
      </w:r>
      <w:r>
        <w:rPr>
          <w:rFonts w:hint="eastAsia" w:ascii="仿宋" w:hAnsi="仿宋" w:eastAsia="仿宋"/>
          <w:b w:val="0"/>
          <w:bCs/>
          <w:color w:val="000000"/>
          <w:sz w:val="32"/>
          <w:szCs w:val="32"/>
        </w:rPr>
        <w:t>一般公共预算财政拨款支出</w:t>
      </w:r>
      <w:r>
        <w:rPr>
          <w:rFonts w:hint="eastAsia" w:ascii="仿宋" w:hAnsi="仿宋" w:eastAsia="仿宋"/>
          <w:b w:val="0"/>
          <w:bCs/>
          <w:color w:val="000000"/>
          <w:sz w:val="32"/>
          <w:szCs w:val="32"/>
          <w:lang w:eastAsia="zh-CN"/>
        </w:rPr>
        <w:t>总额的</w:t>
      </w:r>
      <w:r>
        <w:rPr>
          <w:rFonts w:hint="eastAsia" w:ascii="仿宋" w:hAnsi="仿宋" w:eastAsia="仿宋"/>
          <w:b w:val="0"/>
          <w:bCs/>
          <w:color w:val="000000"/>
          <w:sz w:val="32"/>
          <w:szCs w:val="32"/>
          <w:lang w:val="en-US" w:eastAsia="zh-CN"/>
        </w:rPr>
        <w:t>0.85%；</w:t>
      </w:r>
    </w:p>
    <w:p>
      <w:pPr>
        <w:numPr>
          <w:numId w:val="0"/>
        </w:numPr>
        <w:spacing w:line="600" w:lineRule="exact"/>
        <w:ind w:firstLine="640"/>
        <w:rPr>
          <w:rFonts w:hint="eastAsia"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t>210.04.09支出438.18万元，</w:t>
      </w:r>
      <w:r>
        <w:rPr>
          <w:rFonts w:hint="eastAsia" w:ascii="仿宋" w:hAnsi="仿宋" w:eastAsia="仿宋"/>
          <w:b w:val="0"/>
          <w:bCs/>
          <w:color w:val="000000" w:themeColor="text1"/>
          <w:sz w:val="32"/>
          <w:szCs w:val="32"/>
          <w:lang w:val="en-US" w:eastAsia="zh-CN"/>
          <w14:textFill>
            <w14:solidFill>
              <w14:schemeClr w14:val="tx1"/>
            </w14:solidFill>
          </w14:textFill>
        </w:rPr>
        <w:t>占</w:t>
      </w:r>
      <w:r>
        <w:rPr>
          <w:rFonts w:hint="eastAsia" w:ascii="仿宋" w:hAnsi="仿宋" w:eastAsia="仿宋"/>
          <w:b w:val="0"/>
          <w:bCs/>
          <w:color w:val="000000"/>
          <w:sz w:val="32"/>
          <w:szCs w:val="32"/>
        </w:rPr>
        <w:t>一般公共预算财政拨款支出</w:t>
      </w:r>
      <w:r>
        <w:rPr>
          <w:rFonts w:hint="eastAsia" w:ascii="仿宋" w:hAnsi="仿宋" w:eastAsia="仿宋"/>
          <w:b w:val="0"/>
          <w:bCs/>
          <w:color w:val="000000"/>
          <w:sz w:val="32"/>
          <w:szCs w:val="32"/>
          <w:lang w:eastAsia="zh-CN"/>
        </w:rPr>
        <w:t>总额的</w:t>
      </w:r>
      <w:r>
        <w:rPr>
          <w:rFonts w:hint="eastAsia" w:ascii="仿宋" w:hAnsi="仿宋" w:eastAsia="仿宋"/>
          <w:b w:val="0"/>
          <w:bCs/>
          <w:color w:val="000000"/>
          <w:sz w:val="32"/>
          <w:szCs w:val="32"/>
          <w:lang w:val="en-US" w:eastAsia="zh-CN"/>
        </w:rPr>
        <w:t>29.15%；</w:t>
      </w:r>
    </w:p>
    <w:p>
      <w:pPr>
        <w:numPr>
          <w:numId w:val="0"/>
        </w:numPr>
        <w:spacing w:line="600" w:lineRule="exact"/>
        <w:ind w:firstLine="640"/>
        <w:rPr>
          <w:rFonts w:hint="eastAsia"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t>210.04.99支出11.79万元，</w:t>
      </w:r>
      <w:r>
        <w:rPr>
          <w:rFonts w:hint="eastAsia" w:ascii="仿宋" w:hAnsi="仿宋" w:eastAsia="仿宋"/>
          <w:b w:val="0"/>
          <w:bCs/>
          <w:color w:val="000000" w:themeColor="text1"/>
          <w:sz w:val="32"/>
          <w:szCs w:val="32"/>
          <w:lang w:val="en-US" w:eastAsia="zh-CN"/>
          <w14:textFill>
            <w14:solidFill>
              <w14:schemeClr w14:val="tx1"/>
            </w14:solidFill>
          </w14:textFill>
        </w:rPr>
        <w:t>占</w:t>
      </w:r>
      <w:r>
        <w:rPr>
          <w:rFonts w:hint="eastAsia" w:ascii="仿宋" w:hAnsi="仿宋" w:eastAsia="仿宋"/>
          <w:b w:val="0"/>
          <w:bCs/>
          <w:color w:val="000000"/>
          <w:sz w:val="32"/>
          <w:szCs w:val="32"/>
        </w:rPr>
        <w:t>一般公共预算财政拨款支出</w:t>
      </w:r>
      <w:r>
        <w:rPr>
          <w:rFonts w:hint="eastAsia" w:ascii="仿宋" w:hAnsi="仿宋" w:eastAsia="仿宋"/>
          <w:b w:val="0"/>
          <w:bCs/>
          <w:color w:val="000000"/>
          <w:sz w:val="32"/>
          <w:szCs w:val="32"/>
          <w:lang w:eastAsia="zh-CN"/>
        </w:rPr>
        <w:t>总额的</w:t>
      </w:r>
      <w:r>
        <w:rPr>
          <w:rFonts w:hint="eastAsia" w:ascii="仿宋" w:hAnsi="仿宋" w:eastAsia="仿宋"/>
          <w:b w:val="0"/>
          <w:bCs/>
          <w:color w:val="000000"/>
          <w:sz w:val="32"/>
          <w:szCs w:val="32"/>
          <w:lang w:val="en-US" w:eastAsia="zh-CN"/>
        </w:rPr>
        <w:t>0.78%；</w:t>
      </w:r>
    </w:p>
    <w:p>
      <w:pPr>
        <w:numPr>
          <w:numId w:val="0"/>
        </w:numPr>
        <w:spacing w:line="600" w:lineRule="exact"/>
        <w:ind w:firstLine="640"/>
        <w:rPr>
          <w:rFonts w:hint="eastAsia"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t>210.11.02支出21.6万元，</w:t>
      </w:r>
      <w:r>
        <w:rPr>
          <w:rFonts w:hint="eastAsia" w:ascii="仿宋" w:hAnsi="仿宋" w:eastAsia="仿宋"/>
          <w:b w:val="0"/>
          <w:bCs/>
          <w:color w:val="000000" w:themeColor="text1"/>
          <w:sz w:val="32"/>
          <w:szCs w:val="32"/>
          <w:lang w:val="en-US" w:eastAsia="zh-CN"/>
          <w14:textFill>
            <w14:solidFill>
              <w14:schemeClr w14:val="tx1"/>
            </w14:solidFill>
          </w14:textFill>
        </w:rPr>
        <w:t>占</w:t>
      </w:r>
      <w:r>
        <w:rPr>
          <w:rFonts w:hint="eastAsia" w:ascii="仿宋" w:hAnsi="仿宋" w:eastAsia="仿宋"/>
          <w:b w:val="0"/>
          <w:bCs/>
          <w:color w:val="000000"/>
          <w:sz w:val="32"/>
          <w:szCs w:val="32"/>
        </w:rPr>
        <w:t>一般公共预算财政拨款支出</w:t>
      </w:r>
      <w:r>
        <w:rPr>
          <w:rFonts w:hint="eastAsia" w:ascii="仿宋" w:hAnsi="仿宋" w:eastAsia="仿宋"/>
          <w:b w:val="0"/>
          <w:bCs/>
          <w:color w:val="000000"/>
          <w:sz w:val="32"/>
          <w:szCs w:val="32"/>
          <w:lang w:eastAsia="zh-CN"/>
        </w:rPr>
        <w:t>总额的</w:t>
      </w:r>
      <w:r>
        <w:rPr>
          <w:rFonts w:hint="eastAsia" w:ascii="仿宋" w:hAnsi="仿宋" w:eastAsia="仿宋"/>
          <w:b w:val="0"/>
          <w:bCs/>
          <w:color w:val="000000"/>
          <w:sz w:val="32"/>
          <w:szCs w:val="32"/>
          <w:lang w:val="en-US" w:eastAsia="zh-CN"/>
        </w:rPr>
        <w:t>1.44%；</w:t>
      </w:r>
    </w:p>
    <w:p>
      <w:pPr>
        <w:numPr>
          <w:numId w:val="0"/>
        </w:numPr>
        <w:spacing w:line="600" w:lineRule="exact"/>
        <w:ind w:firstLine="640"/>
        <w:rPr>
          <w:rFonts w:hint="default"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t>210.99.01支出147.51万元。</w:t>
      </w:r>
      <w:r>
        <w:rPr>
          <w:rFonts w:hint="eastAsia" w:ascii="仿宋" w:hAnsi="仿宋" w:eastAsia="仿宋"/>
          <w:b w:val="0"/>
          <w:bCs/>
          <w:color w:val="000000" w:themeColor="text1"/>
          <w:sz w:val="32"/>
          <w:szCs w:val="32"/>
          <w:lang w:val="en-US" w:eastAsia="zh-CN"/>
          <w14:textFill>
            <w14:solidFill>
              <w14:schemeClr w14:val="tx1"/>
            </w14:solidFill>
          </w14:textFill>
        </w:rPr>
        <w:t>占</w:t>
      </w:r>
      <w:r>
        <w:rPr>
          <w:rFonts w:hint="eastAsia" w:ascii="仿宋" w:hAnsi="仿宋" w:eastAsia="仿宋"/>
          <w:b w:val="0"/>
          <w:bCs/>
          <w:color w:val="000000"/>
          <w:sz w:val="32"/>
          <w:szCs w:val="32"/>
        </w:rPr>
        <w:t>一般公共预算财政拨款支出</w:t>
      </w:r>
      <w:r>
        <w:rPr>
          <w:rFonts w:hint="eastAsia" w:ascii="仿宋" w:hAnsi="仿宋" w:eastAsia="仿宋"/>
          <w:b w:val="0"/>
          <w:bCs/>
          <w:color w:val="000000"/>
          <w:sz w:val="32"/>
          <w:szCs w:val="32"/>
          <w:lang w:eastAsia="zh-CN"/>
        </w:rPr>
        <w:t>总额的</w:t>
      </w:r>
      <w:r>
        <w:rPr>
          <w:rFonts w:hint="eastAsia" w:ascii="仿宋" w:hAnsi="仿宋" w:eastAsia="仿宋"/>
          <w:b w:val="0"/>
          <w:bCs/>
          <w:color w:val="000000"/>
          <w:sz w:val="32"/>
          <w:szCs w:val="32"/>
          <w:lang w:val="en-US" w:eastAsia="zh-CN"/>
        </w:rPr>
        <w:t>9.81%；</w:t>
      </w:r>
    </w:p>
    <w:p>
      <w:pPr>
        <w:numPr>
          <w:ilvl w:val="0"/>
          <w:numId w:val="2"/>
        </w:numPr>
        <w:spacing w:line="600" w:lineRule="exact"/>
        <w:ind w:firstLine="640"/>
        <w:rPr>
          <w:rFonts w:ascii="仿宋" w:hAnsi="仿宋" w:eastAsia="仿宋"/>
          <w:b w:val="0"/>
          <w:bCs/>
          <w:color w:val="000000" w:themeColor="text1"/>
          <w:sz w:val="32"/>
          <w:szCs w:val="32"/>
          <w14:textFill>
            <w14:solidFill>
              <w14:schemeClr w14:val="tx1"/>
            </w14:solidFill>
          </w14:textFill>
        </w:rPr>
      </w:pPr>
      <w:r>
        <w:rPr>
          <w:rFonts w:hint="eastAsia" w:ascii="仿宋" w:hAnsi="仿宋" w:eastAsia="仿宋"/>
          <w:b w:val="0"/>
          <w:bCs/>
          <w:color w:val="000000" w:themeColor="text1"/>
          <w:sz w:val="32"/>
          <w:szCs w:val="32"/>
          <w:lang w:val="en-US" w:eastAsia="zh-CN"/>
          <w14:textFill>
            <w14:solidFill>
              <w14:schemeClr w14:val="tx1"/>
            </w14:solidFill>
          </w14:textFill>
        </w:rPr>
        <w:t>221</w:t>
      </w:r>
      <w:r>
        <w:rPr>
          <w:rFonts w:hint="eastAsia" w:ascii="仿宋" w:hAnsi="仿宋" w:eastAsia="仿宋"/>
          <w:b w:val="0"/>
          <w:bCs/>
          <w:color w:val="000000" w:themeColor="text1"/>
          <w:sz w:val="32"/>
          <w:szCs w:val="32"/>
          <w14:textFill>
            <w14:solidFill>
              <w14:schemeClr w14:val="tx1"/>
            </w14:solidFill>
          </w14:textFill>
        </w:rPr>
        <w:t>住房保障支出</w:t>
      </w:r>
      <w:r>
        <w:rPr>
          <w:rFonts w:hint="eastAsia" w:ascii="仿宋" w:hAnsi="仿宋" w:eastAsia="仿宋"/>
          <w:b w:val="0"/>
          <w:bCs/>
          <w:color w:val="000000" w:themeColor="text1"/>
          <w:sz w:val="32"/>
          <w:szCs w:val="32"/>
          <w:lang w:val="en-US" w:eastAsia="zh-CN"/>
          <w14:textFill>
            <w14:solidFill>
              <w14:schemeClr w14:val="tx1"/>
            </w14:solidFill>
          </w14:textFill>
        </w:rPr>
        <w:t>69.2</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4.6</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lang w:eastAsia="zh-CN"/>
          <w14:textFill>
            <w14:solidFill>
              <w14:schemeClr w14:val="tx1"/>
            </w14:solidFill>
          </w14:textFill>
        </w:rPr>
        <w:t>。其中：</w:t>
      </w:r>
    </w:p>
    <w:p>
      <w:pPr>
        <w:numPr>
          <w:numId w:val="0"/>
        </w:numPr>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b w:val="0"/>
          <w:bCs/>
          <w:color w:val="000000" w:themeColor="text1"/>
          <w:sz w:val="32"/>
          <w:szCs w:val="32"/>
          <w:lang w:val="en-US" w:eastAsia="zh-CN"/>
          <w14:textFill>
            <w14:solidFill>
              <w14:schemeClr w14:val="tx1"/>
            </w14:solidFill>
          </w14:textFill>
        </w:rPr>
        <w:t xml:space="preserve">    221.02.01支出69.15万元，占</w:t>
      </w:r>
      <w:r>
        <w:rPr>
          <w:rFonts w:hint="eastAsia" w:ascii="仿宋" w:hAnsi="仿宋" w:eastAsia="仿宋"/>
          <w:b w:val="0"/>
          <w:bCs/>
          <w:color w:val="000000"/>
          <w:sz w:val="32"/>
          <w:szCs w:val="32"/>
        </w:rPr>
        <w:t>一般公共预算财政拨款支出</w:t>
      </w:r>
      <w:r>
        <w:rPr>
          <w:rFonts w:hint="eastAsia" w:ascii="仿宋" w:hAnsi="仿宋" w:eastAsia="仿宋"/>
          <w:b w:val="0"/>
          <w:bCs/>
          <w:color w:val="000000"/>
          <w:sz w:val="32"/>
          <w:szCs w:val="32"/>
          <w:lang w:eastAsia="zh-CN"/>
        </w:rPr>
        <w:t>总额的</w:t>
      </w:r>
      <w:r>
        <w:rPr>
          <w:rFonts w:hint="eastAsia" w:ascii="仿宋" w:hAnsi="仿宋" w:eastAsia="仿宋"/>
          <w:b w:val="0"/>
          <w:bCs/>
          <w:color w:val="000000"/>
          <w:sz w:val="32"/>
          <w:szCs w:val="32"/>
          <w:lang w:val="en-US" w:eastAsia="zh-CN"/>
        </w:rPr>
        <w:t>4.6%。</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（图6：一般公共预算财政拨款支出决算结构</w:t>
      </w:r>
      <w:r>
        <w:rPr>
          <w:rFonts w:hint="eastAsia" w:ascii="仿宋" w:hAnsi="仿宋" w:eastAsia="仿宋"/>
          <w:color w:val="000000"/>
          <w:sz w:val="32"/>
          <w:szCs w:val="32"/>
          <w:lang w:eastAsia="zh-CN"/>
        </w:rPr>
        <w:t>）</w:t>
      </w: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84065" cy="2755265"/>
            <wp:effectExtent l="0" t="0" r="6985" b="6985"/>
            <wp:docPr id="14" name="图片 14"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8"/>
                    <pic:cNvPicPr>
                      <a:picLocks noChangeAspect="1"/>
                    </pic:cNvPicPr>
                  </pic:nvPicPr>
                  <pic:blipFill>
                    <a:blip r:embed="rId13"/>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0" w:firstLineChars="200"/>
        <w:outlineLvl w:val="2"/>
        <w:rPr>
          <w:rFonts w:ascii="仿宋" w:hAnsi="仿宋" w:eastAsia="仿宋"/>
          <w:b w:val="0"/>
          <w:bCs/>
          <w:color w:val="FF0000"/>
          <w:sz w:val="32"/>
          <w:szCs w:val="32"/>
        </w:rPr>
      </w:pPr>
      <w:bookmarkStart w:id="37" w:name="_Toc15377444"/>
      <w:bookmarkStart w:id="38" w:name="_Toc15378460"/>
      <w:bookmarkStart w:id="39" w:name="_Toc15377213"/>
      <w:r>
        <w:rPr>
          <w:rFonts w:hint="eastAsia" w:ascii="仿宋" w:hAnsi="仿宋" w:eastAsia="仿宋"/>
          <w:b w:val="0"/>
          <w:bCs/>
          <w:color w:val="000000" w:themeColor="text1"/>
          <w:sz w:val="32"/>
          <w:szCs w:val="32"/>
          <w14:textFill>
            <w14:solidFill>
              <w14:schemeClr w14:val="tx1"/>
            </w14:solidFill>
          </w14:textFill>
        </w:rPr>
        <w:t>2019年般公共预算支出决算数为</w:t>
      </w:r>
      <w:r>
        <w:rPr>
          <w:rFonts w:hint="eastAsia" w:ascii="仿宋" w:hAnsi="仿宋" w:eastAsia="仿宋"/>
          <w:b w:val="0"/>
          <w:bCs/>
          <w:color w:val="000000" w:themeColor="text1"/>
          <w:sz w:val="32"/>
          <w:szCs w:val="32"/>
          <w:lang w:val="en-US" w:eastAsia="zh-CN"/>
          <w14:textFill>
            <w14:solidFill>
              <w14:schemeClr w14:val="tx1"/>
            </w14:solidFill>
          </w14:textFill>
        </w:rPr>
        <w:t>1503.41</w:t>
      </w:r>
      <w:r>
        <w:rPr>
          <w:rFonts w:hint="eastAsia" w:ascii="仿宋" w:hAnsi="仿宋" w:eastAsia="仿宋"/>
          <w:b w:val="0"/>
          <w:bCs/>
          <w:color w:val="000000" w:themeColor="text1"/>
          <w:sz w:val="32"/>
          <w:szCs w:val="32"/>
          <w14:textFill>
            <w14:solidFill>
              <w14:schemeClr w14:val="tx1"/>
            </w14:solidFill>
          </w14:textFill>
        </w:rPr>
        <w:t>，</w:t>
      </w:r>
      <w:r>
        <w:rPr>
          <w:rStyle w:val="14"/>
          <w:rFonts w:hint="eastAsia" w:ascii="仿宋" w:hAnsi="仿宋" w:eastAsia="仿宋"/>
          <w:b w:val="0"/>
          <w:bCs/>
          <w:color w:val="000000" w:themeColor="text1"/>
          <w:sz w:val="32"/>
          <w:szCs w:val="32"/>
          <w14:textFill>
            <w14:solidFill>
              <w14:schemeClr w14:val="tx1"/>
            </w14:solidFill>
          </w14:textFill>
        </w:rPr>
        <w:t>完成</w:t>
      </w:r>
      <w:r>
        <w:rPr>
          <w:rStyle w:val="14"/>
          <w:rFonts w:hint="eastAsia" w:ascii="仿宋" w:hAnsi="仿宋" w:eastAsia="仿宋"/>
          <w:b w:val="0"/>
          <w:bCs/>
          <w:color w:val="000000"/>
          <w:sz w:val="32"/>
          <w:szCs w:val="32"/>
        </w:rPr>
        <w:t>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。其中：</w:t>
      </w:r>
      <w:bookmarkEnd w:id="37"/>
      <w:bookmarkEnd w:id="38"/>
      <w:bookmarkEnd w:id="39"/>
    </w:p>
    <w:p>
      <w:pPr>
        <w:numPr>
          <w:ilvl w:val="0"/>
          <w:numId w:val="3"/>
        </w:numPr>
        <w:spacing w:line="600" w:lineRule="exact"/>
        <w:ind w:left="-13" w:leftChars="0" w:firstLine="643" w:firstLineChars="0"/>
        <w:rPr>
          <w:rStyle w:val="14"/>
          <w:rFonts w:hint="eastAsia" w:ascii="仿宋" w:hAnsi="仿宋" w:eastAsia="仿宋"/>
          <w:b w:val="0"/>
          <w:bCs w:val="0"/>
          <w:color w:val="000000"/>
          <w:sz w:val="32"/>
          <w:szCs w:val="32"/>
          <w:lang w:eastAsia="zh-CN"/>
        </w:rPr>
      </w:pPr>
      <w:r>
        <w:rPr>
          <w:rStyle w:val="14"/>
          <w:rFonts w:hint="eastAsia" w:ascii="仿宋" w:hAnsi="仿宋" w:eastAsia="仿宋"/>
          <w:b w:val="0"/>
          <w:bCs w:val="0"/>
          <w:color w:val="000000"/>
          <w:sz w:val="32"/>
          <w:szCs w:val="32"/>
          <w:lang w:eastAsia="zh-CN"/>
        </w:rPr>
        <w:t>机关事业单位基本养老保险缴费支出</w:t>
      </w:r>
      <w:r>
        <w:rPr>
          <w:rStyle w:val="14"/>
          <w:rFonts w:hint="eastAsia" w:ascii="仿宋" w:hAnsi="仿宋" w:eastAsia="仿宋"/>
          <w:b w:val="0"/>
          <w:bCs w:val="0"/>
          <w:color w:val="000000"/>
          <w:sz w:val="32"/>
          <w:szCs w:val="32"/>
          <w:lang w:val="en-US" w:eastAsia="zh-CN"/>
        </w:rPr>
        <w:t>208.05.05</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61.74</w:t>
      </w:r>
      <w:r>
        <w:rPr>
          <w:rStyle w:val="14"/>
          <w:rFonts w:hint="eastAsia" w:ascii="仿宋" w:hAnsi="仿宋" w:eastAsia="仿宋"/>
          <w:b w:val="0"/>
          <w:bCs w:val="0"/>
          <w:color w:val="000000"/>
          <w:sz w:val="32"/>
          <w:szCs w:val="32"/>
        </w:rPr>
        <w:t>万元，完成预算</w:t>
      </w:r>
      <w:r>
        <w:rPr>
          <w:rStyle w:val="14"/>
          <w:rFonts w:hint="eastAsia" w:ascii="仿宋" w:hAnsi="仿宋" w:eastAsia="仿宋"/>
          <w:b w:val="0"/>
          <w:bCs w:val="0"/>
          <w:color w:val="000000"/>
          <w:sz w:val="32"/>
          <w:szCs w:val="32"/>
          <w:lang w:val="en-US" w:eastAsia="zh-CN"/>
        </w:rPr>
        <w:t>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w:t>
      </w:r>
    </w:p>
    <w:p>
      <w:pPr>
        <w:numPr>
          <w:ilvl w:val="0"/>
          <w:numId w:val="3"/>
        </w:numPr>
        <w:spacing w:line="600" w:lineRule="exact"/>
        <w:ind w:left="-13" w:leftChars="0" w:firstLine="643" w:firstLineChars="0"/>
        <w:rPr>
          <w:rStyle w:val="14"/>
          <w:rFonts w:hint="eastAsia" w:ascii="仿宋" w:hAnsi="仿宋" w:eastAsia="仿宋"/>
          <w:b w:val="0"/>
          <w:bCs/>
          <w:color w:val="000000"/>
          <w:sz w:val="32"/>
          <w:szCs w:val="32"/>
          <w:lang w:eastAsia="zh-CN"/>
        </w:rPr>
      </w:pPr>
      <w:r>
        <w:rPr>
          <w:rStyle w:val="14"/>
          <w:rFonts w:hint="eastAsia" w:ascii="仿宋" w:hAnsi="仿宋" w:eastAsia="仿宋"/>
          <w:b w:val="0"/>
          <w:bCs w:val="0"/>
          <w:color w:val="000000"/>
          <w:sz w:val="32"/>
          <w:szCs w:val="32"/>
          <w:lang w:eastAsia="zh-CN"/>
        </w:rPr>
        <w:t>机关事业单位职业年金缴费支出</w:t>
      </w:r>
      <w:r>
        <w:rPr>
          <w:rStyle w:val="14"/>
          <w:rFonts w:hint="eastAsia" w:ascii="仿宋" w:hAnsi="仿宋" w:eastAsia="仿宋"/>
          <w:b w:val="0"/>
          <w:bCs w:val="0"/>
          <w:color w:val="000000"/>
          <w:sz w:val="32"/>
          <w:szCs w:val="32"/>
          <w:lang w:val="en-US" w:eastAsia="zh-CN"/>
        </w:rPr>
        <w:t>208.05.06</w:t>
      </w:r>
      <w:r>
        <w:rPr>
          <w:rStyle w:val="14"/>
          <w:rFonts w:hint="eastAsia" w:ascii="仿宋" w:hAnsi="仿宋" w:eastAsia="仿宋"/>
          <w:b w:val="0"/>
          <w:bCs w:val="0"/>
          <w:color w:val="000000"/>
          <w:sz w:val="32"/>
          <w:szCs w:val="32"/>
        </w:rPr>
        <w:t>支出</w:t>
      </w:r>
      <w:r>
        <w:rPr>
          <w:rStyle w:val="14"/>
          <w:rFonts w:hint="eastAsia" w:ascii="仿宋" w:hAnsi="仿宋" w:eastAsia="仿宋"/>
          <w:b w:val="0"/>
          <w:bCs/>
          <w:color w:val="000000"/>
          <w:sz w:val="32"/>
          <w:szCs w:val="32"/>
        </w:rPr>
        <w:t>决算为</w:t>
      </w:r>
      <w:r>
        <w:rPr>
          <w:rStyle w:val="14"/>
          <w:rFonts w:hint="eastAsia" w:ascii="仿宋" w:hAnsi="仿宋" w:eastAsia="仿宋"/>
          <w:b w:val="0"/>
          <w:bCs/>
          <w:color w:val="000000"/>
          <w:sz w:val="32"/>
          <w:szCs w:val="32"/>
          <w:lang w:val="en-US" w:eastAsia="zh-CN"/>
        </w:rPr>
        <w:t>31.54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numPr>
          <w:ilvl w:val="0"/>
          <w:numId w:val="3"/>
        </w:numPr>
        <w:spacing w:line="600" w:lineRule="exact"/>
        <w:ind w:left="-13" w:leftChars="0" w:firstLine="643" w:firstLineChars="0"/>
        <w:rPr>
          <w:rStyle w:val="14"/>
          <w:rFonts w:hint="eastAsia" w:ascii="仿宋" w:hAnsi="仿宋" w:eastAsia="仿宋"/>
          <w:b w:val="0"/>
          <w:bCs w:val="0"/>
          <w:color w:val="000000"/>
          <w:sz w:val="32"/>
          <w:szCs w:val="32"/>
          <w:lang w:eastAsia="zh-CN"/>
        </w:rPr>
      </w:pPr>
      <w:r>
        <w:rPr>
          <w:rStyle w:val="14"/>
          <w:rFonts w:hint="eastAsia" w:ascii="仿宋" w:hAnsi="仿宋" w:eastAsia="仿宋"/>
          <w:b w:val="0"/>
          <w:bCs w:val="0"/>
          <w:color w:val="000000"/>
          <w:sz w:val="32"/>
          <w:szCs w:val="32"/>
          <w:lang w:eastAsia="zh-CN"/>
        </w:rPr>
        <w:t>其他行政事业单位离退休支出</w:t>
      </w:r>
      <w:r>
        <w:rPr>
          <w:rStyle w:val="14"/>
          <w:rFonts w:hint="eastAsia" w:ascii="仿宋" w:hAnsi="仿宋" w:eastAsia="仿宋"/>
          <w:b w:val="0"/>
          <w:bCs w:val="0"/>
          <w:color w:val="000000"/>
          <w:sz w:val="32"/>
          <w:szCs w:val="32"/>
          <w:lang w:val="en-US" w:eastAsia="zh-CN"/>
        </w:rPr>
        <w:t>208.05.99</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14.31</w:t>
      </w:r>
      <w:r>
        <w:rPr>
          <w:rStyle w:val="14"/>
          <w:rFonts w:hint="eastAsia" w:ascii="仿宋" w:hAnsi="仿宋" w:eastAsia="仿宋"/>
          <w:b w:val="0"/>
          <w:bCs w:val="0"/>
          <w:color w:val="000000"/>
          <w:sz w:val="32"/>
          <w:szCs w:val="32"/>
        </w:rPr>
        <w:t>万元，完成预算</w:t>
      </w:r>
      <w:r>
        <w:rPr>
          <w:rStyle w:val="14"/>
          <w:rFonts w:hint="eastAsia" w:ascii="仿宋" w:hAnsi="仿宋" w:eastAsia="仿宋"/>
          <w:b w:val="0"/>
          <w:bCs w:val="0"/>
          <w:color w:val="000000"/>
          <w:sz w:val="32"/>
          <w:szCs w:val="32"/>
          <w:lang w:val="en-US" w:eastAsia="zh-CN"/>
        </w:rPr>
        <w:t>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w:t>
      </w:r>
    </w:p>
    <w:p>
      <w:pPr>
        <w:numPr>
          <w:ilvl w:val="0"/>
          <w:numId w:val="3"/>
        </w:numPr>
        <w:spacing w:line="600" w:lineRule="exact"/>
        <w:ind w:left="-13" w:leftChars="0" w:firstLine="643" w:firstLineChars="0"/>
        <w:rPr>
          <w:rStyle w:val="14"/>
          <w:rFonts w:hint="eastAsia" w:ascii="仿宋" w:hAnsi="仿宋" w:eastAsia="仿宋"/>
          <w:b w:val="0"/>
          <w:bCs w:val="0"/>
          <w:color w:val="000000"/>
          <w:sz w:val="32"/>
          <w:szCs w:val="32"/>
          <w:lang w:eastAsia="zh-CN"/>
        </w:rPr>
      </w:pPr>
      <w:r>
        <w:rPr>
          <w:rStyle w:val="14"/>
          <w:rFonts w:hint="eastAsia" w:ascii="仿宋" w:hAnsi="仿宋" w:eastAsia="仿宋"/>
          <w:b w:val="0"/>
          <w:bCs w:val="0"/>
          <w:color w:val="000000"/>
          <w:sz w:val="32"/>
          <w:szCs w:val="32"/>
          <w:lang w:eastAsia="zh-CN"/>
        </w:rPr>
        <w:t>其他优抚支出</w:t>
      </w:r>
      <w:r>
        <w:rPr>
          <w:rStyle w:val="14"/>
          <w:rFonts w:hint="eastAsia" w:ascii="仿宋" w:hAnsi="仿宋" w:eastAsia="仿宋"/>
          <w:b w:val="0"/>
          <w:bCs w:val="0"/>
          <w:color w:val="000000"/>
          <w:sz w:val="32"/>
          <w:szCs w:val="32"/>
          <w:lang w:val="en-US" w:eastAsia="zh-CN"/>
        </w:rPr>
        <w:t>208.08.99</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2.13</w:t>
      </w:r>
      <w:r>
        <w:rPr>
          <w:rStyle w:val="14"/>
          <w:rFonts w:hint="eastAsia" w:ascii="仿宋" w:hAnsi="仿宋" w:eastAsia="仿宋"/>
          <w:b w:val="0"/>
          <w:bCs w:val="0"/>
          <w:color w:val="000000"/>
          <w:sz w:val="32"/>
          <w:szCs w:val="32"/>
        </w:rPr>
        <w:t>万元，完成预算</w:t>
      </w:r>
      <w:r>
        <w:rPr>
          <w:rStyle w:val="14"/>
          <w:rFonts w:hint="eastAsia" w:ascii="仿宋" w:hAnsi="仿宋" w:eastAsia="仿宋"/>
          <w:b w:val="0"/>
          <w:bCs w:val="0"/>
          <w:color w:val="000000"/>
          <w:sz w:val="32"/>
          <w:szCs w:val="32"/>
          <w:lang w:val="en-US" w:eastAsia="zh-CN"/>
        </w:rPr>
        <w:t>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w:t>
      </w:r>
    </w:p>
    <w:p>
      <w:pPr>
        <w:numPr>
          <w:ilvl w:val="0"/>
          <w:numId w:val="3"/>
        </w:numPr>
        <w:spacing w:line="600" w:lineRule="exact"/>
        <w:ind w:left="-13" w:leftChars="0" w:firstLine="643" w:firstLineChars="0"/>
        <w:rPr>
          <w:rStyle w:val="14"/>
          <w:rFonts w:hint="eastAsia" w:ascii="仿宋" w:hAnsi="仿宋" w:eastAsia="仿宋"/>
          <w:b w:val="0"/>
          <w:bCs w:val="0"/>
          <w:color w:val="000000"/>
          <w:sz w:val="32"/>
          <w:szCs w:val="32"/>
          <w:lang w:eastAsia="zh-CN"/>
        </w:rPr>
      </w:pPr>
      <w:r>
        <w:rPr>
          <w:rFonts w:hint="eastAsia" w:ascii="仿宋" w:hAnsi="仿宋" w:eastAsia="仿宋"/>
          <w:b w:val="0"/>
          <w:bCs w:val="0"/>
          <w:color w:val="000000" w:themeColor="text1"/>
          <w:sz w:val="32"/>
          <w:szCs w:val="32"/>
          <w:lang w:eastAsia="zh-CN"/>
          <w14:textFill>
            <w14:solidFill>
              <w14:schemeClr w14:val="tx1"/>
            </w14:solidFill>
          </w14:textFill>
        </w:rPr>
        <w:t>疾病预防控制机构</w:t>
      </w:r>
      <w:r>
        <w:rPr>
          <w:rStyle w:val="14"/>
          <w:rFonts w:hint="eastAsia" w:ascii="仿宋" w:hAnsi="仿宋" w:eastAsia="仿宋"/>
          <w:b w:val="0"/>
          <w:bCs w:val="0"/>
          <w:color w:val="000000"/>
          <w:sz w:val="32"/>
          <w:szCs w:val="32"/>
          <w:lang w:val="en-US" w:eastAsia="zh-CN"/>
        </w:rPr>
        <w:t>210.04.01</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692.68</w:t>
      </w:r>
      <w:r>
        <w:rPr>
          <w:rStyle w:val="14"/>
          <w:rFonts w:hint="eastAsia" w:ascii="仿宋" w:hAnsi="仿宋" w:eastAsia="仿宋"/>
          <w:b w:val="0"/>
          <w:bCs w:val="0"/>
          <w:color w:val="000000"/>
          <w:sz w:val="32"/>
          <w:szCs w:val="32"/>
        </w:rPr>
        <w:t>万元，完成预算</w:t>
      </w:r>
      <w:r>
        <w:rPr>
          <w:rStyle w:val="14"/>
          <w:rFonts w:hint="eastAsia" w:ascii="仿宋" w:hAnsi="仿宋" w:eastAsia="仿宋"/>
          <w:b w:val="0"/>
          <w:bCs w:val="0"/>
          <w:color w:val="000000"/>
          <w:sz w:val="32"/>
          <w:szCs w:val="32"/>
          <w:lang w:val="en-US" w:eastAsia="zh-CN"/>
        </w:rPr>
        <w:t>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w:t>
      </w:r>
    </w:p>
    <w:p>
      <w:pPr>
        <w:numPr>
          <w:ilvl w:val="0"/>
          <w:numId w:val="3"/>
        </w:numPr>
        <w:spacing w:line="600" w:lineRule="exact"/>
        <w:ind w:left="-13" w:leftChars="0" w:firstLine="643" w:firstLineChars="0"/>
        <w:rPr>
          <w:rStyle w:val="14"/>
          <w:rFonts w:hint="eastAsia" w:ascii="仿宋" w:hAnsi="仿宋" w:eastAsia="仿宋"/>
          <w:b w:val="0"/>
          <w:bCs w:val="0"/>
          <w:color w:val="000000"/>
          <w:sz w:val="32"/>
          <w:szCs w:val="32"/>
          <w:lang w:eastAsia="zh-CN"/>
        </w:rPr>
      </w:pPr>
      <w:r>
        <w:rPr>
          <w:rStyle w:val="14"/>
          <w:rFonts w:hint="eastAsia" w:ascii="仿宋" w:hAnsi="仿宋" w:eastAsia="仿宋"/>
          <w:b w:val="0"/>
          <w:bCs w:val="0"/>
          <w:color w:val="000000"/>
          <w:sz w:val="32"/>
          <w:szCs w:val="32"/>
          <w:lang w:val="en-US" w:eastAsia="zh-CN"/>
        </w:rPr>
        <w:t>基本公共卫生服务210.04.08</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12.78</w:t>
      </w:r>
      <w:r>
        <w:rPr>
          <w:rStyle w:val="14"/>
          <w:rFonts w:hint="eastAsia" w:ascii="仿宋" w:hAnsi="仿宋" w:eastAsia="仿宋"/>
          <w:b w:val="0"/>
          <w:bCs w:val="0"/>
          <w:color w:val="000000"/>
          <w:sz w:val="32"/>
          <w:szCs w:val="32"/>
        </w:rPr>
        <w:t>万元，完成预算</w:t>
      </w:r>
      <w:r>
        <w:rPr>
          <w:rStyle w:val="14"/>
          <w:rFonts w:hint="eastAsia" w:ascii="仿宋" w:hAnsi="仿宋" w:eastAsia="仿宋"/>
          <w:b w:val="0"/>
          <w:bCs w:val="0"/>
          <w:color w:val="000000"/>
          <w:sz w:val="32"/>
          <w:szCs w:val="32"/>
          <w:lang w:val="en-US" w:eastAsia="zh-CN"/>
        </w:rPr>
        <w:t>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w:t>
      </w:r>
    </w:p>
    <w:p>
      <w:pPr>
        <w:numPr>
          <w:ilvl w:val="0"/>
          <w:numId w:val="3"/>
        </w:numPr>
        <w:spacing w:line="600" w:lineRule="exact"/>
        <w:ind w:left="-13" w:leftChars="0" w:firstLine="643" w:firstLineChars="0"/>
        <w:rPr>
          <w:rStyle w:val="14"/>
          <w:rFonts w:hint="eastAsia" w:ascii="仿宋" w:hAnsi="仿宋" w:eastAsia="仿宋"/>
          <w:b w:val="0"/>
          <w:bCs w:val="0"/>
          <w:color w:val="000000"/>
          <w:sz w:val="32"/>
          <w:szCs w:val="32"/>
          <w:lang w:eastAsia="zh-CN"/>
        </w:rPr>
      </w:pPr>
      <w:r>
        <w:rPr>
          <w:rFonts w:hint="eastAsia" w:ascii="仿宋" w:hAnsi="仿宋" w:eastAsia="仿宋"/>
          <w:b w:val="0"/>
          <w:bCs w:val="0"/>
          <w:color w:val="000000" w:themeColor="text1"/>
          <w:sz w:val="32"/>
          <w:szCs w:val="32"/>
          <w:lang w:eastAsia="zh-CN"/>
          <w14:textFill>
            <w14:solidFill>
              <w14:schemeClr w14:val="tx1"/>
            </w14:solidFill>
          </w14:textFill>
        </w:rPr>
        <w:t>重大公共卫生专项</w:t>
      </w:r>
      <w:r>
        <w:rPr>
          <w:rStyle w:val="14"/>
          <w:rFonts w:hint="eastAsia" w:ascii="仿宋" w:hAnsi="仿宋" w:eastAsia="仿宋"/>
          <w:b w:val="0"/>
          <w:bCs w:val="0"/>
          <w:color w:val="000000"/>
          <w:sz w:val="32"/>
          <w:szCs w:val="32"/>
          <w:lang w:val="en-US" w:eastAsia="zh-CN"/>
        </w:rPr>
        <w:t>210.04.09</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438.18</w:t>
      </w:r>
      <w:r>
        <w:rPr>
          <w:rStyle w:val="14"/>
          <w:rFonts w:hint="eastAsia" w:ascii="仿宋" w:hAnsi="仿宋" w:eastAsia="仿宋"/>
          <w:b w:val="0"/>
          <w:bCs w:val="0"/>
          <w:color w:val="000000"/>
          <w:sz w:val="32"/>
          <w:szCs w:val="32"/>
        </w:rPr>
        <w:t>万元，完成预算</w:t>
      </w:r>
      <w:r>
        <w:rPr>
          <w:rStyle w:val="14"/>
          <w:rFonts w:hint="eastAsia" w:ascii="仿宋" w:hAnsi="仿宋" w:eastAsia="仿宋"/>
          <w:b w:val="0"/>
          <w:bCs w:val="0"/>
          <w:color w:val="000000"/>
          <w:sz w:val="32"/>
          <w:szCs w:val="32"/>
          <w:lang w:val="en-US" w:eastAsia="zh-CN"/>
        </w:rPr>
        <w:t>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w:t>
      </w:r>
    </w:p>
    <w:p>
      <w:pPr>
        <w:numPr>
          <w:ilvl w:val="0"/>
          <w:numId w:val="3"/>
        </w:numPr>
        <w:spacing w:line="600" w:lineRule="exact"/>
        <w:ind w:left="-13" w:leftChars="0" w:firstLine="643" w:firstLineChars="0"/>
        <w:rPr>
          <w:rStyle w:val="14"/>
          <w:rFonts w:hint="eastAsia" w:ascii="仿宋" w:hAnsi="仿宋" w:eastAsia="仿宋"/>
          <w:b w:val="0"/>
          <w:bCs w:val="0"/>
          <w:color w:val="000000"/>
          <w:sz w:val="32"/>
          <w:szCs w:val="32"/>
          <w:lang w:eastAsia="zh-CN"/>
        </w:rPr>
      </w:pPr>
      <w:r>
        <w:rPr>
          <w:rFonts w:hint="eastAsia" w:ascii="仿宋" w:hAnsi="仿宋" w:eastAsia="仿宋"/>
          <w:b w:val="0"/>
          <w:bCs w:val="0"/>
          <w:color w:val="000000" w:themeColor="text1"/>
          <w:sz w:val="32"/>
          <w:szCs w:val="32"/>
          <w:lang w:eastAsia="zh-CN"/>
          <w14:textFill>
            <w14:solidFill>
              <w14:schemeClr w14:val="tx1"/>
            </w14:solidFill>
          </w14:textFill>
        </w:rPr>
        <w:t>其他公共卫生支出</w:t>
      </w:r>
      <w:r>
        <w:rPr>
          <w:rStyle w:val="14"/>
          <w:rFonts w:hint="eastAsia" w:ascii="仿宋" w:hAnsi="仿宋" w:eastAsia="仿宋"/>
          <w:b w:val="0"/>
          <w:bCs w:val="0"/>
          <w:color w:val="000000"/>
          <w:sz w:val="32"/>
          <w:szCs w:val="32"/>
          <w:lang w:val="en-US" w:eastAsia="zh-CN"/>
        </w:rPr>
        <w:t>210.04.99</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11.79</w:t>
      </w:r>
      <w:r>
        <w:rPr>
          <w:rStyle w:val="14"/>
          <w:rFonts w:hint="eastAsia" w:ascii="仿宋" w:hAnsi="仿宋" w:eastAsia="仿宋"/>
          <w:b w:val="0"/>
          <w:bCs w:val="0"/>
          <w:color w:val="000000"/>
          <w:sz w:val="32"/>
          <w:szCs w:val="32"/>
        </w:rPr>
        <w:t>万元，完成预算</w:t>
      </w:r>
      <w:r>
        <w:rPr>
          <w:rStyle w:val="14"/>
          <w:rFonts w:hint="eastAsia" w:ascii="仿宋" w:hAnsi="仿宋" w:eastAsia="仿宋"/>
          <w:b w:val="0"/>
          <w:bCs w:val="0"/>
          <w:color w:val="000000"/>
          <w:sz w:val="32"/>
          <w:szCs w:val="32"/>
          <w:lang w:val="en-US" w:eastAsia="zh-CN"/>
        </w:rPr>
        <w:t>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w:t>
      </w:r>
    </w:p>
    <w:p>
      <w:pPr>
        <w:numPr>
          <w:ilvl w:val="0"/>
          <w:numId w:val="3"/>
        </w:numPr>
        <w:spacing w:line="600" w:lineRule="exact"/>
        <w:ind w:left="-13" w:leftChars="0" w:firstLine="643" w:firstLineChars="0"/>
        <w:rPr>
          <w:rStyle w:val="14"/>
          <w:rFonts w:hint="eastAsia" w:ascii="仿宋" w:hAnsi="仿宋" w:eastAsia="仿宋"/>
          <w:b w:val="0"/>
          <w:bCs w:val="0"/>
          <w:color w:val="000000"/>
          <w:sz w:val="32"/>
          <w:szCs w:val="32"/>
          <w:lang w:eastAsia="zh-CN"/>
        </w:rPr>
      </w:pPr>
      <w:r>
        <w:rPr>
          <w:rFonts w:hint="eastAsia" w:ascii="仿宋" w:hAnsi="仿宋" w:eastAsia="仿宋"/>
          <w:b w:val="0"/>
          <w:bCs w:val="0"/>
          <w:color w:val="000000" w:themeColor="text1"/>
          <w:sz w:val="32"/>
          <w:szCs w:val="32"/>
          <w:lang w:eastAsia="zh-CN"/>
          <w14:textFill>
            <w14:solidFill>
              <w14:schemeClr w14:val="tx1"/>
            </w14:solidFill>
          </w14:textFill>
        </w:rPr>
        <w:t>事业单位医疗</w:t>
      </w:r>
      <w:r>
        <w:rPr>
          <w:rStyle w:val="14"/>
          <w:rFonts w:hint="eastAsia" w:ascii="仿宋" w:hAnsi="仿宋" w:eastAsia="仿宋"/>
          <w:b w:val="0"/>
          <w:bCs w:val="0"/>
          <w:color w:val="000000"/>
          <w:sz w:val="32"/>
          <w:szCs w:val="32"/>
          <w:lang w:val="en-US" w:eastAsia="zh-CN"/>
        </w:rPr>
        <w:t>210.11.02</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21.6</w:t>
      </w:r>
      <w:r>
        <w:rPr>
          <w:rStyle w:val="14"/>
          <w:rFonts w:hint="eastAsia" w:ascii="仿宋" w:hAnsi="仿宋" w:eastAsia="仿宋"/>
          <w:b w:val="0"/>
          <w:bCs w:val="0"/>
          <w:color w:val="000000"/>
          <w:sz w:val="32"/>
          <w:szCs w:val="32"/>
        </w:rPr>
        <w:t>万元，完成预算</w:t>
      </w:r>
      <w:r>
        <w:rPr>
          <w:rStyle w:val="14"/>
          <w:rFonts w:hint="eastAsia" w:ascii="仿宋" w:hAnsi="仿宋" w:eastAsia="仿宋"/>
          <w:b w:val="0"/>
          <w:bCs w:val="0"/>
          <w:color w:val="000000"/>
          <w:sz w:val="32"/>
          <w:szCs w:val="32"/>
          <w:lang w:val="en-US" w:eastAsia="zh-CN"/>
        </w:rPr>
        <w:t>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w:t>
      </w:r>
    </w:p>
    <w:p>
      <w:pPr>
        <w:numPr>
          <w:ilvl w:val="0"/>
          <w:numId w:val="3"/>
        </w:numPr>
        <w:spacing w:line="600" w:lineRule="exact"/>
        <w:ind w:left="-13" w:leftChars="0" w:firstLine="643" w:firstLineChars="0"/>
        <w:rPr>
          <w:rStyle w:val="14"/>
          <w:rFonts w:hint="eastAsia" w:ascii="仿宋" w:hAnsi="仿宋" w:eastAsia="仿宋"/>
          <w:b w:val="0"/>
          <w:bCs w:val="0"/>
          <w:color w:val="000000"/>
          <w:sz w:val="32"/>
          <w:szCs w:val="32"/>
          <w:lang w:eastAsia="zh-CN"/>
        </w:rPr>
      </w:pPr>
      <w:r>
        <w:rPr>
          <w:rFonts w:hint="eastAsia" w:ascii="仿宋" w:hAnsi="仿宋" w:eastAsia="仿宋"/>
          <w:b w:val="0"/>
          <w:bCs w:val="0"/>
          <w:color w:val="000000" w:themeColor="text1"/>
          <w:sz w:val="32"/>
          <w:szCs w:val="32"/>
          <w:lang w:eastAsia="zh-CN"/>
          <w14:textFill>
            <w14:solidFill>
              <w14:schemeClr w14:val="tx1"/>
            </w14:solidFill>
          </w14:textFill>
        </w:rPr>
        <w:t>其他卫生健康支出</w:t>
      </w:r>
      <w:r>
        <w:rPr>
          <w:rStyle w:val="14"/>
          <w:rFonts w:hint="eastAsia" w:ascii="仿宋" w:hAnsi="仿宋" w:eastAsia="仿宋"/>
          <w:b w:val="0"/>
          <w:bCs w:val="0"/>
          <w:color w:val="000000"/>
          <w:sz w:val="32"/>
          <w:szCs w:val="32"/>
          <w:lang w:val="en-US" w:eastAsia="zh-CN"/>
        </w:rPr>
        <w:t>210.99.01</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val="0"/>
          <w:color w:val="000000"/>
          <w:sz w:val="32"/>
          <w:szCs w:val="32"/>
          <w:lang w:val="en-US" w:eastAsia="zh-CN"/>
        </w:rPr>
        <w:t>147.51</w:t>
      </w:r>
      <w:r>
        <w:rPr>
          <w:rStyle w:val="14"/>
          <w:rFonts w:hint="eastAsia" w:ascii="仿宋" w:hAnsi="仿宋" w:eastAsia="仿宋"/>
          <w:b w:val="0"/>
          <w:bCs w:val="0"/>
          <w:color w:val="000000"/>
          <w:sz w:val="32"/>
          <w:szCs w:val="32"/>
        </w:rPr>
        <w:t>万元，完成预算</w:t>
      </w:r>
      <w:r>
        <w:rPr>
          <w:rStyle w:val="14"/>
          <w:rFonts w:hint="eastAsia" w:ascii="仿宋" w:hAnsi="仿宋" w:eastAsia="仿宋"/>
          <w:b w:val="0"/>
          <w:bCs w:val="0"/>
          <w:color w:val="000000"/>
          <w:sz w:val="32"/>
          <w:szCs w:val="32"/>
          <w:lang w:val="en-US" w:eastAsia="zh-CN"/>
        </w:rPr>
        <w:t>100</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lang w:eastAsia="zh-CN"/>
        </w:rPr>
        <w:t>。</w:t>
      </w:r>
    </w:p>
    <w:p>
      <w:pPr>
        <w:numPr>
          <w:ilvl w:val="0"/>
          <w:numId w:val="3"/>
        </w:numPr>
        <w:spacing w:line="600" w:lineRule="exact"/>
        <w:ind w:left="-13" w:leftChars="0" w:firstLine="643" w:firstLineChars="0"/>
        <w:rPr>
          <w:rStyle w:val="14"/>
          <w:rFonts w:hint="eastAsia" w:ascii="仿宋" w:hAnsi="仿宋" w:eastAsia="仿宋"/>
          <w:b w:val="0"/>
          <w:bCs/>
          <w:color w:val="000000"/>
          <w:sz w:val="32"/>
          <w:szCs w:val="32"/>
          <w:lang w:eastAsia="zh-CN"/>
        </w:rPr>
      </w:pPr>
      <w:r>
        <w:rPr>
          <w:rFonts w:hint="eastAsia" w:ascii="仿宋" w:hAnsi="仿宋" w:eastAsia="仿宋"/>
          <w:b w:val="0"/>
          <w:bCs w:val="0"/>
          <w:color w:val="000000" w:themeColor="text1"/>
          <w:sz w:val="32"/>
          <w:szCs w:val="32"/>
          <w:lang w:eastAsia="zh-CN"/>
          <w14:textFill>
            <w14:solidFill>
              <w14:schemeClr w14:val="tx1"/>
            </w14:solidFill>
          </w14:textFill>
        </w:rPr>
        <w:t>住房保障支出</w:t>
      </w:r>
      <w:r>
        <w:rPr>
          <w:rFonts w:hint="eastAsia" w:ascii="仿宋" w:hAnsi="仿宋" w:eastAsia="仿宋"/>
          <w:b w:val="0"/>
          <w:bCs w:val="0"/>
          <w:color w:val="000000" w:themeColor="text1"/>
          <w:sz w:val="32"/>
          <w:szCs w:val="32"/>
          <w:lang w:val="en-US" w:eastAsia="zh-CN"/>
          <w14:textFill>
            <w14:solidFill>
              <w14:schemeClr w14:val="tx1"/>
            </w14:solidFill>
          </w14:textFill>
        </w:rPr>
        <w:t>221.02.01</w:t>
      </w:r>
      <w:r>
        <w:rPr>
          <w:rStyle w:val="14"/>
          <w:rFonts w:ascii="仿宋" w:hAnsi="仿宋" w:eastAsia="仿宋"/>
          <w:b w:val="0"/>
          <w:bCs w:val="0"/>
          <w:color w:val="000000"/>
          <w:sz w:val="32"/>
          <w:szCs w:val="32"/>
        </w:rPr>
        <w:t>:</w:t>
      </w:r>
      <w:r>
        <w:rPr>
          <w:rStyle w:val="14"/>
          <w:rFonts w:hint="eastAsia" w:ascii="仿宋" w:hAnsi="仿宋" w:eastAsia="仿宋"/>
          <w:b w:val="0"/>
          <w:bCs w:val="0"/>
          <w:color w:val="000000"/>
          <w:sz w:val="32"/>
          <w:szCs w:val="32"/>
        </w:rPr>
        <w:t>支出决算为</w:t>
      </w:r>
      <w:r>
        <w:rPr>
          <w:rStyle w:val="14"/>
          <w:rFonts w:hint="eastAsia" w:ascii="仿宋" w:hAnsi="仿宋" w:eastAsia="仿宋"/>
          <w:b w:val="0"/>
          <w:bCs/>
          <w:color w:val="000000"/>
          <w:sz w:val="32"/>
          <w:szCs w:val="32"/>
          <w:lang w:val="en-US" w:eastAsia="zh-CN"/>
        </w:rPr>
        <w:t>69.15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893.15</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834.46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58.69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10.72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val="en-US" w:eastAsia="zh-CN"/>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84.89</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1.62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15.11</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w:t>
      </w:r>
    </w:p>
    <w:p>
      <w:pPr>
        <w:spacing w:line="240" w:lineRule="auto"/>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047490" cy="3651250"/>
            <wp:effectExtent l="0" t="0" r="10160" b="6350"/>
            <wp:docPr id="7" name="图片 7"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8"/>
                    <pic:cNvPicPr>
                      <a:picLocks noChangeAspect="1"/>
                    </pic:cNvPicPr>
                  </pic:nvPicPr>
                  <pic:blipFill>
                    <a:blip r:embed="rId14"/>
                    <a:stretch>
                      <a:fillRect/>
                    </a:stretch>
                  </pic:blipFill>
                  <pic:spPr>
                    <a:xfrm>
                      <a:off x="0" y="0"/>
                      <a:ext cx="4047490" cy="3651250"/>
                    </a:xfrm>
                    <a:prstGeom prst="rect">
                      <a:avLst/>
                    </a:prstGeom>
                  </pic:spPr>
                </pic:pic>
              </a:graphicData>
            </a:graphic>
          </wp:inline>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_GB2312" w:eastAsia="仿宋_GB2312"/>
          <w:b/>
          <w:color w:val="000000"/>
          <w:sz w:val="32"/>
          <w:szCs w:val="32"/>
          <w:lang w:eastAsia="zh-CN"/>
        </w:rPr>
      </w:pPr>
      <w:r>
        <w:rPr>
          <w:rFonts w:hint="eastAsia" w:ascii="仿宋_GB2312" w:eastAsia="仿宋_GB2312"/>
          <w:b/>
          <w:color w:val="000000"/>
          <w:sz w:val="32"/>
          <w:szCs w:val="32"/>
          <w:lang w:val="en-US" w:eastAsia="zh-CN"/>
        </w:rPr>
        <w:t>1</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9.1</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9.73万元</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0.63</w:t>
      </w:r>
      <w:r>
        <w:rPr>
          <w:rFonts w:hint="eastAsia" w:ascii="仿宋_GB2312" w:eastAsia="仿宋_GB2312"/>
          <w:color w:val="000000"/>
          <w:sz w:val="32"/>
          <w:szCs w:val="32"/>
        </w:rPr>
        <w:t>元，下降</w:t>
      </w:r>
      <w:r>
        <w:rPr>
          <w:rFonts w:hint="eastAsia" w:ascii="仿宋_GB2312" w:eastAsia="仿宋_GB2312"/>
          <w:color w:val="000000"/>
          <w:sz w:val="32"/>
          <w:szCs w:val="32"/>
          <w:lang w:val="en-US" w:eastAsia="zh-CN"/>
        </w:rPr>
        <w:t>6.47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响应财政压缩公用经费支出号召。</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lang w:val="en-US" w:eastAsia="zh-CN"/>
        </w:rPr>
        <w:t>4辆，其他用车1辆。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9.1</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1.62</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w:t>
      </w:r>
      <w:r>
        <w:rPr>
          <w:rStyle w:val="14"/>
          <w:rFonts w:hint="eastAsia" w:ascii="仿宋" w:hAnsi="仿宋" w:eastAsia="仿宋"/>
          <w:b w:val="0"/>
          <w:bCs/>
          <w:color w:val="000000"/>
          <w:sz w:val="32"/>
          <w:szCs w:val="32"/>
          <w:lang w:eastAsia="zh-CN"/>
        </w:rPr>
        <w:t>算的</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1.7万元</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0.08</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4.71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响应财政压缩公用经费支出号召。</w:t>
      </w:r>
      <w:r>
        <w:rPr>
          <w:rFonts w:hint="eastAsia" w:ascii="仿宋_GB2312" w:eastAsia="仿宋_GB2312"/>
          <w:color w:val="000000"/>
          <w:sz w:val="32"/>
          <w:szCs w:val="32"/>
        </w:rPr>
        <w:t>其中：</w:t>
      </w:r>
    </w:p>
    <w:p>
      <w:pPr>
        <w:spacing w:line="600" w:lineRule="exact"/>
        <w:ind w:firstLine="640"/>
        <w:rPr>
          <w:rFonts w:hint="eastAsia"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1.62</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161</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1.62</w:t>
      </w:r>
      <w:r>
        <w:rPr>
          <w:rFonts w:hint="eastAsia" w:ascii="仿宋_GB2312" w:eastAsia="仿宋_GB2312"/>
          <w:color w:val="000000"/>
          <w:sz w:val="32"/>
          <w:szCs w:val="32"/>
        </w:rPr>
        <w:t>万元，具体内容包括：</w:t>
      </w:r>
    </w:p>
    <w:tbl>
      <w:tblPr>
        <w:tblStyle w:val="12"/>
        <w:tblpPr w:leftFromText="180" w:rightFromText="180" w:vertAnchor="text" w:horzAnchor="page" w:tblpX="770" w:tblpY="723"/>
        <w:tblOverlap w:val="never"/>
        <w:tblW w:w="10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0"/>
        <w:gridCol w:w="1710"/>
        <w:gridCol w:w="2775"/>
        <w:gridCol w:w="810"/>
        <w:gridCol w:w="2670"/>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对象</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事由</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2019.2.26</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省卫健委专家、乐山市级专家</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基公项目省级、市级绩效评价工作</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2019.4.1</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井研县疾控聂建清等人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交流学习创建慢性病防治工作示范区</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2019.4.2</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乐山市疾控王丽萍等人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乐山市疾控中心对峨眉疾控进行结核病督导</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2019.6.13</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沙湾卫健局、沙湾疾控张丽等人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交流学习创建慢性病防治工作示范区</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2019.7.10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乐山市基公办、马边县卫健局程婷等人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2019年上半年基公交叉督导</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2019.7.2</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四川省卫健委重传处专家组、乐山市卫健委、乐山市疾控赵亮等人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对我市艾滋病防治“三线”管理工作暗访调研</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2019.8.7</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四川省疾控龚毅等人、乐山市疾控黄涌等人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对我市开展艾滋病防治数据质量评估工作</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2019.9.10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乐山市疾控王莉丽等人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对我市开展结核病督导工作</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2019.9.25</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乐山市卫健委、乐山市疾控汪大志等人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开展学校近视调查及常见病监测现场督导</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2019.10.9</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五通桥疾控王进等人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交流学习慢病示范区及艾滋病防治工作</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2019.10.17</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乐山市农工民主党李红等人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调研慢性病防治示范区建设工作</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2019.10.10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沐川县疾控杨华等人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交流学习艾滋病高危人群干预工作</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2019.10.30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乐山市“三线办”黄涌等人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对我市进行4季度艾滋病防治工作督导</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2019.11.5</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乐山市疾控吴启华等人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职业病防治工作督导</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2019.11.15</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马边县疾控黄宁等人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全城结对帮扶马边疾控赴峨眉开展交流学习</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2019.11.22</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乐山市卫健局、乐山市疾控汪大志杨康林等人</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联合调查黄湾卫生院二类疫苗欠款工作</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161</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16190</w:t>
            </w:r>
          </w:p>
        </w:tc>
      </w:tr>
    </w:tbl>
    <w:p>
      <w:pPr>
        <w:spacing w:line="600" w:lineRule="exact"/>
        <w:ind w:firstLine="640"/>
        <w:rPr>
          <w:rFonts w:hint="eastAsia" w:ascii="仿宋_GB2312" w:eastAsia="仿宋_GB2312"/>
          <w:color w:val="000000"/>
          <w:sz w:val="32"/>
          <w:szCs w:val="32"/>
          <w:lang w:eastAsia="zh-CN"/>
        </w:rPr>
      </w:pP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4"/>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峨眉山市疾病预防控制中心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峨眉山市疾病预防控制中心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峨眉山市疾病预防控制中心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特种专业技术用车</w:t>
      </w:r>
      <w:r>
        <w:rPr>
          <w:rFonts w:hint="eastAsia" w:ascii="仿宋_GB2312" w:eastAsia="仿宋_GB2312"/>
          <w:color w:val="000000"/>
          <w:sz w:val="32"/>
          <w:szCs w:val="32"/>
          <w:lang w:val="en-US" w:eastAsia="zh-CN"/>
        </w:rPr>
        <w:t>4辆，其他用车1辆。</w:t>
      </w:r>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职业病防治项目、慢性病防治项目、结核病防治项目、饮用水卫生及地方病防治项目、预防接种服务费项目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eastAsia="zh-CN"/>
        </w:rPr>
        <w:t>这</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w:t>
      </w:r>
      <w:r>
        <w:rPr>
          <w:rFonts w:hint="eastAsia" w:ascii="仿宋_GB2312" w:hAnsi="宋体" w:eastAsia="仿宋_GB2312" w:cs="宋体"/>
          <w:color w:val="000000"/>
          <w:kern w:val="0"/>
          <w:sz w:val="32"/>
          <w:szCs w:val="32"/>
          <w:shd w:val="clear" w:color="auto" w:fill="FFFFFF"/>
          <w:lang w:val="en-US" w:eastAsia="zh-CN"/>
        </w:rPr>
        <w:t>2019年，我单位进一步加强机关财务管理工作，认真贯彻《会计法》、《预算法》，严格执行《行政单位会计制度》、《行政单位财务规则》及各项费用管理办法，规范资金收支管理及会计核算，强化预算管理，加强项目经费支出绩效考核，从严从紧控制和节减经费支出，规范现金报销制度，进一步加强公务卡使用管理，严格执行政府采购政策。确保了单位工作任务的顺利完成</w:t>
      </w:r>
      <w:r>
        <w:rPr>
          <w:rFonts w:hint="eastAsia" w:ascii="仿宋_GB2312" w:hAnsi="仿宋_GB2312" w:eastAsia="仿宋_GB2312" w:cs="仿宋_GB2312"/>
          <w:sz w:val="32"/>
          <w:szCs w:val="32"/>
        </w:rPr>
        <w:t>。本部门还自行</w:t>
      </w:r>
      <w:r>
        <w:rPr>
          <w:rFonts w:hint="eastAsia" w:ascii="仿宋_GB2312" w:hAnsi="仿宋_GB2312" w:eastAsia="仿宋_GB2312" w:cs="仿宋_GB2312"/>
          <w:sz w:val="32"/>
          <w:szCs w:val="32"/>
          <w:highlight w:val="none"/>
        </w:rPr>
        <w:t>组织了</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个项目支出绩效评价，从评价情况来看</w:t>
      </w:r>
      <w:r>
        <w:rPr>
          <w:rFonts w:hint="eastAsia" w:ascii="仿宋_GB2312" w:hAnsi="仿宋_GB2312" w:eastAsia="仿宋_GB2312" w:cs="仿宋_GB2312"/>
          <w:sz w:val="32"/>
          <w:szCs w:val="32"/>
          <w:highlight w:val="none"/>
          <w:lang w:eastAsia="zh-CN"/>
        </w:rPr>
        <w:t>完成效果不错。</w:t>
      </w:r>
    </w:p>
    <w:tbl>
      <w:tblPr>
        <w:tblStyle w:val="12"/>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590"/>
        <w:gridCol w:w="1890"/>
        <w:gridCol w:w="1815"/>
        <w:gridCol w:w="163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项目绩效目标完成情况表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(2019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职业病防治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峨眉山市疾病预防控制中心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预算执行情况(万元)</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22.98</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22.98</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年度目标完成情况</w:t>
            </w: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1.《职业病防治法》宣传费用7.98万元。绩效目标：进一步普及《职业病防治法》和职业卫生防护知识，提升全民职业安全素质，优化公共安全治理结构，全方位检验和展示《职业病防治法》学习贯彻成果。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职业卫生监测与监护监管平台信息系统维护项目10万元。绩效目标：提升职业健康监管信息化水平，通过基层部门对我市职业卫生监测与监护监管平台信息系统的使用以及用人单位在使用过程中提出的意见和建议对系统进行优化和维护，使系统更加符合使用者的意图，并根据业务需求对信息进行统计分析，进一步增强全市职业健康监管信息化能力和水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国家《职业病危害项目申报系统》动态信息管理培训经费5万元。绩效目标：通过培训、学习，使全市监管人员、企业职业卫生管理人员掌握国家《职业病危害项目申报系统》填报规则、方法以及统计处理工作。抓好全市用人单位职业病危害因素申报备案、管理监管等信息管理工作。规范提升全市职业病危害监管工作质量。</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通过广播、互联网、公交移动传媒、现场宣传活动等途径进行《职业病防治法》相关知识宣传，增强劳动者职业病防范意识，在全社会营造有利于开展职业健康工作的良好氛围。进一步普及职业病防护知识，提升全民职业健康素质，全方位检验和展示《职业病防治法》学习贯彻成果。2019年《职业病防治法》宣传费用实现了该项资金绩效目标，达到了预期效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通过培训、学习，使全市监管人员、企业职业卫生管理人员掌握国家《职业病危害项目申报系统》填报规则、方法以及统计处理工作。抓好职业卫生申报备案、管理监管等信息管理工作，切实做好职业病危害申报备案工作。2019年国家《职业病危害项目申报系统》动态信息管理培训经费实现了该项资金绩效目标，达到了预期效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3）通过基层部门对职业卫生监测与监护监管平台信息系统的使用以及用人单位在使用过程中提出的意见和建议对系统进行优化和维护，使系统更加符合使用者的意图，并根据业务需求对信息进行统计分析，规范提升职业健康监管能力与水平。2019年职业卫生监测与监护监管平台信息系统维护项目费用实现了该项资金绩效目标，达到了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绩效指标完成情况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预期指标值(包含数字及文字描述)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职业病检测次数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职业病检测人数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培训微型企业劳动者人员人次</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职业病排查人数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职业病培训完成率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监测信息上报条数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不产生</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不产生</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监测全市职业病情况</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安全生产资金受益对象满意度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95%以上</w:t>
            </w:r>
          </w:p>
        </w:tc>
      </w:tr>
    </w:tbl>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highlight w:val="none"/>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590"/>
        <w:gridCol w:w="1890"/>
        <w:gridCol w:w="1815"/>
        <w:gridCol w:w="163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项目绩效目标完成情况表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(2019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慢性病防治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峨眉山市疾病预防控制中心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预算执行情况(万元)</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7.65</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7.65</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年度目标完成情况</w:t>
            </w: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w:t>
            </w:r>
            <w:r>
              <w:rPr>
                <w:rStyle w:val="37"/>
                <w:lang w:val="en-US" w:eastAsia="zh-CN" w:bidi="ar"/>
              </w:rPr>
              <w:t>1.辖区城市社区和农村基层卫生服务机构数：按卫生统计报表统计口径统计的辖区内承担基本公共卫生服务项目工作职责的城市街道医院/社区卫生服务中心、农村乡镇卫生院总数。2.开展建档城市社区和农村基层卫生服务机构数：按上述统计口径统计的辖区城市街道医院/社区卫生服务中心、农村乡镇卫生院总数中开展居民健康档案建档的城市街道医院/社区卫生服务中心、农村乡镇卫生院数。建档包括纸质建档和/或电子建档。</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w:t>
            </w:r>
            <w:r>
              <w:rPr>
                <w:rStyle w:val="37"/>
                <w:lang w:val="en-US" w:eastAsia="zh-CN" w:bidi="ar"/>
              </w:rPr>
              <w:t>1.辖区城市社区和农村基层卫生服务机构数：按卫生统计报表统计口径统计的辖区内承担基本公共卫生服务项目工作职责的城市街道医院/社区卫生服务中心、农村乡镇卫生院总数。</w:t>
            </w:r>
            <w:r>
              <w:rPr>
                <w:rFonts w:hint="default" w:ascii="Times New Roman" w:hAnsi="Times New Roman" w:eastAsia="宋体" w:cs="Times New Roman"/>
                <w:i w:val="0"/>
                <w:color w:val="000000"/>
                <w:kern w:val="0"/>
                <w:sz w:val="22"/>
                <w:szCs w:val="22"/>
                <w:u w:val="none"/>
                <w:lang w:val="en-US" w:eastAsia="zh-CN" w:bidi="ar"/>
              </w:rPr>
              <w:t> </w:t>
            </w:r>
            <w:r>
              <w:rPr>
                <w:rStyle w:val="37"/>
                <w:lang w:val="en-US" w:eastAsia="zh-CN" w:bidi="ar"/>
              </w:rPr>
              <w:t>2.开展建档城市社区和农村基层卫生服务机构数：按上述统计口径统计的辖区城市街道医院/社区卫生服务中心、农村乡镇卫生院总数中开展居民健康档案建档的城市街道医院/社区卫生服务中心、农村乡镇卫生院数。建档包括纸质建档和/或电子建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绩效指标完成情况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预期指标值(包含数字及文字描述)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高血压已管人数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32855人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高血压规范管理人数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25793人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糖尿病已管人数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糖尿病规范管理人数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9044人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人口建档覆盖率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60%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高血压、糖尿病患者健康管理率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电子健康档案建档率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75%</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高血压患者规范管理率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糖尿病患者规范管理率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监测全市慢性病情况</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安全生产资金受益对象满意度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95%以上</w:t>
            </w:r>
          </w:p>
        </w:tc>
      </w:tr>
    </w:tbl>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rPr>
          <w:rFonts w:hint="eastAsia" w:ascii="楷体_GB2312" w:hAnsi="楷体_GB2312" w:eastAsia="楷体_GB2312" w:cs="楷体_GB2312"/>
          <w:sz w:val="32"/>
          <w:szCs w:val="32"/>
        </w:rPr>
      </w:pPr>
    </w:p>
    <w:tbl>
      <w:tblPr>
        <w:tblStyle w:val="12"/>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590"/>
        <w:gridCol w:w="1890"/>
        <w:gridCol w:w="1815"/>
        <w:gridCol w:w="163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项目绩效目标完成情况表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(2019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结核病防治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峨眉山市疾病预防控制中心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预算执行情况(万元)</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4.3563</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4.3563</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年度目标完成情况</w:t>
            </w: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进一步降低我市结核病感染率、发病率和死亡率，有效遏制结核病流行，保障人民群众身体健康，覆盖率100%</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进一步降低我市结核病感染率、发病率和死亡率，有效遏制结核病流行，保障人民群众身体健康，覆盖率100%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绩效指标完成情况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预期指标值(包含数字及文字描述)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接诊结核病可疑者</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规范管理率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规则服药率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转诊到位率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免费检查率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追踪疑似患者到位率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对发现涂片阳性的密切接触者筛查率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结核病防治</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9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9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1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2891" w:firstLineChars="800"/>
              <w:jc w:val="both"/>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项目绩效目标完成情况表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(2019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饮用水卫生及地方病监测项目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峨眉山市疾病预防控制中心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预算执行情况(万元)</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13.566</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13.566</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年度目标完成情况</w:t>
            </w: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过对监测点开展丰水期和枯水期水质卫生监测，系统地了解饮用水卫生基本状况，为加强饮用水安全管理工作提供依据和技术支持。监测范围峨眉山市辖区内乡镇、街道办。水样类型包括市政供水出厂水、末梢水和传统水箱式二次供水。</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过对监测点开展丰水期和枯水期水质卫生监测，系统地了解饮用水卫生基本状况，为加强饮用水安全管理工作提供依据和技术支持。监测范围峨眉山市辖区内乡镇、街道办。水样类型包括市政供水出厂水、末梢水和传统水箱式二次供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绩效指标完成情况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预期指标值(包含数字及文字描述)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开展生活饮用水卫生监测次数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20次/年</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20次/年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开展生活饮用水卫生监测乡镇数量</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全年采集水样数量</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80份</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盐样的实验室检测和现场检测数量</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300份</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样品检测率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资金实际到位率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辖区水质监测覆盖率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监测、保障饮用水卫生安全</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社会公众或服务对象满意度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2891" w:firstLineChars="800"/>
              <w:jc w:val="both"/>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项目绩效目标完成情况表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67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(2019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预防接种服务费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51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峨眉山市疾病预防控制中心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预算执行情况(万元)</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其中-财政拨款:</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年度目标完成情况</w:t>
            </w: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维持2019年被评价单位和接种单位日常工作开展</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维持2019年被评价单位和接种单位日常工作开展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绩效指标完成情况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预期指标值(包含数字及文字描述)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二类疫苗接种剂次</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疫苗配送频率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疫苗接种率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保护疫苗有效率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疫苗冷链车运行                         有效率</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降低民众二类疫苗接种成本</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二类疫苗针对传染病得到有效遏制</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安全生产资金受益对象满意度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95%以上</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95%以上</w:t>
            </w:r>
          </w:p>
        </w:tc>
      </w:tr>
    </w:tbl>
    <w:p>
      <w:pPr>
        <w:spacing w:line="580" w:lineRule="exact"/>
        <w:ind w:left="630"/>
        <w:rPr>
          <w:rFonts w:hint="eastAsia" w:ascii="楷体_GB2312" w:hAnsi="楷体_GB2312" w:eastAsia="楷体_GB2312" w:cs="楷体_GB2312"/>
          <w:sz w:val="32"/>
          <w:szCs w:val="32"/>
        </w:rPr>
      </w:pPr>
    </w:p>
    <w:p>
      <w:pPr>
        <w:spacing w:line="580" w:lineRule="exact"/>
        <w:rPr>
          <w:rFonts w:hint="eastAsia" w:ascii="楷体_GB2312" w:hAnsi="楷体_GB2312" w:eastAsia="楷体_GB2312" w:cs="楷体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本部门按要求对2019年部门整体支出绩效评价情况开展自评，《XX部门2019年部门整体支出绩效评价报告》见附件（附件1）。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w:t>
      </w:r>
      <w:r>
        <w:rPr>
          <w:rFonts w:hint="eastAsia" w:ascii="仿宋_GB2312" w:hAnsi="仿宋_GB2312" w:eastAsia="仿宋_GB2312" w:cs="仿宋_GB2312"/>
          <w:sz w:val="32"/>
          <w:szCs w:val="32"/>
          <w:lang w:val="en-US" w:eastAsia="zh-CN"/>
        </w:rPr>
        <w:t>5个项目</w:t>
      </w:r>
      <w:r>
        <w:rPr>
          <w:rFonts w:hint="eastAsia" w:ascii="仿宋_GB2312" w:hAnsi="仿宋_GB2312" w:eastAsia="仿宋_GB2312" w:cs="仿宋_GB2312"/>
          <w:sz w:val="32"/>
          <w:szCs w:val="32"/>
        </w:rPr>
        <w:t>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w:t>
      </w:r>
      <w:r>
        <w:rPr>
          <w:rFonts w:hint="eastAsia" w:ascii="仿宋_GB2312" w:eastAsia="仿宋_GB2312"/>
          <w:sz w:val="32"/>
          <w:szCs w:val="32"/>
          <w:lang w:eastAsia="zh-CN"/>
        </w:rPr>
        <w:t>疾病预防控制中心的疫苗、美沙酮收入。</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208.05.05，指机关事业单位基本养老保险缴费支出。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208.05.06，指机关事业单位职业年金缴费支出。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208.05.99，指其他行政事业单位离退休支出。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208.08.99，指其他优抚支出。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lang w:eastAsia="zh-CN"/>
        </w:rPr>
        <w:t>卫生健康支出：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210.04.01，指疾病预防控制机构。</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210.04.08，指基本公共卫生服务。</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210.04.09，指重大公共卫生专项。</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210.04.99，指其他公共卫生支出。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210.11.02，指事业单位医疗。</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210.99.01，指其他卫生健康支出。</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val="en-US" w:eastAsia="zh-CN"/>
        </w:rPr>
        <w:t>221.02.01指住房公积金。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峨眉山市疾病预防控制中心</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napToGrid w:val="0"/>
        <w:spacing w:line="580" w:lineRule="exact"/>
        <w:ind w:firstLine="640" w:firstLineChars="200"/>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仿宋_GB2312" w:eastAsia="仿宋_GB2312"/>
          <w:spacing w:val="6"/>
          <w:sz w:val="32"/>
          <w:szCs w:val="32"/>
          <w:lang w:eastAsia="zh-CN"/>
        </w:rPr>
        <w:t>单位主要职能：</w:t>
      </w:r>
      <w:r>
        <w:rPr>
          <w:rFonts w:hint="eastAsia" w:ascii="仿宋_GB2312" w:hAnsi="仿宋_GB2312" w:eastAsia="仿宋_GB2312"/>
          <w:spacing w:val="6"/>
          <w:sz w:val="32"/>
          <w:szCs w:val="32"/>
        </w:rPr>
        <w:t>传染病疫情管理；地方病、寄生虫病的防治；慢性非传染性疾病的防治；基本公共卫生；免疫规划；艾滋病性病防治以及卫生监测检验等。</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en-US" w:eastAsia="zh-CN"/>
        </w:rPr>
        <w:t>2、单位性质：</w:t>
      </w:r>
      <w:r>
        <w:rPr>
          <w:rFonts w:hint="eastAsia" w:ascii="仿宋_GB2312" w:hAnsi="宋体" w:eastAsia="仿宋_GB2312" w:cs="宋体"/>
          <w:color w:val="000000"/>
          <w:kern w:val="0"/>
          <w:sz w:val="32"/>
          <w:szCs w:val="32"/>
          <w:shd w:val="clear" w:color="auto" w:fill="FFFFFF"/>
          <w:lang w:val="zh-CN"/>
        </w:rPr>
        <w:t>我单位性质属于财政补助事业单位类型，财政关系隶属于峨眉山市，我单位执行事业单位会计制度。我单位核定事业单位编制人员共计58人，现实有编制人员数</w:t>
      </w:r>
      <w:r>
        <w:rPr>
          <w:rFonts w:hint="eastAsia" w:ascii="仿宋_GB2312" w:hAnsi="宋体" w:eastAsia="仿宋_GB2312" w:cs="宋体"/>
          <w:color w:val="000000"/>
          <w:kern w:val="0"/>
          <w:sz w:val="32"/>
          <w:szCs w:val="32"/>
          <w:shd w:val="clear" w:color="auto" w:fill="FFFFFF"/>
          <w:lang w:val="en-US" w:eastAsia="zh-CN"/>
        </w:rPr>
        <w:t>51</w:t>
      </w:r>
      <w:r>
        <w:rPr>
          <w:rFonts w:hint="eastAsia" w:ascii="仿宋_GB2312" w:hAnsi="宋体" w:eastAsia="仿宋_GB2312" w:cs="宋体"/>
          <w:color w:val="000000"/>
          <w:kern w:val="0"/>
          <w:sz w:val="32"/>
          <w:szCs w:val="32"/>
          <w:shd w:val="clear" w:color="auto" w:fill="FFFFFF"/>
          <w:lang w:val="zh-CN"/>
        </w:rPr>
        <w:t>人，临聘工作人员</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人</w:t>
      </w:r>
      <w:bookmarkStart w:id="73" w:name="_GoBack"/>
      <w:bookmarkEnd w:id="73"/>
      <w:r>
        <w:rPr>
          <w:rFonts w:hint="eastAsia" w:ascii="仿宋_GB2312" w:hAnsi="宋体" w:eastAsia="仿宋_GB2312" w:cs="宋体"/>
          <w:color w:val="000000"/>
          <w:kern w:val="0"/>
          <w:sz w:val="32"/>
          <w:szCs w:val="32"/>
          <w:shd w:val="clear" w:color="auto" w:fill="FFFFFF"/>
          <w:lang w:val="zh-CN"/>
        </w:rPr>
        <w:t>，离休人员1人。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（一）部门财政资金收入情况：</w:t>
      </w:r>
      <w:r>
        <w:rPr>
          <w:rFonts w:hint="eastAsia" w:ascii="仿宋_GB2312" w:hAnsi="宋体" w:eastAsia="仿宋_GB2312" w:cs="宋体"/>
          <w:color w:val="000000"/>
          <w:kern w:val="0"/>
          <w:sz w:val="32"/>
          <w:szCs w:val="32"/>
          <w:shd w:val="clear" w:color="auto" w:fill="FFFFFF"/>
          <w:lang w:val="en-US" w:eastAsia="zh-CN"/>
        </w:rPr>
        <w:t>2019年位财政拨款收入1383万元，上年同期为1955万元，同比下降了25.4%。</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_GB2312" w:hAnsi="宋体" w:eastAsia="仿宋_GB2312" w:cs="宋体"/>
          <w:color w:val="000000"/>
          <w:kern w:val="0"/>
          <w:sz w:val="32"/>
          <w:szCs w:val="32"/>
          <w:shd w:val="clear" w:color="auto" w:fill="FFFFFF"/>
          <w:lang w:val="zh-CN"/>
        </w:rPr>
        <w:t>（二）部门财政资金支出情况：</w:t>
      </w:r>
      <w:r>
        <w:rPr>
          <w:rFonts w:ascii="仿宋" w:hAnsi="仿宋" w:eastAsia="仿宋"/>
          <w:color w:val="000000"/>
          <w:sz w:val="32"/>
          <w:szCs w:val="32"/>
        </w:rPr>
        <w:t>201</w:t>
      </w:r>
      <w:r>
        <w:rPr>
          <w:rFonts w:hint="eastAsia" w:ascii="仿宋" w:hAnsi="仿宋" w:eastAsia="仿宋"/>
          <w:color w:val="000000"/>
          <w:sz w:val="32"/>
          <w:szCs w:val="32"/>
        </w:rPr>
        <w:t>9年财政拨款支出</w:t>
      </w:r>
      <w:r>
        <w:rPr>
          <w:rFonts w:hint="eastAsia" w:ascii="仿宋" w:hAnsi="仿宋" w:eastAsia="仿宋"/>
          <w:color w:val="000000"/>
          <w:sz w:val="32"/>
          <w:szCs w:val="32"/>
          <w:lang w:val="en-US" w:eastAsia="zh-CN"/>
        </w:rPr>
        <w:t>1503.41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58.27</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支出增长</w:t>
      </w:r>
      <w:r>
        <w:rPr>
          <w:rFonts w:hint="eastAsia" w:ascii="仿宋" w:hAnsi="仿宋" w:eastAsia="仿宋"/>
          <w:color w:val="000000"/>
          <w:sz w:val="32"/>
          <w:szCs w:val="32"/>
          <w:lang w:val="en-US" w:eastAsia="zh-CN"/>
        </w:rPr>
        <w:t>10.49%，主要变动原因是业务用房改建项目支出360万元，购买饮用水设备约100万元。</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1、预算编制情况：</w:t>
      </w:r>
      <w:r>
        <w:rPr>
          <w:rFonts w:hint="eastAsia" w:ascii="仿宋_GB2312" w:hAnsi="宋体" w:eastAsia="仿宋_GB2312" w:cs="宋体"/>
          <w:color w:val="000000"/>
          <w:kern w:val="0"/>
          <w:sz w:val="32"/>
          <w:szCs w:val="32"/>
          <w:shd w:val="clear" w:color="auto" w:fill="FFFFFF"/>
          <w:lang w:val="zh-CN"/>
        </w:rPr>
        <w:t>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依据我单位根据财政局下达的年度目标任务制定工作计划，认真征求统计各项经费需求，参考以前年度年初预算编审、预算执行中期评估、以前年度结转和结余情况和支出绩效评价成果、资产占有和使用情况等因素，按照综合预算要求，做到各项收入、支出预算的编制合理、完整、规范，确保不重不漏，无部门预算以外保留的其他收支项目。支出预算严格按照“零基预算”方法，人员经费按标准、日常公用经费按定额、专项支出按项目分别编制。基本支出预算以20</w:t>
      </w:r>
      <w:r>
        <w:rPr>
          <w:rFonts w:hint="eastAsia" w:ascii="仿宋_GB2312" w:hAnsi="宋体" w:eastAsia="仿宋_GB2312" w:cs="宋体"/>
          <w:color w:val="000000"/>
          <w:kern w:val="0"/>
          <w:sz w:val="32"/>
          <w:szCs w:val="32"/>
          <w:shd w:val="clear" w:color="auto" w:fill="FFFFFF"/>
          <w:lang w:val="en-US" w:eastAsia="zh-CN"/>
        </w:rPr>
        <w:t>18</w:t>
      </w:r>
      <w:r>
        <w:rPr>
          <w:rFonts w:hint="eastAsia" w:ascii="仿宋_GB2312" w:hAnsi="宋体" w:eastAsia="仿宋_GB2312" w:cs="宋体"/>
          <w:color w:val="000000"/>
          <w:kern w:val="0"/>
          <w:sz w:val="32"/>
          <w:szCs w:val="32"/>
          <w:shd w:val="clear" w:color="auto" w:fill="FFFFFF"/>
          <w:lang w:val="zh-CN"/>
        </w:rPr>
        <w:t>年</w:t>
      </w:r>
      <w:r>
        <w:rPr>
          <w:rFonts w:hint="eastAsia" w:ascii="仿宋_GB2312" w:hAnsi="宋体" w:eastAsia="仿宋_GB2312" w:cs="宋体"/>
          <w:color w:val="000000"/>
          <w:kern w:val="0"/>
          <w:sz w:val="32"/>
          <w:szCs w:val="32"/>
          <w:shd w:val="clear" w:color="auto" w:fill="FFFFFF"/>
          <w:lang w:val="en-US" w:eastAsia="zh-CN"/>
        </w:rPr>
        <w:t>12</w:t>
      </w:r>
      <w:r>
        <w:rPr>
          <w:rFonts w:hint="eastAsia" w:ascii="仿宋_GB2312" w:hAnsi="宋体" w:eastAsia="仿宋_GB2312" w:cs="宋体"/>
          <w:color w:val="000000"/>
          <w:kern w:val="0"/>
          <w:sz w:val="32"/>
          <w:szCs w:val="32"/>
          <w:shd w:val="clear" w:color="auto" w:fill="FFFFFF"/>
          <w:lang w:val="zh-CN"/>
        </w:rPr>
        <w:t>月为基准期编制。项目支出预算编制，一是参考201</w:t>
      </w: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年实际支出情况并结合201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工作安排，合理界定通用项目和专用项目，纳入项目库，完整准确填报项目信息。二是项目绩效目标编制详细反映了工作任务保障完成目标、经费预算的测算过程及预期达成效果量化指标。三是认真编制政府采购预算，做到应编尽编，确保了政府采购预算的完整。四是根据单位近年支出水平、接待任务，对“三公”经费预算控制数进行统筹平衡，合理分配，并在部门预算中单独编制“三公”经费预算，填报编制说明。</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2、预算执行管理情况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2019年我单位继续加强预算执行管理，严格执行批复预算，按照收支平衡的原则，合理安排各项资金，根据执行进度对基本支出按照月度均衡原则、项目支出按实际需要及时申请用款计划，确保足额支出安排，无超预算支出。保证了部门的正常运行和专项工作任务的顺利开展。一是加强支出绩效管理。对纳入部门预算批复管理的项目经费，在年度执行中，跟踪了解每一项目的进展情况，及时申请用款计划，保证各项款项及时支付。二是严格执行“三公经费”预算。2019年我单位继续认真贯彻中央八项规定、省委省政府十项规定及《党政机关厉行节约反对浪费条例》，加强“三公”经费和会议费、培训费管理，使其支出得到有效控制。三是厉行节约，控制单位运行成本。2019年，我单位进一步强化节能宣传、创新制度规范、完善管理手续，切实加强科室节能降耗工作力度，对科室能耗适时监控。</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包括绩效自评公开、评价结果整改和应用结果反馈等情况。信息公开情况。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2019年，我单位进一步加强机关财务管理工作，认真贯彻《会计法》、《预算法》，严格执行《行政单位会计制度》、《行政单位财务规则》及各项费用管理办法，规范资金收支管理及会计核算，强化预算管理，加强项目经费支出绩效考核，从严从紧控制和节减经费支出，规范现金报销制度，进一步加强公务卡使用管理，严格执行政府采购政策。确保了单位工作任务的顺利完成。</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认真做好年度财政资金的预算编制工作，按照政府采购目录及采购限额标准编制政府采购预算，做到应编尽编。在资金使用和管理方面，进一步强化资金统筹，优化资金结构，明确开支范围，细化资金用途，确保部门职责任务顺利完成。资金收支管理及会计核算较规范，能够按照相关会计制度和财务管理办法进行核算。全年基本支出保证了部门的正常运行和日常工作的正常开展；全年项目支出达到预期绩效目标。综合201</w:t>
      </w:r>
      <w:r>
        <w:rPr>
          <w:rFonts w:hint="eastAsia" w:ascii="仿宋_GB2312" w:hAnsi="宋体" w:eastAsia="仿宋_GB2312" w:cs="宋体"/>
          <w:color w:val="000000"/>
          <w:kern w:val="0"/>
          <w:sz w:val="32"/>
          <w:szCs w:val="32"/>
          <w:shd w:val="clear" w:color="auto" w:fill="FFFFFF"/>
          <w:lang w:val="en-US" w:eastAsia="zh-CN"/>
        </w:rPr>
        <w:t>9</w:t>
      </w:r>
      <w:r>
        <w:rPr>
          <w:rFonts w:hint="eastAsia" w:ascii="仿宋_GB2312" w:hAnsi="宋体" w:eastAsia="仿宋_GB2312" w:cs="宋体"/>
          <w:color w:val="000000"/>
          <w:kern w:val="0"/>
          <w:sz w:val="32"/>
          <w:szCs w:val="32"/>
          <w:shd w:val="clear" w:color="auto" w:fill="FFFFFF"/>
          <w:lang w:val="zh-CN"/>
        </w:rPr>
        <w:t>年度财政预决算项目绩效评价情况认为，通过绩效评价树立了绩效理念，加强了对资金的监管，提高了财政资金的使用效率</w:t>
      </w:r>
    </w:p>
    <w:p>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对部门整体支出评价认识不够，部门财务管理水平有待进一步提高。 </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（1）建议财政部门加强对部门财务人员业务培训，促进部门之间财务工作的相互交流学习。 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（2）督促本部门财务人员加强自身业务学习，提高责任意识和服务意识，进一步提升财务管理水平。</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预防接种服务费</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spacing w:line="600" w:lineRule="exact"/>
        <w:ind w:firstLine="640"/>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sz w:val="32"/>
          <w:szCs w:val="32"/>
          <w:lang w:val="zh-CN"/>
        </w:rPr>
        <w:t>2．</w:t>
      </w:r>
      <w:r>
        <w:rPr>
          <w:rFonts w:hint="eastAsia" w:ascii="仿宋_GB2312" w:hAnsi="宋体" w:eastAsia="仿宋_GB2312" w:cs="宋体"/>
          <w:color w:val="000000"/>
          <w:kern w:val="0"/>
          <w:sz w:val="32"/>
          <w:szCs w:val="32"/>
          <w:shd w:val="clear" w:color="auto" w:fill="FFFFFF"/>
          <w:lang w:val="en-US" w:eastAsia="zh-CN"/>
        </w:rPr>
        <w:t>预防接种是预防控制传染病最经济、最有效的措施，对于保障人民群众生命安全和身体健康具有十分重要的意义，根据《四川省发展和改革委员会四川省财政厅关于疫苗预防接种服务收费标准及有关问题的通知》（川发改价格[2018]331号）规定，第二类疫苗自2018年8月1日停止原来疫苗加价运行模式，疫苗接种单位可向受种者或者其监护人收入预防接种服务费，收费标准为30元/支。为进一步规范疫苗接种收费，保障疫苗接种安全和接种工作正常进行，以及履行被评价单位“</w:t>
      </w:r>
      <w:r>
        <w:rPr>
          <w:rFonts w:hint="eastAsia" w:ascii="仿宋_GB2312" w:hAnsi="仿宋_GB2312" w:eastAsia="仿宋_GB2312"/>
          <w:spacing w:val="6"/>
          <w:sz w:val="32"/>
          <w:szCs w:val="32"/>
        </w:rPr>
        <w:t>免疫规划</w:t>
      </w:r>
      <w:r>
        <w:rPr>
          <w:rFonts w:hint="eastAsia" w:ascii="仿宋_GB2312" w:hAnsi="仿宋_GB2312" w:eastAsia="仿宋_GB2312"/>
          <w:spacing w:val="6"/>
          <w:sz w:val="32"/>
          <w:szCs w:val="32"/>
          <w:lang w:eastAsia="zh-CN"/>
        </w:rPr>
        <w:t>”</w:t>
      </w:r>
      <w:r>
        <w:rPr>
          <w:rFonts w:hint="eastAsia" w:ascii="仿宋_GB2312" w:hAnsi="仿宋_GB2312" w:eastAsia="仿宋_GB2312"/>
          <w:spacing w:val="6"/>
          <w:sz w:val="32"/>
          <w:szCs w:val="32"/>
          <w:lang w:val="en-US" w:eastAsia="zh-CN"/>
        </w:rPr>
        <w:t>基本职责，据此立项。</w:t>
      </w:r>
    </w:p>
    <w:p>
      <w:pPr>
        <w:spacing w:line="600" w:lineRule="exact"/>
        <w:ind w:firstLine="640"/>
        <w:jc w:val="left"/>
        <w:rPr>
          <w:rFonts w:ascii="仿宋_GB2312" w:hAnsi="宋体" w:eastAsia="仿宋_GB2312"/>
          <w:sz w:val="32"/>
          <w:szCs w:val="32"/>
          <w:lang w:val="zh-CN"/>
        </w:rPr>
      </w:pPr>
      <w:r>
        <w:rPr>
          <w:rFonts w:hint="eastAsia" w:ascii="仿宋_GB2312" w:hAnsi="宋体" w:eastAsia="仿宋_GB2312" w:cs="宋体"/>
          <w:color w:val="000000"/>
          <w:kern w:val="0"/>
          <w:sz w:val="32"/>
          <w:szCs w:val="32"/>
          <w:shd w:val="clear" w:color="auto" w:fill="FFFFFF"/>
        </w:rPr>
        <w:t>本项目实施目的是</w:t>
      </w:r>
      <w:r>
        <w:rPr>
          <w:rFonts w:hint="eastAsia" w:ascii="仿宋_GB2312" w:hAnsi="宋体" w:eastAsia="仿宋_GB2312" w:cs="宋体"/>
          <w:color w:val="000000"/>
          <w:kern w:val="0"/>
          <w:sz w:val="32"/>
          <w:szCs w:val="32"/>
          <w:shd w:val="clear" w:color="auto" w:fill="FFFFFF"/>
          <w:lang w:val="en-US" w:eastAsia="zh-CN"/>
        </w:rPr>
        <w:t>为了维持被评价单位和接种单位日常工作开展</w:t>
      </w:r>
      <w:r>
        <w:rPr>
          <w:rFonts w:hint="eastAsia" w:ascii="仿宋_GB2312" w:hAnsi="宋体" w:eastAsia="仿宋_GB2312" w:cs="宋体"/>
          <w:color w:val="000000"/>
          <w:kern w:val="0"/>
          <w:sz w:val="32"/>
          <w:szCs w:val="32"/>
          <w:shd w:val="clear" w:color="auto" w:fill="FFFFFF"/>
        </w:rPr>
        <w:t>。</w:t>
      </w:r>
    </w:p>
    <w:p>
      <w:pPr>
        <w:spacing w:line="600" w:lineRule="exact"/>
        <w:ind w:firstLine="640"/>
        <w:jc w:val="left"/>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sz w:val="32"/>
          <w:szCs w:val="32"/>
          <w:lang w:val="zh-CN"/>
        </w:rPr>
        <w:t>3．</w:t>
      </w:r>
      <w:r>
        <w:rPr>
          <w:rFonts w:hint="eastAsia" w:ascii="仿宋_GB2312" w:hAnsi="宋体" w:eastAsia="仿宋_GB2312" w:cs="宋体"/>
          <w:color w:val="000000"/>
          <w:kern w:val="0"/>
          <w:sz w:val="32"/>
          <w:szCs w:val="32"/>
          <w:shd w:val="clear" w:color="auto" w:fill="FFFFFF"/>
        </w:rPr>
        <w:t>本项目</w:t>
      </w:r>
      <w:r>
        <w:rPr>
          <w:rFonts w:hint="eastAsia" w:ascii="仿宋_GB2312" w:hAnsi="宋体" w:eastAsia="仿宋_GB2312" w:cs="宋体"/>
          <w:color w:val="000000"/>
          <w:kern w:val="0"/>
          <w:sz w:val="32"/>
          <w:szCs w:val="32"/>
          <w:shd w:val="clear" w:color="auto" w:fill="FFFFFF"/>
          <w:lang w:val="en-US" w:eastAsia="zh-CN"/>
        </w:rPr>
        <w:t>年初</w:t>
      </w:r>
      <w:r>
        <w:rPr>
          <w:rFonts w:hint="eastAsia" w:ascii="仿宋_GB2312" w:hAnsi="宋体" w:eastAsia="仿宋_GB2312" w:cs="宋体"/>
          <w:color w:val="000000"/>
          <w:kern w:val="0"/>
          <w:sz w:val="32"/>
          <w:szCs w:val="32"/>
          <w:shd w:val="clear" w:color="auto" w:fill="FFFFFF"/>
        </w:rPr>
        <w:t>预算资金</w:t>
      </w:r>
      <w:r>
        <w:rPr>
          <w:rFonts w:hint="eastAsia" w:ascii="仿宋_GB2312" w:hAnsi="宋体" w:eastAsia="仿宋_GB2312" w:cs="宋体"/>
          <w:color w:val="000000"/>
          <w:kern w:val="0"/>
          <w:sz w:val="32"/>
          <w:szCs w:val="32"/>
          <w:shd w:val="clear" w:color="auto" w:fill="FFFFFF"/>
          <w:lang w:val="en-US" w:eastAsia="zh-CN"/>
        </w:rPr>
        <w:t>100</w:t>
      </w:r>
      <w:r>
        <w:rPr>
          <w:rFonts w:hint="eastAsia" w:ascii="仿宋_GB2312" w:hAnsi="宋体" w:eastAsia="仿宋_GB2312" w:cs="宋体"/>
          <w:color w:val="000000"/>
          <w:kern w:val="0"/>
          <w:sz w:val="32"/>
          <w:szCs w:val="32"/>
          <w:shd w:val="clear" w:color="auto" w:fill="FFFFFF"/>
        </w:rPr>
        <w:t>万元，资金来源为县级财政资金，根据峨财预[2019]00</w:t>
      </w:r>
      <w:r>
        <w:rPr>
          <w:rFonts w:hint="eastAsia" w:ascii="仿宋_GB2312" w:hAnsi="宋体" w:eastAsia="仿宋_GB2312" w:cs="宋体"/>
          <w:color w:val="000000"/>
          <w:kern w:val="0"/>
          <w:sz w:val="32"/>
          <w:szCs w:val="32"/>
          <w:shd w:val="clear" w:color="auto" w:fill="FFFFFF"/>
          <w:lang w:val="en-US" w:eastAsia="zh-CN"/>
        </w:rPr>
        <w:t>3</w:t>
      </w:r>
      <w:r>
        <w:rPr>
          <w:rFonts w:hint="eastAsia" w:ascii="仿宋_GB2312" w:hAnsi="宋体" w:eastAsia="仿宋_GB2312" w:cs="宋体"/>
          <w:color w:val="000000"/>
          <w:kern w:val="0"/>
          <w:sz w:val="32"/>
          <w:szCs w:val="32"/>
          <w:shd w:val="clear" w:color="auto" w:fill="FFFFFF"/>
        </w:rPr>
        <w:t>号文件下达</w:t>
      </w:r>
      <w:r>
        <w:rPr>
          <w:rFonts w:hint="eastAsia" w:ascii="仿宋_GB2312" w:hAnsi="宋体" w:eastAsia="仿宋_GB2312" w:cs="宋体"/>
          <w:color w:val="000000"/>
          <w:kern w:val="0"/>
          <w:sz w:val="32"/>
          <w:szCs w:val="32"/>
          <w:shd w:val="clear" w:color="auto" w:fill="FFFFFF"/>
          <w:lang w:eastAsia="zh-CN"/>
        </w:rPr>
        <w:t>，</w:t>
      </w:r>
      <w:r>
        <w:rPr>
          <w:rFonts w:hint="eastAsia" w:ascii="仿宋_GB2312" w:hAnsi="宋体" w:eastAsia="仿宋_GB2312" w:cs="宋体"/>
          <w:color w:val="000000"/>
          <w:kern w:val="0"/>
          <w:sz w:val="32"/>
          <w:szCs w:val="32"/>
          <w:shd w:val="clear" w:color="auto" w:fill="FFFFFF"/>
          <w:lang w:val="en-US" w:eastAsia="zh-CN"/>
        </w:rPr>
        <w:t>年中根据总预算035号文件财政追加80万元</w:t>
      </w:r>
      <w:r>
        <w:rPr>
          <w:rFonts w:hint="eastAsia" w:ascii="仿宋_GB2312" w:hAnsi="宋体" w:eastAsia="仿宋_GB2312" w:cs="宋体"/>
          <w:color w:val="000000"/>
          <w:kern w:val="0"/>
          <w:sz w:val="32"/>
          <w:szCs w:val="32"/>
          <w:shd w:val="clear" w:color="auto" w:fill="FFFFFF"/>
        </w:rPr>
        <w:t>。截止 2019 年 12 月31 日，项目实际支出</w:t>
      </w:r>
      <w:r>
        <w:rPr>
          <w:rFonts w:hint="eastAsia" w:ascii="仿宋_GB2312" w:hAnsi="宋体" w:eastAsia="仿宋_GB2312" w:cs="宋体"/>
          <w:color w:val="000000"/>
          <w:kern w:val="0"/>
          <w:sz w:val="32"/>
          <w:szCs w:val="32"/>
          <w:shd w:val="clear" w:color="auto" w:fill="FFFFFF"/>
          <w:lang w:val="en-US" w:eastAsia="zh-CN"/>
        </w:rPr>
        <w:t>180</w:t>
      </w:r>
      <w:r>
        <w:rPr>
          <w:rFonts w:hint="eastAsia" w:ascii="仿宋_GB2312" w:hAnsi="宋体" w:eastAsia="仿宋_GB2312" w:cs="宋体"/>
          <w:color w:val="000000"/>
          <w:kern w:val="0"/>
          <w:sz w:val="32"/>
          <w:szCs w:val="32"/>
          <w:shd w:val="clear" w:color="auto" w:fill="FFFFFF"/>
        </w:rPr>
        <w:t>万元，项目预算执行率</w:t>
      </w:r>
      <w:r>
        <w:rPr>
          <w:rFonts w:hint="eastAsia" w:ascii="仿宋_GB2312" w:hAnsi="宋体" w:eastAsia="仿宋_GB2312" w:cs="宋体"/>
          <w:color w:val="000000"/>
          <w:kern w:val="0"/>
          <w:sz w:val="32"/>
          <w:szCs w:val="32"/>
          <w:shd w:val="clear" w:color="auto" w:fill="FFFFFF"/>
          <w:lang w:val="en-US" w:eastAsia="zh-CN"/>
        </w:rPr>
        <w:t>100</w:t>
      </w:r>
      <w:r>
        <w:rPr>
          <w:rFonts w:hint="eastAsia" w:ascii="仿宋_GB2312" w:hAnsi="宋体" w:eastAsia="仿宋_GB2312" w:cs="宋体"/>
          <w:color w:val="000000"/>
          <w:kern w:val="0"/>
          <w:sz w:val="32"/>
          <w:szCs w:val="32"/>
          <w:shd w:val="clear" w:color="auto" w:fill="FFFFFF"/>
        </w:rPr>
        <w:t>%。</w:t>
      </w:r>
    </w:p>
    <w:p>
      <w:pPr>
        <w:adjustRightInd w:val="0"/>
        <w:snapToGrid w:val="0"/>
        <w:spacing w:line="600" w:lineRule="exact"/>
        <w:ind w:firstLine="720"/>
        <w:rPr>
          <w:rFonts w:ascii="仿宋_GB2312" w:hAnsi="宋体" w:eastAsia="仿宋_GB2312"/>
          <w:sz w:val="32"/>
          <w:szCs w:val="32"/>
          <w:lang w:val="zh-CN"/>
        </w:rPr>
      </w:pP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spacing w:line="600" w:lineRule="exact"/>
        <w:ind w:firstLine="640" w:firstLineChars="200"/>
        <w:rPr>
          <w:rFonts w:ascii="仿宋_GB2312" w:hAnsi="宋体" w:eastAsia="仿宋_GB2312"/>
          <w:sz w:val="32"/>
          <w:szCs w:val="32"/>
          <w:lang w:val="zh-CN"/>
        </w:rPr>
      </w:pPr>
      <w:r>
        <w:rPr>
          <w:rFonts w:hint="eastAsia" w:ascii="仿宋_GB2312" w:eastAsia="仿宋_GB2312"/>
          <w:sz w:val="32"/>
          <w:szCs w:val="32"/>
          <w:lang w:val="zh-CN"/>
        </w:rPr>
        <w:t>2．</w:t>
      </w:r>
      <w:r>
        <w:rPr>
          <w:rFonts w:hint="eastAsia" w:ascii="仿宋_GB2312" w:eastAsia="仿宋_GB2312"/>
          <w:sz w:val="32"/>
          <w:szCs w:val="32"/>
        </w:rPr>
        <w:t>按各个下达资金文件具体制定方案，审核以上级文件下达的绩效考核目标为依据。</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eastAsia="仿宋_GB2312"/>
          <w:sz w:val="32"/>
          <w:szCs w:val="32"/>
        </w:rPr>
        <w:t>项目资金是按照中央、省、地方下达资金文件要求上需要完成的任务量，工作安排等由业务科室提出具体的实施方案，由项目财务审查后交地方财政分管股室审批方案的可行性。以上拔付的资金与项目申报都是相符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本项目</w:t>
      </w:r>
      <w:r>
        <w:rPr>
          <w:rFonts w:hint="eastAsia" w:ascii="仿宋_GB2312" w:hAnsi="宋体" w:eastAsia="仿宋_GB2312" w:cs="宋体"/>
          <w:color w:val="000000"/>
          <w:kern w:val="0"/>
          <w:sz w:val="32"/>
          <w:szCs w:val="32"/>
          <w:shd w:val="clear" w:color="auto" w:fill="FFFFFF"/>
          <w:lang w:val="en-US" w:eastAsia="zh-CN"/>
        </w:rPr>
        <w:t>年初</w:t>
      </w:r>
      <w:r>
        <w:rPr>
          <w:rFonts w:hint="eastAsia" w:ascii="仿宋_GB2312" w:hAnsi="宋体" w:eastAsia="仿宋_GB2312" w:cs="宋体"/>
          <w:color w:val="000000"/>
          <w:kern w:val="0"/>
          <w:sz w:val="32"/>
          <w:szCs w:val="32"/>
          <w:shd w:val="clear" w:color="auto" w:fill="FFFFFF"/>
        </w:rPr>
        <w:t>预算资金</w:t>
      </w:r>
      <w:r>
        <w:rPr>
          <w:rFonts w:hint="eastAsia" w:ascii="仿宋_GB2312" w:hAnsi="宋体" w:eastAsia="仿宋_GB2312" w:cs="宋体"/>
          <w:color w:val="000000"/>
          <w:kern w:val="0"/>
          <w:sz w:val="32"/>
          <w:szCs w:val="32"/>
          <w:shd w:val="clear" w:color="auto" w:fill="FFFFFF"/>
          <w:lang w:val="en-US" w:eastAsia="zh-CN"/>
        </w:rPr>
        <w:t>100</w:t>
      </w:r>
      <w:r>
        <w:rPr>
          <w:rFonts w:hint="eastAsia" w:ascii="仿宋_GB2312" w:hAnsi="宋体" w:eastAsia="仿宋_GB2312" w:cs="宋体"/>
          <w:color w:val="000000"/>
          <w:kern w:val="0"/>
          <w:sz w:val="32"/>
          <w:szCs w:val="32"/>
          <w:shd w:val="clear" w:color="auto" w:fill="FFFFFF"/>
        </w:rPr>
        <w:t>万元，资金来源为县级财政资金，根据峨财预[2019]00</w:t>
      </w:r>
      <w:r>
        <w:rPr>
          <w:rFonts w:hint="eastAsia" w:ascii="仿宋_GB2312" w:hAnsi="宋体" w:eastAsia="仿宋_GB2312" w:cs="宋体"/>
          <w:color w:val="000000"/>
          <w:kern w:val="0"/>
          <w:sz w:val="32"/>
          <w:szCs w:val="32"/>
          <w:shd w:val="clear" w:color="auto" w:fill="FFFFFF"/>
          <w:lang w:val="en-US" w:eastAsia="zh-CN"/>
        </w:rPr>
        <w:t>3</w:t>
      </w:r>
      <w:r>
        <w:rPr>
          <w:rFonts w:hint="eastAsia" w:ascii="仿宋_GB2312" w:hAnsi="宋体" w:eastAsia="仿宋_GB2312" w:cs="宋体"/>
          <w:color w:val="000000"/>
          <w:kern w:val="0"/>
          <w:sz w:val="32"/>
          <w:szCs w:val="32"/>
          <w:shd w:val="clear" w:color="auto" w:fill="FFFFFF"/>
        </w:rPr>
        <w:t>号文件下达</w:t>
      </w:r>
      <w:r>
        <w:rPr>
          <w:rFonts w:hint="eastAsia" w:ascii="仿宋_GB2312" w:hAnsi="宋体" w:eastAsia="仿宋_GB2312" w:cs="宋体"/>
          <w:color w:val="000000"/>
          <w:kern w:val="0"/>
          <w:sz w:val="32"/>
          <w:szCs w:val="32"/>
          <w:shd w:val="clear" w:color="auto" w:fill="FFFFFF"/>
          <w:lang w:eastAsia="zh-CN"/>
        </w:rPr>
        <w:t>，</w:t>
      </w:r>
      <w:r>
        <w:rPr>
          <w:rFonts w:hint="eastAsia" w:ascii="仿宋_GB2312" w:hAnsi="宋体" w:eastAsia="仿宋_GB2312" w:cs="宋体"/>
          <w:color w:val="000000"/>
          <w:kern w:val="0"/>
          <w:sz w:val="32"/>
          <w:szCs w:val="32"/>
          <w:shd w:val="clear" w:color="auto" w:fill="FFFFFF"/>
          <w:lang w:val="en-US" w:eastAsia="zh-CN"/>
        </w:rPr>
        <w:t>年中根据总预算035号文件财政追加80万元</w:t>
      </w:r>
      <w:r>
        <w:rPr>
          <w:rFonts w:hint="eastAsia" w:ascii="仿宋_GB2312" w:hAnsi="宋体" w:eastAsia="仿宋_GB2312" w:cs="宋体"/>
          <w:color w:val="000000"/>
          <w:kern w:val="0"/>
          <w:sz w:val="32"/>
          <w:szCs w:val="32"/>
          <w:shd w:val="clear" w:color="auto" w:fill="FFFFFF"/>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hint="eastAsia" w:ascii="仿宋_GB2312" w:hAnsi="宋体" w:eastAsia="仿宋_GB2312" w:cs="宋体"/>
          <w:color w:val="000000"/>
          <w:kern w:val="0"/>
          <w:sz w:val="32"/>
          <w:szCs w:val="32"/>
          <w:shd w:val="clear" w:color="auto" w:fill="FFFFFF"/>
        </w:rPr>
      </w:pPr>
      <w:r>
        <w:rPr>
          <w:rFonts w:hint="eastAsia" w:ascii="楷体_GB2312" w:hAnsi="宋体" w:eastAsia="楷体_GB2312"/>
          <w:sz w:val="32"/>
          <w:szCs w:val="32"/>
          <w:lang w:val="zh-CN"/>
        </w:rPr>
        <w:t>2．资金到位。</w:t>
      </w:r>
      <w:r>
        <w:rPr>
          <w:rFonts w:hint="eastAsia" w:ascii="仿宋_GB2312" w:hAnsi="宋体" w:eastAsia="仿宋_GB2312" w:cs="宋体"/>
          <w:color w:val="000000"/>
          <w:kern w:val="0"/>
          <w:sz w:val="32"/>
          <w:szCs w:val="32"/>
          <w:shd w:val="clear" w:color="auto" w:fill="FFFFFF"/>
        </w:rPr>
        <w:t>截止 2019 年 12 月31 日，项目实际支出</w:t>
      </w:r>
      <w:r>
        <w:rPr>
          <w:rFonts w:hint="eastAsia" w:ascii="仿宋_GB2312" w:hAnsi="宋体" w:eastAsia="仿宋_GB2312" w:cs="宋体"/>
          <w:color w:val="000000"/>
          <w:kern w:val="0"/>
          <w:sz w:val="32"/>
          <w:szCs w:val="32"/>
          <w:shd w:val="clear" w:color="auto" w:fill="FFFFFF"/>
          <w:lang w:val="en-US" w:eastAsia="zh-CN"/>
        </w:rPr>
        <w:t>180</w:t>
      </w:r>
      <w:r>
        <w:rPr>
          <w:rFonts w:hint="eastAsia" w:ascii="仿宋_GB2312" w:hAnsi="宋体" w:eastAsia="仿宋_GB2312" w:cs="宋体"/>
          <w:color w:val="000000"/>
          <w:kern w:val="0"/>
          <w:sz w:val="32"/>
          <w:szCs w:val="32"/>
          <w:shd w:val="clear" w:color="auto" w:fill="FFFFFF"/>
        </w:rPr>
        <w:t>万元，项目预算执行率</w:t>
      </w:r>
      <w:r>
        <w:rPr>
          <w:rFonts w:hint="eastAsia" w:ascii="仿宋_GB2312" w:hAnsi="宋体" w:eastAsia="仿宋_GB2312" w:cs="宋体"/>
          <w:color w:val="000000"/>
          <w:kern w:val="0"/>
          <w:sz w:val="32"/>
          <w:szCs w:val="32"/>
          <w:shd w:val="clear" w:color="auto" w:fill="FFFFFF"/>
          <w:lang w:val="en-US" w:eastAsia="zh-CN"/>
        </w:rPr>
        <w:t>100</w:t>
      </w:r>
      <w:r>
        <w:rPr>
          <w:rFonts w:hint="eastAsia" w:ascii="仿宋_GB2312" w:hAnsi="宋体" w:eastAsia="仿宋_GB2312" w:cs="宋体"/>
          <w:color w:val="000000"/>
          <w:kern w:val="0"/>
          <w:sz w:val="32"/>
          <w:szCs w:val="32"/>
          <w:shd w:val="clear" w:color="auto" w:fill="FFFFFF"/>
        </w:rPr>
        <w:t>%。</w:t>
      </w:r>
    </w:p>
    <w:p>
      <w:pPr>
        <w:spacing w:line="60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3．资金使用。</w:t>
      </w:r>
    </w:p>
    <w:p>
      <w:pPr>
        <w:spacing w:line="600" w:lineRule="exact"/>
        <w:ind w:firstLine="640" w:firstLineChars="200"/>
        <w:rPr>
          <w:rFonts w:ascii="仿宋_GB2312" w:hAnsi="宋体" w:eastAsia="仿宋_GB2312"/>
          <w:sz w:val="32"/>
          <w:szCs w:val="32"/>
          <w:lang w:val="zh-CN"/>
        </w:rPr>
      </w:pPr>
      <w:r>
        <w:rPr>
          <w:rFonts w:hint="eastAsia" w:ascii="仿宋_GB2312" w:eastAsia="仿宋_GB2312"/>
          <w:sz w:val="32"/>
          <w:szCs w:val="32"/>
        </w:rPr>
        <w:t>资金均严格按拟定的项目实施方案支出，若有需要调整申报方案的，均由单位向主管局正式报告申请，经批复后才能按实际需要调整。</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在经费管理制度建设方面，我们做到每个项目都有经费计划、实施方案，结合本地实际制定了试行的经费使用标准，按照之前项目内控制度，执行物资管理、经费报账等，资金管理统一按市财政专项要求执行；资金使用方面，严格做到了专款专用，无截留、挤占、挪用等违规现象，并发挥经费最大效益；在项目任务完成情况方面，保质保量完成了国家、省、市各项工作任务以及考核指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spacing w:line="600" w:lineRule="exact"/>
        <w:ind w:firstLine="640"/>
        <w:jc w:val="left"/>
        <w:rPr>
          <w:rFonts w:hint="default" w:ascii="仿宋_GB2312" w:hAnsi="宋体" w:eastAsia="仿宋_GB2312" w:cs="宋体"/>
          <w:color w:val="000000"/>
          <w:kern w:val="0"/>
          <w:sz w:val="32"/>
          <w:szCs w:val="32"/>
          <w:shd w:val="clear" w:color="auto" w:fill="FFFFFF"/>
          <w:lang w:val="en-US"/>
        </w:rPr>
      </w:pPr>
      <w:r>
        <w:rPr>
          <w:rFonts w:hint="eastAsia" w:ascii="仿宋_GB2312" w:hAnsi="宋体" w:eastAsia="仿宋_GB2312" w:cs="宋体"/>
          <w:color w:val="000000"/>
          <w:kern w:val="0"/>
          <w:sz w:val="32"/>
          <w:szCs w:val="32"/>
          <w:shd w:val="clear" w:color="auto" w:fill="FFFFFF"/>
          <w:lang w:val="en-US" w:eastAsia="zh-CN"/>
        </w:rPr>
        <w:t>被评价单位根据文件向第二类疫苗接种者收取接种服务费，按季度上缴财政，每年初向财政申请该项目资金。被评价单位根据各卫生院每次购买二类疫苗数，向其拨付项目资金，作为各卫生院人工服务费、耗材购买费等支出，除向各卫生院拨付资金，剩余部分被评价单位用于疫苗冷库消耗的电费、维修费以及相关人员工资补贴。项目实施后补贴了被评价单位日常工作经费的不足，保障了疫苗运输与接种工作顺利进行，项目实施情况良好。</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ind w:firstLine="640"/>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rPr>
        <w:t>完成数量：</w:t>
      </w:r>
      <w:r>
        <w:rPr>
          <w:rFonts w:hint="eastAsia" w:ascii="仿宋_GB2312" w:hAnsi="宋体" w:eastAsia="仿宋_GB2312" w:cs="宋体"/>
          <w:color w:val="000000"/>
          <w:kern w:val="0"/>
          <w:sz w:val="32"/>
          <w:szCs w:val="32"/>
          <w:shd w:val="clear" w:color="auto" w:fill="FFFFFF"/>
          <w:lang w:val="en-US" w:eastAsia="zh-CN"/>
        </w:rPr>
        <w:t>疫苗接种服务费（非税收入）年上交次数4次，年初未设置该数量指标值。</w:t>
      </w:r>
    </w:p>
    <w:p>
      <w:pPr>
        <w:ind w:firstLine="640"/>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完成成本：</w:t>
      </w:r>
      <w:r>
        <w:rPr>
          <w:rFonts w:hint="eastAsia" w:ascii="仿宋_GB2312" w:hAnsi="宋体" w:eastAsia="仿宋_GB2312" w:cs="宋体"/>
          <w:color w:val="000000"/>
          <w:kern w:val="0"/>
          <w:sz w:val="32"/>
          <w:szCs w:val="32"/>
          <w:shd w:val="clear" w:color="auto" w:fill="FFFFFF"/>
          <w:lang w:val="en-US" w:eastAsia="zh-CN"/>
        </w:rPr>
        <w:t>本年度实际使用100万院，成本使用率为100%</w:t>
      </w:r>
      <w:r>
        <w:rPr>
          <w:rFonts w:hint="eastAsia" w:ascii="仿宋_GB2312" w:hAnsi="宋体" w:eastAsia="仿宋_GB2312" w:cs="宋体"/>
          <w:color w:val="000000"/>
          <w:kern w:val="0"/>
          <w:sz w:val="32"/>
          <w:szCs w:val="32"/>
          <w:shd w:val="clear" w:color="auto" w:fill="FFFFFF"/>
        </w:rPr>
        <w:t>。</w:t>
      </w:r>
    </w:p>
    <w:p>
      <w:pPr>
        <w:ind w:firstLine="640"/>
        <w:rPr>
          <w:rFonts w:hint="eastAsia"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shd w:val="clear" w:color="auto" w:fill="FFFFFF"/>
        </w:rPr>
        <w:t>完成质量:</w:t>
      </w:r>
      <w:r>
        <w:rPr>
          <w:rFonts w:hint="eastAsia" w:ascii="仿宋_GB2312" w:hAnsi="宋体" w:eastAsia="仿宋_GB2312" w:cs="宋体"/>
          <w:color w:val="000000"/>
          <w:kern w:val="0"/>
          <w:sz w:val="32"/>
          <w:szCs w:val="32"/>
          <w:shd w:val="clear" w:color="auto" w:fill="FFFFFF"/>
          <w:lang w:val="en-US" w:eastAsia="zh-CN"/>
        </w:rPr>
        <w:t>按要求完成</w:t>
      </w:r>
      <w:r>
        <w:rPr>
          <w:rFonts w:hint="eastAsia" w:ascii="仿宋_GB2312" w:hAnsi="宋体" w:eastAsia="仿宋_GB2312" w:cs="宋体"/>
          <w:color w:val="000000"/>
          <w:kern w:val="0"/>
          <w:sz w:val="32"/>
          <w:szCs w:val="32"/>
          <w:highlight w:val="none"/>
          <w:shd w:val="clear" w:color="auto" w:fill="FFFFFF"/>
        </w:rPr>
        <w:t>。</w:t>
      </w:r>
    </w:p>
    <w:p>
      <w:pPr>
        <w:ind w:firstLine="640"/>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完成时效：2019年按时完成。</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ind w:firstLine="640"/>
        <w:rPr>
          <w:rFonts w:hint="eastAsia"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shd w:val="clear" w:color="auto" w:fill="FFFFFF"/>
          <w:lang w:val="en-US" w:eastAsia="zh-CN"/>
        </w:rPr>
        <w:t>减轻群众负担</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en-US" w:eastAsia="zh-CN"/>
        </w:rPr>
        <w:t>仅收取二类疫苗接种30元服务费，未对二类疫苗加价，减轻了群众疫苗接种负担</w:t>
      </w:r>
      <w:r>
        <w:rPr>
          <w:rFonts w:hint="eastAsia" w:ascii="仿宋_GB2312" w:hAnsi="宋体" w:eastAsia="仿宋_GB2312" w:cs="宋体"/>
          <w:color w:val="000000"/>
          <w:kern w:val="0"/>
          <w:sz w:val="32"/>
          <w:szCs w:val="32"/>
          <w:highlight w:val="none"/>
          <w:shd w:val="clear" w:color="auto" w:fill="FFFFFF"/>
        </w:rPr>
        <w:t>。</w:t>
      </w:r>
    </w:p>
    <w:p>
      <w:pPr>
        <w:ind w:firstLine="640"/>
        <w:rPr>
          <w:rFonts w:hint="default" w:ascii="仿宋_GB2312" w:hAnsi="宋体" w:eastAsia="仿宋_GB2312" w:cs="宋体"/>
          <w:color w:val="000000"/>
          <w:kern w:val="0"/>
          <w:sz w:val="32"/>
          <w:szCs w:val="32"/>
          <w:highlight w:val="none"/>
          <w:shd w:val="clear" w:color="auto" w:fill="FFFFFF"/>
          <w:lang w:val="en-US" w:eastAsia="zh-CN"/>
        </w:rPr>
      </w:pPr>
      <w:r>
        <w:rPr>
          <w:rFonts w:hint="eastAsia" w:ascii="仿宋_GB2312" w:hAnsi="宋体" w:eastAsia="仿宋_GB2312" w:cs="宋体"/>
          <w:color w:val="000000"/>
          <w:kern w:val="0"/>
          <w:sz w:val="32"/>
          <w:szCs w:val="32"/>
          <w:highlight w:val="none"/>
          <w:shd w:val="clear" w:color="auto" w:fill="FFFFFF"/>
          <w:lang w:val="en-US" w:eastAsia="zh-CN"/>
        </w:rPr>
        <w:t>提升二类疫苗接种普及率：二类疫苗不加价，增加接种普及率100%。</w:t>
      </w:r>
    </w:p>
    <w:p>
      <w:pPr>
        <w:ind w:firstLine="640"/>
        <w:rPr>
          <w:rFonts w:hint="eastAsia"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highlight w:val="none"/>
          <w:shd w:val="clear" w:color="auto" w:fill="FFFFFF"/>
          <w:lang w:val="en-US" w:eastAsia="zh-CN"/>
        </w:rPr>
        <w:t>被接种人</w:t>
      </w:r>
      <w:r>
        <w:rPr>
          <w:rFonts w:ascii="仿宋_GB2312" w:hAnsi="宋体" w:eastAsia="仿宋_GB2312" w:cs="宋体"/>
          <w:color w:val="000000"/>
          <w:kern w:val="0"/>
          <w:sz w:val="32"/>
          <w:szCs w:val="32"/>
          <w:highlight w:val="none"/>
          <w:shd w:val="clear" w:color="auto" w:fill="FFFFFF"/>
        </w:rPr>
        <w:t>满意度</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shd w:val="clear" w:color="auto" w:fill="FFFFFF"/>
        </w:rPr>
        <w:t>评价小组对</w:t>
      </w:r>
      <w:r>
        <w:rPr>
          <w:rFonts w:hint="eastAsia" w:ascii="仿宋_GB2312" w:hAnsi="宋体" w:eastAsia="仿宋_GB2312" w:cs="宋体"/>
          <w:color w:val="000000"/>
          <w:kern w:val="0"/>
          <w:sz w:val="32"/>
          <w:szCs w:val="32"/>
          <w:highlight w:val="none"/>
          <w:shd w:val="clear" w:color="auto" w:fill="FFFFFF"/>
          <w:lang w:val="en-US" w:eastAsia="zh-CN"/>
        </w:rPr>
        <w:t>被接种人</w:t>
      </w:r>
      <w:r>
        <w:rPr>
          <w:rFonts w:hint="eastAsia" w:ascii="仿宋_GB2312" w:hAnsi="宋体" w:eastAsia="仿宋_GB2312" w:cs="宋体"/>
          <w:color w:val="000000"/>
          <w:kern w:val="0"/>
          <w:sz w:val="32"/>
          <w:szCs w:val="32"/>
          <w:shd w:val="clear" w:color="auto" w:fill="FFFFFF"/>
        </w:rPr>
        <w:t>进行了满意度调查，发放并收回了5份，总体满意度为100%。</w:t>
      </w:r>
    </w:p>
    <w:p>
      <w:pPr>
        <w:ind w:firstLine="640"/>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工作人员满意度：</w:t>
      </w:r>
      <w:r>
        <w:rPr>
          <w:rFonts w:hint="eastAsia" w:ascii="仿宋_GB2312" w:hAnsi="宋体" w:eastAsia="仿宋_GB2312" w:cs="宋体"/>
          <w:color w:val="000000"/>
          <w:kern w:val="0"/>
          <w:sz w:val="32"/>
          <w:szCs w:val="32"/>
          <w:shd w:val="clear" w:color="auto" w:fill="FFFFFF"/>
        </w:rPr>
        <w:t>评价小组对</w:t>
      </w:r>
      <w:r>
        <w:rPr>
          <w:rFonts w:hint="eastAsia" w:ascii="仿宋_GB2312" w:hAnsi="宋体" w:eastAsia="仿宋_GB2312" w:cs="宋体"/>
          <w:color w:val="000000"/>
          <w:kern w:val="0"/>
          <w:sz w:val="32"/>
          <w:szCs w:val="32"/>
          <w:shd w:val="clear" w:color="auto" w:fill="FFFFFF"/>
          <w:lang w:val="en-US" w:eastAsia="zh-CN"/>
        </w:rPr>
        <w:t>工作人员</w:t>
      </w:r>
      <w:r>
        <w:rPr>
          <w:rFonts w:hint="eastAsia" w:ascii="仿宋_GB2312" w:hAnsi="宋体" w:eastAsia="仿宋_GB2312" w:cs="宋体"/>
          <w:color w:val="000000"/>
          <w:kern w:val="0"/>
          <w:sz w:val="32"/>
          <w:szCs w:val="32"/>
          <w:shd w:val="clear" w:color="auto" w:fill="FFFFFF"/>
        </w:rPr>
        <w:t>进行了满意度调查，发放并收回了5份，总体满意度为100%。</w:t>
      </w:r>
    </w:p>
    <w:p>
      <w:pPr>
        <w:rPr>
          <w:rFonts w:hint="eastAsia" w:ascii="仿宋_GB2312" w:hAnsi="宋体" w:eastAsia="仿宋_GB2312" w:cs="宋体"/>
          <w:color w:val="000000"/>
          <w:kern w:val="0"/>
          <w:sz w:val="32"/>
          <w:szCs w:val="32"/>
          <w:highlight w:val="none"/>
          <w:shd w:val="clear" w:color="auto" w:fill="FFFFFF"/>
        </w:rPr>
      </w:pPr>
      <w:r>
        <w:rPr>
          <w:rFonts w:hint="eastAsia" w:ascii="仿宋_GB2312" w:hAnsi="宋体" w:eastAsia="仿宋_GB2312" w:cs="宋体"/>
          <w:color w:val="000000"/>
          <w:kern w:val="0"/>
          <w:sz w:val="32"/>
          <w:szCs w:val="32"/>
          <w:highlight w:val="none"/>
          <w:shd w:val="clear" w:color="auto" w:fill="FFFFFF"/>
          <w:lang w:val="en-US" w:eastAsia="zh-CN"/>
        </w:rPr>
        <w:t>该项目实施后对以后二类疫苗接种人持续性效益</w:t>
      </w:r>
      <w:r>
        <w:rPr>
          <w:rFonts w:hint="eastAsia" w:ascii="仿宋_GB2312" w:hAnsi="宋体" w:eastAsia="仿宋_GB2312" w:cs="宋体"/>
          <w:color w:val="000000"/>
          <w:kern w:val="0"/>
          <w:sz w:val="32"/>
          <w:szCs w:val="32"/>
          <w:highlight w:val="none"/>
          <w:shd w:val="clear" w:color="auto" w:fill="FFFFFF"/>
        </w:rPr>
        <w:t>：</w:t>
      </w:r>
      <w:r>
        <w:rPr>
          <w:rFonts w:hint="eastAsia" w:ascii="仿宋_GB2312" w:hAnsi="宋体" w:eastAsia="仿宋_GB2312" w:cs="宋体"/>
          <w:color w:val="000000"/>
          <w:kern w:val="0"/>
          <w:sz w:val="32"/>
          <w:szCs w:val="32"/>
          <w:highlight w:val="none"/>
          <w:shd w:val="clear" w:color="auto" w:fill="FFFFFF"/>
          <w:lang w:val="en-US" w:eastAsia="zh-CN"/>
        </w:rPr>
        <w:t>项目实施后，通过向被接种人收取二类疫苗服务费，补充被评价单位及各卫生院工作经费，维持接种单位日常工作需要，对接种人具有可持续效益</w:t>
      </w:r>
      <w:r>
        <w:rPr>
          <w:rFonts w:hint="eastAsia" w:ascii="仿宋_GB2312" w:hAnsi="宋体" w:eastAsia="仿宋_GB2312" w:cs="宋体"/>
          <w:color w:val="000000"/>
          <w:kern w:val="0"/>
          <w:sz w:val="32"/>
          <w:szCs w:val="32"/>
          <w:highlight w:val="none"/>
          <w:shd w:val="clear" w:color="auto" w:fill="FFFFFF"/>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财政拨付时间滞后。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职业病防治</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2．</w:t>
      </w:r>
      <w:r>
        <w:rPr>
          <w:rFonts w:hint="eastAsia" w:ascii="仿宋_GB2312" w:hAnsi="仿宋_GB2312" w:eastAsia="仿宋_GB2312" w:cs="仿宋_GB2312"/>
          <w:bCs/>
          <w:color w:val="000000"/>
          <w:sz w:val="32"/>
          <w:szCs w:val="32"/>
        </w:rPr>
        <w:t>2019年职业病防治专项资金预算编制在2019年下达年度资金共计为</w:t>
      </w:r>
      <w:r>
        <w:rPr>
          <w:rFonts w:hint="eastAsia" w:ascii="仿宋_GB2312" w:hAnsi="仿宋_GB2312" w:eastAsia="仿宋_GB2312" w:cs="仿宋_GB2312"/>
          <w:bCs/>
          <w:color w:val="000000"/>
          <w:sz w:val="32"/>
          <w:szCs w:val="32"/>
          <w:lang w:val="en-US" w:eastAsia="zh-CN"/>
        </w:rPr>
        <w:t>22.98</w:t>
      </w:r>
      <w:r>
        <w:rPr>
          <w:rFonts w:hint="eastAsia" w:ascii="仿宋_GB2312" w:hAnsi="仿宋_GB2312" w:eastAsia="仿宋_GB2312" w:cs="仿宋_GB2312"/>
          <w:bCs/>
          <w:color w:val="000000"/>
          <w:sz w:val="32"/>
          <w:szCs w:val="32"/>
        </w:rPr>
        <w:t>万元</w:t>
      </w:r>
      <w:r>
        <w:rPr>
          <w:rFonts w:hint="eastAsia" w:ascii="仿宋_GB2312" w:hAnsi="仿宋_GB2312" w:eastAsia="仿宋_GB2312" w:cs="仿宋_GB2312"/>
          <w:bCs/>
          <w:color w:val="000000"/>
          <w:sz w:val="32"/>
          <w:szCs w:val="32"/>
          <w:lang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zh-CN"/>
        </w:rPr>
        <w:t>2．</w:t>
      </w:r>
      <w:r>
        <w:rPr>
          <w:rFonts w:hint="eastAsia" w:ascii="仿宋_GB2312" w:eastAsia="仿宋_GB2312"/>
          <w:sz w:val="32"/>
          <w:szCs w:val="32"/>
        </w:rPr>
        <w:t>按各个下达资金文件具体制定方案，审核以上级文件下达的绩效考核目标为依据。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《职业病防治法》宣传费用7.98万元。绩效目标：进</w:t>
      </w:r>
      <w:r>
        <w:rPr>
          <w:rFonts w:hint="eastAsia" w:ascii="仿宋_GB2312" w:eastAsia="仿宋_GB2312"/>
          <w:sz w:val="32"/>
          <w:szCs w:val="32"/>
          <w:lang w:eastAsia="zh-CN"/>
        </w:rPr>
        <w:t>一步</w:t>
      </w:r>
      <w:r>
        <w:rPr>
          <w:rFonts w:hint="eastAsia" w:ascii="仿宋_GB2312" w:eastAsia="仿宋_GB2312"/>
          <w:sz w:val="32"/>
          <w:szCs w:val="32"/>
        </w:rPr>
        <w:t>普及《职业病防治法》和职业卫生防护知识，提升全民职业安全素质，优化公共安全治理结构，全方位检验和展示《职业病防治法》学习贯彻成果。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职业卫生监测与监护监管平台信息系统维护项目10万元。绩效目标：提升职业健康监管信息化水平，通过基层部门对我市职业卫生监测与监护监管平台信息系统的使用以及用人单位在使用过程中提出的意见和建议对系统进行优化和维护，使系统更加符合使用者的意图，并根据业务需求对信息进行统计分析，进一步增强全市职业健康监管信息化能力和水平。</w:t>
      </w:r>
    </w:p>
    <w:p>
      <w:pPr>
        <w:spacing w:line="600" w:lineRule="exact"/>
        <w:ind w:firstLine="640" w:firstLineChars="200"/>
        <w:rPr>
          <w:rFonts w:ascii="仿宋_GB2312" w:hAnsi="宋体" w:eastAsia="仿宋_GB2312"/>
          <w:sz w:val="32"/>
          <w:szCs w:val="32"/>
          <w:lang w:val="zh-CN"/>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国家《职业病危害项目申报系统》动态信息管理培训经费5万元。绩效目标：通过培训、学习，使全市监管人员、企业职业卫生管理人员掌握国家《职业病危害项目申报系统》填报规则、方法以及统计处理工作。抓好全市用人单位职业病危害因素申报备案、管理监管等信息管理工作。规范提升全市职业病危害监管工作质量。</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eastAsia="仿宋_GB2312"/>
          <w:sz w:val="32"/>
          <w:szCs w:val="32"/>
        </w:rPr>
        <w:t>项目资金是按照中央、省、地方下达资金文件要求上需要完成的任务量，工作安排等由业务科室提出具体的实施方案，由项目财务审查后交地方财政分管股室审批方案的可行性。以上拔付的资金与项目申报都是相符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cs="宋体"/>
          <w:color w:val="000000"/>
          <w:kern w:val="0"/>
          <w:sz w:val="32"/>
          <w:szCs w:val="32"/>
          <w:shd w:val="clear" w:color="auto" w:fill="FFFFFF"/>
          <w:lang w:eastAsia="zh-CN"/>
        </w:rPr>
      </w:pPr>
      <w:r>
        <w:rPr>
          <w:rFonts w:hint="eastAsia" w:ascii="仿宋_GB2312" w:hAnsi="宋体" w:eastAsia="仿宋_GB2312" w:cs="宋体"/>
          <w:color w:val="000000"/>
          <w:kern w:val="0"/>
          <w:sz w:val="32"/>
          <w:szCs w:val="32"/>
          <w:shd w:val="clear" w:color="auto" w:fill="FFFFFF"/>
        </w:rPr>
        <w:t>本项目</w:t>
      </w:r>
      <w:r>
        <w:rPr>
          <w:rFonts w:hint="eastAsia" w:ascii="仿宋_GB2312" w:hAnsi="宋体" w:eastAsia="仿宋_GB2312" w:cs="宋体"/>
          <w:color w:val="000000"/>
          <w:kern w:val="0"/>
          <w:sz w:val="32"/>
          <w:szCs w:val="32"/>
          <w:shd w:val="clear" w:color="auto" w:fill="FFFFFF"/>
          <w:lang w:val="en-US" w:eastAsia="zh-CN"/>
        </w:rPr>
        <w:t>年初</w:t>
      </w:r>
      <w:r>
        <w:rPr>
          <w:rFonts w:hint="eastAsia" w:ascii="仿宋_GB2312" w:hAnsi="宋体" w:eastAsia="仿宋_GB2312" w:cs="宋体"/>
          <w:color w:val="000000"/>
          <w:kern w:val="0"/>
          <w:sz w:val="32"/>
          <w:szCs w:val="32"/>
          <w:shd w:val="clear" w:color="auto" w:fill="FFFFFF"/>
        </w:rPr>
        <w:t>预算资金</w:t>
      </w:r>
      <w:r>
        <w:rPr>
          <w:rFonts w:hint="eastAsia" w:ascii="仿宋_GB2312" w:hAnsi="宋体" w:eastAsia="仿宋_GB2312" w:cs="宋体"/>
          <w:color w:val="000000"/>
          <w:kern w:val="0"/>
          <w:sz w:val="32"/>
          <w:szCs w:val="32"/>
          <w:shd w:val="clear" w:color="auto" w:fill="FFFFFF"/>
          <w:lang w:val="en-US" w:eastAsia="zh-CN"/>
        </w:rPr>
        <w:t>22.98</w:t>
      </w:r>
      <w:r>
        <w:rPr>
          <w:rFonts w:hint="eastAsia" w:ascii="仿宋_GB2312" w:hAnsi="宋体" w:eastAsia="仿宋_GB2312" w:cs="宋体"/>
          <w:color w:val="000000"/>
          <w:kern w:val="0"/>
          <w:sz w:val="32"/>
          <w:szCs w:val="32"/>
          <w:shd w:val="clear" w:color="auto" w:fill="FFFFFF"/>
        </w:rPr>
        <w:t>万元，资金来源为财政资金</w:t>
      </w:r>
      <w:r>
        <w:rPr>
          <w:rFonts w:hint="eastAsia" w:ascii="仿宋_GB2312" w:hAnsi="宋体" w:eastAsia="仿宋_GB2312" w:cs="宋体"/>
          <w:color w:val="000000"/>
          <w:kern w:val="0"/>
          <w:sz w:val="32"/>
          <w:szCs w:val="32"/>
          <w:shd w:val="clear" w:color="auto" w:fill="FFFFFF"/>
          <w:lang w:eastAsia="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hint="eastAsia" w:ascii="仿宋_GB2312" w:hAnsi="宋体" w:eastAsia="仿宋_GB2312" w:cs="宋体"/>
          <w:color w:val="000000"/>
          <w:kern w:val="0"/>
          <w:sz w:val="32"/>
          <w:szCs w:val="32"/>
          <w:shd w:val="clear" w:color="auto" w:fill="FFFFFF"/>
        </w:rPr>
      </w:pPr>
      <w:r>
        <w:rPr>
          <w:rFonts w:hint="eastAsia" w:ascii="楷体_GB2312" w:hAnsi="宋体" w:eastAsia="楷体_GB2312"/>
          <w:sz w:val="32"/>
          <w:szCs w:val="32"/>
          <w:lang w:val="zh-CN"/>
        </w:rPr>
        <w:t>2．资金到位。</w:t>
      </w:r>
      <w:r>
        <w:rPr>
          <w:rFonts w:hint="eastAsia" w:ascii="仿宋_GB2312" w:hAnsi="宋体" w:eastAsia="仿宋_GB2312" w:cs="宋体"/>
          <w:color w:val="000000"/>
          <w:kern w:val="0"/>
          <w:sz w:val="32"/>
          <w:szCs w:val="32"/>
          <w:shd w:val="clear" w:color="auto" w:fill="FFFFFF"/>
        </w:rPr>
        <w:t>截止 2019 年 12 月31 日，项目实际支出</w:t>
      </w:r>
      <w:r>
        <w:rPr>
          <w:rFonts w:hint="eastAsia" w:ascii="仿宋_GB2312" w:hAnsi="宋体" w:eastAsia="仿宋_GB2312" w:cs="宋体"/>
          <w:color w:val="000000"/>
          <w:kern w:val="0"/>
          <w:sz w:val="32"/>
          <w:szCs w:val="32"/>
          <w:shd w:val="clear" w:color="auto" w:fill="FFFFFF"/>
          <w:lang w:val="en-US" w:eastAsia="zh-CN"/>
        </w:rPr>
        <w:t>12.78</w:t>
      </w:r>
      <w:r>
        <w:rPr>
          <w:rFonts w:hint="eastAsia" w:ascii="仿宋_GB2312" w:hAnsi="宋体" w:eastAsia="仿宋_GB2312" w:cs="宋体"/>
          <w:color w:val="000000"/>
          <w:kern w:val="0"/>
          <w:sz w:val="32"/>
          <w:szCs w:val="32"/>
          <w:shd w:val="clear" w:color="auto" w:fill="FFFFFF"/>
        </w:rPr>
        <w:t>万元，项目预算执行率</w:t>
      </w:r>
      <w:r>
        <w:rPr>
          <w:rFonts w:hint="eastAsia" w:ascii="仿宋_GB2312" w:hAnsi="宋体" w:eastAsia="仿宋_GB2312" w:cs="宋体"/>
          <w:color w:val="000000"/>
          <w:kern w:val="0"/>
          <w:sz w:val="32"/>
          <w:szCs w:val="32"/>
          <w:shd w:val="clear" w:color="auto" w:fill="FFFFFF"/>
          <w:lang w:val="en-US" w:eastAsia="zh-CN"/>
        </w:rPr>
        <w:t>55.61%</w:t>
      </w:r>
      <w:r>
        <w:rPr>
          <w:rFonts w:hint="eastAsia" w:ascii="仿宋_GB2312" w:hAnsi="宋体" w:eastAsia="仿宋_GB2312" w:cs="宋体"/>
          <w:color w:val="000000"/>
          <w:kern w:val="0"/>
          <w:sz w:val="32"/>
          <w:szCs w:val="32"/>
          <w:shd w:val="clear" w:color="auto" w:fill="FFFFFF"/>
        </w:rPr>
        <w:t>。</w:t>
      </w:r>
    </w:p>
    <w:p>
      <w:pPr>
        <w:spacing w:line="60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3．资金使用。</w:t>
      </w:r>
    </w:p>
    <w:p>
      <w:pPr>
        <w:numPr>
          <w:ilvl w:val="0"/>
          <w:numId w:val="7"/>
        </w:numPr>
        <w:spacing w:line="620" w:lineRule="exact"/>
        <w:ind w:firstLine="640" w:firstLineChars="200"/>
        <w:rPr>
          <w:rFonts w:ascii="仿宋_GB2312" w:hAnsi="宋体" w:eastAsia="仿宋_GB2312"/>
          <w:sz w:val="32"/>
          <w:szCs w:val="32"/>
          <w:lang w:val="zh-CN"/>
        </w:rPr>
      </w:pPr>
      <w:r>
        <w:rPr>
          <w:rFonts w:hint="eastAsia" w:ascii="仿宋_GB2312" w:eastAsia="仿宋_GB2312"/>
          <w:sz w:val="32"/>
          <w:szCs w:val="32"/>
        </w:rPr>
        <w:t>资金均严格按拟定的项目实施方案支出，若有需要调整申报方案的，均由单位向主管局正式报告申请，经批复后才能按实际需要调整。</w:t>
      </w:r>
      <w:r>
        <w:rPr>
          <w:rFonts w:hint="eastAsia" w:ascii="仿宋_GB2312" w:hAnsi="仿宋_GB2312" w:eastAsia="仿宋_GB2312" w:cs="仿宋_GB2312"/>
          <w:bCs/>
          <w:color w:val="000000"/>
          <w:sz w:val="32"/>
          <w:szCs w:val="32"/>
        </w:rPr>
        <w:t>专项资金预算执行进度与预期相符，不存在闲置沉淀浪费现象。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在经费管理制度建设方面，我们做到每个项目都有经费计划、实施方案，结合本地实际制定了试行的经费使用标准，按照之前项目内控制度，执行物资管理、经费报账等，资金管理统一按市财政专项要求执行；资金使用方面，严格做到了专款专用，无截留、挤占、挪用等违规现象，并发挥经费最大效益；在项目任务完成情况方面，保质保量完成了国家、省、市各项工作任务以及考核指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spacing w:line="62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通过广播、互联网、公交移动传媒、现场宣传活动等途径进行《职业病防治法》相关知识宣传，增强劳动者职业病防范意识，在全社会营造有利于开展职业健康工作的良好氛围。进一步普及职业病防护知识，提升全民职业健康素质，全方位检验和展示《职业病防治法》学习贯彻成果。2019年《职业病防治法》宣传费用实现了该项资金绩效目标，达到了预期效果。</w:t>
      </w:r>
    </w:p>
    <w:p>
      <w:pPr>
        <w:spacing w:line="62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（2）</w:t>
      </w:r>
      <w:r>
        <w:rPr>
          <w:rFonts w:hint="eastAsia" w:ascii="仿宋_GB2312" w:hAnsi="仿宋" w:eastAsia="仿宋_GB2312"/>
          <w:sz w:val="30"/>
          <w:szCs w:val="30"/>
        </w:rPr>
        <w:t>通</w:t>
      </w:r>
      <w:r>
        <w:rPr>
          <w:rFonts w:hint="eastAsia" w:ascii="仿宋_GB2312" w:hAnsi="仿宋_GB2312" w:eastAsia="仿宋_GB2312" w:cs="仿宋_GB2312"/>
          <w:bCs/>
          <w:color w:val="000000"/>
          <w:sz w:val="32"/>
          <w:szCs w:val="32"/>
        </w:rPr>
        <w:t>过培训、学习，使全市监管人员、企业职业卫生管理人员掌握国家《职业病危害项目申报系统》填报规则、方法以及统计处理工作。抓好职业卫生申报备案、管理监管等信息管理工作，切实做好职业病危害申报备案工作。2019年国家《职业病危害项目申报系统》动态信息管理培训经费实现了该项资金绩效目标，达到了预期效果。</w:t>
      </w:r>
    </w:p>
    <w:p>
      <w:pPr>
        <w:spacing w:line="62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3）通过基层部门对职业卫生监测与监护监管平台信息系统的使用以及用人单位在使用过程中提出的意见和建议对系统进行优化和维护，使系统更加符合使用者的意图，并根据业务需求对信息进行统计分析，规范提升职业健康监管能力与水平。2019年职业卫生监测与监护监管平台信息系统维护项目费用实现了该项资金绩效目标，达到了预期效果。</w:t>
      </w:r>
    </w:p>
    <w:p>
      <w:pPr>
        <w:spacing w:line="620" w:lineRule="exact"/>
        <w:rPr>
          <w:rFonts w:hint="eastAsia" w:ascii="仿宋_GB2312" w:hAnsi="仿宋_GB2312" w:eastAsia="仿宋_GB2312" w:cs="仿宋_GB2312"/>
          <w:sz w:val="32"/>
          <w:szCs w:val="20"/>
        </w:rPr>
      </w:pPr>
      <w:r>
        <w:rPr>
          <w:rFonts w:hint="eastAsia" w:ascii="仿宋_GB2312" w:hAnsi="仿宋_GB2312" w:eastAsia="仿宋_GB2312" w:cs="仿宋_GB2312"/>
          <w:bCs/>
          <w:color w:val="000000"/>
          <w:sz w:val="32"/>
          <w:szCs w:val="32"/>
        </w:rPr>
        <w:t xml:space="preserve">    （4）通过职业健康专家现场检查，提出工作场所职业病防护设施整改意见建议；督促企业加强工程防护设施改造，落实职业健康管理措施加强重点行业领域职业病危害治理，确保完成职业病防治项目工作任务目标。2019年水泥生产、汽车制造企业职业病危害等专项治理职业健康专家检查费实现了该项资金绩效目标，达到了预期效果。</w:t>
      </w:r>
      <w:r>
        <w:rPr>
          <w:rFonts w:hint="eastAsia" w:ascii="仿宋_GB2312" w:hAnsi="仿宋_GB2312" w:eastAsia="仿宋_GB2312" w:cs="仿宋_GB2312"/>
          <w:sz w:val="32"/>
          <w:szCs w:val="20"/>
        </w:rPr>
        <w:t xml:space="preserve">                              </w:t>
      </w:r>
    </w:p>
    <w:p>
      <w:pPr>
        <w:adjustRightInd w:val="0"/>
        <w:snapToGrid w:val="0"/>
        <w:spacing w:line="600" w:lineRule="exact"/>
        <w:ind w:firstLine="720"/>
        <w:rPr>
          <w:rFonts w:hint="eastAsia" w:ascii="黑体" w:hAnsi="宋体" w:eastAsia="黑体"/>
          <w:sz w:val="32"/>
          <w:szCs w:val="32"/>
        </w:rPr>
      </w:pPr>
    </w:p>
    <w:p>
      <w:pPr>
        <w:adjustRightInd w:val="0"/>
        <w:snapToGrid w:val="0"/>
        <w:spacing w:line="600" w:lineRule="exact"/>
        <w:ind w:firstLine="320" w:firstLineChars="1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财政拨付时间滞后。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慢性病防治</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2．</w:t>
      </w:r>
      <w:r>
        <w:rPr>
          <w:rFonts w:hint="eastAsia" w:ascii="仿宋_GB2312" w:hAnsi="仿宋_GB2312" w:eastAsia="仿宋_GB2312" w:cs="仿宋_GB2312"/>
          <w:bCs/>
          <w:color w:val="000000"/>
          <w:sz w:val="32"/>
          <w:szCs w:val="32"/>
        </w:rPr>
        <w:t>2019年</w:t>
      </w:r>
      <w:r>
        <w:rPr>
          <w:rFonts w:hint="eastAsia" w:ascii="仿宋_GB2312" w:hAnsi="仿宋_GB2312" w:eastAsia="仿宋_GB2312" w:cs="仿宋_GB2312"/>
          <w:bCs/>
          <w:color w:val="000000"/>
          <w:sz w:val="32"/>
          <w:szCs w:val="32"/>
          <w:lang w:eastAsia="zh-CN"/>
        </w:rPr>
        <w:t>慢性</w:t>
      </w:r>
      <w:r>
        <w:rPr>
          <w:rFonts w:hint="eastAsia" w:ascii="仿宋_GB2312" w:hAnsi="仿宋_GB2312" w:eastAsia="仿宋_GB2312" w:cs="仿宋_GB2312"/>
          <w:bCs/>
          <w:color w:val="000000"/>
          <w:sz w:val="32"/>
          <w:szCs w:val="32"/>
        </w:rPr>
        <w:t>病防治专项资金预算编制在2019年下达年度资金共计为</w:t>
      </w:r>
      <w:r>
        <w:rPr>
          <w:rFonts w:hint="eastAsia" w:ascii="仿宋_GB2312" w:hAnsi="仿宋_GB2312" w:eastAsia="仿宋_GB2312" w:cs="仿宋_GB2312"/>
          <w:bCs/>
          <w:color w:val="000000"/>
          <w:sz w:val="32"/>
          <w:szCs w:val="32"/>
          <w:lang w:val="en-US" w:eastAsia="zh-CN"/>
        </w:rPr>
        <w:t>7.65</w:t>
      </w:r>
      <w:r>
        <w:rPr>
          <w:rFonts w:hint="eastAsia" w:ascii="仿宋_GB2312" w:hAnsi="仿宋_GB2312" w:eastAsia="仿宋_GB2312" w:cs="仿宋_GB2312"/>
          <w:bCs/>
          <w:color w:val="000000"/>
          <w:sz w:val="32"/>
          <w:szCs w:val="32"/>
        </w:rPr>
        <w:t>万元</w:t>
      </w:r>
      <w:r>
        <w:rPr>
          <w:rFonts w:hint="eastAsia" w:ascii="仿宋_GB2312" w:hAnsi="仿宋_GB2312" w:eastAsia="仿宋_GB2312" w:cs="仿宋_GB2312"/>
          <w:bCs/>
          <w:color w:val="000000"/>
          <w:sz w:val="32"/>
          <w:szCs w:val="32"/>
          <w:lang w:eastAsia="zh-CN"/>
        </w:rPr>
        <w:t>。峨眉山市继续实施建立居民健康档案、健康教育、预防接种、儿童健康管理、孕产妇健康管理、老年人健康管理、高血压和2型糖尿病等慢性病患者健康管理、严重精神障碍患者管理、肺结核患者健康管理、中医药健康管理、传染病和突发公共卫生事件报告和处理、卫生计生监督协管12类项目，在完成</w:t>
      </w:r>
      <w:r>
        <w:rPr>
          <w:rFonts w:hint="eastAsia" w:ascii="仿宋_GB2312" w:hAnsi="仿宋_GB2312" w:eastAsia="仿宋_GB2312" w:cs="仿宋_GB2312"/>
          <w:bCs/>
          <w:color w:val="000000"/>
          <w:sz w:val="32"/>
          <w:szCs w:val="32"/>
          <w:lang w:val="en-US" w:eastAsia="zh-CN"/>
        </w:rPr>
        <w:t>2019</w:t>
      </w:r>
      <w:r>
        <w:rPr>
          <w:rFonts w:hint="eastAsia" w:ascii="仿宋_GB2312" w:hAnsi="仿宋_GB2312" w:eastAsia="仿宋_GB2312" w:cs="仿宋_GB2312"/>
          <w:bCs/>
          <w:color w:val="000000"/>
          <w:sz w:val="32"/>
          <w:szCs w:val="32"/>
          <w:lang w:eastAsia="zh-CN"/>
        </w:rPr>
        <w:t>年工作任务的基础上，坚持实事求是的原则，着力提高工作质量的一项基层卫生工作。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1．项目主要内容。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zh-CN"/>
        </w:rPr>
        <w:t>2．</w:t>
      </w:r>
      <w:r>
        <w:rPr>
          <w:rFonts w:hint="eastAsia" w:ascii="仿宋_GB2312" w:eastAsia="仿宋_GB2312"/>
          <w:sz w:val="32"/>
          <w:szCs w:val="32"/>
        </w:rPr>
        <w:t>按各个下达资金文件具体制定方案，审核以上级文件下达的绩效考核目标为依据。</w:t>
      </w:r>
    </w:p>
    <w:p>
      <w:pPr>
        <w:adjustRightInd w:val="0"/>
        <w:snapToGrid w:val="0"/>
        <w:spacing w:line="600" w:lineRule="exact"/>
        <w:ind w:firstLine="720"/>
        <w:rPr>
          <w:rFonts w:hint="eastAsia" w:ascii="仿宋_GB2312" w:eastAsia="仿宋_GB2312"/>
          <w:sz w:val="32"/>
          <w:szCs w:val="32"/>
          <w:lang w:eastAsia="zh-CN"/>
        </w:rPr>
      </w:pPr>
      <w:r>
        <w:rPr>
          <w:rFonts w:hint="eastAsia" w:ascii="仿宋_GB2312" w:eastAsia="仿宋_GB2312"/>
          <w:sz w:val="32"/>
          <w:szCs w:val="32"/>
          <w:lang w:eastAsia="zh-CN"/>
        </w:rPr>
        <w:t>慢性病防治项目长期目标是通过每年度财政补助资金的投入，提高公共卫生水平，进一步优化公共卫生服务人群结构。项目主要年度目标包括以下方面：一是电子健康档案建档率保持在75%以上，稳步提高使用率；二是各乡镇(街道)适龄儿童国家免疫规划疫苗接种率保持在90%以上；三是新生儿访视率、儿童健康管理率分别达到85%以上；四是早孕建册率、产后访视率分别达到85%以上；五是65岁以上老年人健康管理率达到67%以上；六是高血压、糖尿病管理人数稳步提高，规范管理率达到60%以上。</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cs="宋体"/>
          <w:color w:val="000000"/>
          <w:kern w:val="0"/>
          <w:sz w:val="32"/>
          <w:szCs w:val="32"/>
          <w:shd w:val="clear" w:color="auto" w:fill="FFFFFF"/>
          <w:lang w:eastAsia="zh-CN"/>
        </w:rPr>
      </w:pPr>
      <w:r>
        <w:rPr>
          <w:rFonts w:hint="eastAsia" w:ascii="仿宋_GB2312" w:hAnsi="宋体" w:eastAsia="仿宋_GB2312" w:cs="宋体"/>
          <w:color w:val="000000"/>
          <w:kern w:val="0"/>
          <w:sz w:val="32"/>
          <w:szCs w:val="32"/>
          <w:shd w:val="clear" w:color="auto" w:fill="FFFFFF"/>
        </w:rPr>
        <w:t>本项目</w:t>
      </w:r>
      <w:r>
        <w:rPr>
          <w:rFonts w:hint="eastAsia" w:ascii="仿宋_GB2312" w:hAnsi="宋体" w:eastAsia="仿宋_GB2312" w:cs="宋体"/>
          <w:color w:val="000000"/>
          <w:kern w:val="0"/>
          <w:sz w:val="32"/>
          <w:szCs w:val="32"/>
          <w:shd w:val="clear" w:color="auto" w:fill="FFFFFF"/>
          <w:lang w:val="en-US" w:eastAsia="zh-CN"/>
        </w:rPr>
        <w:t>年初</w:t>
      </w:r>
      <w:r>
        <w:rPr>
          <w:rFonts w:hint="eastAsia" w:ascii="仿宋_GB2312" w:hAnsi="宋体" w:eastAsia="仿宋_GB2312" w:cs="宋体"/>
          <w:color w:val="000000"/>
          <w:kern w:val="0"/>
          <w:sz w:val="32"/>
          <w:szCs w:val="32"/>
          <w:shd w:val="clear" w:color="auto" w:fill="FFFFFF"/>
        </w:rPr>
        <w:t>预算资金</w:t>
      </w:r>
      <w:r>
        <w:rPr>
          <w:rFonts w:hint="eastAsia" w:ascii="仿宋_GB2312" w:hAnsi="宋体" w:eastAsia="仿宋_GB2312" w:cs="宋体"/>
          <w:color w:val="000000"/>
          <w:kern w:val="0"/>
          <w:sz w:val="32"/>
          <w:szCs w:val="32"/>
          <w:shd w:val="clear" w:color="auto" w:fill="FFFFFF"/>
          <w:lang w:val="en-US" w:eastAsia="zh-CN"/>
        </w:rPr>
        <w:t>7.65</w:t>
      </w:r>
      <w:r>
        <w:rPr>
          <w:rFonts w:hint="eastAsia" w:ascii="仿宋_GB2312" w:hAnsi="宋体" w:eastAsia="仿宋_GB2312" w:cs="宋体"/>
          <w:color w:val="000000"/>
          <w:kern w:val="0"/>
          <w:sz w:val="32"/>
          <w:szCs w:val="32"/>
          <w:shd w:val="clear" w:color="auto" w:fill="FFFFFF"/>
        </w:rPr>
        <w:t>万元，资金来源为财政资金</w:t>
      </w:r>
      <w:r>
        <w:rPr>
          <w:rFonts w:hint="eastAsia" w:ascii="仿宋_GB2312" w:hAnsi="宋体" w:eastAsia="仿宋_GB2312" w:cs="宋体"/>
          <w:color w:val="000000"/>
          <w:kern w:val="0"/>
          <w:sz w:val="32"/>
          <w:szCs w:val="32"/>
          <w:shd w:val="clear" w:color="auto" w:fill="FFFFFF"/>
          <w:lang w:eastAsia="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在说明该项目全省资金计划的基础上，分项目大类或市（州）分别说明各类资金计划情况，包括中央、省、市（州）、市（市、区）财政资金、项目单位自筹、其他渠道资金（包括银行贷款及其他资金等）。</w:t>
      </w:r>
    </w:p>
    <w:p>
      <w:pPr>
        <w:adjustRightInd w:val="0"/>
        <w:snapToGrid w:val="0"/>
        <w:spacing w:line="600" w:lineRule="exact"/>
        <w:ind w:firstLine="720"/>
        <w:rPr>
          <w:rFonts w:hint="eastAsia" w:ascii="仿宋_GB2312" w:hAnsi="宋体" w:eastAsia="仿宋_GB2312" w:cs="宋体"/>
          <w:color w:val="000000"/>
          <w:kern w:val="0"/>
          <w:sz w:val="32"/>
          <w:szCs w:val="32"/>
          <w:shd w:val="clear" w:color="auto" w:fill="FFFFFF"/>
        </w:rPr>
      </w:pPr>
      <w:r>
        <w:rPr>
          <w:rFonts w:hint="eastAsia" w:ascii="楷体_GB2312" w:hAnsi="宋体" w:eastAsia="楷体_GB2312"/>
          <w:sz w:val="32"/>
          <w:szCs w:val="32"/>
          <w:lang w:val="zh-CN"/>
        </w:rPr>
        <w:t>2．资金到位。</w:t>
      </w:r>
      <w:r>
        <w:rPr>
          <w:rFonts w:hint="eastAsia" w:ascii="仿宋_GB2312" w:hAnsi="宋体" w:eastAsia="仿宋_GB2312" w:cs="宋体"/>
          <w:color w:val="000000"/>
          <w:kern w:val="0"/>
          <w:sz w:val="32"/>
          <w:szCs w:val="32"/>
          <w:shd w:val="clear" w:color="auto" w:fill="FFFFFF"/>
        </w:rPr>
        <w:t>截止 2019 年 12 月31 日，项目实际支出</w:t>
      </w:r>
      <w:r>
        <w:rPr>
          <w:rFonts w:hint="eastAsia" w:ascii="仿宋_GB2312" w:hAnsi="宋体" w:eastAsia="仿宋_GB2312" w:cs="宋体"/>
          <w:color w:val="000000"/>
          <w:kern w:val="0"/>
          <w:sz w:val="32"/>
          <w:szCs w:val="32"/>
          <w:shd w:val="clear" w:color="auto" w:fill="FFFFFF"/>
          <w:lang w:val="en-US" w:eastAsia="zh-CN"/>
        </w:rPr>
        <w:t>7.65</w:t>
      </w:r>
      <w:r>
        <w:rPr>
          <w:rFonts w:hint="eastAsia" w:ascii="仿宋_GB2312" w:hAnsi="宋体" w:eastAsia="仿宋_GB2312" w:cs="宋体"/>
          <w:color w:val="000000"/>
          <w:kern w:val="0"/>
          <w:sz w:val="32"/>
          <w:szCs w:val="32"/>
          <w:shd w:val="clear" w:color="auto" w:fill="FFFFFF"/>
        </w:rPr>
        <w:t>万元，项目预算执行率</w:t>
      </w:r>
      <w:r>
        <w:rPr>
          <w:rFonts w:hint="eastAsia" w:ascii="仿宋_GB2312" w:hAnsi="宋体" w:eastAsia="仿宋_GB2312" w:cs="宋体"/>
          <w:color w:val="000000"/>
          <w:kern w:val="0"/>
          <w:sz w:val="32"/>
          <w:szCs w:val="32"/>
          <w:shd w:val="clear" w:color="auto" w:fill="FFFFFF"/>
          <w:lang w:val="en-US" w:eastAsia="zh-CN"/>
        </w:rPr>
        <w:t>100%</w:t>
      </w:r>
      <w:r>
        <w:rPr>
          <w:rFonts w:hint="eastAsia" w:ascii="仿宋_GB2312" w:hAnsi="宋体" w:eastAsia="仿宋_GB2312" w:cs="宋体"/>
          <w:color w:val="000000"/>
          <w:kern w:val="0"/>
          <w:sz w:val="32"/>
          <w:szCs w:val="32"/>
          <w:shd w:val="clear" w:color="auto" w:fill="FFFFFF"/>
        </w:rPr>
        <w:t>。</w:t>
      </w:r>
    </w:p>
    <w:p>
      <w:pPr>
        <w:spacing w:line="60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3．资金使用。</w:t>
      </w:r>
    </w:p>
    <w:p>
      <w:pPr>
        <w:numPr>
          <w:ilvl w:val="0"/>
          <w:numId w:val="7"/>
        </w:numPr>
        <w:spacing w:line="620" w:lineRule="exact"/>
        <w:ind w:firstLine="640" w:firstLineChars="200"/>
        <w:rPr>
          <w:rFonts w:ascii="仿宋_GB2312" w:hAnsi="宋体" w:eastAsia="仿宋_GB2312"/>
          <w:sz w:val="32"/>
          <w:szCs w:val="32"/>
          <w:lang w:val="zh-CN"/>
        </w:rPr>
      </w:pPr>
      <w:r>
        <w:rPr>
          <w:rFonts w:hint="eastAsia" w:ascii="仿宋_GB2312" w:eastAsia="仿宋_GB2312"/>
          <w:sz w:val="32"/>
          <w:szCs w:val="32"/>
        </w:rPr>
        <w:t>资金均严格按拟定的项目实施方案支出，若有需要调整申报方案的，均由单位向主管局正式报告申请，经批复后才能按实际需要调整。</w:t>
      </w:r>
      <w:r>
        <w:rPr>
          <w:rFonts w:hint="eastAsia" w:ascii="仿宋_GB2312" w:hAnsi="仿宋_GB2312" w:eastAsia="仿宋_GB2312" w:cs="仿宋_GB2312"/>
          <w:bCs/>
          <w:color w:val="000000"/>
          <w:sz w:val="32"/>
          <w:szCs w:val="32"/>
        </w:rPr>
        <w:t>专项资金预算执行进度与预期相符，不存在闲置沉淀浪费现象。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在经费管理制度建设方面，我们做到每个项目都有经费计划、实施方案，结合本地实际制定了试行的经费使用标准，按照之前项目内控制度，执行物资管理、经费报账等，资金管理统一按市财政专项要求执行；资金使用方面，严格做到了专款专用，无截留、挤占、挪用等违规现象，并发挥经费最大效益；在项目任务完成情况方面，保质保量完成了国家、省、市各项工作任务以及考核指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黑体" w:hAnsi="宋体" w:eastAsia="黑体"/>
          <w:sz w:val="32"/>
          <w:szCs w:val="32"/>
        </w:rPr>
      </w:pPr>
      <w:r>
        <w:rPr>
          <w:rFonts w:hint="eastAsia" w:ascii="仿宋_GB2312" w:hAnsi="宋体" w:eastAsia="仿宋_GB2312"/>
          <w:sz w:val="32"/>
          <w:szCs w:val="32"/>
          <w:lang w:val="zh-CN"/>
        </w:rPr>
        <w:t>慢性病防治项目依据国家、省市有关要求，建立年度重点工作要点及任务清单，健全规章制度，规范基本公共卫生服务项目。并通过以下做法推动工作开展：一是强化组织保障。召开了全市基本公共卫生服务项目工作推进会及村医服务能力提升活动启动会。二是健全运行机制。紧紧围绕“组建一支团队，创新两项机制，完善三套制度”的工作运行机制，全力推进基本公共卫生健康服务。（1）组建一支团队，以实施基本公共卫生服务项目为载体，以“4+1+1”签约服务团队为依托，逐步完善乡村两级“一体化”分级管理模式，组建团队长为责任主体，若干团队（即全科医生、公卫专干、乡村医生）为服务主体的全科医生服务团队，团队参与服务、团队长参与管理，为城乡居民提供优质、高效的基本公共卫生服务。（2）创新两项机制，一是创新基本公共卫生服务理念，推行“基本医疗”和“基本公卫”融合发展理念，全面树立“以公卫促医疗，以医疗强公卫”的服务理念，建立全科医生服务团队参与基本慢性病防治项目管理长效机制；二是创新网格化健康管理模式，以“网格化管理，精细化服务”为方向，按照“社区化网、网中有格、格中定人、人负其责”的管理体系，建立健全城市社区公共卫生服务网格化管理模式，实现重点人群向全员人口健康管理、疾病干预向健康干预的转变，使辖区居民健康服务全方位、全过程动态管理。（3）完善三套制度，一是档案质控制度，制定乡镇卫生院院长、公卫科长、质控专干三级质控制度，按照“一看二查三核实四评价”档案质控四步走质控（即：一看纸质档案；二查电子档案系统、工作台账；三电话、入户、诊疗记录核实；四评价档案真实性、完整性、连续性、逻辑性），建立质控工作台账，落实档案质量自评分析会。二是项目培训制度，制定市、乡、村三级慢性病防治项目培训制度，专业单位按照“三个结合”开展，即业务督导与培训相结合、网络监测与培训相结合、信息核实与培训相结合，基层单位每月开展一次业务培训，抽调业务熟、能力强的乡村医生充实乡镇公共卫生培训师资队伍。三是业务督导制度，制定市、乡、村三级公共卫生业务督导制度。创新县级督导考核方式，季度督导和随机检查交替进行，乡镇轮换督导和第三方考核结合进行，市级专家库成员和乡镇师资队伍人员配合进行。</w:t>
      </w:r>
    </w:p>
    <w:p>
      <w:pPr>
        <w:adjustRightInd w:val="0"/>
        <w:snapToGrid w:val="0"/>
        <w:spacing w:line="600" w:lineRule="exact"/>
        <w:ind w:firstLine="320" w:firstLineChars="1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财政拨付时间滞后。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spacing w:line="600" w:lineRule="exact"/>
        <w:jc w:val="center"/>
        <w:rPr>
          <w:rFonts w:hint="eastAsia" w:ascii="方正小标宋简体" w:hAnsi="宋体" w:eastAsia="方正小标宋简体"/>
          <w:color w:val="000000"/>
          <w:kern w:val="0"/>
          <w:sz w:val="44"/>
          <w:szCs w:val="44"/>
          <w:lang w:eastAsia="zh-CN"/>
        </w:rPr>
      </w:pPr>
    </w:p>
    <w:p>
      <w:pPr>
        <w:spacing w:line="600" w:lineRule="exact"/>
        <w:jc w:val="center"/>
        <w:rPr>
          <w:rFonts w:hint="eastAsia" w:ascii="方正小标宋简体" w:hAnsi="宋体" w:eastAsia="方正小标宋简体"/>
          <w:color w:val="000000"/>
          <w:kern w:val="0"/>
          <w:sz w:val="44"/>
          <w:szCs w:val="44"/>
          <w:lang w:eastAsia="zh-CN"/>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饮用水卫生及地方病监测</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adjustRightInd w:val="0"/>
        <w:snapToGrid w:val="0"/>
        <w:spacing w:line="600" w:lineRule="exact"/>
        <w:ind w:firstLine="720"/>
        <w:rPr>
          <w:rFonts w:hint="eastAsia" w:ascii="仿宋_GB2312" w:hAnsi="仿宋_GB2312" w:eastAsia="仿宋_GB2312" w:cs="仿宋_GB2312"/>
          <w:bCs/>
          <w:color w:val="000000"/>
          <w:sz w:val="32"/>
          <w:szCs w:val="32"/>
          <w:lang w:eastAsia="zh-CN"/>
        </w:rPr>
      </w:pPr>
      <w:r>
        <w:rPr>
          <w:rFonts w:hint="eastAsia" w:ascii="仿宋_GB2312" w:hAnsi="宋体" w:eastAsia="仿宋_GB2312"/>
          <w:sz w:val="32"/>
          <w:szCs w:val="32"/>
          <w:lang w:val="zh-CN"/>
        </w:rPr>
        <w:t>2.</w:t>
      </w:r>
      <w:r>
        <w:rPr>
          <w:rFonts w:hint="eastAsia" w:ascii="仿宋_GB2312" w:hAnsi="宋体" w:eastAsia="仿宋_GB2312"/>
          <w:sz w:val="32"/>
          <w:szCs w:val="32"/>
          <w:lang w:val="en-US" w:eastAsia="zh-CN"/>
        </w:rPr>
        <w:t xml:space="preserve"> </w:t>
      </w:r>
      <w:r>
        <w:rPr>
          <w:rFonts w:hint="eastAsia" w:ascii="仿宋_GB2312" w:hAnsi="仿宋_GB2312" w:eastAsia="仿宋_GB2312" w:cs="仿宋_GB2312"/>
          <w:bCs/>
          <w:color w:val="000000"/>
          <w:sz w:val="32"/>
          <w:szCs w:val="32"/>
          <w:lang w:eastAsia="zh-CN"/>
        </w:rPr>
        <w:t>通过对监测点开展丰水期和枯水期水质卫生监测，系统地了解饮用水卫生基本状况，为加强饮用水安全管理工作提供依据和技术支持。监测范围峨眉山市辖区内乡镇、街道办。水样类型包括市政供水出厂水、末梢水和传统水箱式二次供水。监测点的设置应优先选择农村饮水安全工程供水类型，其次是其他集中式供水和分散式供水。城区市政供水应包括所有水厂的出厂水，末梢水、自建供水、二次供水根据需要设置监测点，但监测点总数和类型要满足本方案要求。农村饮用水的监测优先选择该乡镇的农村饮水安全集中供水工程，在枯水期和丰水期分别采集出厂水和末梢水；如该乡镇没有水厂，集中式供水由辖区外的水厂供给或该乡镇供水均为分散式供水，则取末稍水和（或）分散式供水。此外，选择3所农村学校检测末梢水，其中包括2所农村饮水安全工程覆盖的学校和1所采用自建设施供水的学校。要求农村饮用水监测监测点总数（包括在学校设置的监测点）和监测点类型必须达到本方案监测要求。城区和乡镇对水质常规指标（放射性指标不要求）和氨氮指标进行监测。各监测点于枯水期和丰水期各检测1次。</w:t>
      </w:r>
    </w:p>
    <w:p>
      <w:pPr>
        <w:adjustRightInd w:val="0"/>
        <w:snapToGrid w:val="0"/>
        <w:spacing w:line="600" w:lineRule="exact"/>
        <w:ind w:firstLine="321" w:firstLineChars="100"/>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1．项目主要内容。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zh-CN"/>
        </w:rPr>
        <w:t>2．</w:t>
      </w:r>
      <w:r>
        <w:rPr>
          <w:rFonts w:hint="eastAsia" w:ascii="仿宋_GB2312" w:eastAsia="仿宋_GB2312"/>
          <w:sz w:val="32"/>
          <w:szCs w:val="32"/>
        </w:rPr>
        <w:t>按各个下达资金文件具体制定方案，审核以上级文件下达的绩效考核目标为依据。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cs="宋体"/>
          <w:color w:val="000000"/>
          <w:kern w:val="0"/>
          <w:sz w:val="32"/>
          <w:szCs w:val="32"/>
          <w:shd w:val="clear" w:color="auto" w:fill="FFFFFF"/>
          <w:lang w:eastAsia="zh-CN"/>
        </w:rPr>
      </w:pPr>
      <w:r>
        <w:rPr>
          <w:rFonts w:hint="eastAsia" w:ascii="仿宋_GB2312" w:hAnsi="宋体" w:eastAsia="仿宋_GB2312" w:cs="宋体"/>
          <w:color w:val="000000"/>
          <w:kern w:val="0"/>
          <w:sz w:val="32"/>
          <w:szCs w:val="32"/>
          <w:shd w:val="clear" w:color="auto" w:fill="FFFFFF"/>
        </w:rPr>
        <w:t>本项目</w:t>
      </w:r>
      <w:r>
        <w:rPr>
          <w:rFonts w:hint="eastAsia" w:ascii="仿宋_GB2312" w:hAnsi="宋体" w:eastAsia="仿宋_GB2312" w:cs="宋体"/>
          <w:color w:val="000000"/>
          <w:kern w:val="0"/>
          <w:sz w:val="32"/>
          <w:szCs w:val="32"/>
          <w:shd w:val="clear" w:color="auto" w:fill="FFFFFF"/>
          <w:lang w:val="en-US" w:eastAsia="zh-CN"/>
        </w:rPr>
        <w:t>年初</w:t>
      </w:r>
      <w:r>
        <w:rPr>
          <w:rFonts w:hint="eastAsia" w:ascii="仿宋_GB2312" w:hAnsi="宋体" w:eastAsia="仿宋_GB2312" w:cs="宋体"/>
          <w:color w:val="000000"/>
          <w:kern w:val="0"/>
          <w:sz w:val="32"/>
          <w:szCs w:val="32"/>
          <w:shd w:val="clear" w:color="auto" w:fill="FFFFFF"/>
        </w:rPr>
        <w:t>预算资金</w:t>
      </w:r>
      <w:r>
        <w:rPr>
          <w:rFonts w:hint="eastAsia" w:ascii="仿宋_GB2312" w:hAnsi="仿宋_GB2312" w:eastAsia="仿宋_GB2312" w:cs="仿宋_GB2312"/>
          <w:bCs/>
          <w:color w:val="000000"/>
          <w:sz w:val="32"/>
          <w:szCs w:val="32"/>
          <w:lang w:val="en-US" w:eastAsia="zh-CN"/>
        </w:rPr>
        <w:t>13.566</w:t>
      </w:r>
      <w:r>
        <w:rPr>
          <w:rFonts w:hint="eastAsia" w:ascii="仿宋_GB2312" w:hAnsi="宋体" w:eastAsia="仿宋_GB2312" w:cs="宋体"/>
          <w:color w:val="000000"/>
          <w:kern w:val="0"/>
          <w:sz w:val="32"/>
          <w:szCs w:val="32"/>
          <w:shd w:val="clear" w:color="auto" w:fill="FFFFFF"/>
        </w:rPr>
        <w:t>万元，资金来源为财政资金</w:t>
      </w:r>
      <w:r>
        <w:rPr>
          <w:rFonts w:hint="eastAsia" w:ascii="仿宋_GB2312" w:hAnsi="宋体" w:eastAsia="仿宋_GB2312" w:cs="宋体"/>
          <w:color w:val="000000"/>
          <w:kern w:val="0"/>
          <w:sz w:val="32"/>
          <w:szCs w:val="32"/>
          <w:shd w:val="clear" w:color="auto" w:fill="FFFFFF"/>
          <w:lang w:eastAsia="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在说明该项目全省资金计划的基础上，分项目大类或市（州）分别说明各类资金计划情况，包括中央、省、市（州）、市（市、区）财政资金、项目单位自筹、其他渠道资金（包括银行贷款及其他资金等）。</w:t>
      </w:r>
    </w:p>
    <w:p>
      <w:pPr>
        <w:adjustRightInd w:val="0"/>
        <w:snapToGrid w:val="0"/>
        <w:spacing w:line="600" w:lineRule="exact"/>
        <w:ind w:firstLine="720"/>
        <w:rPr>
          <w:rFonts w:hint="eastAsia" w:ascii="仿宋_GB2312" w:hAnsi="宋体" w:eastAsia="仿宋_GB2312" w:cs="宋体"/>
          <w:color w:val="000000"/>
          <w:kern w:val="0"/>
          <w:sz w:val="32"/>
          <w:szCs w:val="32"/>
          <w:shd w:val="clear" w:color="auto" w:fill="FFFFFF"/>
        </w:rPr>
      </w:pPr>
      <w:r>
        <w:rPr>
          <w:rFonts w:hint="eastAsia" w:ascii="楷体_GB2312" w:hAnsi="宋体" w:eastAsia="楷体_GB2312"/>
          <w:sz w:val="32"/>
          <w:szCs w:val="32"/>
          <w:lang w:val="zh-CN"/>
        </w:rPr>
        <w:t>2．资金到位。</w:t>
      </w:r>
      <w:r>
        <w:rPr>
          <w:rFonts w:hint="eastAsia" w:ascii="仿宋_GB2312" w:hAnsi="宋体" w:eastAsia="仿宋_GB2312" w:cs="宋体"/>
          <w:color w:val="000000"/>
          <w:kern w:val="0"/>
          <w:sz w:val="32"/>
          <w:szCs w:val="32"/>
          <w:shd w:val="clear" w:color="auto" w:fill="FFFFFF"/>
        </w:rPr>
        <w:t>截止 2019 年 12 月31 日，项目实际支出</w:t>
      </w:r>
      <w:r>
        <w:rPr>
          <w:rFonts w:hint="eastAsia" w:ascii="仿宋_GB2312" w:hAnsi="仿宋_GB2312" w:eastAsia="仿宋_GB2312" w:cs="仿宋_GB2312"/>
          <w:bCs/>
          <w:color w:val="000000"/>
          <w:sz w:val="32"/>
          <w:szCs w:val="32"/>
          <w:lang w:val="en-US" w:eastAsia="zh-CN"/>
        </w:rPr>
        <w:t>13.566</w:t>
      </w:r>
      <w:r>
        <w:rPr>
          <w:rFonts w:hint="eastAsia" w:ascii="仿宋_GB2312" w:hAnsi="宋体" w:eastAsia="仿宋_GB2312" w:cs="宋体"/>
          <w:color w:val="000000"/>
          <w:kern w:val="0"/>
          <w:sz w:val="32"/>
          <w:szCs w:val="32"/>
          <w:shd w:val="clear" w:color="auto" w:fill="FFFFFF"/>
        </w:rPr>
        <w:t>万元，项目预算执行率</w:t>
      </w:r>
      <w:r>
        <w:rPr>
          <w:rFonts w:hint="eastAsia" w:ascii="仿宋_GB2312" w:hAnsi="宋体" w:eastAsia="仿宋_GB2312" w:cs="宋体"/>
          <w:color w:val="000000"/>
          <w:kern w:val="0"/>
          <w:sz w:val="32"/>
          <w:szCs w:val="32"/>
          <w:shd w:val="clear" w:color="auto" w:fill="FFFFFF"/>
          <w:lang w:val="en-US" w:eastAsia="zh-CN"/>
        </w:rPr>
        <w:t>100%</w:t>
      </w:r>
      <w:r>
        <w:rPr>
          <w:rFonts w:hint="eastAsia" w:ascii="仿宋_GB2312" w:hAnsi="宋体" w:eastAsia="仿宋_GB2312" w:cs="宋体"/>
          <w:color w:val="000000"/>
          <w:kern w:val="0"/>
          <w:sz w:val="32"/>
          <w:szCs w:val="32"/>
          <w:shd w:val="clear" w:color="auto" w:fill="FFFFFF"/>
        </w:rPr>
        <w:t>。</w:t>
      </w:r>
    </w:p>
    <w:p>
      <w:pPr>
        <w:spacing w:line="60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3．资金使用。</w:t>
      </w:r>
    </w:p>
    <w:p>
      <w:pPr>
        <w:numPr>
          <w:ilvl w:val="0"/>
          <w:numId w:val="7"/>
        </w:numPr>
        <w:spacing w:line="620" w:lineRule="exact"/>
        <w:ind w:firstLine="640" w:firstLineChars="200"/>
        <w:rPr>
          <w:rFonts w:ascii="仿宋_GB2312" w:hAnsi="宋体" w:eastAsia="仿宋_GB2312"/>
          <w:sz w:val="32"/>
          <w:szCs w:val="32"/>
          <w:lang w:val="zh-CN"/>
        </w:rPr>
      </w:pPr>
      <w:r>
        <w:rPr>
          <w:rFonts w:hint="eastAsia" w:ascii="仿宋_GB2312" w:eastAsia="仿宋_GB2312"/>
          <w:sz w:val="32"/>
          <w:szCs w:val="32"/>
        </w:rPr>
        <w:t>资金均严格按拟定的项目实施方案支出，若有需要调整申报方案的，均由单位向主管局正式报告申请，经批复后才能按实际需要调整。</w:t>
      </w:r>
      <w:r>
        <w:rPr>
          <w:rFonts w:hint="eastAsia" w:ascii="仿宋_GB2312" w:hAnsi="仿宋_GB2312" w:eastAsia="仿宋_GB2312" w:cs="仿宋_GB2312"/>
          <w:bCs/>
          <w:color w:val="000000"/>
          <w:sz w:val="32"/>
          <w:szCs w:val="32"/>
        </w:rPr>
        <w:t>专项资金预算执行进度与预期相符，不存在闲置沉淀浪费现象。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在经费管理制度建设方面，我们做到每个项目都有经费计划、实施方案，结合本地实际制定了试行的经费使用标准，按照之前项目内控制度，执行物资管理、经费报账等，资金管理统一按市财政专项要求执行；资金使用方面，严格做到了专款专用，无截留、挤占、挪用等违规现象，并发挥经费最大效益；在项目任务完成情况方面，保质保量完成了国家、省、市各项工作任务以及考核指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为了保障</w:t>
      </w:r>
      <w:r>
        <w:rPr>
          <w:rFonts w:hint="eastAsia" w:ascii="仿宋_GB2312" w:hAnsi="宋体" w:eastAsia="仿宋_GB2312"/>
          <w:sz w:val="32"/>
          <w:szCs w:val="32"/>
          <w:lang w:val="zh-CN" w:eastAsia="zh-CN"/>
        </w:rPr>
        <w:t>饮用水卫生及地方病监测工作</w:t>
      </w:r>
      <w:r>
        <w:rPr>
          <w:rFonts w:hint="eastAsia" w:ascii="仿宋_GB2312" w:hAnsi="宋体" w:eastAsia="仿宋_GB2312"/>
          <w:sz w:val="32"/>
          <w:szCs w:val="32"/>
          <w:lang w:val="zh-CN"/>
        </w:rPr>
        <w:t>的实施，合理有效地使用</w:t>
      </w:r>
      <w:r>
        <w:rPr>
          <w:rFonts w:hint="eastAsia" w:ascii="仿宋_GB2312" w:hAnsi="宋体" w:eastAsia="仿宋_GB2312"/>
          <w:sz w:val="32"/>
          <w:szCs w:val="32"/>
          <w:lang w:val="zh-CN" w:eastAsia="zh-CN"/>
        </w:rPr>
        <w:t>饮用水卫生及地方病监测</w:t>
      </w:r>
      <w:r>
        <w:rPr>
          <w:rFonts w:hint="eastAsia" w:ascii="仿宋_GB2312" w:hAnsi="宋体" w:eastAsia="仿宋_GB2312"/>
          <w:sz w:val="32"/>
          <w:szCs w:val="32"/>
          <w:lang w:val="zh-CN"/>
        </w:rPr>
        <w:t>专项资金，市卫生、财政部门从项目的设立、实施、药品采购、资金拨付等方面实行全过程监督管理，市财政局和市卫计委定期对峨眉山市</w:t>
      </w:r>
      <w:r>
        <w:rPr>
          <w:rFonts w:hint="eastAsia" w:ascii="仿宋_GB2312" w:hAnsi="宋体" w:eastAsia="仿宋_GB2312"/>
          <w:sz w:val="32"/>
          <w:szCs w:val="32"/>
          <w:lang w:val="zh-CN" w:eastAsia="zh-CN"/>
        </w:rPr>
        <w:t>饮用水卫生及地方病监测</w:t>
      </w:r>
      <w:r>
        <w:rPr>
          <w:rFonts w:hint="eastAsia" w:ascii="仿宋_GB2312" w:hAnsi="宋体" w:eastAsia="仿宋_GB2312"/>
          <w:sz w:val="32"/>
          <w:szCs w:val="32"/>
          <w:lang w:val="zh-CN"/>
        </w:rPr>
        <w:t>工作开展情况进行考核并建立起项目登记和审查制度。我单位按有关规定建立起了健全的各项财务内部管理制度，按规定的开支范围和标准加强结核病防治资金的核算和管理，专款专用，没有任何形式的截留、挤占和挪用。</w:t>
      </w:r>
      <w:r>
        <w:rPr>
          <w:rFonts w:hint="eastAsia" w:ascii="仿宋_GB2312" w:hAnsi="宋体" w:eastAsia="仿宋_GB2312"/>
          <w:sz w:val="32"/>
          <w:szCs w:val="32"/>
          <w:lang w:val="zh-CN" w:eastAsia="zh-CN"/>
        </w:rPr>
        <w:t>饮用水卫生及地方病监测</w:t>
      </w:r>
      <w:r>
        <w:rPr>
          <w:rFonts w:hint="eastAsia" w:ascii="仿宋_GB2312" w:hAnsi="宋体" w:eastAsia="仿宋_GB2312"/>
          <w:sz w:val="32"/>
          <w:szCs w:val="32"/>
          <w:lang w:val="zh-CN"/>
        </w:rPr>
        <w:t>专项资金对所需试剂盒和设备等按有关规定实行集中采购，对采购的试剂盒和设备由专人负责发放、登记和管理。</w:t>
      </w:r>
    </w:p>
    <w:p>
      <w:pPr>
        <w:adjustRightInd w:val="0"/>
        <w:snapToGrid w:val="0"/>
        <w:spacing w:line="600" w:lineRule="exact"/>
        <w:ind w:firstLine="320" w:firstLineChars="1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我市大部分农村集中式供水责任主体不明确，无专人管理，也无相关后续经费对水质进行净化和消毒处理。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宋体" w:eastAsia="仿宋_GB2312"/>
          <w:sz w:val="32"/>
          <w:szCs w:val="32"/>
          <w:lang w:val="zh-CN"/>
        </w:rPr>
        <w:t>建议由市政府责成各乡镇明确各集中式供水工程的责任主体，强化农村供水工程管理，水利部门、各乡镇和供水工程的受益方共同筹措相关后续经费，做好水质的净化和消毒处理。</w:t>
      </w:r>
    </w:p>
    <w:p>
      <w:pPr>
        <w:spacing w:line="580" w:lineRule="exact"/>
        <w:ind w:firstLine="640"/>
        <w:rPr>
          <w:rFonts w:ascii="仿宋_GB2312" w:hAnsi="仿宋_GB2312" w:eastAsia="仿宋_GB2312" w:cs="仿宋_GB2312"/>
          <w:sz w:val="32"/>
          <w:szCs w:val="32"/>
        </w:rPr>
      </w:pPr>
    </w:p>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结核病防治</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adjustRightInd w:val="0"/>
        <w:snapToGrid w:val="0"/>
        <w:spacing w:line="600" w:lineRule="exact"/>
        <w:ind w:firstLine="720"/>
        <w:rPr>
          <w:rFonts w:hint="eastAsia" w:ascii="仿宋_GB2312" w:hAnsi="仿宋_GB2312" w:eastAsia="仿宋_GB2312" w:cs="仿宋_GB2312"/>
          <w:bCs/>
          <w:color w:val="000000"/>
          <w:sz w:val="32"/>
          <w:szCs w:val="32"/>
          <w:lang w:val="en-US" w:eastAsia="zh-CN"/>
        </w:rPr>
      </w:pPr>
      <w:r>
        <w:rPr>
          <w:rFonts w:hint="eastAsia" w:ascii="仿宋_GB2312" w:hAnsi="宋体" w:eastAsia="仿宋_GB2312"/>
          <w:sz w:val="32"/>
          <w:szCs w:val="32"/>
          <w:lang w:val="zh-CN"/>
        </w:rPr>
        <w:t>2</w:t>
      </w:r>
      <w:r>
        <w:rPr>
          <w:rFonts w:hint="eastAsia" w:ascii="仿宋_GB2312" w:hAnsi="仿宋_GB2312" w:eastAsia="仿宋_GB2312" w:cs="仿宋_GB2312"/>
          <w:bCs/>
          <w:color w:val="000000"/>
          <w:sz w:val="32"/>
          <w:szCs w:val="32"/>
          <w:lang w:eastAsia="zh-CN"/>
        </w:rPr>
        <w:t>结核病</w:t>
      </w:r>
      <w:r>
        <w:rPr>
          <w:rFonts w:hint="eastAsia" w:ascii="仿宋_GB2312" w:hAnsi="仿宋_GB2312" w:eastAsia="仿宋_GB2312" w:cs="仿宋_GB2312"/>
          <w:bCs/>
          <w:color w:val="000000"/>
          <w:sz w:val="32"/>
          <w:szCs w:val="32"/>
        </w:rPr>
        <w:t>防治专项资金预算编制在2019年下达年度资金共计为</w:t>
      </w:r>
      <w:r>
        <w:rPr>
          <w:rFonts w:hint="eastAsia" w:ascii="仿宋_GB2312" w:hAnsi="仿宋_GB2312" w:eastAsia="仿宋_GB2312" w:cs="仿宋_GB2312"/>
          <w:bCs/>
          <w:color w:val="000000"/>
          <w:sz w:val="32"/>
          <w:szCs w:val="32"/>
          <w:lang w:val="en-US" w:eastAsia="zh-CN"/>
        </w:rPr>
        <w:t>4.3563</w:t>
      </w:r>
      <w:r>
        <w:rPr>
          <w:rFonts w:hint="eastAsia" w:ascii="仿宋_GB2312" w:hAnsi="仿宋_GB2312" w:eastAsia="仿宋_GB2312" w:cs="仿宋_GB2312"/>
          <w:bCs/>
          <w:color w:val="000000"/>
          <w:sz w:val="32"/>
          <w:szCs w:val="32"/>
        </w:rPr>
        <w:t>万元</w:t>
      </w:r>
      <w:r>
        <w:rPr>
          <w:rFonts w:hint="eastAsia" w:ascii="仿宋_GB2312" w:hAnsi="仿宋_GB2312" w:eastAsia="仿宋_GB2312" w:cs="仿宋_GB2312"/>
          <w:bCs/>
          <w:color w:val="000000"/>
          <w:sz w:val="32"/>
          <w:szCs w:val="32"/>
          <w:lang w:eastAsia="zh-CN"/>
        </w:rPr>
        <w:t>。结核病是慢性传染性疾病，其中肺结核的报告发病和报告死亡数位居甲、乙类传染病前列。该项目资金主要用于全市结核病防控工作，开展结核病防治知识宣传、培训和指导，新生入学前免费进行肺结核筛查，学校结核病疫情处置等工作。以便及时的发现和管理肺结核患者，做好相关隔离、治疗及防护，以保护易感人群，防止肺结核的进一步传播</w:t>
      </w:r>
    </w:p>
    <w:p>
      <w:pPr>
        <w:adjustRightInd w:val="0"/>
        <w:snapToGrid w:val="0"/>
        <w:spacing w:line="600" w:lineRule="exact"/>
        <w:ind w:firstLine="720"/>
        <w:rPr>
          <w:rFonts w:hint="eastAsia" w:ascii="仿宋_GB2312" w:hAnsi="仿宋_GB2312" w:eastAsia="仿宋_GB2312" w:cs="仿宋_GB2312"/>
          <w:bCs/>
          <w:color w:val="000000"/>
          <w:sz w:val="32"/>
          <w:szCs w:val="32"/>
          <w:lang w:val="zh-CN" w:eastAsia="zh-CN"/>
        </w:rPr>
      </w:pPr>
      <w:r>
        <w:rPr>
          <w:rFonts w:hint="eastAsia" w:ascii="仿宋_GB2312" w:hAnsi="仿宋_GB2312" w:eastAsia="仿宋_GB2312" w:cs="仿宋_GB2312"/>
          <w:bCs/>
          <w:color w:val="000000"/>
          <w:sz w:val="32"/>
          <w:szCs w:val="32"/>
          <w:lang w:val="zh-CN" w:eastAsia="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1．项目主要内容。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zh-CN"/>
        </w:rPr>
        <w:t>2．</w:t>
      </w:r>
      <w:r>
        <w:rPr>
          <w:rFonts w:hint="eastAsia" w:ascii="仿宋_GB2312" w:eastAsia="仿宋_GB2312"/>
          <w:sz w:val="32"/>
          <w:szCs w:val="32"/>
        </w:rPr>
        <w:t>按各个下达资金文件具体制定方案，审核以上级文件下达的绩效考核目标为依据。</w:t>
      </w:r>
    </w:p>
    <w:p>
      <w:pPr>
        <w:adjustRightInd w:val="0"/>
        <w:snapToGrid w:val="0"/>
        <w:spacing w:line="600" w:lineRule="exact"/>
        <w:ind w:firstLine="720"/>
        <w:rPr>
          <w:rFonts w:hint="eastAsia" w:ascii="仿宋_GB2312" w:eastAsia="仿宋_GB2312"/>
          <w:sz w:val="32"/>
          <w:szCs w:val="32"/>
          <w:lang w:eastAsia="zh-CN"/>
        </w:rPr>
      </w:pPr>
      <w:r>
        <w:rPr>
          <w:rFonts w:hint="eastAsia" w:ascii="仿宋_GB2312" w:eastAsia="仿宋_GB2312"/>
          <w:sz w:val="32"/>
          <w:szCs w:val="32"/>
          <w:lang w:eastAsia="zh-CN"/>
        </w:rPr>
        <w:t>结核病防治专项资金201</w:t>
      </w:r>
      <w:r>
        <w:rPr>
          <w:rFonts w:hint="eastAsia" w:ascii="仿宋_GB2312" w:eastAsia="仿宋_GB2312"/>
          <w:sz w:val="32"/>
          <w:szCs w:val="32"/>
          <w:lang w:val="en-US" w:eastAsia="zh-CN"/>
        </w:rPr>
        <w:t>9</w:t>
      </w:r>
      <w:r>
        <w:rPr>
          <w:rFonts w:hint="eastAsia" w:ascii="仿宋_GB2312" w:eastAsia="仿宋_GB2312"/>
          <w:sz w:val="32"/>
          <w:szCs w:val="32"/>
          <w:lang w:eastAsia="zh-CN"/>
        </w:rPr>
        <w:t>年度目标是保持以县为单位DOTS策略覆盖率100%，并切实提高各地DOTS实施质量。新涂阳肺结核病人发现率达到</w:t>
      </w:r>
      <w:r>
        <w:rPr>
          <w:rFonts w:hint="eastAsia" w:ascii="仿宋_GB2312" w:eastAsia="仿宋_GB2312"/>
          <w:sz w:val="32"/>
          <w:szCs w:val="32"/>
          <w:lang w:val="en-US" w:eastAsia="zh-CN"/>
        </w:rPr>
        <w:t>80</w:t>
      </w:r>
      <w:r>
        <w:rPr>
          <w:rFonts w:hint="eastAsia" w:ascii="仿宋_GB2312" w:eastAsia="仿宋_GB2312"/>
          <w:sz w:val="32"/>
          <w:szCs w:val="32"/>
          <w:lang w:eastAsia="zh-CN"/>
        </w:rPr>
        <w:t>%及以上。新涂阳肺结核病治愈率保持在85%以上,初治涂阴完成治疗率保持在90%。项目时间为201</w:t>
      </w:r>
      <w:r>
        <w:rPr>
          <w:rFonts w:hint="eastAsia" w:ascii="仿宋_GB2312" w:eastAsia="仿宋_GB2312"/>
          <w:sz w:val="32"/>
          <w:szCs w:val="32"/>
          <w:lang w:val="en-US" w:eastAsia="zh-CN"/>
        </w:rPr>
        <w:t>9</w:t>
      </w:r>
      <w:r>
        <w:rPr>
          <w:rFonts w:hint="eastAsia" w:ascii="仿宋_GB2312" w:eastAsia="仿宋_GB2312"/>
          <w:sz w:val="32"/>
          <w:szCs w:val="32"/>
          <w:lang w:eastAsia="zh-CN"/>
        </w:rPr>
        <w:t>年1-12月。</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cs="宋体"/>
          <w:color w:val="000000"/>
          <w:kern w:val="0"/>
          <w:sz w:val="32"/>
          <w:szCs w:val="32"/>
          <w:shd w:val="clear" w:color="auto" w:fill="FFFFFF"/>
          <w:lang w:eastAsia="zh-CN"/>
        </w:rPr>
      </w:pPr>
      <w:r>
        <w:rPr>
          <w:rFonts w:hint="eastAsia" w:ascii="仿宋_GB2312" w:hAnsi="宋体" w:eastAsia="仿宋_GB2312" w:cs="宋体"/>
          <w:color w:val="000000"/>
          <w:kern w:val="0"/>
          <w:sz w:val="32"/>
          <w:szCs w:val="32"/>
          <w:shd w:val="clear" w:color="auto" w:fill="FFFFFF"/>
        </w:rPr>
        <w:t>本项目</w:t>
      </w:r>
      <w:r>
        <w:rPr>
          <w:rFonts w:hint="eastAsia" w:ascii="仿宋_GB2312" w:hAnsi="宋体" w:eastAsia="仿宋_GB2312" w:cs="宋体"/>
          <w:color w:val="000000"/>
          <w:kern w:val="0"/>
          <w:sz w:val="32"/>
          <w:szCs w:val="32"/>
          <w:shd w:val="clear" w:color="auto" w:fill="FFFFFF"/>
          <w:lang w:val="en-US" w:eastAsia="zh-CN"/>
        </w:rPr>
        <w:t>年初</w:t>
      </w:r>
      <w:r>
        <w:rPr>
          <w:rFonts w:hint="eastAsia" w:ascii="仿宋_GB2312" w:hAnsi="宋体" w:eastAsia="仿宋_GB2312" w:cs="宋体"/>
          <w:color w:val="000000"/>
          <w:kern w:val="0"/>
          <w:sz w:val="32"/>
          <w:szCs w:val="32"/>
          <w:shd w:val="clear" w:color="auto" w:fill="FFFFFF"/>
        </w:rPr>
        <w:t>预算资金</w:t>
      </w:r>
      <w:r>
        <w:rPr>
          <w:rFonts w:hint="eastAsia" w:ascii="仿宋_GB2312" w:hAnsi="仿宋_GB2312" w:eastAsia="仿宋_GB2312" w:cs="仿宋_GB2312"/>
          <w:bCs/>
          <w:color w:val="000000"/>
          <w:sz w:val="32"/>
          <w:szCs w:val="32"/>
          <w:lang w:val="en-US" w:eastAsia="zh-CN"/>
        </w:rPr>
        <w:t>4.3563</w:t>
      </w:r>
      <w:r>
        <w:rPr>
          <w:rFonts w:hint="eastAsia" w:ascii="仿宋_GB2312" w:hAnsi="宋体" w:eastAsia="仿宋_GB2312" w:cs="宋体"/>
          <w:color w:val="000000"/>
          <w:kern w:val="0"/>
          <w:sz w:val="32"/>
          <w:szCs w:val="32"/>
          <w:shd w:val="clear" w:color="auto" w:fill="FFFFFF"/>
        </w:rPr>
        <w:t>万元，资金来源为财政资金</w:t>
      </w:r>
      <w:r>
        <w:rPr>
          <w:rFonts w:hint="eastAsia" w:ascii="仿宋_GB2312" w:hAnsi="宋体" w:eastAsia="仿宋_GB2312" w:cs="宋体"/>
          <w:color w:val="000000"/>
          <w:kern w:val="0"/>
          <w:sz w:val="32"/>
          <w:szCs w:val="32"/>
          <w:shd w:val="clear" w:color="auto" w:fill="FFFFFF"/>
          <w:lang w:eastAsia="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在说明该项目全省资金计划的基础上，分项目大类或市（州）分别说明各类资金计划情况，包括中央、省、市（州）、市（市、区）财政资金、项目单位自筹、其他渠道资金（包括银行贷款及其他资金等）。</w:t>
      </w:r>
    </w:p>
    <w:p>
      <w:pPr>
        <w:adjustRightInd w:val="0"/>
        <w:snapToGrid w:val="0"/>
        <w:spacing w:line="600" w:lineRule="exact"/>
        <w:ind w:firstLine="720"/>
        <w:rPr>
          <w:rFonts w:hint="eastAsia" w:ascii="仿宋_GB2312" w:hAnsi="宋体" w:eastAsia="仿宋_GB2312" w:cs="宋体"/>
          <w:color w:val="000000"/>
          <w:kern w:val="0"/>
          <w:sz w:val="32"/>
          <w:szCs w:val="32"/>
          <w:shd w:val="clear" w:color="auto" w:fill="FFFFFF"/>
        </w:rPr>
      </w:pPr>
      <w:r>
        <w:rPr>
          <w:rFonts w:hint="eastAsia" w:ascii="楷体_GB2312" w:hAnsi="宋体" w:eastAsia="楷体_GB2312"/>
          <w:sz w:val="32"/>
          <w:szCs w:val="32"/>
          <w:lang w:val="zh-CN"/>
        </w:rPr>
        <w:t>2．资金到位。</w:t>
      </w:r>
      <w:r>
        <w:rPr>
          <w:rFonts w:hint="eastAsia" w:ascii="仿宋_GB2312" w:hAnsi="宋体" w:eastAsia="仿宋_GB2312" w:cs="宋体"/>
          <w:color w:val="000000"/>
          <w:kern w:val="0"/>
          <w:sz w:val="32"/>
          <w:szCs w:val="32"/>
          <w:shd w:val="clear" w:color="auto" w:fill="FFFFFF"/>
        </w:rPr>
        <w:t>截止 2019 年 12 月31 日，项目实际支出</w:t>
      </w:r>
      <w:r>
        <w:rPr>
          <w:rFonts w:hint="eastAsia" w:ascii="仿宋_GB2312" w:hAnsi="仿宋_GB2312" w:eastAsia="仿宋_GB2312" w:cs="仿宋_GB2312"/>
          <w:bCs/>
          <w:color w:val="000000"/>
          <w:sz w:val="32"/>
          <w:szCs w:val="32"/>
          <w:lang w:val="en-US" w:eastAsia="zh-CN"/>
        </w:rPr>
        <w:t>4.3563</w:t>
      </w:r>
      <w:r>
        <w:rPr>
          <w:rFonts w:hint="eastAsia" w:ascii="仿宋_GB2312" w:hAnsi="宋体" w:eastAsia="仿宋_GB2312" w:cs="宋体"/>
          <w:color w:val="000000"/>
          <w:kern w:val="0"/>
          <w:sz w:val="32"/>
          <w:szCs w:val="32"/>
          <w:shd w:val="clear" w:color="auto" w:fill="FFFFFF"/>
        </w:rPr>
        <w:t>万元，项目预算执行率</w:t>
      </w:r>
      <w:r>
        <w:rPr>
          <w:rFonts w:hint="eastAsia" w:ascii="仿宋_GB2312" w:hAnsi="宋体" w:eastAsia="仿宋_GB2312" w:cs="宋体"/>
          <w:color w:val="000000"/>
          <w:kern w:val="0"/>
          <w:sz w:val="32"/>
          <w:szCs w:val="32"/>
          <w:shd w:val="clear" w:color="auto" w:fill="FFFFFF"/>
          <w:lang w:val="en-US" w:eastAsia="zh-CN"/>
        </w:rPr>
        <w:t>100%</w:t>
      </w:r>
      <w:r>
        <w:rPr>
          <w:rFonts w:hint="eastAsia" w:ascii="仿宋_GB2312" w:hAnsi="宋体" w:eastAsia="仿宋_GB2312" w:cs="宋体"/>
          <w:color w:val="000000"/>
          <w:kern w:val="0"/>
          <w:sz w:val="32"/>
          <w:szCs w:val="32"/>
          <w:shd w:val="clear" w:color="auto" w:fill="FFFFFF"/>
        </w:rPr>
        <w:t>。</w:t>
      </w:r>
    </w:p>
    <w:p>
      <w:pPr>
        <w:spacing w:line="60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3．资金使用。</w:t>
      </w:r>
    </w:p>
    <w:p>
      <w:pPr>
        <w:numPr>
          <w:ilvl w:val="0"/>
          <w:numId w:val="7"/>
        </w:numPr>
        <w:spacing w:line="620" w:lineRule="exact"/>
        <w:ind w:firstLine="640" w:firstLineChars="200"/>
        <w:rPr>
          <w:rFonts w:ascii="仿宋_GB2312" w:hAnsi="宋体" w:eastAsia="仿宋_GB2312"/>
          <w:sz w:val="32"/>
          <w:szCs w:val="32"/>
          <w:lang w:val="zh-CN"/>
        </w:rPr>
      </w:pPr>
      <w:r>
        <w:rPr>
          <w:rFonts w:hint="eastAsia" w:ascii="仿宋_GB2312" w:eastAsia="仿宋_GB2312"/>
          <w:sz w:val="32"/>
          <w:szCs w:val="32"/>
        </w:rPr>
        <w:t>资金均严格按拟定的项目实施方案支出，若有需要调整申报方案的，均由单位向主管局正式报告申请，经批复后才能按实际需要调整。</w:t>
      </w:r>
      <w:r>
        <w:rPr>
          <w:rFonts w:hint="eastAsia" w:ascii="仿宋_GB2312" w:hAnsi="仿宋_GB2312" w:eastAsia="仿宋_GB2312" w:cs="仿宋_GB2312"/>
          <w:bCs/>
          <w:color w:val="000000"/>
          <w:sz w:val="32"/>
          <w:szCs w:val="32"/>
        </w:rPr>
        <w:t>专项资金预算执行进度与预期相符，不存在闲置沉淀浪费现象。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在经费管理制度建设方面，我们做到每个项目都有经费计划、实施方案，结合本地实际制定了试行的经费使用标准，按照之前项目内控制度，执行物资管理、经费报账等，资金管理统一按市财政专项要求执行；资金使用方面，严格做到了专款专用，无截留、挤占、挪用等违规现象，并发挥经费最大效益；在项目任务完成情况方面，保质保量完成了国家、省、市各项工作任务以及考核指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为了保障结核病防治工作的实施，合理有效地使用结核病防治专项资金，市卫生、财政部门从项目的设立、实施、药品采购、资金拨付等方面实行全过程监督管理，市财政局和市卫计委定期对峨眉山市结核病防治工作开展情况进行考核并建立起项目登记和审查制度。我单位按有关规定建立起了健全的各项财务内部管理制度，按规定的开支范围和标准加强结核病防治资金的核算和管理，专款专用，没有任何形式的截留、挤占和挪用。结核病防治专项资金对所需药品和设备等按有关规定实行集中采购，对采购的药品由专人负责发放、登记和管理。</w:t>
      </w:r>
      <w:r>
        <w:rPr>
          <w:rFonts w:hint="eastAsia" w:ascii="仿宋_GB2312" w:hAnsi="宋体" w:eastAsia="仿宋_GB2312"/>
          <w:sz w:val="32"/>
          <w:szCs w:val="32"/>
          <w:lang w:val="en-US" w:eastAsia="zh-CN"/>
        </w:rPr>
        <w:t>2019</w:t>
      </w:r>
      <w:r>
        <w:rPr>
          <w:rFonts w:hint="eastAsia" w:ascii="仿宋_GB2312" w:hAnsi="宋体" w:eastAsia="仿宋_GB2312"/>
          <w:sz w:val="32"/>
          <w:szCs w:val="32"/>
          <w:lang w:val="zh-CN"/>
        </w:rPr>
        <w:t>年全市85%以上的肺结核病人得到了规律治疗或完成疗程。这对早期发现，早期治疗，早期管理结核病人，减少结核病的传播，降低结核病的死亡率起到重大的作用。</w:t>
      </w:r>
    </w:p>
    <w:p>
      <w:pPr>
        <w:adjustRightInd w:val="0"/>
        <w:snapToGrid w:val="0"/>
        <w:spacing w:line="600" w:lineRule="exact"/>
        <w:ind w:firstLine="320" w:firstLineChars="1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学校结核病患者密切接触者筛查费用相关问题没有得到解决；需服自费药的结核病患者医疗费用负担较重。。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rPr>
          <w:rFonts w:ascii="仿宋_GB2312" w:hAnsi="仿宋_GB2312" w:eastAsia="仿宋_GB2312" w:cs="仿宋_GB2312"/>
          <w:sz w:val="32"/>
          <w:szCs w:val="32"/>
        </w:rPr>
      </w:pPr>
      <w:r>
        <w:rPr>
          <w:rFonts w:hint="eastAsia" w:ascii="仿宋_GB2312" w:hAnsi="宋体" w:eastAsia="仿宋_GB2312"/>
          <w:sz w:val="32"/>
          <w:szCs w:val="32"/>
          <w:lang w:val="zh-CN"/>
        </w:rPr>
        <w:t>解决费用相关问题，对肺结核患者的医保保险比例提高，解决因病致贫因病返贫的问题。</w:t>
      </w: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
    <w:p/>
    <w:p/>
    <w:p/>
    <w:p/>
    <w:p/>
    <w:p/>
    <w:p/>
    <w:p/>
    <w:p/>
    <w:p/>
    <w:p/>
    <w:p/>
    <w:p/>
    <w:p/>
    <w:p/>
    <w:p/>
    <w:p/>
    <w:p/>
    <w:p/>
    <w:p/>
    <w:p/>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14:textFill>
            <w14:solidFill>
              <w14:schemeClr w14:val="tx1"/>
            </w14:solidFill>
          </w14:textFill>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351381F"/>
    <w:multiLevelType w:val="singleLevel"/>
    <w:tmpl w:val="D351381F"/>
    <w:lvl w:ilvl="0" w:tentative="0">
      <w:start w:val="1"/>
      <w:numFmt w:val="decimal"/>
      <w:suff w:val="nothing"/>
      <w:lvlText w:val="（%1）"/>
      <w:lvlJc w:val="left"/>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0548DC2"/>
    <w:multiLevelType w:val="singleLevel"/>
    <w:tmpl w:val="10548DC2"/>
    <w:lvl w:ilvl="0" w:tentative="0">
      <w:start w:val="1"/>
      <w:numFmt w:val="decimal"/>
      <w:lvlText w:val="%1."/>
      <w:lvlJc w:val="left"/>
      <w:pPr>
        <w:tabs>
          <w:tab w:val="left" w:pos="312"/>
        </w:tabs>
        <w:ind w:left="-13"/>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50D9A15"/>
    <w:multiLevelType w:val="singleLevel"/>
    <w:tmpl w:val="250D9A15"/>
    <w:lvl w:ilvl="0" w:tentative="0">
      <w:start w:val="2"/>
      <w:numFmt w:val="chineseCounting"/>
      <w:suff w:val="nothing"/>
      <w:lvlText w:val="（%1）"/>
      <w:lvlJc w:val="left"/>
      <w:rPr>
        <w:rFonts w:hint="eastAsia"/>
      </w:rPr>
    </w:lvl>
  </w:abstractNum>
  <w:abstractNum w:abstractNumId="6">
    <w:nsid w:val="5EA7E4C5"/>
    <w:multiLevelType w:val="singleLevel"/>
    <w:tmpl w:val="5EA7E4C5"/>
    <w:lvl w:ilvl="0" w:tentative="0">
      <w:start w:val="1"/>
      <w:numFmt w:val="decimal"/>
      <w:suff w:val="nothing"/>
      <w:lvlText w:val="（%1）"/>
      <w:lvlJc w:val="left"/>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1EC5C26"/>
    <w:rsid w:val="1269369F"/>
    <w:rsid w:val="129244A9"/>
    <w:rsid w:val="137346B6"/>
    <w:rsid w:val="16BB723D"/>
    <w:rsid w:val="1ACE3315"/>
    <w:rsid w:val="21787D3C"/>
    <w:rsid w:val="21BF5A80"/>
    <w:rsid w:val="240371BF"/>
    <w:rsid w:val="29FD04D3"/>
    <w:rsid w:val="319F7F4E"/>
    <w:rsid w:val="337D5AF5"/>
    <w:rsid w:val="3EA35BD3"/>
    <w:rsid w:val="40137E7E"/>
    <w:rsid w:val="45991D43"/>
    <w:rsid w:val="4E736C26"/>
    <w:rsid w:val="4ECE2238"/>
    <w:rsid w:val="4F4860FB"/>
    <w:rsid w:val="4FE07543"/>
    <w:rsid w:val="56B57069"/>
    <w:rsid w:val="5DE101D8"/>
    <w:rsid w:val="638B6476"/>
    <w:rsid w:val="6CB41A0D"/>
    <w:rsid w:val="72734D90"/>
    <w:rsid w:val="7F2D71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p0"/>
    <w:basedOn w:val="1"/>
    <w:qFormat/>
    <w:uiPriority w:val="0"/>
    <w:pPr>
      <w:widowControl/>
    </w:pPr>
    <w:rPr>
      <w:kern w:val="0"/>
      <w:szCs w:val="21"/>
    </w:rPr>
  </w:style>
  <w:style w:type="paragraph" w:customStyle="1" w:styleId="31">
    <w:name w:val="p15"/>
    <w:basedOn w:val="1"/>
    <w:qFormat/>
    <w:uiPriority w:val="0"/>
    <w:pPr>
      <w:widowControl/>
    </w:pPr>
    <w:rPr>
      <w:kern w:val="0"/>
      <w:szCs w:val="21"/>
    </w:rPr>
  </w:style>
  <w:style w:type="paragraph" w:customStyle="1" w:styleId="32">
    <w:name w:val="p18"/>
    <w:basedOn w:val="1"/>
    <w:qFormat/>
    <w:uiPriority w:val="0"/>
    <w:pPr>
      <w:widowControl/>
      <w:spacing w:line="360" w:lineRule="atLeast"/>
      <w:ind w:firstLine="540"/>
    </w:pPr>
    <w:rPr>
      <w:rFonts w:ascii="宋体" w:hAnsi="宋体" w:cs="宋体"/>
      <w:kern w:val="0"/>
      <w:sz w:val="24"/>
    </w:rPr>
  </w:style>
  <w:style w:type="paragraph" w:customStyle="1" w:styleId="33">
    <w:name w:val="p16"/>
    <w:basedOn w:val="1"/>
    <w:qFormat/>
    <w:uiPriority w:val="0"/>
    <w:pPr>
      <w:widowControl/>
    </w:pPr>
    <w:rPr>
      <w:kern w:val="0"/>
      <w:szCs w:val="21"/>
    </w:rPr>
  </w:style>
  <w:style w:type="character" w:customStyle="1" w:styleId="34">
    <w:name w:val="font01"/>
    <w:basedOn w:val="13"/>
    <w:qFormat/>
    <w:uiPriority w:val="0"/>
    <w:rPr>
      <w:rFonts w:hint="eastAsia" w:ascii="宋体" w:hAnsi="宋体" w:eastAsia="宋体" w:cs="宋体"/>
      <w:b/>
      <w:color w:val="000000"/>
      <w:sz w:val="32"/>
      <w:szCs w:val="32"/>
      <w:u w:val="none"/>
    </w:rPr>
  </w:style>
  <w:style w:type="character" w:customStyle="1" w:styleId="35">
    <w:name w:val="font51"/>
    <w:basedOn w:val="13"/>
    <w:qFormat/>
    <w:uiPriority w:val="0"/>
    <w:rPr>
      <w:rFonts w:hint="eastAsia" w:ascii="宋体" w:hAnsi="宋体" w:eastAsia="宋体" w:cs="宋体"/>
      <w:color w:val="000000"/>
      <w:sz w:val="32"/>
      <w:szCs w:val="32"/>
      <w:u w:val="none"/>
    </w:rPr>
  </w:style>
  <w:style w:type="character" w:customStyle="1" w:styleId="36">
    <w:name w:val="font61"/>
    <w:basedOn w:val="13"/>
    <w:qFormat/>
    <w:uiPriority w:val="0"/>
    <w:rPr>
      <w:rFonts w:hint="eastAsia" w:ascii="宋体" w:hAnsi="宋体" w:eastAsia="宋体" w:cs="宋体"/>
      <w:color w:val="000000"/>
      <w:sz w:val="20"/>
      <w:szCs w:val="20"/>
      <w:u w:val="none"/>
    </w:rPr>
  </w:style>
  <w:style w:type="character" w:customStyle="1" w:styleId="37">
    <w:name w:val="font4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18</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2020-10-29T08:35:32Z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