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96597"/>
      <w:bookmarkStart w:id="2" w:name="_Toc15377193"/>
      <w:bookmarkStart w:id="3" w:name="_Toc15378441"/>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8442"/>
      <w:bookmarkStart w:id="7" w:name="_Toc15377426"/>
      <w:bookmarkStart w:id="8" w:name="_Toc15377194"/>
      <w:bookmarkStart w:id="9" w:name="_Toc15396476"/>
      <w:bookmarkStart w:id="10" w:name="_Toc15396598"/>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峨山镇卫生院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月3</w:t>
      </w:r>
      <w:r>
        <w:rPr>
          <w:rFonts w:hint="eastAsia"/>
          <w:lang w:val="en-US" w:eastAsia="zh-CN"/>
        </w:rPr>
        <w:t>0</w:t>
      </w:r>
      <w:r>
        <w:rPr>
          <w:rFonts w:hint="eastAsia"/>
        </w:rPr>
        <w:t>日</w:t>
      </w:r>
    </w:p>
    <w:p/>
    <w:sdt>
      <w:sdtPr>
        <w:rPr>
          <w:rFonts w:ascii="宋体" w:hAnsi="宋体" w:eastAsia="宋体" w:cs="Times New Roman"/>
          <w:kern w:val="2"/>
          <w:sz w:val="21"/>
          <w:szCs w:val="24"/>
          <w:lang w:val="en-US" w:eastAsia="zh-CN" w:bidi="ar-SA"/>
        </w:rPr>
        <w:id w:val="147480657"/>
        <w:docPartObj>
          <w:docPartGallery w:val="Table of Contents"/>
          <w:docPartUnique/>
        </w:docPartObj>
      </w:sdtPr>
      <w:sdtEndPr>
        <w:rPr>
          <w:rFonts w:ascii="Calibri" w:hAnsi="Calibri"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12" w:name="_Toc8887_WPSOffice_Type2"/>
          <w:bookmarkStart w:id="13" w:name="_Toc15377196"/>
          <w:bookmarkStart w:id="14" w:name="_Toc15396599"/>
          <w:r>
            <w:rPr>
              <w:rFonts w:ascii="宋体" w:hAnsi="宋体" w:eastAsia="宋体"/>
              <w:sz w:val="21"/>
            </w:rPr>
            <w:t>目录</w:t>
          </w:r>
        </w:p>
        <w:p>
          <w:pPr>
            <w:pStyle w:val="31"/>
            <w:tabs>
              <w:tab w:val="right" w:leader="dot" w:pos="8306"/>
            </w:tabs>
          </w:pPr>
          <w:r>
            <w:rPr>
              <w:b/>
              <w:bCs/>
            </w:rPr>
            <w:fldChar w:fldCharType="begin"/>
          </w:r>
          <w:r>
            <w:instrText xml:space="preserve"> HYPERLINK \l _Toc589_WPSOffice_Level1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657"/>
              <w:placeholder>
                <w:docPart w:val="{58d386c0-55f9-4897-aaa3-6b60efa6109c}"/>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第一部分 部门概况</w:t>
              </w:r>
            </w:sdtContent>
          </w:sdt>
          <w:r>
            <w:rPr>
              <w:b/>
              <w:bCs/>
            </w:rPr>
            <w:tab/>
          </w:r>
          <w:bookmarkStart w:id="15" w:name="_Toc589_WPSOffice_Level1Page"/>
          <w:r>
            <w:rPr>
              <w:b/>
              <w:bCs/>
            </w:rPr>
            <w:t>1</w:t>
          </w:r>
          <w:bookmarkEnd w:id="15"/>
          <w:r>
            <w:rPr>
              <w:b/>
              <w:bCs/>
            </w:rPr>
            <w:fldChar w:fldCharType="end"/>
          </w:r>
        </w:p>
        <w:p>
          <w:pPr>
            <w:pStyle w:val="32"/>
            <w:tabs>
              <w:tab w:val="right" w:leader="dot" w:pos="8306"/>
            </w:tabs>
          </w:pPr>
          <w:r>
            <w:fldChar w:fldCharType="begin"/>
          </w:r>
          <w:r>
            <w:instrText xml:space="preserve"> HYPERLINK \l _Toc8887_WPSOffice_Level2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4fdf35ff-14a1-4919-aa3e-5b0fb689aafd}"/>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一、基本职能及主要工作</w:t>
              </w:r>
            </w:sdtContent>
          </w:sdt>
          <w:r>
            <w:tab/>
          </w:r>
          <w:bookmarkStart w:id="16" w:name="_Toc8887_WPSOffice_Level2Page"/>
          <w:r>
            <w:t>1</w:t>
          </w:r>
          <w:bookmarkEnd w:id="16"/>
          <w:r>
            <w:fldChar w:fldCharType="end"/>
          </w:r>
        </w:p>
        <w:p>
          <w:pPr>
            <w:pStyle w:val="32"/>
            <w:tabs>
              <w:tab w:val="right" w:leader="dot" w:pos="8306"/>
            </w:tabs>
          </w:pPr>
          <w:r>
            <w:fldChar w:fldCharType="begin"/>
          </w:r>
          <w:r>
            <w:instrText xml:space="preserve"> HYPERLINK \l _Toc23920_WPSOffice_Level2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8a9d93c8-233f-4d60-80e9-d3c5924ffc07}"/>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7" w:name="_Toc23920_WPSOffice_Level2Page"/>
          <w:r>
            <w:t>1</w:t>
          </w:r>
          <w:bookmarkEnd w:id="17"/>
          <w:r>
            <w:fldChar w:fldCharType="end"/>
          </w:r>
        </w:p>
        <w:p>
          <w:pPr>
            <w:pStyle w:val="31"/>
            <w:tabs>
              <w:tab w:val="right" w:leader="dot" w:pos="8306"/>
            </w:tabs>
          </w:pPr>
          <w:r>
            <w:rPr>
              <w:b/>
              <w:bCs/>
            </w:rPr>
            <w:fldChar w:fldCharType="begin"/>
          </w:r>
          <w:r>
            <w:instrText xml:space="preserve"> HYPERLINK \l _Toc8887_WPSOffice_Level1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657"/>
              <w:placeholder>
                <w:docPart w:val="{77bb829d-58ea-4096-b430-2ee8aafa7b8d}"/>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第二部分 2019年度部门决算情况说明</w:t>
              </w:r>
            </w:sdtContent>
          </w:sdt>
          <w:r>
            <w:rPr>
              <w:b/>
              <w:bCs/>
            </w:rPr>
            <w:tab/>
          </w:r>
          <w:bookmarkStart w:id="18" w:name="_Toc8887_WPSOffice_Level1Page"/>
          <w:r>
            <w:rPr>
              <w:b/>
              <w:bCs/>
            </w:rPr>
            <w:t>2</w:t>
          </w:r>
          <w:bookmarkEnd w:id="18"/>
          <w:r>
            <w:rPr>
              <w:b/>
              <w:bCs/>
            </w:rPr>
            <w:fldChar w:fldCharType="end"/>
          </w:r>
        </w:p>
        <w:p>
          <w:pPr>
            <w:pStyle w:val="32"/>
            <w:tabs>
              <w:tab w:val="right" w:leader="dot" w:pos="8306"/>
            </w:tabs>
          </w:pPr>
          <w:r>
            <w:fldChar w:fldCharType="begin"/>
          </w:r>
          <w:r>
            <w:instrText xml:space="preserve"> HYPERLINK \l _Toc30899_WPSOffice_Level2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bcf1638e-c208-4b50-b56e-a18e1e372b54}"/>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9" w:name="_Toc30899_WPSOffice_Level2Page"/>
          <w:r>
            <w:t>2</w:t>
          </w:r>
          <w:bookmarkEnd w:id="19"/>
          <w:r>
            <w:fldChar w:fldCharType="end"/>
          </w:r>
        </w:p>
        <w:p>
          <w:pPr>
            <w:pStyle w:val="32"/>
            <w:tabs>
              <w:tab w:val="right" w:leader="dot" w:pos="8306"/>
            </w:tabs>
          </w:pPr>
          <w:r>
            <w:fldChar w:fldCharType="begin"/>
          </w:r>
          <w:r>
            <w:instrText xml:space="preserve"> HYPERLINK \l _Toc9168_WPSOffice_Level2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fe7cdde8-e5e4-4bf2-8897-aab2569c51bc}"/>
              </w:placeholder>
            </w:sdtPr>
            <w:sdtEndPr>
              <w:rPr>
                <w:rFonts w:ascii="Times New Roman" w:hAnsi="Times New Roman" w:eastAsia="宋体" w:cs="Times New Roman"/>
                <w:kern w:val="2"/>
                <w:sz w:val="21"/>
                <w:szCs w:val="2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20" w:name="_Toc9168_WPSOffice_Level2Page"/>
          <w:r>
            <w:t>3</w:t>
          </w:r>
          <w:bookmarkEnd w:id="20"/>
          <w:r>
            <w:fldChar w:fldCharType="end"/>
          </w:r>
        </w:p>
        <w:p>
          <w:pPr>
            <w:pStyle w:val="32"/>
            <w:tabs>
              <w:tab w:val="right" w:leader="dot" w:pos="8306"/>
            </w:tabs>
          </w:pPr>
          <w:r>
            <w:fldChar w:fldCharType="begin"/>
          </w:r>
          <w:r>
            <w:instrText xml:space="preserve"> HYPERLINK \l _Toc20023_WPSOffice_Level2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6b51afb7-e125-4fc8-a878-8c7f1ae577f4}"/>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1" w:name="_Toc20023_WPSOffice_Level2Page"/>
          <w:r>
            <w:t>4</w:t>
          </w:r>
          <w:bookmarkEnd w:id="21"/>
          <w:r>
            <w:fldChar w:fldCharType="end"/>
          </w:r>
        </w:p>
        <w:p>
          <w:pPr>
            <w:pStyle w:val="32"/>
            <w:tabs>
              <w:tab w:val="right" w:leader="dot" w:pos="8306"/>
            </w:tabs>
          </w:pPr>
          <w:r>
            <w:fldChar w:fldCharType="begin"/>
          </w:r>
          <w:r>
            <w:instrText xml:space="preserve"> HYPERLINK \l _Toc9335_WPSOffice_Level2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84480cc9-638c-42cd-a0d0-8340bf84034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2" w:name="_Toc9335_WPSOffice_Level2Page"/>
          <w:r>
            <w:t>5</w:t>
          </w:r>
          <w:bookmarkEnd w:id="22"/>
          <w:r>
            <w:fldChar w:fldCharType="end"/>
          </w:r>
        </w:p>
        <w:p>
          <w:pPr>
            <w:pStyle w:val="32"/>
            <w:tabs>
              <w:tab w:val="right" w:leader="dot" w:pos="8306"/>
            </w:tabs>
          </w:pPr>
          <w:r>
            <w:fldChar w:fldCharType="begin"/>
          </w:r>
          <w:r>
            <w:instrText xml:space="preserve"> HYPERLINK \l _Toc22346_WPSOffice_Level2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01808865-5c3d-4b77-83a7-b823c75a79ae}"/>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3" w:name="_Toc22346_WPSOffice_Level2Page"/>
          <w:r>
            <w:t>7</w:t>
          </w:r>
          <w:bookmarkEnd w:id="23"/>
          <w:r>
            <w:fldChar w:fldCharType="end"/>
          </w:r>
        </w:p>
        <w:p>
          <w:pPr>
            <w:pStyle w:val="32"/>
            <w:tabs>
              <w:tab w:val="right" w:leader="dot" w:pos="8306"/>
            </w:tabs>
          </w:pPr>
          <w:r>
            <w:fldChar w:fldCharType="begin"/>
          </w:r>
          <w:r>
            <w:instrText xml:space="preserve"> HYPERLINK \l _Toc15437_WPSOffice_Level2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ac128d78-69a0-408c-8d07-676d0a53aad6}"/>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4" w:name="_Toc15437_WPSOffice_Level2Page"/>
          <w:r>
            <w:t>8</w:t>
          </w:r>
          <w:bookmarkEnd w:id="24"/>
          <w:r>
            <w:fldChar w:fldCharType="end"/>
          </w:r>
        </w:p>
        <w:p>
          <w:pPr>
            <w:pStyle w:val="32"/>
            <w:tabs>
              <w:tab w:val="right" w:leader="dot" w:pos="8306"/>
            </w:tabs>
          </w:pPr>
          <w:r>
            <w:fldChar w:fldCharType="begin"/>
          </w:r>
          <w:r>
            <w:instrText xml:space="preserve"> HYPERLINK \l _Toc31300_WPSOffice_Level2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c9a36854-9fbf-4dd3-aeee-b01773c8f031}"/>
              </w:placeholder>
            </w:sdtPr>
            <w:sdtEndPr>
              <w:rPr>
                <w:rFonts w:ascii="Times New Roman" w:hAnsi="Times New Roman" w:eastAsia="宋体" w:cs="Times New Roman"/>
                <w:kern w:val="2"/>
                <w:sz w:val="21"/>
                <w:szCs w:val="2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5" w:name="_Toc31300_WPSOffice_Level2Page"/>
          <w:r>
            <w:t>9</w:t>
          </w:r>
          <w:bookmarkEnd w:id="25"/>
          <w:r>
            <w:fldChar w:fldCharType="end"/>
          </w:r>
        </w:p>
        <w:p>
          <w:pPr>
            <w:pStyle w:val="32"/>
            <w:tabs>
              <w:tab w:val="right" w:leader="dot" w:pos="8306"/>
            </w:tabs>
          </w:pPr>
          <w:r>
            <w:fldChar w:fldCharType="begin"/>
          </w:r>
          <w:r>
            <w:instrText xml:space="preserve"> HYPERLINK \l _Toc2318_WPSOffice_Level2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d0952470-4c1a-4908-b3fe-428bd538a231}"/>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九、 国有资本经营预算支出决算情况说明</w:t>
              </w:r>
            </w:sdtContent>
          </w:sdt>
          <w:r>
            <w:tab/>
          </w:r>
          <w:bookmarkStart w:id="26" w:name="_Toc2318_WPSOffice_Level2Page"/>
          <w:r>
            <w:t>10</w:t>
          </w:r>
          <w:bookmarkEnd w:id="26"/>
          <w:r>
            <w:fldChar w:fldCharType="end"/>
          </w:r>
        </w:p>
        <w:p>
          <w:pPr>
            <w:pStyle w:val="32"/>
            <w:tabs>
              <w:tab w:val="right" w:leader="dot" w:pos="8306"/>
            </w:tabs>
          </w:pPr>
          <w:r>
            <w:fldChar w:fldCharType="begin"/>
          </w:r>
          <w:r>
            <w:instrText xml:space="preserve"> HYPERLINK \l _Toc5009_WPSOffice_Level2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f4a2ed00-aeb3-4b9d-ade8-77d6d65a1e55}"/>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十</w:t>
              </w:r>
              <w:r>
                <w:rPr>
                  <w:rFonts w:hint="eastAsia" w:ascii="黑体" w:hAnsi="黑体" w:eastAsia="黑体" w:cstheme="majorBidi"/>
                </w:rPr>
                <w:t>、其他重要事项的情况说明</w:t>
              </w:r>
            </w:sdtContent>
          </w:sdt>
          <w:r>
            <w:tab/>
          </w:r>
          <w:bookmarkStart w:id="27" w:name="_Toc5009_WPSOffice_Level2Page"/>
          <w:r>
            <w:t>10</w:t>
          </w:r>
          <w:bookmarkEnd w:id="27"/>
          <w:r>
            <w:fldChar w:fldCharType="end"/>
          </w:r>
        </w:p>
        <w:p>
          <w:pPr>
            <w:pStyle w:val="31"/>
            <w:tabs>
              <w:tab w:val="right" w:leader="dot" w:pos="8306"/>
            </w:tabs>
          </w:pPr>
          <w:r>
            <w:rPr>
              <w:b/>
              <w:bCs/>
            </w:rPr>
            <w:fldChar w:fldCharType="begin"/>
          </w:r>
          <w:r>
            <w:instrText xml:space="preserve"> HYPERLINK \l _Toc23920_WPSOffice_Level1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657"/>
              <w:placeholder>
                <w:docPart w:val="{0d7737a4-538b-44db-bfc0-b29ea9333019}"/>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第三部分 名词解释</w:t>
              </w:r>
            </w:sdtContent>
          </w:sdt>
          <w:r>
            <w:rPr>
              <w:b/>
              <w:bCs/>
            </w:rPr>
            <w:tab/>
          </w:r>
          <w:bookmarkStart w:id="28" w:name="_Toc23920_WPSOffice_Level1Page"/>
          <w:r>
            <w:rPr>
              <w:b/>
              <w:bCs/>
            </w:rPr>
            <w:t>13</w:t>
          </w:r>
          <w:bookmarkEnd w:id="28"/>
          <w:r>
            <w:rPr>
              <w:b/>
              <w:bCs/>
            </w:rPr>
            <w:fldChar w:fldCharType="end"/>
          </w:r>
        </w:p>
        <w:p>
          <w:pPr>
            <w:pStyle w:val="31"/>
            <w:tabs>
              <w:tab w:val="right" w:leader="dot" w:pos="8306"/>
            </w:tabs>
          </w:pPr>
          <w:r>
            <w:rPr>
              <w:b/>
              <w:bCs/>
            </w:rPr>
            <w:fldChar w:fldCharType="begin"/>
          </w:r>
          <w:r>
            <w:instrText xml:space="preserve"> HYPERLINK \l _Toc30899_WPSOffice_Level1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657"/>
              <w:placeholder>
                <w:docPart w:val="{ff82347c-7c40-441f-b96e-3156ab976ce9}"/>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第四部分 附件</w:t>
              </w:r>
            </w:sdtContent>
          </w:sdt>
          <w:r>
            <w:rPr>
              <w:b/>
              <w:bCs/>
            </w:rPr>
            <w:tab/>
          </w:r>
          <w:bookmarkStart w:id="29" w:name="_Toc30899_WPSOffice_Level1Page"/>
          <w:r>
            <w:rPr>
              <w:b/>
              <w:bCs/>
            </w:rPr>
            <w:t>16</w:t>
          </w:r>
          <w:bookmarkEnd w:id="29"/>
          <w:r>
            <w:rPr>
              <w:b/>
              <w:bCs/>
            </w:rPr>
            <w:fldChar w:fldCharType="end"/>
          </w:r>
        </w:p>
        <w:p>
          <w:pPr>
            <w:pStyle w:val="32"/>
            <w:tabs>
              <w:tab w:val="right" w:leader="dot" w:pos="8306"/>
            </w:tabs>
          </w:pPr>
          <w:r>
            <w:fldChar w:fldCharType="begin"/>
          </w:r>
          <w:r>
            <w:instrText xml:space="preserve"> HYPERLINK \l _Toc23700_WPSOffice_Level2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3321a93d-699e-4d8f-994f-01fc78b7c3ac}"/>
              </w:placeholder>
            </w:sdtPr>
            <w:sdtEndPr>
              <w:rPr>
                <w:rFonts w:ascii="Times New Roman" w:hAnsi="Times New Roman" w:eastAsia="宋体" w:cs="Times New Roman"/>
                <w:kern w:val="2"/>
                <w:sz w:val="21"/>
                <w:szCs w:val="24"/>
                <w:lang w:val="en-US" w:eastAsia="zh-CN" w:bidi="ar-SA"/>
              </w:rPr>
            </w:sdtEndPr>
            <w:sdtContent>
              <w:r>
                <w:rPr>
                  <w:rFonts w:hint="eastAsia" w:ascii="方正小标宋简体" w:hAnsi="宋体" w:eastAsia="方正小标宋简体" w:cs="Times New Roman"/>
                </w:rPr>
                <w:t>峨眉山市峨山镇卫生院</w:t>
              </w:r>
            </w:sdtContent>
          </w:sdt>
          <w:r>
            <w:tab/>
          </w:r>
          <w:bookmarkStart w:id="30" w:name="_Toc23700_WPSOffice_Level2Page"/>
          <w:r>
            <w:t>16</w:t>
          </w:r>
          <w:bookmarkEnd w:id="30"/>
          <w:r>
            <w:fldChar w:fldCharType="end"/>
          </w:r>
        </w:p>
        <w:p>
          <w:pPr>
            <w:pStyle w:val="32"/>
            <w:tabs>
              <w:tab w:val="right" w:leader="dot" w:pos="8306"/>
            </w:tabs>
          </w:pPr>
          <w:r>
            <w:fldChar w:fldCharType="begin"/>
          </w:r>
          <w:r>
            <w:instrText xml:space="preserve"> HYPERLINK \l _Toc24663_WPSOffice_Level2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b05f9765-0db4-4f38-9ffd-626046ed772f}"/>
              </w:placeholder>
            </w:sdtPr>
            <w:sdtEndPr>
              <w:rPr>
                <w:rFonts w:ascii="Times New Roman" w:hAnsi="Times New Roman" w:eastAsia="宋体" w:cs="Times New Roman"/>
                <w:kern w:val="2"/>
                <w:sz w:val="21"/>
                <w:szCs w:val="24"/>
                <w:lang w:val="en-US" w:eastAsia="zh-CN" w:bidi="ar-SA"/>
              </w:rPr>
            </w:sdtEndPr>
            <w:sdtContent>
              <w:r>
                <w:rPr>
                  <w:rFonts w:ascii="方正小标宋简体" w:hAnsi="宋体" w:eastAsia="方正小标宋简体" w:cs="Times New Roman"/>
                </w:rPr>
                <w:t>2019年部门</w:t>
              </w:r>
              <w:r>
                <w:rPr>
                  <w:rFonts w:hint="eastAsia" w:ascii="方正小标宋简体" w:hAnsi="宋体" w:eastAsia="方正小标宋简体" w:cs="Times New Roman"/>
                </w:rPr>
                <w:t>整体支出绩效评价报告</w:t>
              </w:r>
            </w:sdtContent>
          </w:sdt>
          <w:r>
            <w:tab/>
          </w:r>
          <w:bookmarkStart w:id="31" w:name="_Toc24663_WPSOffice_Level2Page"/>
          <w:r>
            <w:t>16</w:t>
          </w:r>
          <w:bookmarkEnd w:id="31"/>
          <w:r>
            <w:fldChar w:fldCharType="end"/>
          </w:r>
        </w:p>
        <w:p>
          <w:pPr>
            <w:pStyle w:val="32"/>
            <w:tabs>
              <w:tab w:val="right" w:leader="dot" w:pos="8306"/>
            </w:tabs>
          </w:pPr>
          <w:r>
            <w:fldChar w:fldCharType="begin"/>
          </w:r>
          <w:r>
            <w:instrText xml:space="preserve"> HYPERLINK \l _Toc12117_WPSOffice_Level2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607a39ad-8c34-4da8-b443-1f2ac5f3ef0a}"/>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一、部门（单位）概况</w:t>
              </w:r>
            </w:sdtContent>
          </w:sdt>
          <w:r>
            <w:tab/>
          </w:r>
          <w:bookmarkStart w:id="32" w:name="_Toc12117_WPSOffice_Level2Page"/>
          <w:r>
            <w:t>16</w:t>
          </w:r>
          <w:bookmarkEnd w:id="32"/>
          <w:r>
            <w:fldChar w:fldCharType="end"/>
          </w:r>
        </w:p>
        <w:p>
          <w:pPr>
            <w:pStyle w:val="32"/>
            <w:tabs>
              <w:tab w:val="right" w:leader="dot" w:pos="8306"/>
            </w:tabs>
          </w:pPr>
          <w:r>
            <w:fldChar w:fldCharType="begin"/>
          </w:r>
          <w:r>
            <w:instrText xml:space="preserve"> HYPERLINK \l _Toc3962_WPSOffice_Level2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1ed0bca3-d63e-41a5-baf7-84ae7f46459b}"/>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二、部门财政资金收支情况</w:t>
              </w:r>
            </w:sdtContent>
          </w:sdt>
          <w:r>
            <w:tab/>
          </w:r>
          <w:bookmarkStart w:id="33" w:name="_Toc3962_WPSOffice_Level2Page"/>
          <w:r>
            <w:t>16</w:t>
          </w:r>
          <w:bookmarkEnd w:id="33"/>
          <w:r>
            <w:fldChar w:fldCharType="end"/>
          </w:r>
        </w:p>
        <w:p>
          <w:pPr>
            <w:pStyle w:val="32"/>
            <w:tabs>
              <w:tab w:val="right" w:leader="dot" w:pos="8306"/>
            </w:tabs>
          </w:pPr>
          <w:r>
            <w:fldChar w:fldCharType="begin"/>
          </w:r>
          <w:r>
            <w:instrText xml:space="preserve"> HYPERLINK \l _Toc13281_WPSOffice_Level2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8d399982-f8f0-4acc-bfc6-d2490b7865b0}"/>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三、部门整体预算绩效管理情况</w:t>
              </w:r>
            </w:sdtContent>
          </w:sdt>
          <w:r>
            <w:tab/>
          </w:r>
          <w:bookmarkStart w:id="34" w:name="_Toc13281_WPSOffice_Level2Page"/>
          <w:r>
            <w:t>17</w:t>
          </w:r>
          <w:bookmarkEnd w:id="34"/>
          <w:r>
            <w:fldChar w:fldCharType="end"/>
          </w:r>
        </w:p>
        <w:p>
          <w:pPr>
            <w:pStyle w:val="32"/>
            <w:tabs>
              <w:tab w:val="right" w:leader="dot" w:pos="8306"/>
            </w:tabs>
          </w:pPr>
          <w:r>
            <w:fldChar w:fldCharType="begin"/>
          </w:r>
          <w:r>
            <w:instrText xml:space="preserve"> HYPERLINK \l _Toc13204_WPSOffice_Level2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904729d9-3ddb-4c88-b53a-ac749df9e8cf}"/>
              </w:placeholder>
            </w:sdtPr>
            <w:sdtEndPr>
              <w:rPr>
                <w:rFonts w:ascii="Times New Roman" w:hAnsi="Times New Roman" w:eastAsia="宋体" w:cs="Times New Roman"/>
                <w:kern w:val="2"/>
                <w:sz w:val="21"/>
                <w:szCs w:val="24"/>
                <w:lang w:val="en-US" w:eastAsia="zh-CN" w:bidi="ar-SA"/>
              </w:rPr>
            </w:sdtEndPr>
            <w:sdtContent>
              <w:r>
                <w:rPr>
                  <w:rFonts w:hint="eastAsia" w:ascii="黑体" w:hAnsi="宋体" w:eastAsia="黑体" w:cs="宋体"/>
                </w:rPr>
                <w:t>四、评价结论及建议</w:t>
              </w:r>
            </w:sdtContent>
          </w:sdt>
          <w:r>
            <w:tab/>
          </w:r>
          <w:bookmarkStart w:id="35" w:name="_Toc13204_WPSOffice_Level2Page"/>
          <w:r>
            <w:t>18</w:t>
          </w:r>
          <w:bookmarkEnd w:id="35"/>
          <w:r>
            <w:fldChar w:fldCharType="end"/>
          </w:r>
        </w:p>
        <w:p>
          <w:pPr>
            <w:pStyle w:val="31"/>
            <w:tabs>
              <w:tab w:val="right" w:leader="dot" w:pos="8306"/>
            </w:tabs>
          </w:pPr>
          <w:r>
            <w:rPr>
              <w:b/>
              <w:bCs/>
            </w:rPr>
            <w:fldChar w:fldCharType="begin"/>
          </w:r>
          <w:r>
            <w:instrText xml:space="preserve"> HYPERLINK \l _Toc9168_WPSOffice_Level1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80657"/>
              <w:placeholder>
                <w:docPart w:val="{6a3f7879-d1bc-4b8c-a13c-5035f5ae7360}"/>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rPr>
                <w:t>第五部分 附表</w:t>
              </w:r>
            </w:sdtContent>
          </w:sdt>
          <w:r>
            <w:rPr>
              <w:b/>
              <w:bCs/>
            </w:rPr>
            <w:tab/>
          </w:r>
          <w:bookmarkStart w:id="36" w:name="_Toc9168_WPSOffice_Level1Page"/>
          <w:r>
            <w:rPr>
              <w:b/>
              <w:bCs/>
            </w:rPr>
            <w:t>20</w:t>
          </w:r>
          <w:bookmarkEnd w:id="36"/>
          <w:r>
            <w:rPr>
              <w:b/>
              <w:bCs/>
            </w:rPr>
            <w:fldChar w:fldCharType="end"/>
          </w:r>
        </w:p>
        <w:p>
          <w:pPr>
            <w:pStyle w:val="32"/>
            <w:tabs>
              <w:tab w:val="right" w:leader="dot" w:pos="8306"/>
            </w:tabs>
          </w:pPr>
          <w:r>
            <w:fldChar w:fldCharType="begin"/>
          </w:r>
          <w:r>
            <w:instrText xml:space="preserve"> HYPERLINK \l _Toc31604_WPSOffice_Level2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04b25c5d-c9c4-4e9a-bd04-518a4dc94fbd}"/>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一、收入支出决算总表</w:t>
              </w:r>
            </w:sdtContent>
          </w:sdt>
          <w:r>
            <w:tab/>
          </w:r>
          <w:bookmarkStart w:id="37" w:name="_Toc31604_WPSOffice_Level2Page"/>
          <w:r>
            <w:t>20</w:t>
          </w:r>
          <w:bookmarkEnd w:id="37"/>
          <w:r>
            <w:fldChar w:fldCharType="end"/>
          </w:r>
        </w:p>
        <w:p>
          <w:pPr>
            <w:pStyle w:val="32"/>
            <w:tabs>
              <w:tab w:val="right" w:leader="dot" w:pos="8306"/>
            </w:tabs>
          </w:pPr>
          <w:r>
            <w:fldChar w:fldCharType="begin"/>
          </w:r>
          <w:r>
            <w:instrText xml:space="preserve"> HYPERLINK \l _Toc26074_WPSOffice_Level2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b0b10346-0b59-401d-9a36-94dba9b73d7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二、收入决算表</w:t>
              </w:r>
            </w:sdtContent>
          </w:sdt>
          <w:r>
            <w:tab/>
          </w:r>
          <w:bookmarkStart w:id="38" w:name="_Toc26074_WPSOffice_Level2Page"/>
          <w:r>
            <w:t>20</w:t>
          </w:r>
          <w:bookmarkEnd w:id="38"/>
          <w:r>
            <w:fldChar w:fldCharType="end"/>
          </w:r>
        </w:p>
        <w:p>
          <w:pPr>
            <w:pStyle w:val="32"/>
            <w:tabs>
              <w:tab w:val="right" w:leader="dot" w:pos="8306"/>
            </w:tabs>
          </w:pPr>
          <w:r>
            <w:fldChar w:fldCharType="begin"/>
          </w:r>
          <w:r>
            <w:instrText xml:space="preserve"> HYPERLINK \l _Toc23497_WPSOffice_Level2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13f23fe9-cee7-41cb-9277-88011ffe07bb}"/>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三、支出决算表</w:t>
              </w:r>
            </w:sdtContent>
          </w:sdt>
          <w:r>
            <w:tab/>
          </w:r>
          <w:bookmarkStart w:id="39" w:name="_Toc23497_WPSOffice_Level2Page"/>
          <w:r>
            <w:t>20</w:t>
          </w:r>
          <w:bookmarkEnd w:id="39"/>
          <w:r>
            <w:fldChar w:fldCharType="end"/>
          </w:r>
        </w:p>
        <w:p>
          <w:pPr>
            <w:pStyle w:val="32"/>
            <w:tabs>
              <w:tab w:val="right" w:leader="dot" w:pos="8306"/>
            </w:tabs>
          </w:pPr>
          <w:r>
            <w:fldChar w:fldCharType="begin"/>
          </w:r>
          <w:r>
            <w:instrText xml:space="preserve"> HYPERLINK \l _Toc10504_WPSOffice_Level2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58604ccc-3c8c-4bd9-aeb9-ad83081f9c7f}"/>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四、财政拨款收入支出决算总表</w:t>
              </w:r>
            </w:sdtContent>
          </w:sdt>
          <w:r>
            <w:tab/>
          </w:r>
          <w:bookmarkStart w:id="40" w:name="_Toc10504_WPSOffice_Level2Page"/>
          <w:r>
            <w:t>20</w:t>
          </w:r>
          <w:bookmarkEnd w:id="40"/>
          <w:r>
            <w:fldChar w:fldCharType="end"/>
          </w:r>
        </w:p>
        <w:p>
          <w:pPr>
            <w:pStyle w:val="32"/>
            <w:tabs>
              <w:tab w:val="right" w:leader="dot" w:pos="8306"/>
            </w:tabs>
          </w:pPr>
          <w:r>
            <w:fldChar w:fldCharType="begin"/>
          </w:r>
          <w:r>
            <w:instrText xml:space="preserve"> HYPERLINK \l _Toc2260_WPSOffice_Level2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22887caf-cccf-4274-9aa1-4674f62cbea1}"/>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五、财政拨款支出决算明细表</w:t>
              </w:r>
            </w:sdtContent>
          </w:sdt>
          <w:r>
            <w:tab/>
          </w:r>
          <w:bookmarkStart w:id="41" w:name="_Toc2260_WPSOffice_Level2Page"/>
          <w:r>
            <w:t>20</w:t>
          </w:r>
          <w:bookmarkEnd w:id="41"/>
          <w:r>
            <w:fldChar w:fldCharType="end"/>
          </w:r>
        </w:p>
        <w:p>
          <w:pPr>
            <w:pStyle w:val="32"/>
            <w:tabs>
              <w:tab w:val="right" w:leader="dot" w:pos="8306"/>
            </w:tabs>
          </w:pPr>
          <w:r>
            <w:fldChar w:fldCharType="begin"/>
          </w:r>
          <w:r>
            <w:instrText xml:space="preserve"> HYPERLINK \l _Toc21704_WPSOffice_Level2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fec3015b-bae0-4227-88d4-ed58b401fef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六、一般公共预算财政拨款支出决算表</w:t>
              </w:r>
            </w:sdtContent>
          </w:sdt>
          <w:r>
            <w:tab/>
          </w:r>
          <w:bookmarkStart w:id="42" w:name="_Toc21704_WPSOffice_Level2Page"/>
          <w:r>
            <w:t>20</w:t>
          </w:r>
          <w:bookmarkEnd w:id="42"/>
          <w:r>
            <w:fldChar w:fldCharType="end"/>
          </w:r>
        </w:p>
        <w:p>
          <w:pPr>
            <w:pStyle w:val="32"/>
            <w:tabs>
              <w:tab w:val="right" w:leader="dot" w:pos="8306"/>
            </w:tabs>
          </w:pPr>
          <w:r>
            <w:fldChar w:fldCharType="begin"/>
          </w:r>
          <w:r>
            <w:instrText xml:space="preserve"> HYPERLINK \l _Toc10516_WPSOffice_Level2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2d54dd4a-2a1f-4ee2-b46a-e0f603ef794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七、一般公共预算财政拨款支出决算明细表</w:t>
              </w:r>
            </w:sdtContent>
          </w:sdt>
          <w:r>
            <w:tab/>
          </w:r>
          <w:bookmarkStart w:id="43" w:name="_Toc10516_WPSOffice_Level2Page"/>
          <w:r>
            <w:t>20</w:t>
          </w:r>
          <w:bookmarkEnd w:id="43"/>
          <w:r>
            <w:fldChar w:fldCharType="end"/>
          </w:r>
        </w:p>
        <w:p>
          <w:pPr>
            <w:pStyle w:val="32"/>
            <w:tabs>
              <w:tab w:val="right" w:leader="dot" w:pos="8306"/>
            </w:tabs>
          </w:pPr>
          <w:r>
            <w:fldChar w:fldCharType="begin"/>
          </w:r>
          <w:r>
            <w:instrText xml:space="preserve"> HYPERLINK \l _Toc21807_WPSOffice_Level2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18f40835-615b-4f8d-938a-33f41ef016f6}"/>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八、一般公共预算财政拨款基本支出决算表</w:t>
              </w:r>
            </w:sdtContent>
          </w:sdt>
          <w:r>
            <w:tab/>
          </w:r>
          <w:bookmarkStart w:id="44" w:name="_Toc21807_WPSOffice_Level2Page"/>
          <w:r>
            <w:t>20</w:t>
          </w:r>
          <w:bookmarkEnd w:id="44"/>
          <w:r>
            <w:fldChar w:fldCharType="end"/>
          </w:r>
        </w:p>
        <w:p>
          <w:pPr>
            <w:pStyle w:val="32"/>
            <w:tabs>
              <w:tab w:val="right" w:leader="dot" w:pos="8306"/>
            </w:tabs>
          </w:pPr>
          <w:r>
            <w:fldChar w:fldCharType="begin"/>
          </w:r>
          <w:r>
            <w:instrText xml:space="preserve"> HYPERLINK \l _Toc8592_WPSOffice_Level2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5f1b6ee6-f6df-445f-8933-fdd5e243012c}"/>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九、一般公共预算财政拨款项目支出决算表</w:t>
              </w:r>
            </w:sdtContent>
          </w:sdt>
          <w:r>
            <w:tab/>
          </w:r>
          <w:bookmarkStart w:id="45" w:name="_Toc8592_WPSOffice_Level2Page"/>
          <w:r>
            <w:t>20</w:t>
          </w:r>
          <w:bookmarkEnd w:id="45"/>
          <w:r>
            <w:fldChar w:fldCharType="end"/>
          </w:r>
        </w:p>
        <w:p>
          <w:pPr>
            <w:pStyle w:val="32"/>
            <w:tabs>
              <w:tab w:val="right" w:leader="dot" w:pos="8306"/>
            </w:tabs>
          </w:pPr>
          <w:r>
            <w:fldChar w:fldCharType="begin"/>
          </w:r>
          <w:r>
            <w:instrText xml:space="preserve"> HYPERLINK \l _Toc10053_WPSOffice_Level2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92d49716-188e-485f-96d4-44a48a48849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十、一般公共预算财政拨款“三公”经费支出决算表</w:t>
              </w:r>
            </w:sdtContent>
          </w:sdt>
          <w:r>
            <w:tab/>
          </w:r>
          <w:bookmarkStart w:id="46" w:name="_Toc10053_WPSOffice_Level2Page"/>
          <w:r>
            <w:t>20</w:t>
          </w:r>
          <w:bookmarkEnd w:id="46"/>
          <w:r>
            <w:fldChar w:fldCharType="end"/>
          </w:r>
        </w:p>
        <w:p>
          <w:pPr>
            <w:pStyle w:val="32"/>
            <w:tabs>
              <w:tab w:val="right" w:leader="dot" w:pos="8306"/>
            </w:tabs>
          </w:pPr>
          <w:r>
            <w:fldChar w:fldCharType="begin"/>
          </w:r>
          <w:r>
            <w:instrText xml:space="preserve"> HYPERLINK \l _Toc32458_WPSOffice_Level2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843d46f8-75e7-4f60-81ff-e110d1ba8fb8}"/>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十一、政府性基金预算财政拨款收入支出决算表</w:t>
              </w:r>
            </w:sdtContent>
          </w:sdt>
          <w:r>
            <w:tab/>
          </w:r>
          <w:bookmarkStart w:id="47" w:name="_Toc32458_WPSOffice_Level2Page"/>
          <w:r>
            <w:t>20</w:t>
          </w:r>
          <w:bookmarkEnd w:id="47"/>
          <w:r>
            <w:fldChar w:fldCharType="end"/>
          </w:r>
        </w:p>
        <w:p>
          <w:pPr>
            <w:pStyle w:val="32"/>
            <w:tabs>
              <w:tab w:val="right" w:leader="dot" w:pos="8306"/>
            </w:tabs>
          </w:pPr>
          <w:r>
            <w:fldChar w:fldCharType="begin"/>
          </w:r>
          <w:r>
            <w:instrText xml:space="preserve"> HYPERLINK \l _Toc697_WPSOffice_Level2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413cd7bc-7144-4a4a-be20-e4d7ec44c334}"/>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8" w:name="_Toc697_WPSOffice_Level2Page"/>
          <w:r>
            <w:t>20</w:t>
          </w:r>
          <w:bookmarkEnd w:id="48"/>
          <w:r>
            <w:fldChar w:fldCharType="end"/>
          </w:r>
        </w:p>
        <w:p>
          <w:pPr>
            <w:pStyle w:val="32"/>
            <w:tabs>
              <w:tab w:val="right" w:leader="dot" w:pos="8306"/>
            </w:tabs>
          </w:pPr>
          <w:r>
            <w:fldChar w:fldCharType="begin"/>
          </w:r>
          <w:r>
            <w:instrText xml:space="preserve"> HYPERLINK \l _Toc18982_WPSOffice_Level2 </w:instrText>
          </w:r>
          <w:r>
            <w:fldChar w:fldCharType="separate"/>
          </w:r>
          <w:sdt>
            <w:sdtPr>
              <w:rPr>
                <w:rFonts w:ascii="Times New Roman" w:hAnsi="Times New Roman" w:eastAsia="宋体" w:cs="Times New Roman"/>
                <w:kern w:val="2"/>
                <w:sz w:val="21"/>
                <w:szCs w:val="24"/>
                <w:lang w:val="en-US" w:eastAsia="zh-CN" w:bidi="ar-SA"/>
              </w:rPr>
              <w:id w:val="147480657"/>
              <w:placeholder>
                <w:docPart w:val="{3b9eb1b6-6f72-46f5-9cd9-e53ec9423387}"/>
              </w:placeholder>
            </w:sdtPr>
            <w:sdtEndPr>
              <w:rPr>
                <w:rFonts w:ascii="Times New Roman" w:hAnsi="Times New Roman" w:eastAsia="宋体" w:cs="Times New Roman"/>
                <w:kern w:val="2"/>
                <w:sz w:val="21"/>
                <w:szCs w:val="24"/>
                <w:lang w:val="en-US" w:eastAsia="zh-CN" w:bidi="ar-SA"/>
              </w:rPr>
            </w:sdtEndPr>
            <w:sdtContent>
              <w:r>
                <w:rPr>
                  <w:rFonts w:hint="eastAsia" w:ascii="仿宋" w:hAnsi="仿宋" w:eastAsia="仿宋" w:cstheme="majorBidi"/>
                </w:rPr>
                <w:t>十三、国有资本经营预算支出决算表</w:t>
              </w:r>
            </w:sdtContent>
          </w:sdt>
          <w:r>
            <w:tab/>
          </w:r>
          <w:bookmarkStart w:id="49" w:name="_Toc18982_WPSOffice_Level2Page"/>
          <w:r>
            <w:t>20</w:t>
          </w:r>
          <w:bookmarkEnd w:id="49"/>
          <w:r>
            <w:fldChar w:fldCharType="end"/>
          </w:r>
          <w:bookmarkEnd w:id="12"/>
        </w:p>
      </w:sdtContent>
    </w:sdt>
    <w:p>
      <w:pPr>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rPr>
          <w:rFonts w:hint="eastAsia" w:ascii="黑体" w:hAnsi="黑体" w:eastAsia="黑体"/>
          <w:b w:val="0"/>
        </w:rPr>
      </w:pPr>
    </w:p>
    <w:p>
      <w:pPr>
        <w:pStyle w:val="2"/>
        <w:jc w:val="center"/>
        <w:rPr>
          <w:rStyle w:val="25"/>
          <w:rFonts w:ascii="黑体" w:hAnsi="黑体" w:eastAsia="黑体"/>
          <w:b/>
          <w:bCs w:val="0"/>
        </w:rPr>
      </w:pPr>
      <w:bookmarkStart w:id="50" w:name="_Toc589_WPSOffice_Level1"/>
      <w:r>
        <w:rPr>
          <w:rFonts w:hint="eastAsia" w:ascii="黑体" w:hAnsi="黑体" w:eastAsia="黑体"/>
          <w:b w:val="0"/>
        </w:rPr>
        <w:t xml:space="preserve">第一部分 </w:t>
      </w:r>
      <w:r>
        <w:rPr>
          <w:rStyle w:val="25"/>
          <w:rFonts w:hint="eastAsia" w:ascii="黑体" w:hAnsi="黑体" w:eastAsia="黑体"/>
          <w:b w:val="0"/>
          <w:bCs w:val="0"/>
        </w:rPr>
        <w:t>部门概况</w:t>
      </w:r>
      <w:bookmarkEnd w:id="13"/>
      <w:bookmarkEnd w:id="14"/>
      <w:bookmarkEnd w:id="50"/>
    </w:p>
    <w:p>
      <w:pPr>
        <w:widowControl/>
        <w:jc w:val="left"/>
        <w:rPr>
          <w:rFonts w:ascii="黑体" w:eastAsia="黑体"/>
          <w:color w:val="000000"/>
          <w:sz w:val="32"/>
          <w:szCs w:val="32"/>
        </w:rPr>
      </w:pPr>
    </w:p>
    <w:p>
      <w:pPr>
        <w:pStyle w:val="3"/>
        <w:rPr>
          <w:rStyle w:val="26"/>
          <w:rFonts w:ascii="仿宋" w:hAnsi="仿宋" w:eastAsia="仿宋"/>
          <w:b w:val="0"/>
          <w:bCs w:val="0"/>
        </w:rPr>
      </w:pPr>
      <w:bookmarkStart w:id="51" w:name="_Toc8887_WPSOffice_Level2"/>
      <w:bookmarkStart w:id="52" w:name="_Toc15396600"/>
      <w:bookmarkStart w:id="53"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51"/>
      <w:bookmarkEnd w:id="52"/>
      <w:bookmarkEnd w:id="53"/>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4" w:name="_Toc15378445"/>
      <w:bookmarkStart w:id="55" w:name="_Toc15377198"/>
      <w:r>
        <w:rPr>
          <w:rFonts w:hint="eastAsia" w:ascii="仿宋" w:hAnsi="仿宋" w:eastAsia="仿宋"/>
          <w:bCs/>
          <w:color w:val="000000"/>
          <w:sz w:val="32"/>
          <w:szCs w:val="32"/>
        </w:rPr>
        <w:t>（一）主要职能。</w:t>
      </w:r>
      <w:bookmarkEnd w:id="54"/>
      <w:bookmarkEnd w:id="55"/>
    </w:p>
    <w:p>
      <w:pPr>
        <w:snapToGrid w:val="0"/>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56" w:name="_Toc15378446"/>
      <w:bookmarkStart w:id="57"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6"/>
      <w:bookmarkEnd w:id="57"/>
    </w:p>
    <w:p>
      <w:pPr>
        <w:snapToGrid w:val="0"/>
        <w:spacing w:line="520" w:lineRule="exact"/>
        <w:ind w:firstLine="640" w:firstLineChars="200"/>
        <w:rPr>
          <w:rFonts w:hint="eastAsia" w:ascii="仿宋" w:hAnsi="仿宋" w:eastAsia="仿宋"/>
          <w:b w:val="0"/>
          <w:bCs/>
          <w:color w:val="000000"/>
          <w:sz w:val="32"/>
          <w:szCs w:val="32"/>
        </w:rPr>
      </w:pPr>
      <w:r>
        <w:rPr>
          <w:rFonts w:hint="eastAsia" w:ascii="宋体" w:hAnsi="宋体"/>
          <w:b w:val="0"/>
          <w:bCs/>
          <w:sz w:val="32"/>
          <w:szCs w:val="32"/>
        </w:rPr>
        <w:t>2019年医疗收入254</w:t>
      </w:r>
      <w:r>
        <w:rPr>
          <w:rFonts w:hint="eastAsia" w:ascii="宋体" w:hAnsi="宋体"/>
          <w:b w:val="0"/>
          <w:bCs/>
          <w:sz w:val="32"/>
          <w:szCs w:val="32"/>
          <w:lang w:val="en-US" w:eastAsia="zh-CN"/>
        </w:rPr>
        <w:t>.</w:t>
      </w:r>
      <w:r>
        <w:rPr>
          <w:rFonts w:hint="eastAsia" w:ascii="宋体" w:hAnsi="宋体"/>
          <w:b w:val="0"/>
          <w:bCs/>
          <w:sz w:val="32"/>
          <w:szCs w:val="32"/>
        </w:rPr>
        <w:t>47</w:t>
      </w:r>
      <w:r>
        <w:rPr>
          <w:rFonts w:hint="eastAsia" w:ascii="宋体" w:hAnsi="宋体"/>
          <w:b w:val="0"/>
          <w:bCs/>
          <w:sz w:val="32"/>
          <w:szCs w:val="32"/>
          <w:lang w:eastAsia="zh-CN"/>
        </w:rPr>
        <w:t>万</w:t>
      </w:r>
      <w:r>
        <w:rPr>
          <w:rFonts w:hint="eastAsia" w:ascii="宋体" w:hAnsi="宋体"/>
          <w:b w:val="0"/>
          <w:bCs/>
          <w:sz w:val="32"/>
          <w:szCs w:val="32"/>
        </w:rPr>
        <w:t>元，门诊人次20865人，出院人次</w:t>
      </w:r>
      <w:r>
        <w:rPr>
          <w:rFonts w:hint="eastAsia" w:ascii="宋体" w:hAnsi="宋体"/>
          <w:b w:val="0"/>
          <w:bCs/>
          <w:sz w:val="32"/>
          <w:szCs w:val="32"/>
          <w:lang w:val="en-US" w:eastAsia="zh-CN"/>
        </w:rPr>
        <w:t>2092</w:t>
      </w:r>
      <w:r>
        <w:rPr>
          <w:rFonts w:hint="eastAsia" w:ascii="宋体" w:hAnsi="宋体"/>
          <w:b w:val="0"/>
          <w:bCs/>
          <w:sz w:val="32"/>
          <w:szCs w:val="32"/>
        </w:rPr>
        <w:t>人。</w:t>
      </w:r>
      <w:r>
        <w:rPr>
          <w:b w:val="0"/>
          <w:bCs/>
          <w:sz w:val="32"/>
          <w:szCs w:val="32"/>
        </w:rPr>
        <w:t>今年继续开展健康体检及建档工作，基本公共卫生服务截止2019年12月共累计建档人数11817人，共查出慢性疾病0人，其中高血压744人，糖尿病245人，精神障碍64人，全镇规范建档率达100%；2019年免费为1117个老年人进行了体检。</w:t>
      </w:r>
    </w:p>
    <w:p>
      <w:pPr>
        <w:pStyle w:val="3"/>
        <w:rPr>
          <w:rStyle w:val="26"/>
          <w:rFonts w:hint="eastAsia" w:ascii="黑体" w:hAnsi="黑体" w:eastAsia="黑体"/>
          <w:b w:val="0"/>
          <w:bCs w:val="0"/>
        </w:rPr>
      </w:pPr>
      <w:bookmarkStart w:id="58" w:name="_Toc23920_WPSOffice_Level2"/>
      <w:bookmarkStart w:id="59" w:name="_Toc15377200"/>
      <w:bookmarkStart w:id="60"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58"/>
      <w:bookmarkEnd w:id="59"/>
      <w:bookmarkEnd w:id="60"/>
    </w:p>
    <w:p>
      <w:pPr>
        <w:ind w:firstLine="640" w:firstLineChars="200"/>
        <w:rPr>
          <w:rFonts w:ascii="仿宋" w:hAnsi="仿宋" w:eastAsia="仿宋"/>
          <w:sz w:val="32"/>
          <w:szCs w:val="32"/>
        </w:rPr>
      </w:pPr>
      <w:r>
        <w:rPr>
          <w:rFonts w:hint="eastAsia" w:ascii="仿宋" w:hAnsi="仿宋" w:eastAsia="仿宋"/>
          <w:sz w:val="32"/>
          <w:szCs w:val="32"/>
          <w:lang w:eastAsia="zh-CN"/>
        </w:rPr>
        <w:t>峨山</w:t>
      </w:r>
      <w:r>
        <w:rPr>
          <w:rFonts w:hint="eastAsia" w:ascii="仿宋" w:hAnsi="仿宋" w:eastAsia="仿宋"/>
          <w:sz w:val="32"/>
          <w:szCs w:val="32"/>
        </w:rPr>
        <w:t>镇卫生院为峨眉山市卫生健康局下属二级预算单位，单位性质为财政差额拨款事业单位，无下设机构。</w:t>
      </w:r>
    </w:p>
    <w:p>
      <w:pPr>
        <w:pStyle w:val="2"/>
        <w:ind w:right="440"/>
        <w:jc w:val="right"/>
        <w:rPr>
          <w:rFonts w:ascii="黑体" w:hAnsi="黑体" w:eastAsia="黑体"/>
          <w:b w:val="0"/>
          <w:bCs w:val="0"/>
        </w:rPr>
      </w:pPr>
      <w:bookmarkStart w:id="61" w:name="_Toc8887_WPSOffice_Level1"/>
      <w:bookmarkStart w:id="62" w:name="_Toc15396602"/>
      <w:bookmarkStart w:id="6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61"/>
      <w:bookmarkEnd w:id="62"/>
      <w:bookmarkEnd w:id="63"/>
    </w:p>
    <w:p>
      <w:pPr>
        <w:pStyle w:val="24"/>
        <w:numPr>
          <w:ilvl w:val="0"/>
          <w:numId w:val="1"/>
        </w:numPr>
        <w:spacing w:line="600" w:lineRule="exact"/>
        <w:ind w:firstLineChars="0"/>
        <w:outlineLvl w:val="1"/>
        <w:rPr>
          <w:rStyle w:val="26"/>
          <w:rFonts w:ascii="黑体" w:hAnsi="黑体" w:eastAsia="黑体"/>
          <w:b w:val="0"/>
        </w:rPr>
      </w:pPr>
      <w:bookmarkStart w:id="64" w:name="_Toc15377205"/>
      <w:bookmarkStart w:id="65" w:name="_Toc30899_WPSOffice_Level2"/>
      <w:bookmarkStart w:id="66"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64"/>
      <w:bookmarkEnd w:id="65"/>
      <w:bookmarkEnd w:id="66"/>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2019年度收入总计</w:t>
      </w:r>
      <w:r>
        <w:rPr>
          <w:rFonts w:hint="eastAsia" w:ascii="仿宋" w:hAnsi="仿宋" w:eastAsia="仿宋"/>
          <w:color w:val="000000"/>
          <w:sz w:val="32"/>
          <w:szCs w:val="32"/>
          <w:lang w:val="en-US" w:eastAsia="zh-CN"/>
        </w:rPr>
        <w:t>408.38</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421.99</w:t>
      </w:r>
      <w:r>
        <w:rPr>
          <w:rFonts w:hint="eastAsia" w:ascii="仿宋" w:hAnsi="仿宋" w:eastAsia="仿宋"/>
          <w:color w:val="000000"/>
          <w:sz w:val="32"/>
          <w:szCs w:val="32"/>
        </w:rPr>
        <w:t>万元。与2018年相比，收入增加</w:t>
      </w:r>
      <w:r>
        <w:rPr>
          <w:rFonts w:hint="eastAsia" w:ascii="仿宋" w:hAnsi="仿宋" w:eastAsia="仿宋"/>
          <w:color w:val="000000"/>
          <w:sz w:val="32"/>
          <w:szCs w:val="32"/>
          <w:lang w:val="en-US" w:eastAsia="zh-CN"/>
        </w:rPr>
        <w:t>50</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%；支出总计增加</w:t>
      </w:r>
      <w:r>
        <w:rPr>
          <w:rFonts w:hint="eastAsia" w:ascii="仿宋" w:hAnsi="仿宋" w:eastAsia="仿宋"/>
          <w:color w:val="000000"/>
          <w:sz w:val="32"/>
          <w:szCs w:val="32"/>
          <w:lang w:val="en-US" w:eastAsia="zh-CN"/>
        </w:rPr>
        <w:t>97.21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。主要变动原因是2019年会计核算制度改变，收入核算方式改变，收到的医保统筹款等进入业务收入中核算，因此业务收入增加。 同理，本年支出增加其主要原因仍为会计制度改变，核算方式改变，当年支付的药品款等进入支出核算，</w:t>
      </w:r>
      <w:r>
        <w:rPr>
          <w:rFonts w:hint="eastAsia" w:ascii="仿宋" w:hAnsi="仿宋" w:eastAsia="仿宋"/>
          <w:color w:val="000000"/>
          <w:sz w:val="32"/>
          <w:szCs w:val="32"/>
          <w:lang w:val="en-US" w:eastAsia="zh-CN"/>
        </w:rPr>
        <w:t>2019年支出中包含2018年结转资金33.6万元，</w:t>
      </w:r>
      <w:r>
        <w:rPr>
          <w:rFonts w:hint="eastAsia" w:ascii="仿宋" w:hAnsi="仿宋" w:eastAsia="仿宋"/>
          <w:color w:val="000000"/>
          <w:sz w:val="32"/>
          <w:szCs w:val="32"/>
        </w:rPr>
        <w:t>因此支出增加。</w:t>
      </w:r>
    </w:p>
    <w:p>
      <w:pPr>
        <w:widowControl/>
        <w:rPr>
          <w:rFonts w:ascii="宋体" w:hAnsi="宋体" w:cs="宋体"/>
          <w:color w:val="000000"/>
          <w:kern w:val="0"/>
          <w:sz w:val="22"/>
          <w:szCs w:val="22"/>
        </w:rPr>
      </w:pP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 xml:space="preserve"> </w:t>
      </w:r>
    </w:p>
    <w:p>
      <w:pPr>
        <w:spacing w:line="600" w:lineRule="exact"/>
        <w:ind w:firstLine="320" w:firstLineChars="100"/>
        <w:outlineLvl w:val="1"/>
        <w:rPr>
          <w:rStyle w:val="26"/>
          <w:rFonts w:ascii="黑体" w:hAnsi="黑体" w:eastAsia="黑体"/>
          <w:b w:val="0"/>
        </w:rPr>
      </w:pPr>
      <w:bookmarkStart w:id="67" w:name="_Toc15377206"/>
      <w:bookmarkStart w:id="68"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67"/>
      <w:bookmarkEnd w:id="68"/>
    </w:p>
    <w:p>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408.38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134.07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254.47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62</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15.93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outlineLvl w:val="1"/>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0"/>
        </w:numPr>
        <w:spacing w:line="600" w:lineRule="exact"/>
        <w:ind w:left="640" w:leftChars="0"/>
        <w:outlineLvl w:val="1"/>
        <w:rPr>
          <w:rStyle w:val="26"/>
          <w:rFonts w:ascii="黑体" w:hAnsi="黑体" w:eastAsia="黑体"/>
          <w:b w:val="0"/>
        </w:rPr>
      </w:pPr>
      <w:bookmarkStart w:id="69" w:name="_Toc15377207"/>
      <w:bookmarkStart w:id="70" w:name="_Toc9168_WPSOffice_Level2"/>
      <w:bookmarkStart w:id="71"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69"/>
      <w:bookmarkEnd w:id="70"/>
      <w:bookmarkEnd w:id="71"/>
    </w:p>
    <w:p>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421.99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288.21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133.78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72" w:name="_Toc15377208"/>
      <w:bookmarkStart w:id="73" w:name="_Toc15396606"/>
      <w:bookmarkStart w:id="74" w:name="_Toc20023_WPSOffice_Level2"/>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72"/>
      <w:bookmarkEnd w:id="73"/>
      <w:bookmarkEnd w:id="74"/>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137.98万元，财政拨款支出 149.51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入降</w:t>
      </w:r>
      <w:r>
        <w:rPr>
          <w:rFonts w:hint="eastAsia" w:ascii="仿宋" w:hAnsi="仿宋" w:eastAsia="仿宋"/>
          <w:color w:val="000000"/>
          <w:sz w:val="32"/>
          <w:szCs w:val="32"/>
          <w:lang w:val="en-US" w:eastAsia="zh-CN"/>
        </w:rPr>
        <w:t>2.58万元，下降2%。财政拨款</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42.55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财政拨款收入减少</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拨款方式改变，部份经费财政先下拨给主管局，再由主管部门下发各下属单位，进入非横向财政拨款收入中核算。</w:t>
      </w:r>
      <w:r>
        <w:rPr>
          <w:rFonts w:hint="eastAsia" w:ascii="仿宋" w:hAnsi="仿宋" w:eastAsia="仿宋"/>
          <w:color w:val="000000"/>
          <w:sz w:val="32"/>
          <w:szCs w:val="32"/>
          <w:lang w:val="en-US" w:eastAsia="zh-CN"/>
        </w:rPr>
        <w:t>2018年财政收入中包含2017年污水处理环评资金3.85万元；</w:t>
      </w:r>
      <w:r>
        <w:rPr>
          <w:rFonts w:hint="eastAsia" w:ascii="仿宋" w:hAnsi="仿宋" w:eastAsia="仿宋"/>
          <w:color w:val="000000"/>
          <w:sz w:val="32"/>
          <w:szCs w:val="32"/>
          <w:lang w:eastAsia="zh-CN"/>
        </w:rPr>
        <w:t>财政拨款支出增加其原因为</w:t>
      </w:r>
      <w:r>
        <w:rPr>
          <w:rFonts w:hint="eastAsia" w:ascii="仿宋" w:hAnsi="仿宋" w:eastAsia="仿宋"/>
          <w:color w:val="000000"/>
          <w:sz w:val="32"/>
          <w:szCs w:val="32"/>
          <w:lang w:val="en-US" w:eastAsia="zh-CN"/>
        </w:rPr>
        <w:t>2018年结转资金33.6万元在2019年支出。</w:t>
      </w:r>
    </w:p>
    <w:p>
      <w:pPr>
        <w:spacing w:line="240" w:lineRule="auto"/>
        <w:ind w:firstLine="640"/>
        <w:rPr>
          <w:rFonts w:hint="eastAsia" w:ascii="仿宋" w:hAnsi="仿宋" w:eastAsia="仿宋"/>
          <w:b/>
          <w:color w:val="00B050"/>
          <w:sz w:val="32"/>
          <w:szCs w:val="32"/>
          <w:lang w:eastAsia="zh-CN"/>
        </w:rPr>
      </w:pPr>
      <w:r>
        <w:drawing>
          <wp:inline distT="0" distB="0" distL="114300" distR="114300">
            <wp:extent cx="4572000" cy="2743200"/>
            <wp:effectExtent l="4445" t="4445" r="10795" b="1079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75" w:name="_Toc15396607"/>
      <w:bookmarkStart w:id="76" w:name="_Toc9335_WPSOffice_Level2"/>
      <w:bookmarkStart w:id="7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75"/>
      <w:bookmarkEnd w:id="76"/>
      <w:bookmarkEnd w:id="77"/>
    </w:p>
    <w:p>
      <w:pPr>
        <w:spacing w:line="600" w:lineRule="exact"/>
        <w:ind w:firstLine="643" w:firstLineChars="200"/>
        <w:outlineLvl w:val="2"/>
        <w:rPr>
          <w:rFonts w:ascii="仿宋" w:hAnsi="仿宋" w:eastAsia="仿宋"/>
          <w:b/>
          <w:color w:val="000000"/>
          <w:sz w:val="32"/>
          <w:szCs w:val="32"/>
        </w:rPr>
      </w:pPr>
      <w:bookmarkStart w:id="78" w:name="_Toc15377210"/>
      <w:r>
        <w:rPr>
          <w:rFonts w:hint="eastAsia" w:ascii="仿宋" w:hAnsi="仿宋" w:eastAsia="仿宋"/>
          <w:b/>
          <w:color w:val="000000"/>
          <w:sz w:val="32"/>
          <w:szCs w:val="32"/>
        </w:rPr>
        <w:t>（一）一般公共预算财政拨款支出决算总体情况</w:t>
      </w:r>
      <w:bookmarkEnd w:id="78"/>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145.6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42.49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2019年支出中包含2018年财政结转经费33.6万元。</w:t>
      </w:r>
    </w:p>
    <w:p>
      <w:pPr>
        <w:spacing w:line="240" w:lineRule="auto"/>
        <w:jc w:val="center"/>
        <w:rPr>
          <w:rFonts w:hint="eastAsia" w:ascii="仿宋" w:hAnsi="仿宋" w:eastAsia="仿宋"/>
          <w:color w:val="000000" w:themeColor="text1"/>
          <w:sz w:val="32"/>
          <w:szCs w:val="32"/>
        </w:rPr>
      </w:pPr>
    </w:p>
    <w:p>
      <w:pPr>
        <w:spacing w:line="240" w:lineRule="auto"/>
        <w:jc w:val="center"/>
        <w:rPr>
          <w:rFonts w:hint="eastAsia" w:ascii="仿宋" w:hAnsi="仿宋" w:eastAsia="仿宋"/>
          <w:color w:val="000000" w:themeColor="text1"/>
          <w:sz w:val="32"/>
          <w:szCs w:val="32"/>
          <w:lang w:eastAsia="zh-CN"/>
        </w:rPr>
      </w:pPr>
      <w:r>
        <w:drawing>
          <wp:inline distT="0" distB="0" distL="114300" distR="114300">
            <wp:extent cx="4572000" cy="2743200"/>
            <wp:effectExtent l="4445" t="4445" r="10795" b="1079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79" w:name="_Toc15377211"/>
      <w:r>
        <w:rPr>
          <w:rFonts w:hint="eastAsia" w:ascii="仿宋" w:hAnsi="仿宋" w:eastAsia="仿宋"/>
          <w:b/>
          <w:color w:val="000000"/>
          <w:sz w:val="32"/>
          <w:szCs w:val="32"/>
        </w:rPr>
        <w:t>（二）一般公共预算财政拨款支出决算结构情况</w:t>
      </w:r>
      <w:bookmarkEnd w:id="79"/>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145.6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lang w:eastAsia="zh-CN"/>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143.01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2.59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themeColor="text1"/>
          <w:sz w:val="32"/>
          <w:szCs w:val="32"/>
        </w:rPr>
      </w:pPr>
    </w:p>
    <w:p>
      <w:pPr>
        <w:spacing w:line="240" w:lineRule="auto"/>
        <w:ind w:firstLine="640"/>
        <w:rPr>
          <w:rFonts w:hint="eastAsia" w:ascii="仿宋" w:hAnsi="仿宋" w:eastAsia="仿宋"/>
          <w:color w:val="000000"/>
          <w:sz w:val="32"/>
          <w:szCs w:val="32"/>
          <w:lang w:eastAsia="zh-CN"/>
        </w:rPr>
      </w:pPr>
      <w:r>
        <w:drawing>
          <wp:inline distT="0" distB="0" distL="114300" distR="114300">
            <wp:extent cx="4572000" cy="2743200"/>
            <wp:effectExtent l="4445" t="4445" r="10795" b="1079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80" w:name="_Toc15377212"/>
      <w:r>
        <w:rPr>
          <w:rFonts w:hint="eastAsia" w:ascii="仿宋" w:hAnsi="仿宋" w:eastAsia="仿宋"/>
          <w:b/>
          <w:color w:val="000000"/>
          <w:sz w:val="32"/>
          <w:szCs w:val="32"/>
        </w:rPr>
        <w:t>（三）一般公共预算财政拨款支出决算具体情况</w:t>
      </w:r>
      <w:bookmarkEnd w:id="80"/>
    </w:p>
    <w:p>
      <w:pPr>
        <w:spacing w:line="600" w:lineRule="exact"/>
        <w:ind w:firstLine="643" w:firstLineChars="200"/>
        <w:outlineLvl w:val="2"/>
        <w:rPr>
          <w:rFonts w:ascii="仿宋" w:hAnsi="仿宋" w:eastAsia="仿宋"/>
          <w:color w:val="FF0000"/>
          <w:sz w:val="32"/>
          <w:szCs w:val="32"/>
        </w:rPr>
      </w:pPr>
      <w:bookmarkStart w:id="81" w:name="_Toc15378460"/>
      <w:bookmarkStart w:id="82" w:name="_Toc15377213"/>
      <w:bookmarkStart w:id="83"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145.6万元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87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81"/>
      <w:bookmarkEnd w:id="82"/>
      <w:bookmarkEnd w:id="83"/>
    </w:p>
    <w:p>
      <w:pPr>
        <w:numPr>
          <w:ilvl w:val="0"/>
          <w:numId w:val="2"/>
        </w:num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rPr>
        <w:t>一般公共服务（类）</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numPr>
          <w:ilvl w:val="0"/>
          <w:numId w:val="2"/>
        </w:num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教育（类）</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2"/>
        </w:numPr>
        <w:spacing w:line="600" w:lineRule="exact"/>
        <w:ind w:left="0" w:leftChars="0"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rPr>
        <w:t>科学技术（类）</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2"/>
        </w:numPr>
        <w:spacing w:line="600" w:lineRule="exact"/>
        <w:ind w:left="0" w:leftChars="0"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文化旅游体育与传媒（类）</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w:t>
      </w:r>
    </w:p>
    <w:p>
      <w:pPr>
        <w:numPr>
          <w:ilvl w:val="0"/>
          <w:numId w:val="2"/>
        </w:numPr>
        <w:spacing w:line="600" w:lineRule="exact"/>
        <w:ind w:left="0" w:leftChars="0"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rPr>
        <w:t>社会保障和就业</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0%</w:t>
      </w:r>
    </w:p>
    <w:p>
      <w:pPr>
        <w:numPr>
          <w:ilvl w:val="0"/>
          <w:numId w:val="2"/>
        </w:numPr>
        <w:spacing w:line="600" w:lineRule="exact"/>
        <w:ind w:left="0" w:leftChars="0" w:firstLine="643" w:firstLineChars="200"/>
        <w:rPr>
          <w:rFonts w:ascii="仿宋" w:hAnsi="仿宋" w:eastAsia="仿宋"/>
          <w:b/>
          <w:color w:val="000000"/>
          <w:sz w:val="32"/>
          <w:szCs w:val="32"/>
        </w:rPr>
      </w:pPr>
      <w:r>
        <w:rPr>
          <w:rFonts w:hint="eastAsia" w:ascii="仿宋" w:hAnsi="仿宋" w:eastAsia="仿宋"/>
          <w:b/>
          <w:bCs/>
          <w:color w:val="000000" w:themeColor="text1"/>
          <w:sz w:val="32"/>
          <w:szCs w:val="32"/>
        </w:rPr>
        <w:t>卫生健康</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143.01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87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当年有结转跨年实施。</w:t>
      </w:r>
    </w:p>
    <w:p>
      <w:pPr>
        <w:numPr>
          <w:ilvl w:val="0"/>
          <w:numId w:val="0"/>
        </w:numPr>
        <w:spacing w:line="600" w:lineRule="exact"/>
        <w:ind w:leftChars="0"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2100302乡镇卫生院决算支出26.15万元，执行预算100%</w:t>
      </w:r>
    </w:p>
    <w:p>
      <w:pPr>
        <w:numPr>
          <w:ilvl w:val="0"/>
          <w:numId w:val="0"/>
        </w:numPr>
        <w:spacing w:line="600" w:lineRule="exact"/>
        <w:ind w:leftChars="0"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2100399  其他基层医疗卫生机构支出决算支出数25.2万元，执行预算81%。结转资金5.97万元跨年实施。</w:t>
      </w:r>
    </w:p>
    <w:p>
      <w:pPr>
        <w:numPr>
          <w:ilvl w:val="0"/>
          <w:numId w:val="0"/>
        </w:numPr>
        <w:spacing w:line="600" w:lineRule="exact"/>
        <w:ind w:leftChars="0"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2100408 基本公共卫生服务支出决算数为80.24万元，执行预算84%。结转15.1万元跨年实施。</w:t>
      </w:r>
    </w:p>
    <w:p>
      <w:pPr>
        <w:numPr>
          <w:ilvl w:val="0"/>
          <w:numId w:val="0"/>
        </w:numPr>
        <w:spacing w:line="600" w:lineRule="exact"/>
        <w:ind w:leftChars="0"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2100699  其他中医药支出决算数为10万元，执行预算91%，结转资金1万元跨年实施。</w:t>
      </w:r>
    </w:p>
    <w:p>
      <w:pPr>
        <w:numPr>
          <w:ilvl w:val="0"/>
          <w:numId w:val="0"/>
        </w:numPr>
        <w:spacing w:line="600" w:lineRule="exact"/>
        <w:ind w:leftChars="0" w:firstLine="640" w:firstLineChars="20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2100102  事业单位医疗决算支出数为1.42万元，执行预算100%。</w:t>
      </w:r>
    </w:p>
    <w:p>
      <w:pPr>
        <w:numPr>
          <w:ilvl w:val="0"/>
          <w:numId w:val="3"/>
        </w:numPr>
        <w:spacing w:line="600" w:lineRule="exact"/>
        <w:ind w:firstLine="643" w:firstLineChars="200"/>
        <w:rPr>
          <w:rFonts w:hint="default"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住房保障支出</w:t>
      </w:r>
      <w:r>
        <w:rPr>
          <w:rFonts w:hint="eastAsia" w:ascii="仿宋" w:hAnsi="仿宋" w:eastAsia="仿宋"/>
          <w:color w:val="000000"/>
          <w:sz w:val="32"/>
          <w:szCs w:val="32"/>
          <w:lang w:val="en-US" w:eastAsia="zh-CN"/>
        </w:rPr>
        <w:t>决算支出2.59万元，完成预算100%</w:t>
      </w:r>
    </w:p>
    <w:p>
      <w:pPr>
        <w:numPr>
          <w:ilvl w:val="0"/>
          <w:numId w:val="0"/>
        </w:numPr>
        <w:spacing w:line="60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2210201支出决算为2.59万元，完成预算100%。</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84" w:name="_Toc15396608"/>
      <w:bookmarkStart w:id="85" w:name="_Toc22346_WPSOffice_Level2"/>
      <w:bookmarkStart w:id="8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84"/>
      <w:bookmarkEnd w:id="85"/>
      <w:bookmarkEnd w:id="86"/>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30.16</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30.16</w:t>
      </w:r>
      <w:r>
        <w:rPr>
          <w:rFonts w:hint="eastAsia" w:ascii="仿宋" w:hAnsi="仿宋" w:eastAsia="仿宋"/>
          <w:color w:val="000000"/>
          <w:sz w:val="32"/>
          <w:szCs w:val="32"/>
        </w:rPr>
        <w:t>万元，主要包括：基本工资、津贴补贴、其他社会保障缴费、医疗费补助、住房公积金支出等。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87" w:name="_Toc15437_WPSOffice_Level2"/>
      <w:bookmarkStart w:id="88" w:name="_Toc15396609"/>
      <w:bookmarkStart w:id="89"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87"/>
      <w:bookmarkEnd w:id="88"/>
      <w:bookmarkEnd w:id="89"/>
    </w:p>
    <w:p>
      <w:pPr>
        <w:spacing w:line="600" w:lineRule="exact"/>
        <w:ind w:firstLine="640"/>
        <w:outlineLvl w:val="2"/>
        <w:rPr>
          <w:rFonts w:ascii="仿宋" w:hAnsi="仿宋" w:eastAsia="仿宋"/>
          <w:b/>
          <w:color w:val="000000"/>
          <w:sz w:val="32"/>
          <w:szCs w:val="32"/>
        </w:rPr>
      </w:pPr>
      <w:bookmarkStart w:id="90" w:name="_Toc15377216"/>
      <w:r>
        <w:rPr>
          <w:rFonts w:hint="eastAsia" w:ascii="仿宋" w:hAnsi="仿宋" w:eastAsia="仿宋"/>
          <w:b/>
          <w:color w:val="000000"/>
          <w:sz w:val="32"/>
          <w:szCs w:val="32"/>
        </w:rPr>
        <w:t>（一）“三公”经费财政拨款支出决算总体情况说明</w:t>
      </w:r>
      <w:bookmarkEnd w:id="90"/>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91" w:name="_Toc15377217"/>
      <w:r>
        <w:rPr>
          <w:rFonts w:hint="eastAsia" w:ascii="仿宋" w:hAnsi="仿宋" w:eastAsia="仿宋"/>
          <w:b/>
          <w:color w:val="000000"/>
          <w:sz w:val="32"/>
          <w:szCs w:val="32"/>
        </w:rPr>
        <w:t>（二）“三公”经费财政拨款支出决算具体情况说明</w:t>
      </w:r>
      <w:bookmarkEnd w:id="9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4"/>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w:t>
      </w:r>
      <w:r>
        <w:rPr>
          <w:rFonts w:hint="eastAsia" w:ascii="仿宋_GB2312" w:eastAsia="仿宋_GB2312"/>
          <w:color w:val="000000"/>
          <w:sz w:val="32"/>
          <w:szCs w:val="32"/>
          <w:lang w:eastAsia="zh-CN"/>
        </w:rPr>
        <w:t>元。</w:t>
      </w:r>
    </w:p>
    <w:p>
      <w:pPr>
        <w:numPr>
          <w:ilvl w:val="0"/>
          <w:numId w:val="4"/>
        </w:numPr>
        <w:spacing w:line="600" w:lineRule="exact"/>
        <w:ind w:firstLine="640"/>
        <w:rPr>
          <w:rFonts w:hint="default" w:ascii="仿宋_GB2312" w:eastAsia="仿宋_GB2312"/>
          <w:b/>
          <w:color w:val="000000"/>
          <w:sz w:val="32"/>
          <w:szCs w:val="32"/>
          <w:lang w:val="en-US" w:eastAsia="zh-CN"/>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万元。主要（具体工作）等所需的公务用车燃料费、维修费、过路过桥费、保险费等支出。</w:t>
      </w:r>
    </w:p>
    <w:p>
      <w:pPr>
        <w:numPr>
          <w:ilvl w:val="0"/>
          <w:numId w:val="4"/>
        </w:numPr>
        <w:spacing w:line="600" w:lineRule="exact"/>
        <w:ind w:left="0" w:leftChars="0" w:firstLine="640" w:firstLineChars="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4"/>
        </w:numPr>
        <w:spacing w:line="600" w:lineRule="exact"/>
        <w:ind w:left="0" w:leftChars="0" w:firstLine="640" w:firstLineChars="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w:t>
      </w:r>
      <w:r>
        <w:rPr>
          <w:rFonts w:hint="eastAsia" w:ascii="仿宋_GB2312" w:eastAsia="仿宋_GB2312"/>
          <w:color w:val="000000"/>
          <w:sz w:val="32"/>
          <w:szCs w:val="32"/>
          <w:lang w:eastAsia="zh-CN"/>
        </w:rPr>
        <w:t>元。</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w:t>
      </w:r>
      <w:r>
        <w:rPr>
          <w:rFonts w:hint="eastAsia" w:ascii="仿宋_GB2312" w:eastAsia="仿宋_GB2312"/>
          <w:color w:val="000000" w:themeColor="text1"/>
          <w:sz w:val="32"/>
          <w:szCs w:val="32"/>
          <w:lang w:eastAsia="zh-CN"/>
        </w:rPr>
        <w:t>元。</w:t>
      </w:r>
    </w:p>
    <w:p>
      <w:pPr>
        <w:spacing w:line="600" w:lineRule="exact"/>
        <w:ind w:firstLine="640"/>
        <w:outlineLvl w:val="1"/>
        <w:rPr>
          <w:rFonts w:ascii="黑体" w:eastAsia="黑体"/>
          <w:color w:val="000000"/>
          <w:sz w:val="32"/>
          <w:szCs w:val="32"/>
        </w:rPr>
      </w:pPr>
      <w:bookmarkStart w:id="92" w:name="_Toc15396610"/>
      <w:bookmarkStart w:id="93" w:name="_Toc15377218"/>
    </w:p>
    <w:p>
      <w:pPr>
        <w:spacing w:line="600" w:lineRule="exact"/>
        <w:ind w:firstLine="640"/>
        <w:outlineLvl w:val="1"/>
        <w:rPr>
          <w:rStyle w:val="26"/>
          <w:rFonts w:ascii="黑体" w:hAnsi="黑体" w:eastAsia="黑体"/>
        </w:rPr>
      </w:pPr>
      <w:bookmarkStart w:id="94" w:name="_Toc31300_WPSOffice_Level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92"/>
      <w:bookmarkEnd w:id="93"/>
      <w:bookmarkEnd w:id="94"/>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3.91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，主要用于单位医疗废物暂存点建设。</w:t>
      </w:r>
    </w:p>
    <w:p>
      <w:pPr>
        <w:spacing w:line="600" w:lineRule="exact"/>
        <w:ind w:firstLine="640"/>
        <w:rPr>
          <w:rFonts w:hint="eastAsia" w:ascii="仿宋_GB2312" w:eastAsia="仿宋_GB2312"/>
          <w:color w:val="000000"/>
          <w:sz w:val="32"/>
          <w:szCs w:val="32"/>
        </w:rPr>
      </w:pPr>
    </w:p>
    <w:p>
      <w:pPr>
        <w:numPr>
          <w:ilvl w:val="0"/>
          <w:numId w:val="5"/>
        </w:numPr>
        <w:spacing w:line="600" w:lineRule="exact"/>
        <w:ind w:firstLine="640"/>
        <w:outlineLvl w:val="1"/>
        <w:rPr>
          <w:rStyle w:val="26"/>
          <w:rFonts w:ascii="黑体" w:hAnsi="黑体" w:eastAsia="黑体"/>
          <w:b w:val="0"/>
        </w:rPr>
      </w:pPr>
      <w:bookmarkStart w:id="95" w:name="_Toc15377219"/>
      <w:bookmarkStart w:id="96" w:name="_Toc15396611"/>
      <w:bookmarkStart w:id="97" w:name="_Toc2318_WPSOffice_Level2"/>
      <w:r>
        <w:rPr>
          <w:rStyle w:val="26"/>
          <w:rFonts w:hint="eastAsia" w:ascii="黑体" w:hAnsi="黑体" w:eastAsia="黑体"/>
          <w:b w:val="0"/>
        </w:rPr>
        <w:t>国有资本经营预算支出决算情况说明</w:t>
      </w:r>
      <w:bookmarkEnd w:id="95"/>
      <w:bookmarkEnd w:id="96"/>
      <w:bookmarkEnd w:id="9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98" w:name="_Toc15377221"/>
      <w:bookmarkStart w:id="99" w:name="_Toc5009_WPSOffice_Level2"/>
      <w:bookmarkStart w:id="100"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8"/>
      <w:bookmarkEnd w:id="99"/>
      <w:bookmarkEnd w:id="100"/>
    </w:p>
    <w:p>
      <w:pPr>
        <w:spacing w:line="600" w:lineRule="exact"/>
        <w:ind w:firstLine="643" w:firstLineChars="200"/>
        <w:outlineLvl w:val="2"/>
        <w:rPr>
          <w:rFonts w:hint="eastAsia" w:ascii="仿宋" w:hAnsi="仿宋" w:eastAsia="仿宋"/>
          <w:b/>
          <w:color w:val="000000"/>
          <w:sz w:val="32"/>
          <w:szCs w:val="32"/>
        </w:rPr>
      </w:pPr>
      <w:bookmarkStart w:id="101" w:name="_Toc15377222"/>
      <w:r>
        <w:rPr>
          <w:rFonts w:hint="eastAsia" w:ascii="仿宋" w:hAnsi="仿宋" w:eastAsia="仿宋"/>
          <w:b/>
          <w:color w:val="000000"/>
          <w:sz w:val="32"/>
          <w:szCs w:val="32"/>
        </w:rPr>
        <w:t>（一）机关运行经费支出情况</w:t>
      </w:r>
      <w:bookmarkEnd w:id="101"/>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峨山镇卫生院属峨眉山市卫生健康局下属二级预算单位，事业编制，不属于机关单位，无机关运行经费支出。</w:t>
      </w:r>
    </w:p>
    <w:p>
      <w:pPr>
        <w:spacing w:line="600" w:lineRule="exact"/>
        <w:ind w:firstLine="643" w:firstLineChars="200"/>
        <w:outlineLvl w:val="2"/>
        <w:rPr>
          <w:rFonts w:hint="eastAsia" w:ascii="仿宋" w:hAnsi="仿宋" w:eastAsia="仿宋"/>
          <w:b/>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2" w:name="_Toc15377223"/>
      <w:r>
        <w:rPr>
          <w:rFonts w:hint="eastAsia" w:ascii="仿宋" w:hAnsi="仿宋" w:eastAsia="仿宋"/>
          <w:b/>
          <w:color w:val="000000"/>
          <w:sz w:val="32"/>
          <w:szCs w:val="32"/>
        </w:rPr>
        <w:t>（二）政府采购支出情况</w:t>
      </w:r>
      <w:bookmarkEnd w:id="10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5.49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5.49</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单位标识标牌购置及购买脑血流仪</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15377224"/>
      <w:r>
        <w:rPr>
          <w:rFonts w:hint="eastAsia" w:ascii="仿宋" w:hAnsi="仿宋" w:eastAsia="仿宋"/>
          <w:b/>
          <w:color w:val="000000"/>
          <w:sz w:val="32"/>
          <w:szCs w:val="32"/>
        </w:rPr>
        <w:t>（三）国有资产占有使用情况</w:t>
      </w:r>
      <w:bookmarkEnd w:id="10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单位开展公共卫生工作下乡及单位业务活动用车等。</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numPr>
          <w:ilvl w:val="0"/>
          <w:numId w:val="6"/>
        </w:numPr>
        <w:autoSpaceDE w:val="0"/>
        <w:autoSpaceDN w:val="0"/>
        <w:adjustRightInd w:val="0"/>
        <w:spacing w:line="600" w:lineRule="exact"/>
        <w:ind w:left="-13" w:leftChars="0" w:firstLine="643" w:firstLineChars="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预算绩效管理情况。</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根据预算绩效管理要求，本单位无专项预算项，专项预算项目由主管局统一预算编制。2019年，本单位收到调整预算安排</w:t>
      </w:r>
      <w:r>
        <w:rPr>
          <w:rFonts w:hint="eastAsia" w:ascii="仿宋" w:hAnsi="仿宋" w:eastAsia="仿宋" w:cs="仿宋"/>
          <w:sz w:val="32"/>
          <w:szCs w:val="32"/>
          <w:lang w:val="en-US" w:eastAsia="zh-CN"/>
        </w:rPr>
        <w:t>141.42</w:t>
      </w:r>
      <w:r>
        <w:rPr>
          <w:rFonts w:hint="eastAsia" w:ascii="仿宋" w:hAnsi="仿宋" w:eastAsia="仿宋" w:cs="仿宋"/>
          <w:sz w:val="32"/>
          <w:szCs w:val="32"/>
        </w:rPr>
        <w:t>万元，其中基本支出0万元，项目支出</w:t>
      </w:r>
      <w:r>
        <w:rPr>
          <w:rFonts w:hint="eastAsia" w:ascii="仿宋" w:hAnsi="仿宋" w:eastAsia="仿宋" w:cs="仿宋"/>
          <w:sz w:val="32"/>
          <w:szCs w:val="32"/>
          <w:lang w:val="en-US" w:eastAsia="zh-CN"/>
        </w:rPr>
        <w:t>119.35</w:t>
      </w:r>
      <w:r>
        <w:rPr>
          <w:rFonts w:hint="eastAsia" w:ascii="仿宋" w:hAnsi="仿宋" w:eastAsia="仿宋" w:cs="仿宋"/>
          <w:sz w:val="32"/>
          <w:szCs w:val="32"/>
        </w:rPr>
        <w:t>万元。主要为基层医疗卫生机构实施基本药物制度、村卫生室实施基本药物制度、基本公共卫生服务资金、医疗服务能力提升、医疗废物暂存点建设等项目。</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基本公共卫生服务项目绩效目标完成情况综述。项目全年预算数</w:t>
      </w:r>
      <w:r>
        <w:rPr>
          <w:rFonts w:hint="eastAsia" w:ascii="仿宋_GB2312" w:hAnsi="仿宋_GB2312" w:eastAsia="仿宋_GB2312" w:cs="仿宋_GB2312"/>
          <w:sz w:val="32"/>
          <w:szCs w:val="32"/>
          <w:lang w:val="en-US" w:eastAsia="zh-CN"/>
        </w:rPr>
        <w:t>75.99万元，上年结转数19.35万元，执行数为80.24万元，完成预算数的84%。通过十四项项目实施，对城乡居民健康问题实施干预，减少健康危险因素，有效预防和控制慢病和传染病的发生，提高公共卫生服务和突发公共卫生事件的处置能力，使城乡居民逐步享有均等化公共卫生服务。</w:t>
      </w:r>
    </w:p>
    <w:p>
      <w:pPr>
        <w:numPr>
          <w:ilvl w:val="0"/>
          <w:numId w:val="0"/>
        </w:numPr>
        <w:spacing w:line="580" w:lineRule="exact"/>
        <w:ind w:left="630" w:leftChars="0"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基层医疗卫生机构项目绩效目标完成情况综述。项目全年预算26.92万元，上年结转4.25万元，执行数为25.2万元，完成预算数81%。我院严格实施国家基本药物制度，实行国家基本药物零差价制度，保障基本药物合理使用，满足百姓用药需求，减轻群众用药负担。保障群众用药安全和身体健康，维护群众的基本医疗卫生权益。</w:t>
      </w:r>
      <w:r>
        <w:rPr>
          <w:rFonts w:hint="eastAsia" w:ascii="仿宋_GB2312" w:hAnsi="仿宋_GB2312" w:eastAsia="仿宋_GB2312" w:cs="仿宋_GB2312"/>
          <w:b w:val="0"/>
          <w:bCs/>
          <w:sz w:val="32"/>
          <w:szCs w:val="32"/>
        </w:rPr>
        <w:t>村卫生室基药资金按3000元/村卫生室，剩余部分按各村卫生室基药采购量进行分配。若督导或绩效考核发现配备非基药、加价、使用过期药品、加价、村卫生室自行采购等情况，一次扣除资金2000元，以此内推。</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医馆建设绩效目标完成情况综述。项目全年预算1万元，上年结转10万元，执行数为10万元，完成预算数为91%。中医馆建设项目的实施，提高了我院中医服务能力，推动中医药文化建设。为人民群众提供良好的中医药服务，通过中医馆建设，使人民群众从就诊环境，就诊方式、服务态度方项切实感受具有中国特色的中医药服务。</w:t>
      </w:r>
    </w:p>
    <w:p>
      <w:pPr>
        <w:numPr>
          <w:ilvl w:val="0"/>
          <w:numId w:val="0"/>
        </w:numPr>
        <w:spacing w:line="580" w:lineRule="exact"/>
        <w:ind w:firstLine="640" w:firstLineChars="200"/>
        <w:rPr>
          <w:rFonts w:hint="default" w:ascii="仿宋_GB2312" w:hAnsi="仿宋_GB2312" w:eastAsia="仿宋_GB2312" w:cs="仿宋_GB2312"/>
          <w:sz w:val="32"/>
          <w:szCs w:val="32"/>
          <w:lang w:val="en-US" w:eastAsia="zh-CN"/>
        </w:rPr>
      </w:pP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疗废物暂存点建设绩效目标完成情况综述。项目全年预算3.91万元，执行数为3.91万元，完成预算数100%。医疗废物暂存点的建立，有效的优化处理处置医疗废物，作到消毒效果好、环境污染小，保障医院在医疗活动中直接或间接产生的医疗废物及时处理处置，减少医疗废物污染风险。</w:t>
      </w: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ind w:leftChars="200"/>
        <w:rPr>
          <w:rFonts w:ascii="仿宋_GB2312" w:hAnsi="仿宋_GB2312" w:eastAsia="仿宋_GB2312" w:cs="仿宋_GB2312"/>
          <w:sz w:val="32"/>
          <w:szCs w:val="32"/>
        </w:rPr>
      </w:pPr>
    </w:p>
    <w:p>
      <w:pPr>
        <w:numPr>
          <w:ilvl w:val="0"/>
          <w:numId w:val="0"/>
        </w:num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numPr>
          <w:ilvl w:val="0"/>
          <w:numId w:val="7"/>
        </w:numPr>
        <w:spacing w:line="600" w:lineRule="exact"/>
        <w:ind w:firstLine="660" w:firstLineChars="150"/>
        <w:jc w:val="center"/>
        <w:outlineLvl w:val="0"/>
        <w:rPr>
          <w:rStyle w:val="25"/>
          <w:rFonts w:ascii="黑体" w:hAnsi="黑体" w:eastAsia="黑体"/>
          <w:b w:val="0"/>
        </w:rPr>
      </w:pPr>
      <w:bookmarkStart w:id="104" w:name="_Toc15396613"/>
      <w:bookmarkStart w:id="105" w:name="_Toc15377225"/>
      <w:bookmarkStart w:id="106" w:name="_Toc23920_WPSOffice_Level1"/>
      <w:r>
        <w:rPr>
          <w:rFonts w:hint="eastAsia" w:ascii="黑体" w:hAnsi="黑体" w:eastAsia="黑体"/>
          <w:color w:val="000000"/>
          <w:sz w:val="44"/>
          <w:szCs w:val="44"/>
        </w:rPr>
        <w:t>名</w:t>
      </w:r>
      <w:r>
        <w:rPr>
          <w:rStyle w:val="25"/>
          <w:rFonts w:hint="eastAsia" w:ascii="黑体" w:hAnsi="黑体" w:eastAsia="黑体"/>
          <w:b w:val="0"/>
        </w:rPr>
        <w:t>词解释</w:t>
      </w:r>
      <w:bookmarkEnd w:id="104"/>
      <w:bookmarkEnd w:id="105"/>
      <w:bookmarkEnd w:id="106"/>
    </w:p>
    <w:p>
      <w:pPr>
        <w:numPr>
          <w:ilvl w:val="0"/>
          <w:numId w:val="0"/>
        </w:numPr>
        <w:spacing w:line="600" w:lineRule="exact"/>
        <w:jc w:val="both"/>
        <w:outlineLvl w:val="0"/>
        <w:rPr>
          <w:rStyle w:val="25"/>
          <w:rFonts w:hint="eastAsia" w:ascii="黑体" w:hAnsi="黑体" w:eastAsia="黑体"/>
          <w:b w:val="0"/>
        </w:rPr>
      </w:pPr>
    </w:p>
    <w:p>
      <w:pPr>
        <w:numPr>
          <w:ilvl w:val="0"/>
          <w:numId w:val="0"/>
        </w:numPr>
        <w:spacing w:line="600" w:lineRule="exact"/>
        <w:jc w:val="both"/>
        <w:outlineLvl w:val="0"/>
        <w:rPr>
          <w:rStyle w:val="25"/>
          <w:rFonts w:hint="eastAsia" w:ascii="黑体" w:hAnsi="黑体" w:eastAsia="黑体"/>
          <w:b w:val="0"/>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各类检查收入、药品收入、床位收入、护理收入、手术费</w:t>
      </w:r>
      <w:r>
        <w:rPr>
          <w:rFonts w:hint="eastAsia" w:ascii="仿宋_GB2312" w:eastAsia="仿宋_GB2312"/>
          <w:sz w:val="32"/>
          <w:szCs w:val="32"/>
        </w:rPr>
        <w:t>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hAnsi="仿宋_GB2312" w:eastAsia="仿宋_GB2312" w:cs="仿宋_GB2312"/>
          <w:sz w:val="32"/>
          <w:szCs w:val="32"/>
        </w:rPr>
        <w:t>主要是指利息收入、培训收入、食堂收入、捐赠收入</w:t>
      </w:r>
      <w:r>
        <w:rPr>
          <w:rFonts w:hint="eastAsia" w:ascii="仿宋_GB2312" w:eastAsia="仿宋_GB2312"/>
          <w:sz w:val="32"/>
          <w:szCs w:val="32"/>
        </w:rPr>
        <w:t>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Style w:val="15"/>
          <w:rFonts w:hint="eastAsia" w:ascii="仿宋_GB2312" w:hAnsi="仿宋_GB2312" w:eastAsia="仿宋_GB2312" w:cs="仿宋_GB2312"/>
          <w:b w:val="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sz w:val="32"/>
          <w:szCs w:val="32"/>
        </w:rPr>
        <w:t>机关事业单位基本养老保险缴费支出：</w:t>
      </w:r>
      <w:r>
        <w:rPr>
          <w:rStyle w:val="15"/>
          <w:rFonts w:hint="eastAsia" w:ascii="仿宋_GB2312" w:hAnsi="仿宋_GB2312" w:eastAsia="仿宋_GB2312" w:cs="仿宋_GB2312"/>
          <w:b w:val="0"/>
          <w:sz w:val="32"/>
          <w:szCs w:val="32"/>
        </w:rPr>
        <w:t>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b w:val="0"/>
          <w:sz w:val="32"/>
          <w:szCs w:val="32"/>
          <w:lang w:val="en-US" w:eastAsia="zh-CN"/>
        </w:rPr>
        <w:t>10、</w:t>
      </w:r>
      <w:r>
        <w:rPr>
          <w:rFonts w:hint="eastAsia" w:ascii="仿宋_GB2312" w:hAnsi="仿宋_GB2312" w:eastAsia="仿宋_GB2312" w:cs="仿宋_GB2312"/>
          <w:sz w:val="32"/>
          <w:szCs w:val="32"/>
        </w:rPr>
        <w:t>机关事业单位职业年金缴费支出：</w:t>
      </w:r>
      <w:r>
        <w:rPr>
          <w:rStyle w:val="15"/>
          <w:rFonts w:hint="eastAsia" w:ascii="仿宋_GB2312" w:hAnsi="仿宋_GB2312" w:eastAsia="仿宋_GB2312" w:cs="仿宋_GB2312"/>
          <w:b w:val="0"/>
          <w:sz w:val="32"/>
          <w:szCs w:val="32"/>
        </w:rPr>
        <w:t>反映机关事业单位实施养老保险制度由单位缴纳的</w:t>
      </w:r>
      <w:r>
        <w:rPr>
          <w:rFonts w:hint="eastAsia" w:ascii="仿宋_GB2312" w:hAnsi="仿宋_GB2312" w:eastAsia="仿宋_GB2312" w:cs="仿宋_GB2312"/>
          <w:sz w:val="32"/>
          <w:szCs w:val="32"/>
        </w:rPr>
        <w:t>职业年金</w:t>
      </w:r>
      <w:r>
        <w:rPr>
          <w:rStyle w:val="15"/>
          <w:rFonts w:hint="eastAsia" w:ascii="仿宋_GB2312" w:hAnsi="仿宋_GB2312" w:eastAsia="仿宋_GB2312" w:cs="仿宋_GB2312"/>
          <w:b w:val="0"/>
          <w:sz w:val="32"/>
          <w:szCs w:val="32"/>
        </w:rPr>
        <w:t>支出。</w:t>
      </w:r>
    </w:p>
    <w:p>
      <w:pPr>
        <w:ind w:firstLine="640" w:firstLineChars="200"/>
        <w:rPr>
          <w:rStyle w:val="15"/>
          <w:rFonts w:hint="eastAsia"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lang w:val="en-US" w:eastAsia="zh-CN"/>
        </w:rPr>
        <w:t>11、</w:t>
      </w:r>
      <w:r>
        <w:rPr>
          <w:rFonts w:hint="eastAsia" w:ascii="仿宋_GB2312" w:hAnsi="仿宋_GB2312" w:eastAsia="仿宋_GB2312" w:cs="仿宋_GB2312"/>
          <w:sz w:val="32"/>
          <w:szCs w:val="32"/>
        </w:rPr>
        <w:t>死亡抚恤：</w:t>
      </w:r>
      <w:r>
        <w:rPr>
          <w:rStyle w:val="15"/>
          <w:rFonts w:hint="eastAsia" w:ascii="仿宋_GB2312" w:hAnsi="仿宋_GB2312" w:eastAsia="仿宋_GB2312" w:cs="仿宋_GB2312"/>
          <w:b w:val="0"/>
          <w:sz w:val="32"/>
          <w:szCs w:val="32"/>
        </w:rPr>
        <w:t>指反映按规定用于烈士和牺牲、病故人员家属的一次性和定期抚恤金以及丧葬补助费。</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12、</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13、</w:t>
      </w:r>
      <w:r>
        <w:rPr>
          <w:rFonts w:hint="eastAsia" w:ascii="仿宋_GB2312" w:hAnsi="仿宋_GB2312" w:eastAsia="仿宋_GB2312" w:cs="仿宋_GB2312"/>
          <w:sz w:val="32"/>
          <w:szCs w:val="32"/>
        </w:rPr>
        <w:t>其他基层医疗卫生机构支出：反映其他用于基层医疗卫生机构的支出。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14、</w:t>
      </w:r>
      <w:r>
        <w:rPr>
          <w:rFonts w:hint="eastAsia" w:ascii="仿宋_GB2312" w:hAnsi="仿宋_GB2312" w:eastAsia="仿宋_GB2312" w:cs="仿宋_GB2312"/>
          <w:sz w:val="32"/>
          <w:szCs w:val="32"/>
        </w:rPr>
        <w:t>基本公共卫生服务：反映基本公共卫生服务支出。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15、</w:t>
      </w:r>
      <w:r>
        <w:rPr>
          <w:rFonts w:hint="eastAsia" w:ascii="仿宋_GB2312" w:hAnsi="仿宋_GB2312" w:eastAsia="仿宋_GB2312" w:cs="仿宋_GB2312"/>
          <w:sz w:val="32"/>
          <w:szCs w:val="32"/>
        </w:rPr>
        <w:t>重大公共卫生专项：反映重大疾病预防控制等重大公共卫生服务项目支出。</w:t>
      </w:r>
    </w:p>
    <w:p>
      <w:pPr>
        <w:ind w:firstLine="640"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 w:val="0"/>
          <w:sz w:val="32"/>
          <w:szCs w:val="32"/>
          <w:lang w:val="en-US" w:eastAsia="zh-CN"/>
        </w:rPr>
        <w:t>16、</w:t>
      </w:r>
      <w:r>
        <w:rPr>
          <w:rFonts w:hint="eastAsia" w:ascii="仿宋_GB2312" w:hAnsi="仿宋_GB2312" w:eastAsia="仿宋_GB2312" w:cs="仿宋_GB2312"/>
          <w:sz w:val="32"/>
          <w:szCs w:val="32"/>
        </w:rPr>
        <w:t>中医（民族医）药专项：反映中医（民族医）药方面的专项支出。</w:t>
      </w:r>
    </w:p>
    <w:p>
      <w:pPr>
        <w:ind w:firstLine="640" w:firstLineChars="200"/>
        <w:rPr>
          <w:rStyle w:val="15"/>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事业单位医疗：</w:t>
      </w:r>
      <w:r>
        <w:rPr>
          <w:rStyle w:val="15"/>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pPr>
        <w:ind w:firstLine="640" w:firstLineChars="200"/>
        <w:rPr>
          <w:rFonts w:hint="eastAsia" w:hAnsi="仿宋"/>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19、</w:t>
      </w:r>
      <w:r>
        <w:rPr>
          <w:rFonts w:hint="eastAsia" w:ascii="仿宋" w:hAnsi="仿宋" w:eastAsia="仿宋" w:cs="仿宋"/>
          <w:sz w:val="32"/>
          <w:szCs w:val="32"/>
        </w:rPr>
        <w:t>其他支出：反映除上述项目以外其他不能划分到具体功能科目中的支出项目。</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20、</w:t>
      </w:r>
      <w:r>
        <w:rPr>
          <w:rFonts w:hint="eastAsia" w:ascii="仿宋" w:hAnsi="仿宋" w:eastAsia="仿宋" w:cs="仿宋"/>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21、</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 xml:space="preserve">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jc w:val="left"/>
        <w:rPr>
          <w:rFonts w:ascii="宋体"/>
          <w:b/>
          <w:color w:val="000000"/>
          <w:sz w:val="44"/>
          <w:szCs w:val="44"/>
        </w:rPr>
      </w:pPr>
    </w:p>
    <w:p>
      <w:pPr>
        <w:spacing w:line="600" w:lineRule="exact"/>
        <w:jc w:val="center"/>
        <w:outlineLvl w:val="0"/>
        <w:rPr>
          <w:rFonts w:hint="eastAsia" w:ascii="黑体" w:hAnsi="黑体" w:eastAsia="黑体"/>
          <w:color w:val="000000"/>
          <w:sz w:val="44"/>
          <w:szCs w:val="44"/>
        </w:rPr>
      </w:pPr>
      <w:bookmarkStart w:id="107" w:name="_Toc15396614"/>
      <w:bookmarkStart w:id="108" w:name="_Toc15377226"/>
    </w:p>
    <w:p>
      <w:pPr>
        <w:spacing w:line="600" w:lineRule="exact"/>
        <w:jc w:val="center"/>
        <w:outlineLvl w:val="0"/>
        <w:rPr>
          <w:rFonts w:hint="eastAsia" w:ascii="黑体" w:hAnsi="黑体" w:eastAsia="黑体"/>
          <w:color w:val="000000"/>
          <w:sz w:val="44"/>
          <w:szCs w:val="44"/>
        </w:rPr>
      </w:pPr>
      <w:bookmarkStart w:id="109" w:name="_Toc30899_WPSOffice_Level1"/>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107"/>
      <w:bookmarkEnd w:id="109"/>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bookmarkStart w:id="110" w:name="_Toc23700_WPSOffice_Level2"/>
      <w:r>
        <w:rPr>
          <w:rFonts w:hint="eastAsia" w:ascii="方正小标宋简体" w:hAnsi="宋体" w:eastAsia="方正小标宋简体"/>
          <w:color w:val="000000"/>
          <w:kern w:val="0"/>
          <w:sz w:val="40"/>
          <w:szCs w:val="44"/>
          <w:lang w:eastAsia="zh-CN"/>
        </w:rPr>
        <w:t>峨眉山市峨山镇卫生院</w:t>
      </w:r>
      <w:bookmarkEnd w:id="110"/>
    </w:p>
    <w:p>
      <w:pPr>
        <w:spacing w:line="600" w:lineRule="exact"/>
        <w:jc w:val="center"/>
        <w:rPr>
          <w:rFonts w:hint="eastAsia" w:ascii="方正小标宋简体" w:hAnsi="宋体" w:eastAsia="方正小标宋简体"/>
          <w:color w:val="000000"/>
          <w:kern w:val="0"/>
          <w:sz w:val="40"/>
          <w:szCs w:val="44"/>
          <w:lang w:val="zh-CN"/>
        </w:rPr>
      </w:pPr>
      <w:bookmarkStart w:id="111" w:name="_Toc24663_WPSOffice_Level2"/>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bookmarkEnd w:id="111"/>
    </w:p>
    <w:p>
      <w:pPr>
        <w:spacing w:line="600"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bookmarkStart w:id="112" w:name="_Toc12117_WPSOffice_Level2"/>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112"/>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（一）机构组成：峨眉山市峨山镇卫生院为峨眉山市卫生健康局下属基层医疗单位，为独立核算机构。</w:t>
      </w:r>
    </w:p>
    <w:p>
      <w:pPr>
        <w:snapToGrid w:val="0"/>
        <w:spacing w:line="588" w:lineRule="exact"/>
        <w:ind w:firstLine="640" w:firstLineChars="200"/>
        <w:rPr>
          <w:rFonts w:hint="default" w:ascii="仿宋" w:hAnsi="仿宋" w:eastAsia="仿宋"/>
          <w:sz w:val="32"/>
          <w:szCs w:val="32"/>
          <w:lang w:val="en-US" w:eastAsia="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（三）人员概况：峨眉山市峨山镇卫生院</w:t>
      </w:r>
      <w:r>
        <w:rPr>
          <w:rFonts w:hint="eastAsia" w:ascii="仿宋_GB2312" w:hAnsi="宋体" w:eastAsia="仿宋_GB2312" w:cs="宋体"/>
          <w:color w:val="000000"/>
          <w:kern w:val="0"/>
          <w:sz w:val="32"/>
          <w:szCs w:val="32"/>
          <w:shd w:val="clear" w:color="auto" w:fill="FFFFFF"/>
          <w:lang w:val="en-US" w:eastAsia="zh-CN"/>
        </w:rPr>
        <w:t>2019年年末实有人数11人。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3" w:name="_Toc3962_WPSOffice_Level2"/>
      <w:r>
        <w:rPr>
          <w:rFonts w:hint="eastAsia" w:ascii="黑体" w:hAnsi="宋体" w:eastAsia="黑体" w:cs="宋体"/>
          <w:color w:val="000000"/>
          <w:kern w:val="0"/>
          <w:sz w:val="32"/>
          <w:szCs w:val="32"/>
          <w:shd w:val="clear" w:color="auto" w:fill="FFFFFF"/>
        </w:rPr>
        <w:t>二、部门财政资金收支情况</w:t>
      </w:r>
      <w:bookmarkEnd w:id="113"/>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（一）部门财政资金收入情况：本单位</w:t>
      </w:r>
      <w:r>
        <w:rPr>
          <w:rFonts w:hint="eastAsia" w:ascii="仿宋_GB2312" w:hAnsi="宋体" w:eastAsia="仿宋_GB2312" w:cs="宋体"/>
          <w:color w:val="000000"/>
          <w:kern w:val="0"/>
          <w:sz w:val="32"/>
          <w:szCs w:val="32"/>
          <w:shd w:val="clear" w:color="auto" w:fill="FFFFFF"/>
          <w:lang w:val="en-US" w:eastAsia="zh-CN"/>
        </w:rPr>
        <w:t>2019年财政资金收入为137.98万元，其中一般公共预算财政拨款134.07万元，政府性基金预算财政拨款3.91万元。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（二）部门财政资金支出情况：本单位</w:t>
      </w:r>
      <w:r>
        <w:rPr>
          <w:rFonts w:hint="eastAsia" w:ascii="仿宋_GB2312" w:hAnsi="宋体" w:eastAsia="仿宋_GB2312" w:cs="宋体"/>
          <w:color w:val="000000"/>
          <w:kern w:val="0"/>
          <w:sz w:val="32"/>
          <w:szCs w:val="32"/>
          <w:shd w:val="clear" w:color="auto" w:fill="FFFFFF"/>
          <w:lang w:val="en-US" w:eastAsia="zh-CN"/>
        </w:rPr>
        <w:t>2019年财政资金支出为149.51万元。其中一般公共预算财政拨款支出为145.60万元，政府性基金预算财政拨款支出为3.91万元。</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bookmarkStart w:id="114" w:name="_Toc13281_WPSOffice_Level2"/>
      <w:r>
        <w:rPr>
          <w:rFonts w:hint="eastAsia" w:ascii="黑体" w:hAnsi="宋体" w:eastAsia="黑体" w:cs="宋体"/>
          <w:color w:val="000000"/>
          <w:kern w:val="0"/>
          <w:sz w:val="32"/>
          <w:szCs w:val="32"/>
          <w:shd w:val="clear" w:color="auto" w:fill="FFFFFF"/>
        </w:rPr>
        <w:t>三、部门整体预算绩效管理情况</w:t>
      </w:r>
      <w:bookmarkEnd w:id="114"/>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年事业收入预算根据单位的工作开展要求编制单位事业收入预算。</w:t>
      </w:r>
    </w:p>
    <w:p>
      <w:pPr>
        <w:widowControl/>
        <w:adjustRightInd w:val="0"/>
        <w:snapToGrid w:val="0"/>
        <w:spacing w:line="58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2019年我院预算经人大批准，收到财政资金137.98万元，其中基本资金30.16万元，项目资金107.82万元。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 w:hAnsi="仿宋" w:eastAsia="仿宋" w:cs="仿宋"/>
          <w:i w:val="0"/>
          <w:caps w:val="0"/>
          <w:color w:val="333333"/>
          <w:spacing w:val="0"/>
          <w:sz w:val="32"/>
          <w:szCs w:val="32"/>
          <w:lang w:eastAsia="zh-CN"/>
        </w:rPr>
        <w:t>（二）</w:t>
      </w:r>
      <w:r>
        <w:rPr>
          <w:rFonts w:hint="eastAsia" w:ascii="仿宋" w:hAnsi="仿宋" w:eastAsia="仿宋" w:cs="仿宋"/>
          <w:i w:val="0"/>
          <w:caps w:val="0"/>
          <w:color w:val="333333"/>
          <w:spacing w:val="0"/>
          <w:sz w:val="32"/>
          <w:szCs w:val="32"/>
        </w:rPr>
        <w:t>预算编制原则</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为了使单位预算编制科学化、规范化、法制化，我院特制定预算管理办法。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333333"/>
          <w:spacing w:val="0"/>
          <w:sz w:val="32"/>
          <w:szCs w:val="32"/>
        </w:rPr>
        <w:t>（1）必须以党和国家的方针政策以及各项法律法规为依据。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2</w:t>
      </w:r>
      <w:r>
        <w:rPr>
          <w:rFonts w:hint="eastAsia" w:ascii="仿宋" w:hAnsi="仿宋" w:eastAsia="仿宋" w:cs="仿宋"/>
          <w:i w:val="0"/>
          <w:caps w:val="0"/>
          <w:color w:val="333333"/>
          <w:spacing w:val="0"/>
          <w:sz w:val="32"/>
          <w:szCs w:val="32"/>
        </w:rPr>
        <w:t>）必须以收支平衡、略有结余为准则。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3</w:t>
      </w:r>
      <w:r>
        <w:rPr>
          <w:rFonts w:hint="eastAsia" w:ascii="仿宋" w:hAnsi="仿宋" w:eastAsia="仿宋" w:cs="仿宋"/>
          <w:i w:val="0"/>
          <w:caps w:val="0"/>
          <w:color w:val="333333"/>
          <w:spacing w:val="0"/>
          <w:sz w:val="32"/>
          <w:szCs w:val="32"/>
        </w:rPr>
        <w:t>）必须遵循完整性原则。单位的预算必须包括单位的全部财务收支，不得遗漏。</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4</w:t>
      </w:r>
      <w:r>
        <w:rPr>
          <w:rFonts w:hint="eastAsia" w:ascii="仿宋" w:hAnsi="仿宋" w:eastAsia="仿宋" w:cs="仿宋"/>
          <w:i w:val="0"/>
          <w:caps w:val="0"/>
          <w:color w:val="333333"/>
          <w:spacing w:val="0"/>
          <w:sz w:val="32"/>
          <w:szCs w:val="32"/>
        </w:rPr>
        <w:t>）必须遵循真实性原则。单位的预算收支项目的数字必须依据充分确定的资料，按批准部门认可的计算依据和计算方法计算得来，不允许估算。</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5</w:t>
      </w:r>
      <w:r>
        <w:rPr>
          <w:rFonts w:hint="eastAsia" w:ascii="仿宋" w:hAnsi="仿宋" w:eastAsia="仿宋" w:cs="仿宋"/>
          <w:i w:val="0"/>
          <w:caps w:val="0"/>
          <w:color w:val="333333"/>
          <w:spacing w:val="0"/>
          <w:sz w:val="32"/>
          <w:szCs w:val="32"/>
        </w:rPr>
        <w:t>）统一性原则。预算编制必须按照统一的预算科目和规定的收支标准、程序进行计算编制。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val="en-US" w:eastAsia="zh-CN"/>
        </w:rPr>
        <w:t>6</w:t>
      </w:r>
      <w:r>
        <w:rPr>
          <w:rFonts w:hint="eastAsia" w:ascii="仿宋" w:hAnsi="仿宋" w:eastAsia="仿宋" w:cs="仿宋"/>
          <w:i w:val="0"/>
          <w:caps w:val="0"/>
          <w:color w:val="333333"/>
          <w:spacing w:val="0"/>
          <w:sz w:val="32"/>
          <w:szCs w:val="32"/>
        </w:rPr>
        <w:t>）年度性原则。要求各事业单位的预算必须按财政年度进行编制。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w:t>
      </w:r>
      <w:r>
        <w:rPr>
          <w:rFonts w:hint="eastAsia" w:ascii="仿宋" w:hAnsi="仿宋" w:eastAsia="仿宋" w:cs="仿宋"/>
          <w:i w:val="0"/>
          <w:caps w:val="0"/>
          <w:color w:val="333333"/>
          <w:spacing w:val="0"/>
          <w:sz w:val="32"/>
          <w:szCs w:val="32"/>
          <w:lang w:eastAsia="zh-CN"/>
        </w:rPr>
        <w:t>（三）</w:t>
      </w:r>
      <w:r>
        <w:rPr>
          <w:rFonts w:hint="eastAsia" w:ascii="仿宋" w:hAnsi="仿宋" w:eastAsia="仿宋" w:cs="仿宋"/>
          <w:i w:val="0"/>
          <w:caps w:val="0"/>
          <w:color w:val="333333"/>
          <w:spacing w:val="0"/>
          <w:sz w:val="32"/>
          <w:szCs w:val="32"/>
        </w:rPr>
        <w:t>部门预算的执行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88"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制定实施预算的各项管理制度和管理办法。为了保证预算的完全执行，预算编审班子制定</w:t>
      </w:r>
      <w:r>
        <w:rPr>
          <w:rFonts w:hint="eastAsia" w:ascii="仿宋" w:hAnsi="仿宋" w:eastAsia="仿宋" w:cs="仿宋"/>
          <w:i w:val="0"/>
          <w:caps w:val="0"/>
          <w:color w:val="333333"/>
          <w:spacing w:val="0"/>
          <w:sz w:val="32"/>
          <w:szCs w:val="32"/>
          <w:lang w:eastAsia="zh-CN"/>
        </w:rPr>
        <w:t>了</w:t>
      </w:r>
      <w:r>
        <w:rPr>
          <w:rFonts w:hint="eastAsia" w:ascii="仿宋" w:hAnsi="仿宋" w:eastAsia="仿宋" w:cs="仿宋"/>
          <w:i w:val="0"/>
          <w:caps w:val="0"/>
          <w:color w:val="333333"/>
          <w:spacing w:val="0"/>
          <w:sz w:val="32"/>
          <w:szCs w:val="32"/>
        </w:rPr>
        <w:t>一系列的管理制度和管理办法。及时、真实、准确反映预算执行情况。各部门要按照财政部门的要求，认真编制预算执行情况表及相关报表，认真编写预算执行情况说明。</w:t>
      </w:r>
    </w:p>
    <w:p>
      <w:pPr>
        <w:widowControl/>
        <w:numPr>
          <w:ilvl w:val="0"/>
          <w:numId w:val="0"/>
        </w:numPr>
        <w:adjustRightInd w:val="0"/>
        <w:snapToGrid w:val="0"/>
        <w:spacing w:line="580" w:lineRule="exact"/>
        <w:ind w:leftChars="200" w:firstLine="320" w:firstLineChars="1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（四）结果应用情况。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我院当年预算报经财政部门审核通过后，经财政部门数据反馈最终进行本单位预算批复通报，实施当年预算结果。</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bookmarkStart w:id="115" w:name="_Toc13204_WPSOffice_Level2"/>
      <w:r>
        <w:rPr>
          <w:rFonts w:hint="eastAsia" w:ascii="黑体" w:hAnsi="宋体" w:eastAsia="黑体" w:cs="宋体"/>
          <w:color w:val="000000"/>
          <w:kern w:val="0"/>
          <w:sz w:val="32"/>
          <w:szCs w:val="32"/>
          <w:shd w:val="clear" w:color="auto" w:fill="FFFFFF"/>
        </w:rPr>
        <w:t>四、评价结论及建议</w:t>
      </w:r>
      <w:bookmarkEnd w:id="115"/>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（一）评价结论：我单位严格按照预算管理要求实施当年工作目标任务。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（二）存在问题：个别经费拨付不及时，且个别项目先做事后拨款，考核不及时而造成当年结转资金大。</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（三）改进建议：建议各部门按项目预算要求和原则，按时对项目进行考核，及时拨付项目资金。</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600" w:lineRule="exact"/>
        <w:jc w:val="center"/>
        <w:outlineLvl w:val="0"/>
        <w:rPr>
          <w:rFonts w:hint="eastAsia" w:ascii="黑体" w:hAnsi="黑体" w:eastAsia="黑体"/>
          <w:color w:val="000000"/>
          <w:sz w:val="44"/>
          <w:szCs w:val="44"/>
        </w:rPr>
      </w:pPr>
      <w:bookmarkStart w:id="116" w:name="_Toc9168_WPSOffice_Level1"/>
      <w:bookmarkStart w:id="117"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bookmarkStart w:id="144" w:name="_GoBack"/>
      <w:bookmarkEnd w:id="144"/>
      <w:r>
        <w:rPr>
          <w:rFonts w:hint="eastAsia" w:ascii="黑体" w:hAnsi="黑体" w:eastAsia="黑体"/>
          <w:color w:val="000000"/>
          <w:sz w:val="44"/>
          <w:szCs w:val="44"/>
        </w:rPr>
        <w:t>第</w:t>
      </w:r>
      <w:r>
        <w:rPr>
          <w:rStyle w:val="25"/>
          <w:rFonts w:hint="eastAsia" w:ascii="黑体" w:hAnsi="黑体" w:eastAsia="黑体"/>
          <w:b w:val="0"/>
        </w:rPr>
        <w:t>五部分 附表</w:t>
      </w:r>
      <w:bookmarkEnd w:id="108"/>
      <w:bookmarkEnd w:id="116"/>
      <w:bookmarkEnd w:id="11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118" w:name="_Toc31604_WPSOffice_Level2"/>
      <w:bookmarkStart w:id="11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118"/>
      <w:bookmarkEnd w:id="119"/>
    </w:p>
    <w:p>
      <w:pPr>
        <w:pStyle w:val="3"/>
        <w:rPr>
          <w:rFonts w:ascii="仿宋" w:hAnsi="仿宋" w:eastAsia="仿宋"/>
          <w:color w:val="000000"/>
        </w:rPr>
      </w:pPr>
      <w:bookmarkStart w:id="120" w:name="_Toc26074_WPSOffice_Level2"/>
      <w:bookmarkStart w:id="12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20"/>
      <w:bookmarkEnd w:id="121"/>
    </w:p>
    <w:p>
      <w:pPr>
        <w:pStyle w:val="3"/>
        <w:rPr>
          <w:rFonts w:ascii="仿宋" w:hAnsi="仿宋" w:eastAsia="仿宋"/>
          <w:color w:val="000000"/>
        </w:rPr>
      </w:pPr>
      <w:bookmarkStart w:id="122" w:name="_Toc23497_WPSOffice_Level2"/>
      <w:bookmarkStart w:id="123"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22"/>
      <w:bookmarkEnd w:id="123"/>
    </w:p>
    <w:p>
      <w:pPr>
        <w:pStyle w:val="3"/>
        <w:rPr>
          <w:rFonts w:ascii="仿宋" w:hAnsi="仿宋" w:eastAsia="仿宋"/>
          <w:b w:val="0"/>
          <w:color w:val="000000"/>
        </w:rPr>
      </w:pPr>
      <w:bookmarkStart w:id="124" w:name="_Toc15396622"/>
      <w:bookmarkStart w:id="125" w:name="_Toc10504_WPSOffice_Level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24"/>
      <w:bookmarkEnd w:id="125"/>
    </w:p>
    <w:p>
      <w:pPr>
        <w:pStyle w:val="3"/>
        <w:rPr>
          <w:rStyle w:val="26"/>
          <w:rFonts w:ascii="仿宋" w:hAnsi="仿宋" w:eastAsia="仿宋"/>
          <w:b w:val="0"/>
          <w:bCs w:val="0"/>
        </w:rPr>
      </w:pPr>
      <w:bookmarkStart w:id="126" w:name="_Toc15396623"/>
      <w:bookmarkStart w:id="127" w:name="_Toc2260_WPSOffice_Level2"/>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6"/>
      <w:bookmarkEnd w:id="127"/>
      <w:bookmarkStart w:id="128" w:name="_Toc15396624"/>
    </w:p>
    <w:p>
      <w:pPr>
        <w:pStyle w:val="3"/>
        <w:rPr>
          <w:rFonts w:ascii="仿宋" w:hAnsi="仿宋" w:eastAsia="仿宋"/>
          <w:color w:val="000000"/>
        </w:rPr>
      </w:pPr>
      <w:bookmarkStart w:id="129" w:name="_Toc21704_WPSOffice_Level2"/>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8"/>
      <w:bookmarkEnd w:id="129"/>
    </w:p>
    <w:p>
      <w:pPr>
        <w:pStyle w:val="3"/>
        <w:rPr>
          <w:rFonts w:ascii="仿宋" w:hAnsi="仿宋" w:eastAsia="仿宋"/>
          <w:color w:val="000000"/>
        </w:rPr>
      </w:pPr>
      <w:bookmarkStart w:id="130" w:name="_Toc15396625"/>
      <w:bookmarkStart w:id="131" w:name="_Toc10516_WPSOffice_Level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30"/>
      <w:bookmarkEnd w:id="131"/>
    </w:p>
    <w:p>
      <w:pPr>
        <w:pStyle w:val="3"/>
        <w:rPr>
          <w:rFonts w:ascii="仿宋" w:hAnsi="仿宋" w:eastAsia="仿宋"/>
          <w:color w:val="000000"/>
        </w:rPr>
      </w:pPr>
      <w:bookmarkStart w:id="132" w:name="_Toc15396626"/>
      <w:bookmarkStart w:id="133" w:name="_Toc21807_WPSOffice_Level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32"/>
      <w:bookmarkEnd w:id="133"/>
    </w:p>
    <w:p>
      <w:pPr>
        <w:pStyle w:val="3"/>
        <w:rPr>
          <w:rFonts w:ascii="仿宋" w:hAnsi="仿宋" w:eastAsia="仿宋"/>
          <w:color w:val="000000"/>
        </w:rPr>
      </w:pPr>
      <w:bookmarkStart w:id="134" w:name="_Toc8592_WPSOffice_Level2"/>
      <w:bookmarkStart w:id="135"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4"/>
      <w:bookmarkEnd w:id="135"/>
    </w:p>
    <w:p>
      <w:pPr>
        <w:pStyle w:val="3"/>
        <w:rPr>
          <w:rFonts w:ascii="仿宋" w:hAnsi="仿宋" w:eastAsia="仿宋"/>
          <w:color w:val="000000"/>
        </w:rPr>
      </w:pPr>
      <w:bookmarkStart w:id="136" w:name="_Toc10053_WPSOffice_Level2"/>
      <w:bookmarkStart w:id="13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6"/>
      <w:bookmarkEnd w:id="137"/>
    </w:p>
    <w:p>
      <w:pPr>
        <w:pStyle w:val="3"/>
        <w:rPr>
          <w:rFonts w:ascii="仿宋" w:hAnsi="仿宋" w:eastAsia="仿宋"/>
          <w:color w:val="000000"/>
        </w:rPr>
      </w:pPr>
      <w:bookmarkStart w:id="138" w:name="_Toc32458_WPSOffice_Level2"/>
      <w:bookmarkStart w:id="13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8"/>
      <w:bookmarkEnd w:id="139"/>
    </w:p>
    <w:p>
      <w:pPr>
        <w:pStyle w:val="3"/>
        <w:rPr>
          <w:rFonts w:ascii="仿宋" w:hAnsi="仿宋" w:eastAsia="仿宋"/>
          <w:color w:val="000000"/>
        </w:rPr>
      </w:pPr>
      <w:bookmarkStart w:id="140" w:name="_Toc15396630"/>
      <w:bookmarkStart w:id="141" w:name="_Toc697_WPSOffice_Level2"/>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40"/>
      <w:bookmarkEnd w:id="141"/>
    </w:p>
    <w:p>
      <w:pPr>
        <w:pStyle w:val="3"/>
        <w:rPr>
          <w:rFonts w:ascii="仿宋" w:hAnsi="仿宋" w:eastAsia="仿宋"/>
          <w:color w:val="000000" w:themeColor="text1"/>
        </w:rPr>
      </w:pPr>
      <w:bookmarkStart w:id="142" w:name="_Toc18982_WPSOffice_Level2"/>
      <w:bookmarkStart w:id="143"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42"/>
      <w:bookmarkEnd w:id="14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40FA9"/>
    <w:multiLevelType w:val="singleLevel"/>
    <w:tmpl w:val="92E40FA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27604B6"/>
    <w:multiLevelType w:val="singleLevel"/>
    <w:tmpl w:val="327604B6"/>
    <w:lvl w:ilvl="0" w:tentative="0">
      <w:start w:val="4"/>
      <w:numFmt w:val="chineseCounting"/>
      <w:suff w:val="nothing"/>
      <w:lvlText w:val="（%1）"/>
      <w:lvlJc w:val="left"/>
      <w:pPr>
        <w:ind w:left="-13"/>
      </w:pPr>
      <w:rPr>
        <w:rFonts w:hint="eastAsia"/>
      </w:rPr>
    </w:lvl>
  </w:abstractNum>
  <w:abstractNum w:abstractNumId="5">
    <w:nsid w:val="4129C14F"/>
    <w:multiLevelType w:val="singleLevel"/>
    <w:tmpl w:val="4129C14F"/>
    <w:lvl w:ilvl="0" w:tentative="0">
      <w:start w:val="7"/>
      <w:numFmt w:val="decimal"/>
      <w:suff w:val="nothing"/>
      <w:lvlText w:val="%1、"/>
      <w:lvlJc w:val="left"/>
    </w:lvl>
  </w:abstractNum>
  <w:abstractNum w:abstractNumId="6">
    <w:nsid w:val="57781C7E"/>
    <w:multiLevelType w:val="singleLevel"/>
    <w:tmpl w:val="57781C7E"/>
    <w:lvl w:ilvl="0" w:tentative="0">
      <w:start w:val="1"/>
      <w:numFmt w:val="decimal"/>
      <w:lvlText w:val="%1."/>
      <w:lvlJc w:val="left"/>
      <w:pPr>
        <w:tabs>
          <w:tab w:val="left" w:pos="312"/>
        </w:tabs>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3E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3D9C"/>
    <w:rsid w:val="0057481D"/>
    <w:rsid w:val="00575F0B"/>
    <w:rsid w:val="0058486E"/>
    <w:rsid w:val="00585B33"/>
    <w:rsid w:val="0059014D"/>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F5F"/>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F73"/>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2BD"/>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B57"/>
    <w:rsid w:val="00DF28BC"/>
    <w:rsid w:val="00DF34B9"/>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02C"/>
    <w:rsid w:val="00FD3CC1"/>
    <w:rsid w:val="00FF1E02"/>
    <w:rsid w:val="00FF30B4"/>
    <w:rsid w:val="04036DBC"/>
    <w:rsid w:val="04465C2A"/>
    <w:rsid w:val="09746F3C"/>
    <w:rsid w:val="0AB31B6A"/>
    <w:rsid w:val="0D2918C4"/>
    <w:rsid w:val="10C055FF"/>
    <w:rsid w:val="10D70F44"/>
    <w:rsid w:val="10FE6D75"/>
    <w:rsid w:val="11D9538E"/>
    <w:rsid w:val="133B39B7"/>
    <w:rsid w:val="14251342"/>
    <w:rsid w:val="16BB723D"/>
    <w:rsid w:val="17EA09EB"/>
    <w:rsid w:val="1A4C6E8E"/>
    <w:rsid w:val="1DFD24A4"/>
    <w:rsid w:val="208467C9"/>
    <w:rsid w:val="21124342"/>
    <w:rsid w:val="218609E0"/>
    <w:rsid w:val="240371BF"/>
    <w:rsid w:val="28EE5410"/>
    <w:rsid w:val="29F24787"/>
    <w:rsid w:val="29FD04D3"/>
    <w:rsid w:val="2FD47009"/>
    <w:rsid w:val="319F7F4E"/>
    <w:rsid w:val="333D25ED"/>
    <w:rsid w:val="34DB223A"/>
    <w:rsid w:val="356334C0"/>
    <w:rsid w:val="38EE3D05"/>
    <w:rsid w:val="39507CC4"/>
    <w:rsid w:val="3E122EC1"/>
    <w:rsid w:val="40C05A88"/>
    <w:rsid w:val="432072FE"/>
    <w:rsid w:val="45C013BC"/>
    <w:rsid w:val="4A760F68"/>
    <w:rsid w:val="4D7A0BE5"/>
    <w:rsid w:val="4D996EB8"/>
    <w:rsid w:val="4E600EC2"/>
    <w:rsid w:val="4ECE2238"/>
    <w:rsid w:val="4ED3009E"/>
    <w:rsid w:val="53892D81"/>
    <w:rsid w:val="55CA65AE"/>
    <w:rsid w:val="56AF62CE"/>
    <w:rsid w:val="58CF184A"/>
    <w:rsid w:val="5C616BB4"/>
    <w:rsid w:val="648039C3"/>
    <w:rsid w:val="66EA74C3"/>
    <w:rsid w:val="68850D36"/>
    <w:rsid w:val="6CDF776A"/>
    <w:rsid w:val="6D9A3260"/>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pPr>
      <w:ind w:leftChars="0"/>
    </w:pPr>
    <w:rPr>
      <w:rFonts w:ascii="Calibri" w:hAnsi="Calibri" w:eastAsia="宋体" w:cs="Times New Roman"/>
      <w:sz w:val="20"/>
      <w:szCs w:val="20"/>
    </w:rPr>
  </w:style>
  <w:style w:type="paragraph" w:customStyle="1" w:styleId="32">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a:t>
            </a: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[图表.xlsx]峨山!$A$2</c:f>
              <c:strCache>
                <c:ptCount val="1"/>
                <c:pt idx="0">
                  <c:v>收入总计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[图表.xlsx]峨山!$B$1:$C$1</c:f>
              <c:numCache>
                <c:formatCode>General</c:formatCode>
                <c:ptCount val="2"/>
                <c:pt idx="0">
                  <c:v>2018</c:v>
                </c:pt>
                <c:pt idx="1">
                  <c:v>2019</c:v>
                </c:pt>
              </c:numCache>
            </c:numRef>
          </c:cat>
          <c:val>
            <c:numRef>
              <c:f>[图表.xlsx]峨山!$B$2:$C$2</c:f>
              <c:numCache>
                <c:formatCode>General</c:formatCode>
                <c:ptCount val="2"/>
                <c:pt idx="0">
                  <c:v>358.38</c:v>
                </c:pt>
                <c:pt idx="1">
                  <c:v>408.38</c:v>
                </c:pt>
              </c:numCache>
            </c:numRef>
          </c:val>
        </c:ser>
        <c:ser>
          <c:idx val="1"/>
          <c:order val="1"/>
          <c:tx>
            <c:strRef>
              <c:f>[图表.xlsx]峨山!$A$3</c:f>
              <c:strCache>
                <c:ptCount val="1"/>
                <c:pt idx="0">
                  <c:v>支出总计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[图表.xlsx]峨山!$B$1:$C$1</c:f>
              <c:numCache>
                <c:formatCode>General</c:formatCode>
                <c:ptCount val="2"/>
                <c:pt idx="0">
                  <c:v>2018</c:v>
                </c:pt>
                <c:pt idx="1">
                  <c:v>2019</c:v>
                </c:pt>
              </c:numCache>
            </c:numRef>
          </c:cat>
          <c:val>
            <c:numRef>
              <c:f>[图表.xlsx]峨山!$B$3:$C$3</c:f>
              <c:numCache>
                <c:formatCode>General</c:formatCode>
                <c:ptCount val="2"/>
                <c:pt idx="0">
                  <c:v>324.78</c:v>
                </c:pt>
                <c:pt idx="1">
                  <c:v>421.99</c:v>
                </c:pt>
              </c:numCache>
            </c:numRef>
          </c:val>
        </c:ser>
        <c:dLbls>
          <c:showLegendKey val="0"/>
          <c:showVal val="1"/>
          <c:showCatName val="0"/>
          <c:showSerName val="0"/>
          <c:showPercent val="0"/>
          <c:showBubbleSize val="0"/>
        </c:dLbls>
        <c:gapWidth val="219"/>
        <c:overlap val="-27"/>
        <c:axId val="857914068"/>
        <c:axId val="141857276"/>
      </c:barChart>
      <c:catAx>
        <c:axId val="8579140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857276"/>
        <c:crosses val="autoZero"/>
        <c:auto val="1"/>
        <c:lblAlgn val="ctr"/>
        <c:lblOffset val="100"/>
        <c:noMultiLvlLbl val="0"/>
      </c:catAx>
      <c:valAx>
        <c:axId val="1418572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9140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[图表.xlsx]峨山!$A$24:$A$27</c:f>
              <c:strCache>
                <c:ptCount val="4"/>
                <c:pt idx="0">
                  <c:v>一般公共预算财政拨款</c:v>
                </c:pt>
                <c:pt idx="1">
                  <c:v>政府性基金预算财政拨款</c:v>
                </c:pt>
                <c:pt idx="2">
                  <c:v>事业收入</c:v>
                </c:pt>
                <c:pt idx="3">
                  <c:v>其它收入</c:v>
                </c:pt>
              </c:strCache>
            </c:strRef>
          </c:cat>
          <c:val>
            <c:numRef>
              <c:f>[图表.xlsx]峨山!$B$24:$B$27</c:f>
              <c:numCache>
                <c:formatCode>General</c:formatCode>
                <c:ptCount val="4"/>
                <c:pt idx="0">
                  <c:v>134.07</c:v>
                </c:pt>
                <c:pt idx="1">
                  <c:v>3.91</c:v>
                </c:pt>
                <c:pt idx="2">
                  <c:v>254.47</c:v>
                </c:pt>
                <c:pt idx="3">
                  <c:v>15.93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manualLayout>
          <c:xMode val="edge"/>
          <c:yMode val="edge"/>
          <c:x val="0.327083333333333"/>
          <c:y val="0.0354166666666667"/>
        </c:manualLayout>
      </c:layout>
      <c:overlay val="0"/>
      <c:spPr>
        <a:noFill/>
        <a:ln>
          <a:noFill/>
        </a:ln>
        <a:effectLst/>
      </c:spPr>
    </c:title>
    <c:autoTitleDeleted val="0"/>
    <c:plotArea>
      <c:layout/>
      <c:pieChart>
        <c:varyColors val="1"/>
        <c:ser>
          <c:idx val="0"/>
          <c:order val="0"/>
          <c:tx>
            <c:strRef>
              <c:f>[图表.xlsx]峨山!$B$44</c:f>
              <c:strCache>
                <c:ptCount val="1"/>
                <c:pt idx="0">
                  <c:v>2019</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[图表.xlsx]峨山!$A$45:$A$46</c:f>
              <c:strCache>
                <c:ptCount val="2"/>
                <c:pt idx="0">
                  <c:v>基本支出 </c:v>
                </c:pt>
                <c:pt idx="1">
                  <c:v>项目支出 </c:v>
                </c:pt>
              </c:strCache>
            </c:strRef>
          </c:cat>
          <c:val>
            <c:numRef>
              <c:f>[图表.xlsx]峨山!$B$45:$B$46</c:f>
              <c:numCache>
                <c:formatCode>General</c:formatCode>
                <c:ptCount val="2"/>
                <c:pt idx="0">
                  <c:v>288.21</c:v>
                </c:pt>
                <c:pt idx="1">
                  <c:v>133.78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[图表.xlsx]峨山!$A$66</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[图表.xlsx]峨山!$B$65:$C$65</c:f>
              <c:numCache>
                <c:formatCode>General</c:formatCode>
                <c:ptCount val="2"/>
                <c:pt idx="0">
                  <c:v>2018</c:v>
                </c:pt>
                <c:pt idx="1">
                  <c:v>2019</c:v>
                </c:pt>
              </c:numCache>
            </c:numRef>
          </c:cat>
          <c:val>
            <c:numRef>
              <c:f>[图表.xlsx]峨山!$B$66:$C$66</c:f>
              <c:numCache>
                <c:formatCode>General</c:formatCode>
                <c:ptCount val="2"/>
                <c:pt idx="0">
                  <c:v>140.56</c:v>
                </c:pt>
                <c:pt idx="1">
                  <c:v>137.98</c:v>
                </c:pt>
              </c:numCache>
            </c:numRef>
          </c:val>
        </c:ser>
        <c:ser>
          <c:idx val="1"/>
          <c:order val="1"/>
          <c:tx>
            <c:strRef>
              <c:f>[图表.xlsx]峨山!$A$67</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[图表.xlsx]峨山!$B$65:$C$65</c:f>
              <c:numCache>
                <c:formatCode>General</c:formatCode>
                <c:ptCount val="2"/>
                <c:pt idx="0">
                  <c:v>2018</c:v>
                </c:pt>
                <c:pt idx="1">
                  <c:v>2019</c:v>
                </c:pt>
              </c:numCache>
            </c:numRef>
          </c:cat>
          <c:val>
            <c:numRef>
              <c:f>[图表.xlsx]峨山!$B$67:$C$67</c:f>
              <c:numCache>
                <c:formatCode>General</c:formatCode>
                <c:ptCount val="2"/>
                <c:pt idx="0">
                  <c:v>106.96</c:v>
                </c:pt>
                <c:pt idx="1">
                  <c:v>149.51</c:v>
                </c:pt>
              </c:numCache>
            </c:numRef>
          </c:val>
        </c:ser>
        <c:dLbls>
          <c:showLegendKey val="0"/>
          <c:showVal val="1"/>
          <c:showCatName val="0"/>
          <c:showSerName val="0"/>
          <c:showPercent val="0"/>
          <c:showBubbleSize val="0"/>
        </c:dLbls>
        <c:gapWidth val="219"/>
        <c:overlap val="-27"/>
        <c:axId val="656088067"/>
        <c:axId val="913896016"/>
      </c:barChart>
      <c:catAx>
        <c:axId val="656088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3896016"/>
        <c:crosses val="autoZero"/>
        <c:auto val="1"/>
        <c:lblAlgn val="ctr"/>
        <c:lblOffset val="100"/>
        <c:noMultiLvlLbl val="0"/>
      </c:catAx>
      <c:valAx>
        <c:axId val="91389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0880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一般公共预算财政拨款支出决算变动图</a:t>
            </a:r>
          </a:p>
        </c:rich>
      </c:tx>
      <c:layout>
        <c:manualLayout>
          <c:xMode val="edge"/>
          <c:yMode val="edge"/>
          <c:x val="0.0994444444444444"/>
          <c:y val="0.0150462962962963"/>
        </c:manualLayout>
      </c:layout>
      <c:overlay val="0"/>
      <c:spPr>
        <a:noFill/>
        <a:ln>
          <a:noFill/>
        </a:ln>
        <a:effectLst/>
      </c:spPr>
    </c:title>
    <c:autoTitleDeleted val="0"/>
    <c:plotArea>
      <c:layout/>
      <c:barChart>
        <c:barDir val="col"/>
        <c:grouping val="clustered"/>
        <c:varyColors val="0"/>
        <c:ser>
          <c:idx val="0"/>
          <c:order val="0"/>
          <c:tx>
            <c:strRef>
              <c:f>[图表.xlsx]峨山!$A$87</c:f>
              <c:strCache>
                <c:ptCount val="1"/>
                <c:pt idx="0">
                  <c:v>一般公共预算财政拨款支出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[图表.xlsx]峨山!$B$86:$C$86</c:f>
              <c:numCache>
                <c:formatCode>General</c:formatCode>
                <c:ptCount val="2"/>
                <c:pt idx="0">
                  <c:v>2018</c:v>
                </c:pt>
                <c:pt idx="1">
                  <c:v>2019</c:v>
                </c:pt>
              </c:numCache>
            </c:numRef>
          </c:cat>
          <c:val>
            <c:numRef>
              <c:f>[图表.xlsx]峨山!$B$87:$C$87</c:f>
              <c:numCache>
                <c:formatCode>General</c:formatCode>
                <c:ptCount val="2"/>
                <c:pt idx="0">
                  <c:v>103.11</c:v>
                </c:pt>
                <c:pt idx="1">
                  <c:v>145.6</c:v>
                </c:pt>
              </c:numCache>
            </c:numRef>
          </c:val>
        </c:ser>
        <c:dLbls>
          <c:showLegendKey val="0"/>
          <c:showVal val="1"/>
          <c:showCatName val="0"/>
          <c:showSerName val="0"/>
          <c:showPercent val="0"/>
          <c:showBubbleSize val="0"/>
        </c:dLbls>
        <c:gapWidth val="219"/>
        <c:overlap val="-27"/>
        <c:axId val="418447959"/>
        <c:axId val="51226284"/>
      </c:barChart>
      <c:catAx>
        <c:axId val="4184479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26284"/>
        <c:crosses val="autoZero"/>
        <c:auto val="1"/>
        <c:lblAlgn val="ctr"/>
        <c:lblOffset val="100"/>
        <c:noMultiLvlLbl val="0"/>
      </c:catAx>
      <c:valAx>
        <c:axId val="512262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8447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：一般公共预算财政拨款支出决算结构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[图表.xlsx]峨山!$A$107:$A$108</c:f>
              <c:strCache>
                <c:ptCount val="2"/>
                <c:pt idx="0">
                  <c:v>卫生健康支出</c:v>
                </c:pt>
                <c:pt idx="1">
                  <c:v>住房保障支出</c:v>
                </c:pt>
              </c:strCache>
            </c:strRef>
          </c:cat>
          <c:val>
            <c:numRef>
              <c:f>[图表.xlsx]峨山!$B$107:$B$108</c:f>
              <c:numCache>
                <c:formatCode>General</c:formatCode>
                <c:ptCount val="2"/>
                <c:pt idx="0">
                  <c:v>143.01</c:v>
                </c:pt>
                <c:pt idx="1">
                  <c:v>2.59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d386c0-55f9-4897-aaa3-6b60efa6109c}"/>
        <w:style w:val=""/>
        <w:category>
          <w:name w:val="常规"/>
          <w:gallery w:val="placeholder"/>
        </w:category>
        <w:types>
          <w:type w:val="bbPlcHdr"/>
        </w:types>
        <w:behaviors>
          <w:behavior w:val="content"/>
        </w:behaviors>
        <w:description w:val=""/>
        <w:guid w:val="{58d386c0-55f9-4897-aaa3-6b60efa6109c}"/>
      </w:docPartPr>
      <w:docPartBody>
        <w:p>
          <w:r>
            <w:rPr>
              <w:color w:val="808080"/>
            </w:rPr>
            <w:t>单击此处输入文字。</w:t>
          </w:r>
        </w:p>
      </w:docPartBody>
    </w:docPart>
    <w:docPart>
      <w:docPartPr>
        <w:name w:val="{4fdf35ff-14a1-4919-aa3e-5b0fb689aafd}"/>
        <w:style w:val=""/>
        <w:category>
          <w:name w:val="常规"/>
          <w:gallery w:val="placeholder"/>
        </w:category>
        <w:types>
          <w:type w:val="bbPlcHdr"/>
        </w:types>
        <w:behaviors>
          <w:behavior w:val="content"/>
        </w:behaviors>
        <w:description w:val=""/>
        <w:guid w:val="{4fdf35ff-14a1-4919-aa3e-5b0fb689aafd}"/>
      </w:docPartPr>
      <w:docPartBody>
        <w:p>
          <w:r>
            <w:rPr>
              <w:color w:val="808080"/>
            </w:rPr>
            <w:t>单击此处输入文字。</w:t>
          </w:r>
        </w:p>
      </w:docPartBody>
    </w:docPart>
    <w:docPart>
      <w:docPartPr>
        <w:name w:val="{8a9d93c8-233f-4d60-80e9-d3c5924ffc07}"/>
        <w:style w:val=""/>
        <w:category>
          <w:name w:val="常规"/>
          <w:gallery w:val="placeholder"/>
        </w:category>
        <w:types>
          <w:type w:val="bbPlcHdr"/>
        </w:types>
        <w:behaviors>
          <w:behavior w:val="content"/>
        </w:behaviors>
        <w:description w:val=""/>
        <w:guid w:val="{8a9d93c8-233f-4d60-80e9-d3c5924ffc07}"/>
      </w:docPartPr>
      <w:docPartBody>
        <w:p>
          <w:r>
            <w:rPr>
              <w:color w:val="808080"/>
            </w:rPr>
            <w:t>单击此处输入文字。</w:t>
          </w:r>
        </w:p>
      </w:docPartBody>
    </w:docPart>
    <w:docPart>
      <w:docPartPr>
        <w:name w:val="{77bb829d-58ea-4096-b430-2ee8aafa7b8d}"/>
        <w:style w:val=""/>
        <w:category>
          <w:name w:val="常规"/>
          <w:gallery w:val="placeholder"/>
        </w:category>
        <w:types>
          <w:type w:val="bbPlcHdr"/>
        </w:types>
        <w:behaviors>
          <w:behavior w:val="content"/>
        </w:behaviors>
        <w:description w:val=""/>
        <w:guid w:val="{77bb829d-58ea-4096-b430-2ee8aafa7b8d}"/>
      </w:docPartPr>
      <w:docPartBody>
        <w:p>
          <w:r>
            <w:rPr>
              <w:color w:val="808080"/>
            </w:rPr>
            <w:t>单击此处输入文字。</w:t>
          </w:r>
        </w:p>
      </w:docPartBody>
    </w:docPart>
    <w:docPart>
      <w:docPartPr>
        <w:name w:val="{bcf1638e-c208-4b50-b56e-a18e1e372b54}"/>
        <w:style w:val=""/>
        <w:category>
          <w:name w:val="常规"/>
          <w:gallery w:val="placeholder"/>
        </w:category>
        <w:types>
          <w:type w:val="bbPlcHdr"/>
        </w:types>
        <w:behaviors>
          <w:behavior w:val="content"/>
        </w:behaviors>
        <w:description w:val=""/>
        <w:guid w:val="{bcf1638e-c208-4b50-b56e-a18e1e372b54}"/>
      </w:docPartPr>
      <w:docPartBody>
        <w:p>
          <w:r>
            <w:rPr>
              <w:color w:val="808080"/>
            </w:rPr>
            <w:t>单击此处输入文字。</w:t>
          </w:r>
        </w:p>
      </w:docPartBody>
    </w:docPart>
    <w:docPart>
      <w:docPartPr>
        <w:name w:val="{fe7cdde8-e5e4-4bf2-8897-aab2569c51bc}"/>
        <w:style w:val=""/>
        <w:category>
          <w:name w:val="常规"/>
          <w:gallery w:val="placeholder"/>
        </w:category>
        <w:types>
          <w:type w:val="bbPlcHdr"/>
        </w:types>
        <w:behaviors>
          <w:behavior w:val="content"/>
        </w:behaviors>
        <w:description w:val=""/>
        <w:guid w:val="{fe7cdde8-e5e4-4bf2-8897-aab2569c51bc}"/>
      </w:docPartPr>
      <w:docPartBody>
        <w:p>
          <w:r>
            <w:rPr>
              <w:color w:val="808080"/>
            </w:rPr>
            <w:t>单击此处输入文字。</w:t>
          </w:r>
        </w:p>
      </w:docPartBody>
    </w:docPart>
    <w:docPart>
      <w:docPartPr>
        <w:name w:val="{6b51afb7-e125-4fc8-a878-8c7f1ae577f4}"/>
        <w:style w:val=""/>
        <w:category>
          <w:name w:val="常规"/>
          <w:gallery w:val="placeholder"/>
        </w:category>
        <w:types>
          <w:type w:val="bbPlcHdr"/>
        </w:types>
        <w:behaviors>
          <w:behavior w:val="content"/>
        </w:behaviors>
        <w:description w:val=""/>
        <w:guid w:val="{6b51afb7-e125-4fc8-a878-8c7f1ae577f4}"/>
      </w:docPartPr>
      <w:docPartBody>
        <w:p>
          <w:r>
            <w:rPr>
              <w:color w:val="808080"/>
            </w:rPr>
            <w:t>单击此处输入文字。</w:t>
          </w:r>
        </w:p>
      </w:docPartBody>
    </w:docPart>
    <w:docPart>
      <w:docPartPr>
        <w:name w:val="{84480cc9-638c-42cd-a0d0-8340bf840345}"/>
        <w:style w:val=""/>
        <w:category>
          <w:name w:val="常规"/>
          <w:gallery w:val="placeholder"/>
        </w:category>
        <w:types>
          <w:type w:val="bbPlcHdr"/>
        </w:types>
        <w:behaviors>
          <w:behavior w:val="content"/>
        </w:behaviors>
        <w:description w:val=""/>
        <w:guid w:val="{84480cc9-638c-42cd-a0d0-8340bf840345}"/>
      </w:docPartPr>
      <w:docPartBody>
        <w:p>
          <w:r>
            <w:rPr>
              <w:color w:val="808080"/>
            </w:rPr>
            <w:t>单击此处输入文字。</w:t>
          </w:r>
        </w:p>
      </w:docPartBody>
    </w:docPart>
    <w:docPart>
      <w:docPartPr>
        <w:name w:val="{01808865-5c3d-4b77-83a7-b823c75a79ae}"/>
        <w:style w:val=""/>
        <w:category>
          <w:name w:val="常规"/>
          <w:gallery w:val="placeholder"/>
        </w:category>
        <w:types>
          <w:type w:val="bbPlcHdr"/>
        </w:types>
        <w:behaviors>
          <w:behavior w:val="content"/>
        </w:behaviors>
        <w:description w:val=""/>
        <w:guid w:val="{01808865-5c3d-4b77-83a7-b823c75a79ae}"/>
      </w:docPartPr>
      <w:docPartBody>
        <w:p>
          <w:r>
            <w:rPr>
              <w:color w:val="808080"/>
            </w:rPr>
            <w:t>单击此处输入文字。</w:t>
          </w:r>
        </w:p>
      </w:docPartBody>
    </w:docPart>
    <w:docPart>
      <w:docPartPr>
        <w:name w:val="{ac128d78-69a0-408c-8d07-676d0a53aad6}"/>
        <w:style w:val=""/>
        <w:category>
          <w:name w:val="常规"/>
          <w:gallery w:val="placeholder"/>
        </w:category>
        <w:types>
          <w:type w:val="bbPlcHdr"/>
        </w:types>
        <w:behaviors>
          <w:behavior w:val="content"/>
        </w:behaviors>
        <w:description w:val=""/>
        <w:guid w:val="{ac128d78-69a0-408c-8d07-676d0a53aad6}"/>
      </w:docPartPr>
      <w:docPartBody>
        <w:p>
          <w:r>
            <w:rPr>
              <w:color w:val="808080"/>
            </w:rPr>
            <w:t>单击此处输入文字。</w:t>
          </w:r>
        </w:p>
      </w:docPartBody>
    </w:docPart>
    <w:docPart>
      <w:docPartPr>
        <w:name w:val="{c9a36854-9fbf-4dd3-aeee-b01773c8f031}"/>
        <w:style w:val=""/>
        <w:category>
          <w:name w:val="常规"/>
          <w:gallery w:val="placeholder"/>
        </w:category>
        <w:types>
          <w:type w:val="bbPlcHdr"/>
        </w:types>
        <w:behaviors>
          <w:behavior w:val="content"/>
        </w:behaviors>
        <w:description w:val=""/>
        <w:guid w:val="{c9a36854-9fbf-4dd3-aeee-b01773c8f031}"/>
      </w:docPartPr>
      <w:docPartBody>
        <w:p>
          <w:r>
            <w:rPr>
              <w:color w:val="808080"/>
            </w:rPr>
            <w:t>单击此处输入文字。</w:t>
          </w:r>
        </w:p>
      </w:docPartBody>
    </w:docPart>
    <w:docPart>
      <w:docPartPr>
        <w:name w:val="{d0952470-4c1a-4908-b3fe-428bd538a231}"/>
        <w:style w:val=""/>
        <w:category>
          <w:name w:val="常规"/>
          <w:gallery w:val="placeholder"/>
        </w:category>
        <w:types>
          <w:type w:val="bbPlcHdr"/>
        </w:types>
        <w:behaviors>
          <w:behavior w:val="content"/>
        </w:behaviors>
        <w:description w:val=""/>
        <w:guid w:val="{d0952470-4c1a-4908-b3fe-428bd538a231}"/>
      </w:docPartPr>
      <w:docPartBody>
        <w:p>
          <w:r>
            <w:rPr>
              <w:color w:val="808080"/>
            </w:rPr>
            <w:t>单击此处输入文字。</w:t>
          </w:r>
        </w:p>
      </w:docPartBody>
    </w:docPart>
    <w:docPart>
      <w:docPartPr>
        <w:name w:val="{f4a2ed00-aeb3-4b9d-ade8-77d6d65a1e55}"/>
        <w:style w:val=""/>
        <w:category>
          <w:name w:val="常规"/>
          <w:gallery w:val="placeholder"/>
        </w:category>
        <w:types>
          <w:type w:val="bbPlcHdr"/>
        </w:types>
        <w:behaviors>
          <w:behavior w:val="content"/>
        </w:behaviors>
        <w:description w:val=""/>
        <w:guid w:val="{f4a2ed00-aeb3-4b9d-ade8-77d6d65a1e55}"/>
      </w:docPartPr>
      <w:docPartBody>
        <w:p>
          <w:r>
            <w:rPr>
              <w:color w:val="808080"/>
            </w:rPr>
            <w:t>单击此处输入文字。</w:t>
          </w:r>
        </w:p>
      </w:docPartBody>
    </w:docPart>
    <w:docPart>
      <w:docPartPr>
        <w:name w:val="{0d7737a4-538b-44db-bfc0-b29ea9333019}"/>
        <w:style w:val=""/>
        <w:category>
          <w:name w:val="常规"/>
          <w:gallery w:val="placeholder"/>
        </w:category>
        <w:types>
          <w:type w:val="bbPlcHdr"/>
        </w:types>
        <w:behaviors>
          <w:behavior w:val="content"/>
        </w:behaviors>
        <w:description w:val=""/>
        <w:guid w:val="{0d7737a4-538b-44db-bfc0-b29ea9333019}"/>
      </w:docPartPr>
      <w:docPartBody>
        <w:p>
          <w:r>
            <w:rPr>
              <w:color w:val="808080"/>
            </w:rPr>
            <w:t>单击此处输入文字。</w:t>
          </w:r>
        </w:p>
      </w:docPartBody>
    </w:docPart>
    <w:docPart>
      <w:docPartPr>
        <w:name w:val="{ff82347c-7c40-441f-b96e-3156ab976ce9}"/>
        <w:style w:val=""/>
        <w:category>
          <w:name w:val="常规"/>
          <w:gallery w:val="placeholder"/>
        </w:category>
        <w:types>
          <w:type w:val="bbPlcHdr"/>
        </w:types>
        <w:behaviors>
          <w:behavior w:val="content"/>
        </w:behaviors>
        <w:description w:val=""/>
        <w:guid w:val="{ff82347c-7c40-441f-b96e-3156ab976ce9}"/>
      </w:docPartPr>
      <w:docPartBody>
        <w:p>
          <w:r>
            <w:rPr>
              <w:color w:val="808080"/>
            </w:rPr>
            <w:t>单击此处输入文字。</w:t>
          </w:r>
        </w:p>
      </w:docPartBody>
    </w:docPart>
    <w:docPart>
      <w:docPartPr>
        <w:name w:val="{3321a93d-699e-4d8f-994f-01fc78b7c3ac}"/>
        <w:style w:val=""/>
        <w:category>
          <w:name w:val="常规"/>
          <w:gallery w:val="placeholder"/>
        </w:category>
        <w:types>
          <w:type w:val="bbPlcHdr"/>
        </w:types>
        <w:behaviors>
          <w:behavior w:val="content"/>
        </w:behaviors>
        <w:description w:val=""/>
        <w:guid w:val="{3321a93d-699e-4d8f-994f-01fc78b7c3ac}"/>
      </w:docPartPr>
      <w:docPartBody>
        <w:p>
          <w:r>
            <w:rPr>
              <w:color w:val="808080"/>
            </w:rPr>
            <w:t>单击此处输入文字。</w:t>
          </w:r>
        </w:p>
      </w:docPartBody>
    </w:docPart>
    <w:docPart>
      <w:docPartPr>
        <w:name w:val="{b05f9765-0db4-4f38-9ffd-626046ed772f}"/>
        <w:style w:val=""/>
        <w:category>
          <w:name w:val="常规"/>
          <w:gallery w:val="placeholder"/>
        </w:category>
        <w:types>
          <w:type w:val="bbPlcHdr"/>
        </w:types>
        <w:behaviors>
          <w:behavior w:val="content"/>
        </w:behaviors>
        <w:description w:val=""/>
        <w:guid w:val="{b05f9765-0db4-4f38-9ffd-626046ed772f}"/>
      </w:docPartPr>
      <w:docPartBody>
        <w:p>
          <w:r>
            <w:rPr>
              <w:color w:val="808080"/>
            </w:rPr>
            <w:t>单击此处输入文字。</w:t>
          </w:r>
        </w:p>
      </w:docPartBody>
    </w:docPart>
    <w:docPart>
      <w:docPartPr>
        <w:name w:val="{607a39ad-8c34-4da8-b443-1f2ac5f3ef0a}"/>
        <w:style w:val=""/>
        <w:category>
          <w:name w:val="常规"/>
          <w:gallery w:val="placeholder"/>
        </w:category>
        <w:types>
          <w:type w:val="bbPlcHdr"/>
        </w:types>
        <w:behaviors>
          <w:behavior w:val="content"/>
        </w:behaviors>
        <w:description w:val=""/>
        <w:guid w:val="{607a39ad-8c34-4da8-b443-1f2ac5f3ef0a}"/>
      </w:docPartPr>
      <w:docPartBody>
        <w:p>
          <w:r>
            <w:rPr>
              <w:color w:val="808080"/>
            </w:rPr>
            <w:t>单击此处输入文字。</w:t>
          </w:r>
        </w:p>
      </w:docPartBody>
    </w:docPart>
    <w:docPart>
      <w:docPartPr>
        <w:name w:val="{1ed0bca3-d63e-41a5-baf7-84ae7f46459b}"/>
        <w:style w:val=""/>
        <w:category>
          <w:name w:val="常规"/>
          <w:gallery w:val="placeholder"/>
        </w:category>
        <w:types>
          <w:type w:val="bbPlcHdr"/>
        </w:types>
        <w:behaviors>
          <w:behavior w:val="content"/>
        </w:behaviors>
        <w:description w:val=""/>
        <w:guid w:val="{1ed0bca3-d63e-41a5-baf7-84ae7f46459b}"/>
      </w:docPartPr>
      <w:docPartBody>
        <w:p>
          <w:r>
            <w:rPr>
              <w:color w:val="808080"/>
            </w:rPr>
            <w:t>单击此处输入文字。</w:t>
          </w:r>
        </w:p>
      </w:docPartBody>
    </w:docPart>
    <w:docPart>
      <w:docPartPr>
        <w:name w:val="{8d399982-f8f0-4acc-bfc6-d2490b7865b0}"/>
        <w:style w:val=""/>
        <w:category>
          <w:name w:val="常规"/>
          <w:gallery w:val="placeholder"/>
        </w:category>
        <w:types>
          <w:type w:val="bbPlcHdr"/>
        </w:types>
        <w:behaviors>
          <w:behavior w:val="content"/>
        </w:behaviors>
        <w:description w:val=""/>
        <w:guid w:val="{8d399982-f8f0-4acc-bfc6-d2490b7865b0}"/>
      </w:docPartPr>
      <w:docPartBody>
        <w:p>
          <w:r>
            <w:rPr>
              <w:color w:val="808080"/>
            </w:rPr>
            <w:t>单击此处输入文字。</w:t>
          </w:r>
        </w:p>
      </w:docPartBody>
    </w:docPart>
    <w:docPart>
      <w:docPartPr>
        <w:name w:val="{904729d9-3ddb-4c88-b53a-ac749df9e8cf}"/>
        <w:style w:val=""/>
        <w:category>
          <w:name w:val="常规"/>
          <w:gallery w:val="placeholder"/>
        </w:category>
        <w:types>
          <w:type w:val="bbPlcHdr"/>
        </w:types>
        <w:behaviors>
          <w:behavior w:val="content"/>
        </w:behaviors>
        <w:description w:val=""/>
        <w:guid w:val="{904729d9-3ddb-4c88-b53a-ac749df9e8cf}"/>
      </w:docPartPr>
      <w:docPartBody>
        <w:p>
          <w:r>
            <w:rPr>
              <w:color w:val="808080"/>
            </w:rPr>
            <w:t>单击此处输入文字。</w:t>
          </w:r>
        </w:p>
      </w:docPartBody>
    </w:docPart>
    <w:docPart>
      <w:docPartPr>
        <w:name w:val="{6a3f7879-d1bc-4b8c-a13c-5035f5ae7360}"/>
        <w:style w:val=""/>
        <w:category>
          <w:name w:val="常规"/>
          <w:gallery w:val="placeholder"/>
        </w:category>
        <w:types>
          <w:type w:val="bbPlcHdr"/>
        </w:types>
        <w:behaviors>
          <w:behavior w:val="content"/>
        </w:behaviors>
        <w:description w:val=""/>
        <w:guid w:val="{6a3f7879-d1bc-4b8c-a13c-5035f5ae7360}"/>
      </w:docPartPr>
      <w:docPartBody>
        <w:p>
          <w:r>
            <w:rPr>
              <w:color w:val="808080"/>
            </w:rPr>
            <w:t>单击此处输入文字。</w:t>
          </w:r>
        </w:p>
      </w:docPartBody>
    </w:docPart>
    <w:docPart>
      <w:docPartPr>
        <w:name w:val="{04b25c5d-c9c4-4e9a-bd04-518a4dc94fbd}"/>
        <w:style w:val=""/>
        <w:category>
          <w:name w:val="常规"/>
          <w:gallery w:val="placeholder"/>
        </w:category>
        <w:types>
          <w:type w:val="bbPlcHdr"/>
        </w:types>
        <w:behaviors>
          <w:behavior w:val="content"/>
        </w:behaviors>
        <w:description w:val=""/>
        <w:guid w:val="{04b25c5d-c9c4-4e9a-bd04-518a4dc94fbd}"/>
      </w:docPartPr>
      <w:docPartBody>
        <w:p>
          <w:r>
            <w:rPr>
              <w:color w:val="808080"/>
            </w:rPr>
            <w:t>单击此处输入文字。</w:t>
          </w:r>
        </w:p>
      </w:docPartBody>
    </w:docPart>
    <w:docPart>
      <w:docPartPr>
        <w:name w:val="{b0b10346-0b59-401d-9a36-94dba9b73d74}"/>
        <w:style w:val=""/>
        <w:category>
          <w:name w:val="常规"/>
          <w:gallery w:val="placeholder"/>
        </w:category>
        <w:types>
          <w:type w:val="bbPlcHdr"/>
        </w:types>
        <w:behaviors>
          <w:behavior w:val="content"/>
        </w:behaviors>
        <w:description w:val=""/>
        <w:guid w:val="{b0b10346-0b59-401d-9a36-94dba9b73d74}"/>
      </w:docPartPr>
      <w:docPartBody>
        <w:p>
          <w:r>
            <w:rPr>
              <w:color w:val="808080"/>
            </w:rPr>
            <w:t>单击此处输入文字。</w:t>
          </w:r>
        </w:p>
      </w:docPartBody>
    </w:docPart>
    <w:docPart>
      <w:docPartPr>
        <w:name w:val="{13f23fe9-cee7-41cb-9277-88011ffe07bb}"/>
        <w:style w:val=""/>
        <w:category>
          <w:name w:val="常规"/>
          <w:gallery w:val="placeholder"/>
        </w:category>
        <w:types>
          <w:type w:val="bbPlcHdr"/>
        </w:types>
        <w:behaviors>
          <w:behavior w:val="content"/>
        </w:behaviors>
        <w:description w:val=""/>
        <w:guid w:val="{13f23fe9-cee7-41cb-9277-88011ffe07bb}"/>
      </w:docPartPr>
      <w:docPartBody>
        <w:p>
          <w:r>
            <w:rPr>
              <w:color w:val="808080"/>
            </w:rPr>
            <w:t>单击此处输入文字。</w:t>
          </w:r>
        </w:p>
      </w:docPartBody>
    </w:docPart>
    <w:docPart>
      <w:docPartPr>
        <w:name w:val="{58604ccc-3c8c-4bd9-aeb9-ad83081f9c7f}"/>
        <w:style w:val=""/>
        <w:category>
          <w:name w:val="常规"/>
          <w:gallery w:val="placeholder"/>
        </w:category>
        <w:types>
          <w:type w:val="bbPlcHdr"/>
        </w:types>
        <w:behaviors>
          <w:behavior w:val="content"/>
        </w:behaviors>
        <w:description w:val=""/>
        <w:guid w:val="{58604ccc-3c8c-4bd9-aeb9-ad83081f9c7f}"/>
      </w:docPartPr>
      <w:docPartBody>
        <w:p>
          <w:r>
            <w:rPr>
              <w:color w:val="808080"/>
            </w:rPr>
            <w:t>单击此处输入文字。</w:t>
          </w:r>
        </w:p>
      </w:docPartBody>
    </w:docPart>
    <w:docPart>
      <w:docPartPr>
        <w:name w:val="{22887caf-cccf-4274-9aa1-4674f62cbea1}"/>
        <w:style w:val=""/>
        <w:category>
          <w:name w:val="常规"/>
          <w:gallery w:val="placeholder"/>
        </w:category>
        <w:types>
          <w:type w:val="bbPlcHdr"/>
        </w:types>
        <w:behaviors>
          <w:behavior w:val="content"/>
        </w:behaviors>
        <w:description w:val=""/>
        <w:guid w:val="{22887caf-cccf-4274-9aa1-4674f62cbea1}"/>
      </w:docPartPr>
      <w:docPartBody>
        <w:p>
          <w:r>
            <w:rPr>
              <w:color w:val="808080"/>
            </w:rPr>
            <w:t>单击此处输入文字。</w:t>
          </w:r>
        </w:p>
      </w:docPartBody>
    </w:docPart>
    <w:docPart>
      <w:docPartPr>
        <w:name w:val="{fec3015b-bae0-4227-88d4-ed58b401fefc}"/>
        <w:style w:val=""/>
        <w:category>
          <w:name w:val="常规"/>
          <w:gallery w:val="placeholder"/>
        </w:category>
        <w:types>
          <w:type w:val="bbPlcHdr"/>
        </w:types>
        <w:behaviors>
          <w:behavior w:val="content"/>
        </w:behaviors>
        <w:description w:val=""/>
        <w:guid w:val="{fec3015b-bae0-4227-88d4-ed58b401fefc}"/>
      </w:docPartPr>
      <w:docPartBody>
        <w:p>
          <w:r>
            <w:rPr>
              <w:color w:val="808080"/>
            </w:rPr>
            <w:t>单击此处输入文字。</w:t>
          </w:r>
        </w:p>
      </w:docPartBody>
    </w:docPart>
    <w:docPart>
      <w:docPartPr>
        <w:name w:val="{2d54dd4a-2a1f-4ee2-b46a-e0f603ef7944}"/>
        <w:style w:val=""/>
        <w:category>
          <w:name w:val="常规"/>
          <w:gallery w:val="placeholder"/>
        </w:category>
        <w:types>
          <w:type w:val="bbPlcHdr"/>
        </w:types>
        <w:behaviors>
          <w:behavior w:val="content"/>
        </w:behaviors>
        <w:description w:val=""/>
        <w:guid w:val="{2d54dd4a-2a1f-4ee2-b46a-e0f603ef7944}"/>
      </w:docPartPr>
      <w:docPartBody>
        <w:p>
          <w:r>
            <w:rPr>
              <w:color w:val="808080"/>
            </w:rPr>
            <w:t>单击此处输入文字。</w:t>
          </w:r>
        </w:p>
      </w:docPartBody>
    </w:docPart>
    <w:docPart>
      <w:docPartPr>
        <w:name w:val="{18f40835-615b-4f8d-938a-33f41ef016f6}"/>
        <w:style w:val=""/>
        <w:category>
          <w:name w:val="常规"/>
          <w:gallery w:val="placeholder"/>
        </w:category>
        <w:types>
          <w:type w:val="bbPlcHdr"/>
        </w:types>
        <w:behaviors>
          <w:behavior w:val="content"/>
        </w:behaviors>
        <w:description w:val=""/>
        <w:guid w:val="{18f40835-615b-4f8d-938a-33f41ef016f6}"/>
      </w:docPartPr>
      <w:docPartBody>
        <w:p>
          <w:r>
            <w:rPr>
              <w:color w:val="808080"/>
            </w:rPr>
            <w:t>单击此处输入文字。</w:t>
          </w:r>
        </w:p>
      </w:docPartBody>
    </w:docPart>
    <w:docPart>
      <w:docPartPr>
        <w:name w:val="{5f1b6ee6-f6df-445f-8933-fdd5e243012c}"/>
        <w:style w:val=""/>
        <w:category>
          <w:name w:val="常规"/>
          <w:gallery w:val="placeholder"/>
        </w:category>
        <w:types>
          <w:type w:val="bbPlcHdr"/>
        </w:types>
        <w:behaviors>
          <w:behavior w:val="content"/>
        </w:behaviors>
        <w:description w:val=""/>
        <w:guid w:val="{5f1b6ee6-f6df-445f-8933-fdd5e243012c}"/>
      </w:docPartPr>
      <w:docPartBody>
        <w:p>
          <w:r>
            <w:rPr>
              <w:color w:val="808080"/>
            </w:rPr>
            <w:t>单击此处输入文字。</w:t>
          </w:r>
        </w:p>
      </w:docPartBody>
    </w:docPart>
    <w:docPart>
      <w:docPartPr>
        <w:name w:val="{92d49716-188e-485f-96d4-44a48a488494}"/>
        <w:style w:val=""/>
        <w:category>
          <w:name w:val="常规"/>
          <w:gallery w:val="placeholder"/>
        </w:category>
        <w:types>
          <w:type w:val="bbPlcHdr"/>
        </w:types>
        <w:behaviors>
          <w:behavior w:val="content"/>
        </w:behaviors>
        <w:description w:val=""/>
        <w:guid w:val="{92d49716-188e-485f-96d4-44a48a488494}"/>
      </w:docPartPr>
      <w:docPartBody>
        <w:p>
          <w:r>
            <w:rPr>
              <w:color w:val="808080"/>
            </w:rPr>
            <w:t>单击此处输入文字。</w:t>
          </w:r>
        </w:p>
      </w:docPartBody>
    </w:docPart>
    <w:docPart>
      <w:docPartPr>
        <w:name w:val="{843d46f8-75e7-4f60-81ff-e110d1ba8fb8}"/>
        <w:style w:val=""/>
        <w:category>
          <w:name w:val="常规"/>
          <w:gallery w:val="placeholder"/>
        </w:category>
        <w:types>
          <w:type w:val="bbPlcHdr"/>
        </w:types>
        <w:behaviors>
          <w:behavior w:val="content"/>
        </w:behaviors>
        <w:description w:val=""/>
        <w:guid w:val="{843d46f8-75e7-4f60-81ff-e110d1ba8fb8}"/>
      </w:docPartPr>
      <w:docPartBody>
        <w:p>
          <w:r>
            <w:rPr>
              <w:color w:val="808080"/>
            </w:rPr>
            <w:t>单击此处输入文字。</w:t>
          </w:r>
        </w:p>
      </w:docPartBody>
    </w:docPart>
    <w:docPart>
      <w:docPartPr>
        <w:name w:val="{413cd7bc-7144-4a4a-be20-e4d7ec44c334}"/>
        <w:style w:val=""/>
        <w:category>
          <w:name w:val="常规"/>
          <w:gallery w:val="placeholder"/>
        </w:category>
        <w:types>
          <w:type w:val="bbPlcHdr"/>
        </w:types>
        <w:behaviors>
          <w:behavior w:val="content"/>
        </w:behaviors>
        <w:description w:val=""/>
        <w:guid w:val="{413cd7bc-7144-4a4a-be20-e4d7ec44c334}"/>
      </w:docPartPr>
      <w:docPartBody>
        <w:p>
          <w:r>
            <w:rPr>
              <w:color w:val="808080"/>
            </w:rPr>
            <w:t>单击此处输入文字。</w:t>
          </w:r>
        </w:p>
      </w:docPartBody>
    </w:docPart>
    <w:docPart>
      <w:docPartPr>
        <w:name w:val="{3b9eb1b6-6f72-46f5-9cd9-e53ec9423387}"/>
        <w:style w:val=""/>
        <w:category>
          <w:name w:val="常规"/>
          <w:gallery w:val="placeholder"/>
        </w:category>
        <w:types>
          <w:type w:val="bbPlcHdr"/>
        </w:types>
        <w:behaviors>
          <w:behavior w:val="content"/>
        </w:behaviors>
        <w:description w:val=""/>
        <w:guid w:val="{3b9eb1b6-6f72-46f5-9cd9-e53ec942338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1318</Words>
  <Characters>7516</Characters>
  <Lines>62</Lines>
  <Paragraphs>17</Paragraphs>
  <TotalTime>20</TotalTime>
  <ScaleCrop>false</ScaleCrop>
  <LinksUpToDate>false</LinksUpToDate>
  <CharactersWithSpaces>8817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2020-10-29T08:01:14Z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