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77425"/>
      <w:bookmarkStart w:id="5" w:name="_Toc15396597"/>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96598"/>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乐山市峨眉山市绥山镇人民政府部门决算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1"/>
      </w:pPr>
      <w:r>
        <w:rPr>
          <w:rFonts w:hint="eastAsia"/>
        </w:rPr>
        <w:t>公开时间：</w:t>
      </w:r>
      <w:r>
        <w:t>2020</w:t>
      </w:r>
      <w:r>
        <w:rPr>
          <w:rFonts w:hint="eastAsia"/>
        </w:rPr>
        <w:t>年</w:t>
      </w:r>
      <w:r>
        <w:t>10</w:t>
      </w:r>
      <w:r>
        <w:rPr>
          <w:rFonts w:hint="eastAsia"/>
        </w:rPr>
        <w:t>月</w:t>
      </w:r>
      <w:r>
        <w:t>29</w:t>
      </w:r>
      <w:r>
        <w:rPr>
          <w:rFonts w:hint="eastAsia"/>
        </w:rPr>
        <w:t>日</w:t>
      </w:r>
    </w:p>
    <w:p/>
    <w:p>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sz w:val="24"/>
        </w:rPr>
      </w:pPr>
      <w:r>
        <w:rPr>
          <w:rFonts w:hint="eastAsia"/>
          <w:sz w:val="24"/>
        </w:rPr>
        <w:t>二、收入决算情况说明</w:t>
      </w:r>
    </w:p>
    <w:p>
      <w:pPr>
        <w:pStyle w:val="12"/>
        <w:adjustRightInd w:val="0"/>
        <w:snapToGrid w:val="0"/>
        <w:spacing w:line="440" w:lineRule="exact"/>
        <w:jc w:val="left"/>
        <w:rPr>
          <w:rFonts w:ascii="仿宋" w:hAnsi="仿宋" w:eastAsia="仿宋"/>
          <w:sz w:val="24"/>
        </w:rPr>
      </w:pPr>
      <w:r>
        <w:rPr>
          <w:rFonts w:hint="eastAsia"/>
          <w:sz w:val="24"/>
        </w:rPr>
        <w:t>三、支出决算情况说明</w:t>
      </w:r>
    </w:p>
    <w:p>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7"/>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sz w:val="24"/>
        </w:rPr>
      </w:pPr>
      <w:r>
        <w:rPr>
          <w:rFonts w:hint="eastAsia"/>
          <w:sz w:val="24"/>
        </w:rPr>
        <w:t>附件</w:t>
      </w:r>
      <w:r>
        <w:rPr>
          <w:sz w:val="24"/>
        </w:rPr>
        <w:t>2</w:t>
      </w:r>
    </w:p>
    <w:p>
      <w:pPr>
        <w:pStyle w:val="1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1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9"/>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6"/>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峨眉山市绥山镇人民政府工作职能：贯彻落实党的路线方针政策和国家法律法规以及上级的决定和命令，加强农村基层政权建设，巩固党在农村的执政基层。组织编制本行政区域经济社会发展规划和镇国土空间规划、村（社区）规划等相关规划，组织农村基础设施和各项公益事业建设，实施乡村振兴战略，加快经济社会发展，改善群众生产生活环境。指导农村经济发展，推进农业经济结构调整，促进经济增长方式转变，促进农业增效、农民增收。加强农村公共服务体系建设，抓好基础教育、统计、科技、文化、体育、卫生健康、食品安全等工作，做好民政事务、就业培训、社会保障、劳动关系协调、民族宗教等工作，促进农村社会事业健康发展。推进基层民主法治建设，加强普法依法治理，指导村（居）民委员会工作，维护群众合法权益。承担辖区平安建设、社会治安综合治理、公共安全、安全生产及应急管理等有关工作，处理群众来信来访，反映社情民意，化解矛盾纠纷，维护社会安全稳定。做好国防教育和兵役等工作。做好生态环境保护、人居环境整治相关工作。负责建立和完善权力清单、责任清单、公共服务清单动态调整和公示机制，推进政务公开，接受群众监督，增强政府公信力。承担法律、法规、规章规定的其他职能，完成市委、市政府交办的其他工作。</w:t>
      </w:r>
    </w:p>
    <w:p>
      <w:pPr>
        <w:pStyle w:val="6"/>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bookmarkStart w:id="18" w:name="_Toc15377199"/>
      <w:bookmarkStart w:id="19" w:name="_Toc15378446"/>
      <w:r>
        <w:rPr>
          <w:rFonts w:hint="eastAsia" w:ascii="仿宋_GB2312" w:hAnsi="仿宋_GB2312" w:eastAsia="仿宋_GB2312" w:cs="仿宋_GB2312"/>
          <w:bCs/>
          <w:color w:val="000000"/>
          <w:sz w:val="32"/>
          <w:szCs w:val="32"/>
        </w:rPr>
        <w:t>（二）2019年重点工作完成情况。</w:t>
      </w:r>
      <w:bookmarkEnd w:id="18"/>
      <w:bookmarkEnd w:id="19"/>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2019年全镇实现地区生产总值77.55</w:t>
      </w:r>
      <w:r>
        <w:rPr>
          <w:rFonts w:hint="eastAsia" w:ascii="仿宋_GB2312" w:hAnsi="仿宋_GB2312" w:eastAsia="仿宋_GB2312" w:cs="仿宋_GB2312"/>
          <w:sz w:val="32"/>
          <w:szCs w:val="32"/>
        </w:rPr>
        <w:t>亿元，增速11.1%</w:t>
      </w:r>
      <w:r>
        <w:rPr>
          <w:rFonts w:hint="eastAsia" w:ascii="仿宋_GB2312" w:hAnsi="仿宋_GB2312" w:eastAsia="仿宋_GB2312" w:cs="仿宋_GB2312"/>
          <w:sz w:val="32"/>
          <w:szCs w:val="32"/>
        </w:rPr>
        <w:t>；城镇和农村居民人均可支配收入分别达28975</w:t>
      </w:r>
      <w:r>
        <w:rPr>
          <w:rFonts w:hint="eastAsia" w:ascii="仿宋_GB2312" w:hAnsi="仿宋_GB2312" w:eastAsia="仿宋_GB2312" w:cs="仿宋_GB2312"/>
          <w:sz w:val="32"/>
          <w:szCs w:val="32"/>
        </w:rPr>
        <w:t>元和20893</w:t>
      </w:r>
      <w:r>
        <w:rPr>
          <w:rFonts w:hint="eastAsia" w:ascii="仿宋_GB2312" w:hAnsi="仿宋_GB2312" w:eastAsia="仿宋_GB2312" w:cs="仿宋_GB2312"/>
          <w:sz w:val="32"/>
          <w:szCs w:val="32"/>
        </w:rPr>
        <w:t>元，增长8.9%</w:t>
      </w:r>
      <w:r>
        <w:rPr>
          <w:rFonts w:hint="eastAsia" w:ascii="仿宋_GB2312" w:hAnsi="仿宋_GB2312" w:eastAsia="仿宋_GB2312" w:cs="仿宋_GB2312"/>
          <w:sz w:val="32"/>
          <w:szCs w:val="32"/>
        </w:rPr>
        <w:t>和10.8%</w:t>
      </w:r>
      <w:r>
        <w:rPr>
          <w:rFonts w:hint="eastAsia" w:ascii="仿宋_GB2312" w:hAnsi="仿宋_GB2312" w:eastAsia="仿宋_GB2312" w:cs="仿宋_GB2312"/>
          <w:sz w:val="32"/>
          <w:szCs w:val="32"/>
        </w:rPr>
        <w:t>；工业产值完成22.6</w:t>
      </w:r>
      <w:r>
        <w:rPr>
          <w:rFonts w:hint="eastAsia" w:ascii="仿宋_GB2312" w:hAnsi="仿宋_GB2312" w:eastAsia="仿宋_GB2312" w:cs="仿宋_GB2312"/>
          <w:sz w:val="32"/>
          <w:szCs w:val="32"/>
        </w:rPr>
        <w:t>亿元；全社会固定资产投资完成19</w:t>
      </w:r>
      <w:r>
        <w:rPr>
          <w:rFonts w:hint="eastAsia" w:ascii="仿宋_GB2312" w:hAnsi="仿宋_GB2312" w:eastAsia="仿宋_GB2312" w:cs="仿宋_GB2312"/>
          <w:sz w:val="32"/>
          <w:szCs w:val="32"/>
        </w:rPr>
        <w:t>亿元。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1.改革促进发展，经济稳步增长</w:t>
      </w:r>
    </w:p>
    <w:p>
      <w:pPr>
        <w:spacing w:line="600" w:lineRule="exact"/>
        <w:ind w:firstLine="636" w:firstLineChars="19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zh-CN"/>
        </w:rPr>
        <w:t>项目建设</w:t>
      </w:r>
      <w:r>
        <w:rPr>
          <w:rFonts w:hint="eastAsia" w:ascii="仿宋_GB2312" w:hAnsi="仿宋_GB2312" w:eastAsia="仿宋_GB2312" w:cs="仿宋_GB2312"/>
          <w:bCs/>
          <w:sz w:val="32"/>
          <w:szCs w:val="32"/>
        </w:rPr>
        <w:t>强力推进</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sz w:val="32"/>
          <w:szCs w:val="32"/>
        </w:rPr>
        <w:t>绥山镇紧紧抓住项目建设这个经济发展的“引擎”，高质量推动重点项目建设，为镇域经济发展提供动力支持。2019</w:t>
      </w:r>
      <w:r>
        <w:rPr>
          <w:rFonts w:hint="eastAsia" w:ascii="仿宋_GB2312" w:hAnsi="仿宋_GB2312" w:eastAsia="仿宋_GB2312" w:cs="仿宋_GB2312"/>
          <w:sz w:val="32"/>
          <w:szCs w:val="32"/>
        </w:rPr>
        <w:t>年，完成华西医院项目征地58.04</w:t>
      </w:r>
      <w:r>
        <w:rPr>
          <w:rFonts w:hint="eastAsia" w:ascii="仿宋_GB2312" w:hAnsi="仿宋_GB2312" w:eastAsia="仿宋_GB2312" w:cs="仿宋_GB2312"/>
          <w:sz w:val="32"/>
          <w:szCs w:val="32"/>
        </w:rPr>
        <w:t>亩，拆迁房屋41</w:t>
      </w:r>
      <w:r>
        <w:rPr>
          <w:rFonts w:hint="eastAsia" w:ascii="仿宋_GB2312" w:hAnsi="仿宋_GB2312" w:eastAsia="仿宋_GB2312" w:cs="仿宋_GB2312"/>
          <w:sz w:val="32"/>
          <w:szCs w:val="32"/>
        </w:rPr>
        <w:t>栋；完成二中改扩建项目大南2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组集体土地房屋拆迁77</w:t>
      </w:r>
      <w:r>
        <w:rPr>
          <w:rFonts w:hint="eastAsia" w:ascii="仿宋_GB2312" w:hAnsi="仿宋_GB2312" w:eastAsia="仿宋_GB2312" w:cs="仿宋_GB2312"/>
          <w:sz w:val="32"/>
          <w:szCs w:val="32"/>
        </w:rPr>
        <w:t>栋；完成峨川路房屋拆迁4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rPr>
        <w:t>符北一组棚户项目拆迁110</w:t>
      </w:r>
      <w:r>
        <w:rPr>
          <w:rFonts w:hint="eastAsia" w:ascii="仿宋_GB2312" w:hAnsi="仿宋_GB2312" w:eastAsia="仿宋_GB2312" w:cs="仿宋_GB2312"/>
          <w:sz w:val="32"/>
          <w:szCs w:val="32"/>
        </w:rPr>
        <w:t>户；安置太泉片区住房328</w:t>
      </w:r>
      <w:r>
        <w:rPr>
          <w:rFonts w:hint="eastAsia" w:ascii="仿宋_GB2312" w:hAnsi="仿宋_GB2312" w:eastAsia="仿宋_GB2312" w:cs="仿宋_GB2312"/>
          <w:sz w:val="32"/>
          <w:szCs w:val="32"/>
        </w:rPr>
        <w:t>户；配合景区拆违121</w:t>
      </w:r>
      <w:r>
        <w:rPr>
          <w:rFonts w:hint="eastAsia" w:ascii="仿宋_GB2312" w:hAnsi="仿宋_GB2312" w:eastAsia="仿宋_GB2312" w:cs="仿宋_GB2312"/>
          <w:sz w:val="32"/>
          <w:szCs w:val="32"/>
        </w:rPr>
        <w:t>户；整治“大棚房”7</w:t>
      </w:r>
      <w:r>
        <w:rPr>
          <w:rFonts w:hint="eastAsia" w:ascii="仿宋_GB2312" w:hAnsi="仿宋_GB2312" w:eastAsia="仿宋_GB2312" w:cs="仿宋_GB2312"/>
          <w:sz w:val="32"/>
          <w:szCs w:val="32"/>
        </w:rPr>
        <w:t>处。完成“只有峨眉山”备用线路和城北片区污水管埋设工程；协助完成引青进峨项目取水口、拦河坝、管道埋设工程，助力“只有峨眉山”实景演艺项目顺利公演。“莎蔓莉莎-</w:t>
      </w:r>
      <w:r>
        <w:rPr>
          <w:rFonts w:hint="eastAsia" w:ascii="仿宋_GB2312" w:hAnsi="仿宋_GB2312" w:eastAsia="仿宋_GB2312" w:cs="仿宋_GB2312"/>
          <w:sz w:val="32"/>
          <w:szCs w:val="32"/>
        </w:rPr>
        <w:t>瑞德青春大健康”项目落户梧桐村并完成交地；“熊猫飞拉达”攀岩项目投入运行；完成“川投·荷叶旅居度假区”前期勘测；川桃公路延伸段、七路一桥项目顺利进场施工。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（2）农业产业提档升级。</w:t>
      </w:r>
      <w:r>
        <w:rPr>
          <w:rFonts w:hint="eastAsia" w:ascii="仿宋_GB2312" w:hAnsi="仿宋_GB2312" w:eastAsia="仿宋_GB2312" w:cs="仿宋_GB2312"/>
          <w:sz w:val="32"/>
          <w:szCs w:val="32"/>
        </w:rPr>
        <w:t>完成农业现代产业园建设，打造洪川、杨河等村茶旅融合示范点1625.36</w:t>
      </w:r>
      <w:r>
        <w:rPr>
          <w:rFonts w:hint="eastAsia" w:ascii="仿宋_GB2312" w:hAnsi="仿宋_GB2312" w:eastAsia="仿宋_GB2312" w:cs="仿宋_GB2312"/>
          <w:sz w:val="32"/>
          <w:szCs w:val="32"/>
        </w:rPr>
        <w:t>亩；种植脆红李、苦竹笋、中药等特色农产品1.8</w:t>
      </w:r>
      <w:r>
        <w:rPr>
          <w:rFonts w:hint="eastAsia" w:ascii="仿宋_GB2312" w:hAnsi="仿宋_GB2312" w:eastAsia="仿宋_GB2312" w:cs="仿宋_GB2312"/>
          <w:sz w:val="32"/>
          <w:szCs w:val="32"/>
        </w:rPr>
        <w:t>万亩，年产值640</w:t>
      </w:r>
      <w:r>
        <w:rPr>
          <w:rFonts w:hint="eastAsia" w:ascii="仿宋_GB2312" w:hAnsi="仿宋_GB2312" w:eastAsia="仿宋_GB2312" w:cs="仿宋_GB2312"/>
          <w:sz w:val="32"/>
          <w:szCs w:val="32"/>
        </w:rPr>
        <w:t>万元；以麻柳为中心的白蜡产业稳定增产，年产值400</w:t>
      </w:r>
      <w:r>
        <w:rPr>
          <w:rFonts w:hint="eastAsia" w:ascii="仿宋_GB2312" w:hAnsi="仿宋_GB2312" w:eastAsia="仿宋_GB2312" w:cs="仿宋_GB2312"/>
          <w:sz w:val="32"/>
          <w:szCs w:val="32"/>
        </w:rPr>
        <w:t>万元，2019</w:t>
      </w:r>
      <w:r>
        <w:rPr>
          <w:rFonts w:hint="eastAsia" w:ascii="仿宋_GB2312" w:hAnsi="仿宋_GB2312" w:eastAsia="仿宋_GB2312" w:cs="仿宋_GB2312"/>
          <w:sz w:val="32"/>
          <w:szCs w:val="32"/>
        </w:rPr>
        <w:t>年被中央电视台专题报道4</w:t>
      </w:r>
      <w:r>
        <w:rPr>
          <w:rFonts w:hint="eastAsia" w:ascii="仿宋_GB2312" w:hAnsi="仿宋_GB2312" w:eastAsia="仿宋_GB2312" w:cs="仿宋_GB2312"/>
          <w:sz w:val="32"/>
          <w:szCs w:val="32"/>
        </w:rPr>
        <w:t>次；全面提档升级天全“李花节”“李子采摘节”，东岳“苦笋采摘节”；麻柳、沈山等村与四川观山农业、四川再一舍文化旅游等8</w:t>
      </w:r>
      <w:r>
        <w:rPr>
          <w:rFonts w:hint="eastAsia" w:ascii="仿宋_GB2312" w:hAnsi="仿宋_GB2312" w:eastAsia="仿宋_GB2312" w:cs="仿宋_GB2312"/>
          <w:sz w:val="32"/>
          <w:szCs w:val="32"/>
        </w:rPr>
        <w:t>家企业达成了合作意向，年均吸引游客近10</w:t>
      </w:r>
      <w:r>
        <w:rPr>
          <w:rFonts w:hint="eastAsia" w:ascii="仿宋_GB2312" w:hAnsi="仿宋_GB2312" w:eastAsia="仿宋_GB2312" w:cs="仿宋_GB2312"/>
          <w:sz w:val="32"/>
          <w:szCs w:val="32"/>
        </w:rPr>
        <w:t>万余人；巩固退耕还林0.3万亩，完成2万亩森林管护；</w:t>
      </w:r>
      <w:r>
        <w:rPr>
          <w:rFonts w:hint="eastAsia" w:ascii="仿宋_GB2312" w:hAnsi="仿宋_GB2312" w:eastAsia="仿宋_GB2312" w:cs="仿宋_GB2312"/>
          <w:sz w:val="32"/>
          <w:szCs w:val="32"/>
        </w:rPr>
        <w:t>成立集体经济联合社成效显著，净安村食用菌年增加集体收入8</w:t>
      </w:r>
      <w:r>
        <w:rPr>
          <w:rFonts w:hint="eastAsia" w:ascii="仿宋_GB2312" w:hAnsi="仿宋_GB2312" w:eastAsia="仿宋_GB2312" w:cs="仿宋_GB2312"/>
          <w:sz w:val="32"/>
          <w:szCs w:val="32"/>
        </w:rPr>
        <w:t>万元，东岳村苦笋通过了国家有机认证，年产值130</w:t>
      </w:r>
      <w:r>
        <w:rPr>
          <w:rFonts w:hint="eastAsia" w:ascii="仿宋_GB2312" w:hAnsi="仿宋_GB2312" w:eastAsia="仿宋_GB2312" w:cs="仿宋_GB2312"/>
          <w:sz w:val="32"/>
          <w:szCs w:val="32"/>
        </w:rPr>
        <w:t>万元，全镇农业产业质量不断优化。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（3）乡村振兴焕发新貌。</w:t>
      </w:r>
      <w:r>
        <w:rPr>
          <w:rFonts w:hint="eastAsia" w:ascii="仿宋_GB2312" w:hAnsi="仿宋_GB2312" w:eastAsia="仿宋_GB2312" w:cs="仿宋_GB2312"/>
          <w:sz w:val="32"/>
          <w:szCs w:val="32"/>
        </w:rPr>
        <w:t>加快实施“三大革命”，推进“六大行动”。全镇完成厕污共治2348</w:t>
      </w:r>
      <w:r>
        <w:rPr>
          <w:rFonts w:hint="eastAsia" w:ascii="仿宋_GB2312" w:hAnsi="仿宋_GB2312" w:eastAsia="仿宋_GB2312" w:cs="仿宋_GB2312"/>
          <w:sz w:val="32"/>
          <w:szCs w:val="32"/>
        </w:rPr>
        <w:t>户，新建农村公厕5</w:t>
      </w:r>
      <w:r>
        <w:rPr>
          <w:rFonts w:hint="eastAsia" w:ascii="仿宋_GB2312" w:hAnsi="仿宋_GB2312" w:eastAsia="仿宋_GB2312" w:cs="仿宋_GB2312"/>
          <w:sz w:val="32"/>
          <w:szCs w:val="32"/>
        </w:rPr>
        <w:t>个；以天全、盐井、高河、顺河作为示范点，逐步推进“垃圾分类”，投入使用分类垃圾箱80</w:t>
      </w:r>
      <w:r>
        <w:rPr>
          <w:rFonts w:hint="eastAsia" w:ascii="仿宋_GB2312" w:hAnsi="仿宋_GB2312" w:eastAsia="仿宋_GB2312" w:cs="仿宋_GB2312"/>
          <w:sz w:val="32"/>
          <w:szCs w:val="32"/>
        </w:rPr>
        <w:t>个，垃圾清运车30</w:t>
      </w:r>
      <w:r>
        <w:rPr>
          <w:rFonts w:hint="eastAsia" w:ascii="仿宋_GB2312" w:hAnsi="仿宋_GB2312" w:eastAsia="仿宋_GB2312" w:cs="仿宋_GB2312"/>
          <w:sz w:val="32"/>
          <w:szCs w:val="32"/>
        </w:rPr>
        <w:t>辆，落实各级保洁员49</w:t>
      </w:r>
      <w:r>
        <w:rPr>
          <w:rFonts w:hint="eastAsia" w:ascii="仿宋_GB2312" w:hAnsi="仿宋_GB2312" w:eastAsia="仿宋_GB2312" w:cs="仿宋_GB2312"/>
          <w:sz w:val="32"/>
          <w:szCs w:val="32"/>
        </w:rPr>
        <w:t>人，清理生产生活垃圾1650</w:t>
      </w:r>
      <w:r>
        <w:rPr>
          <w:rFonts w:hint="eastAsia" w:ascii="仿宋_GB2312" w:hAnsi="仿宋_GB2312" w:eastAsia="仿宋_GB2312" w:cs="仿宋_GB2312"/>
          <w:sz w:val="32"/>
          <w:szCs w:val="32"/>
        </w:rPr>
        <w:t>余吨；加强农膜回收利用试点、推进农药包装物回收处理，全年共完成农药包装物回收44</w:t>
      </w:r>
      <w:r>
        <w:rPr>
          <w:rFonts w:hint="eastAsia" w:ascii="仿宋_GB2312" w:hAnsi="仿宋_GB2312" w:eastAsia="仿宋_GB2312" w:cs="仿宋_GB2312"/>
          <w:sz w:val="32"/>
          <w:szCs w:val="32"/>
        </w:rPr>
        <w:t>万袋、农膜回收1000</w:t>
      </w:r>
      <w:r>
        <w:rPr>
          <w:rFonts w:hint="eastAsia" w:ascii="仿宋_GB2312" w:hAnsi="仿宋_GB2312" w:eastAsia="仿宋_GB2312" w:cs="仿宋_GB2312"/>
          <w:sz w:val="32"/>
          <w:szCs w:val="32"/>
        </w:rPr>
        <w:t>公斤；完成食用菌“煤改生物质燃料”工作113</w:t>
      </w:r>
      <w:r>
        <w:rPr>
          <w:rFonts w:hint="eastAsia" w:ascii="仿宋_GB2312" w:hAnsi="仿宋_GB2312" w:eastAsia="仿宋_GB2312" w:cs="仿宋_GB2312"/>
          <w:sz w:val="32"/>
          <w:szCs w:val="32"/>
        </w:rPr>
        <w:t>户。2019</w:t>
      </w:r>
      <w:r>
        <w:rPr>
          <w:rFonts w:hint="eastAsia" w:ascii="仿宋_GB2312" w:hAnsi="仿宋_GB2312" w:eastAsia="仿宋_GB2312" w:cs="仿宋_GB2312"/>
          <w:sz w:val="32"/>
          <w:szCs w:val="32"/>
        </w:rPr>
        <w:t>年，天全村、东岳村成功创建乐山市级文明单位，盐井村被评为省级四好村，净安村被评为全国乡村治理示范村。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2.发展社会事业，民生有效改善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t>（1）脱贫攻坚再战再捷。</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rPr>
        <w:t>年，我们坚持把打赢脱贫攻坚战作为首要政治任务，直面压力、精准发力、持续用力。扎实推进“</w:t>
      </w:r>
      <w:r>
        <w:rPr>
          <w:rFonts w:hint="eastAsia" w:ascii="仿宋_GB2312" w:hAnsi="仿宋_GB2312" w:eastAsia="仿宋_GB2312" w:cs="仿宋_GB2312"/>
          <w:sz w:val="32"/>
          <w:szCs w:val="32"/>
          <w:shd w:val="clear" w:color="auto" w:fill="FFFFFF"/>
        </w:rPr>
        <w:t>两不愁三保障”回头看大排查工作，</w:t>
      </w:r>
      <w:r>
        <w:rPr>
          <w:rFonts w:hint="eastAsia" w:ascii="仿宋_GB2312" w:hAnsi="仿宋_GB2312" w:eastAsia="仿宋_GB2312" w:cs="仿宋_GB2312"/>
          <w:sz w:val="32"/>
          <w:szCs w:val="32"/>
        </w:rPr>
        <w:t>查找问题546</w:t>
      </w:r>
      <w:r>
        <w:rPr>
          <w:rFonts w:hint="eastAsia" w:ascii="仿宋_GB2312" w:hAnsi="仿宋_GB2312" w:eastAsia="仿宋_GB2312" w:cs="仿宋_GB2312"/>
          <w:sz w:val="32"/>
          <w:szCs w:val="32"/>
        </w:rPr>
        <w:t>个，加宽硬化沈山、万福、兴容、蔡郎等村道路10.95</w:t>
      </w:r>
      <w:r>
        <w:rPr>
          <w:rFonts w:hint="eastAsia" w:ascii="仿宋_GB2312" w:hAnsi="仿宋_GB2312" w:eastAsia="仿宋_GB2312" w:cs="仿宋_GB2312"/>
          <w:sz w:val="32"/>
          <w:szCs w:val="32"/>
        </w:rPr>
        <w:t>公里，整治根除村组道路隐患点21</w:t>
      </w:r>
      <w:r>
        <w:rPr>
          <w:rFonts w:hint="eastAsia" w:ascii="仿宋_GB2312" w:hAnsi="仿宋_GB2312" w:eastAsia="仿宋_GB2312" w:cs="仿宋_GB2312"/>
          <w:sz w:val="32"/>
          <w:szCs w:val="32"/>
        </w:rPr>
        <w:t>处；实施奋进计划，产业帮扶185</w:t>
      </w:r>
      <w:r>
        <w:rPr>
          <w:rFonts w:hint="eastAsia" w:ascii="仿宋_GB2312" w:hAnsi="仿宋_GB2312" w:eastAsia="仿宋_GB2312" w:cs="仿宋_GB2312"/>
          <w:sz w:val="32"/>
          <w:szCs w:val="32"/>
        </w:rPr>
        <w:t>户，就业帮扶97</w:t>
      </w:r>
      <w:r>
        <w:rPr>
          <w:rFonts w:hint="eastAsia" w:ascii="仿宋_GB2312" w:hAnsi="仿宋_GB2312" w:eastAsia="仿宋_GB2312" w:cs="仿宋_GB2312"/>
          <w:sz w:val="32"/>
          <w:szCs w:val="32"/>
        </w:rPr>
        <w:t>户，</w:t>
      </w:r>
      <w:r>
        <w:rPr>
          <w:rFonts w:hint="eastAsia" w:ascii="仿宋_GB2312" w:hAnsi="仿宋_GB2312" w:eastAsia="仿宋_GB2312" w:cs="仿宋_GB2312"/>
          <w:kern w:val="0"/>
          <w:sz w:val="32"/>
          <w:szCs w:val="32"/>
        </w:rPr>
        <w:t>促进脱贫攻坚工作“固效提质”</w:t>
      </w:r>
      <w:r>
        <w:rPr>
          <w:rFonts w:hint="eastAsia" w:ascii="仿宋_GB2312" w:hAnsi="仿宋_GB2312" w:eastAsia="仿宋_GB2312" w:cs="仿宋_GB2312"/>
          <w:sz w:val="32"/>
          <w:szCs w:val="32"/>
        </w:rPr>
        <w:t>。</w:t>
      </w:r>
    </w:p>
    <w:p>
      <w:pPr>
        <w:autoSpaceDE w:val="0"/>
        <w:autoSpaceDN w:val="0"/>
        <w:adjustRightInd w:val="0"/>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zh-CN"/>
        </w:rPr>
        <w:t>双创工作成效显著。</w:t>
      </w:r>
      <w:r>
        <w:rPr>
          <w:rFonts w:hint="eastAsia" w:ascii="仿宋_GB2312" w:hAnsi="仿宋_GB2312" w:eastAsia="仿宋_GB2312" w:cs="仿宋_GB2312"/>
          <w:kern w:val="0"/>
          <w:sz w:val="32"/>
          <w:szCs w:val="32"/>
          <w:lang w:val="zh-CN"/>
        </w:rPr>
        <w:t>围绕创建全国卫生城市、省级文明城市的奋斗目标，全力以赴，取得实效。强化宣传引领，</w:t>
      </w:r>
      <w:r>
        <w:rPr>
          <w:rFonts w:hint="eastAsia" w:ascii="仿宋_GB2312" w:hAnsi="仿宋_GB2312" w:eastAsia="仿宋_GB2312" w:cs="仿宋_GB2312"/>
          <w:sz w:val="32"/>
          <w:szCs w:val="32"/>
        </w:rPr>
        <w:t>共发放“双创”宣传册1.2</w:t>
      </w:r>
      <w:r>
        <w:rPr>
          <w:rFonts w:hint="eastAsia" w:ascii="仿宋_GB2312" w:hAnsi="仿宋_GB2312" w:eastAsia="仿宋_GB2312" w:cs="仿宋_GB2312"/>
          <w:sz w:val="32"/>
          <w:szCs w:val="32"/>
        </w:rPr>
        <w:t>万份；在主要街道、广场、小区等公共场所制作文明宣传展板、健康教育专栏1400</w:t>
      </w:r>
      <w:r>
        <w:rPr>
          <w:rFonts w:hint="eastAsia" w:ascii="仿宋_GB2312" w:hAnsi="仿宋_GB2312" w:eastAsia="仿宋_GB2312" w:cs="仿宋_GB2312"/>
          <w:sz w:val="32"/>
          <w:szCs w:val="32"/>
        </w:rPr>
        <w:t>幅；开展文明大讲堂活动241</w:t>
      </w:r>
      <w:r>
        <w:rPr>
          <w:rFonts w:hint="eastAsia" w:ascii="仿宋_GB2312" w:hAnsi="仿宋_GB2312" w:eastAsia="仿宋_GB2312" w:cs="仿宋_GB2312"/>
          <w:sz w:val="32"/>
          <w:szCs w:val="32"/>
        </w:rPr>
        <w:t>期；注册志愿者632</w:t>
      </w:r>
      <w:r>
        <w:rPr>
          <w:rFonts w:hint="eastAsia" w:ascii="仿宋_GB2312" w:hAnsi="仿宋_GB2312" w:eastAsia="仿宋_GB2312" w:cs="仿宋_GB2312"/>
          <w:sz w:val="32"/>
          <w:szCs w:val="32"/>
        </w:rPr>
        <w:t>名，开展各类志愿者活动120</w:t>
      </w:r>
      <w:r>
        <w:rPr>
          <w:rFonts w:hint="eastAsia" w:ascii="仿宋_GB2312" w:hAnsi="仿宋_GB2312" w:eastAsia="仿宋_GB2312" w:cs="仿宋_GB2312"/>
          <w:sz w:val="32"/>
          <w:szCs w:val="32"/>
        </w:rPr>
        <w:t>次；完成入户宣传5475</w:t>
      </w:r>
      <w:r>
        <w:rPr>
          <w:rFonts w:hint="eastAsia" w:ascii="仿宋_GB2312" w:hAnsi="仿宋_GB2312" w:eastAsia="仿宋_GB2312" w:cs="仿宋_GB2312"/>
          <w:sz w:val="32"/>
          <w:szCs w:val="32"/>
        </w:rPr>
        <w:t>户。</w:t>
      </w:r>
      <w:r>
        <w:rPr>
          <w:rFonts w:hint="eastAsia" w:ascii="仿宋_GB2312" w:hAnsi="仿宋_GB2312" w:eastAsia="仿宋_GB2312" w:cs="仿宋_GB2312"/>
          <w:kern w:val="0"/>
          <w:sz w:val="32"/>
          <w:szCs w:val="32"/>
          <w:lang w:val="zh-CN"/>
        </w:rPr>
        <w:t>强化重点领域整治，修复街道破损路面</w:t>
      </w:r>
      <w:r>
        <w:rPr>
          <w:rFonts w:hint="eastAsia" w:ascii="仿宋_GB2312" w:hAnsi="仿宋_GB2312" w:eastAsia="仿宋_GB2312" w:cs="仿宋_GB2312"/>
          <w:kern w:val="0"/>
          <w:sz w:val="32"/>
          <w:szCs w:val="32"/>
        </w:rPr>
        <w:t>32处</w:t>
      </w:r>
      <w:r>
        <w:rPr>
          <w:rFonts w:hint="eastAsia" w:ascii="仿宋_GB2312" w:hAnsi="仿宋_GB2312" w:eastAsia="仿宋_GB2312" w:cs="仿宋_GB2312"/>
          <w:kern w:val="0"/>
          <w:sz w:val="32"/>
          <w:szCs w:val="32"/>
          <w:lang w:val="zh-CN"/>
        </w:rPr>
        <w:t>；增设停车位</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00个；修补绿化带</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0处，更换增设垃圾桶100个；协助取缔了滨河路临时市场，清运广告、楼道废弃物等各类垃圾</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650车。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zh-CN"/>
        </w:rPr>
        <w:t>社会民生</w:t>
      </w:r>
      <w:r>
        <w:rPr>
          <w:rFonts w:hint="eastAsia" w:ascii="仿宋_GB2312" w:hAnsi="仿宋_GB2312" w:eastAsia="仿宋_GB2312" w:cs="仿宋_GB2312"/>
          <w:bCs/>
          <w:sz w:val="32"/>
          <w:szCs w:val="32"/>
        </w:rPr>
        <w:t>稳步</w:t>
      </w:r>
      <w:r>
        <w:rPr>
          <w:rFonts w:hint="eastAsia" w:ascii="仿宋_GB2312" w:hAnsi="仿宋_GB2312" w:eastAsia="仿宋_GB2312" w:cs="仿宋_GB2312"/>
          <w:bCs/>
          <w:sz w:val="32"/>
          <w:szCs w:val="32"/>
          <w:lang w:val="zh-CN"/>
        </w:rPr>
        <w:t>改善。</w:t>
      </w:r>
      <w:r>
        <w:rPr>
          <w:rFonts w:hint="eastAsia" w:ascii="仿宋_GB2312" w:hAnsi="仿宋_GB2312" w:eastAsia="仿宋_GB2312" w:cs="仿宋_GB2312"/>
          <w:sz w:val="32"/>
          <w:szCs w:val="32"/>
        </w:rPr>
        <w:t>就业服务扎实有力，城镇新增就业人数1630</w:t>
      </w:r>
      <w:r>
        <w:rPr>
          <w:rFonts w:hint="eastAsia" w:ascii="仿宋_GB2312" w:hAnsi="仿宋_GB2312" w:eastAsia="仿宋_GB2312" w:cs="仿宋_GB2312"/>
          <w:sz w:val="32"/>
          <w:szCs w:val="32"/>
        </w:rPr>
        <w:t>人，城镇登记失业率低于3.9%</w:t>
      </w:r>
      <w:r>
        <w:rPr>
          <w:rFonts w:hint="eastAsia" w:ascii="仿宋_GB2312" w:hAnsi="仿宋_GB2312" w:eastAsia="仿宋_GB2312" w:cs="仿宋_GB2312"/>
          <w:sz w:val="32"/>
          <w:szCs w:val="32"/>
        </w:rPr>
        <w:t>；清理低保1621</w:t>
      </w:r>
      <w:r>
        <w:rPr>
          <w:rFonts w:hint="eastAsia" w:ascii="仿宋_GB2312" w:hAnsi="仿宋_GB2312" w:eastAsia="仿宋_GB2312" w:cs="仿宋_GB2312"/>
          <w:sz w:val="32"/>
          <w:szCs w:val="32"/>
        </w:rPr>
        <w:t>户，2084</w:t>
      </w:r>
      <w:r>
        <w:rPr>
          <w:rFonts w:hint="eastAsia" w:ascii="仿宋_GB2312" w:hAnsi="仿宋_GB2312" w:eastAsia="仿宋_GB2312" w:cs="仿宋_GB2312"/>
          <w:sz w:val="32"/>
          <w:szCs w:val="32"/>
        </w:rPr>
        <w:t>人；为2111</w:t>
      </w:r>
      <w:r>
        <w:rPr>
          <w:rFonts w:hint="eastAsia" w:ascii="仿宋_GB2312" w:hAnsi="仿宋_GB2312" w:eastAsia="仿宋_GB2312" w:cs="仿宋_GB2312"/>
          <w:sz w:val="32"/>
          <w:szCs w:val="32"/>
        </w:rPr>
        <w:t>名残疾人员提供了量体裁衣式服务，发放辅助器具40</w:t>
      </w:r>
      <w:r>
        <w:rPr>
          <w:rFonts w:hint="eastAsia" w:ascii="仿宋_GB2312" w:hAnsi="仿宋_GB2312" w:eastAsia="仿宋_GB2312" w:cs="仿宋_GB2312"/>
          <w:sz w:val="32"/>
          <w:szCs w:val="32"/>
        </w:rPr>
        <w:t>件；送战士兵44</w:t>
      </w:r>
      <w:r>
        <w:rPr>
          <w:rFonts w:hint="eastAsia" w:ascii="仿宋_GB2312" w:hAnsi="仿宋_GB2312" w:eastAsia="仿宋_GB2312" w:cs="仿宋_GB2312"/>
          <w:sz w:val="32"/>
          <w:szCs w:val="32"/>
        </w:rPr>
        <w:t>人，为7500</w:t>
      </w:r>
      <w:r>
        <w:rPr>
          <w:rFonts w:hint="eastAsia" w:ascii="仿宋_GB2312" w:hAnsi="仿宋_GB2312" w:eastAsia="仿宋_GB2312" w:cs="仿宋_GB2312"/>
          <w:sz w:val="32"/>
          <w:szCs w:val="32"/>
        </w:rPr>
        <w:t>余名退役军人家庭悬挂了光荣牌；大力支持工青妇老开展活动，对178</w:t>
      </w:r>
      <w:r>
        <w:rPr>
          <w:rFonts w:hint="eastAsia" w:ascii="仿宋_GB2312" w:hAnsi="仿宋_GB2312" w:eastAsia="仿宋_GB2312" w:cs="仿宋_GB2312"/>
          <w:sz w:val="32"/>
          <w:szCs w:val="32"/>
        </w:rPr>
        <w:t>名留守、残疾、孤儿等“七种”儿童开展慰问，开办3</w:t>
      </w:r>
      <w:r>
        <w:rPr>
          <w:rFonts w:hint="eastAsia" w:ascii="仿宋_GB2312" w:hAnsi="仿宋_GB2312" w:eastAsia="仿宋_GB2312" w:cs="仿宋_GB2312"/>
          <w:sz w:val="32"/>
          <w:szCs w:val="32"/>
        </w:rPr>
        <w:t>期妇女干部培训，女性安康保险参保3820</w:t>
      </w:r>
      <w:r>
        <w:rPr>
          <w:rFonts w:hint="eastAsia" w:ascii="仿宋_GB2312" w:hAnsi="仿宋_GB2312" w:eastAsia="仿宋_GB2312" w:cs="仿宋_GB2312"/>
          <w:sz w:val="32"/>
          <w:szCs w:val="32"/>
        </w:rPr>
        <w:t>人，男性特定疾病保险1486</w:t>
      </w:r>
      <w:r>
        <w:rPr>
          <w:rFonts w:hint="eastAsia" w:ascii="仿宋_GB2312" w:hAnsi="仿宋_GB2312" w:eastAsia="仿宋_GB2312" w:cs="仿宋_GB2312"/>
          <w:sz w:val="32"/>
          <w:szCs w:val="32"/>
        </w:rPr>
        <w:t>人。</w:t>
      </w:r>
    </w:p>
    <w:p>
      <w:pPr>
        <w:spacing w:line="600" w:lineRule="exact"/>
        <w:ind w:firstLine="640" w:firstLineChars="200"/>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sz w:val="32"/>
          <w:szCs w:val="32"/>
        </w:rPr>
        <w:t>3.加强社会管理，确保稳定平安</w:t>
      </w:r>
    </w:p>
    <w:p>
      <w:pPr>
        <w:autoSpaceDE w:val="0"/>
        <w:autoSpaceDN w:val="0"/>
        <w:adjustRightInd w:val="0"/>
        <w:spacing w:line="600" w:lineRule="exact"/>
        <w:ind w:firstLine="643"/>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Cs/>
          <w:sz w:val="32"/>
          <w:szCs w:val="32"/>
          <w:lang w:val="zh-CN"/>
        </w:rPr>
        <w:t>（1）安全社区持续改进。</w:t>
      </w:r>
      <w:r>
        <w:rPr>
          <w:rFonts w:hint="eastAsia" w:ascii="仿宋_GB2312" w:hAnsi="仿宋_GB2312" w:eastAsia="仿宋_GB2312" w:cs="仿宋_GB2312"/>
          <w:kern w:val="0"/>
          <w:sz w:val="32"/>
          <w:szCs w:val="32"/>
          <w:lang w:val="zh-CN"/>
        </w:rPr>
        <w:t>坚持党委领导、政府负责、安办牵头、多元参与的工作模式，联合辖区内百余个单位共筑共建，实现了安全风险可防控，</w:t>
      </w:r>
      <w:r>
        <w:rPr>
          <w:rFonts w:hint="eastAsia" w:ascii="仿宋_GB2312" w:hAnsi="仿宋_GB2312" w:eastAsia="仿宋_GB2312" w:cs="仿宋_GB2312"/>
          <w:kern w:val="0"/>
          <w:sz w:val="32"/>
          <w:szCs w:val="32"/>
        </w:rPr>
        <w:t>2019年</w:t>
      </w:r>
      <w:r>
        <w:rPr>
          <w:rFonts w:hint="eastAsia" w:ascii="仿宋_GB2312" w:hAnsi="仿宋_GB2312" w:eastAsia="仿宋_GB2312" w:cs="仿宋_GB2312"/>
          <w:kern w:val="0"/>
          <w:sz w:val="32"/>
          <w:szCs w:val="32"/>
          <w:lang w:val="zh-CN"/>
        </w:rPr>
        <w:t>接受了四川省安全社区复评检查并顺利通过验收；按照“一岗双责”要求逐级落实责任，签订各类安全目标责任书</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57份，开展安全培训2100余人次；开展道路交通安全和消防安全专项整治，全年巡检88次310人次，查处并整改隐患49处；</w:t>
      </w:r>
      <w:r>
        <w:rPr>
          <w:rFonts w:hint="eastAsia" w:ascii="仿宋_GB2312" w:hAnsi="仿宋_GB2312" w:eastAsia="仿宋_GB2312" w:cs="仿宋_GB2312"/>
          <w:sz w:val="32"/>
          <w:szCs w:val="32"/>
        </w:rPr>
        <w:t>严格实行农村群体性聚餐申报制，申报审查群体性聚餐1336</w:t>
      </w:r>
      <w:r>
        <w:rPr>
          <w:rFonts w:hint="eastAsia" w:ascii="仿宋_GB2312" w:hAnsi="仿宋_GB2312" w:eastAsia="仿宋_GB2312" w:cs="仿宋_GB2312"/>
          <w:sz w:val="32"/>
          <w:szCs w:val="32"/>
        </w:rPr>
        <w:t>场次</w:t>
      </w:r>
      <w:r>
        <w:rPr>
          <w:rFonts w:hint="eastAsia" w:ascii="仿宋_GB2312" w:hAnsi="仿宋_GB2312" w:eastAsia="仿宋_GB2312" w:cs="仿宋_GB2312"/>
          <w:kern w:val="0"/>
          <w:sz w:val="32"/>
          <w:szCs w:val="32"/>
          <w:lang w:val="zh-CN"/>
        </w:rPr>
        <w:t>。</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Cs/>
          <w:sz w:val="32"/>
          <w:szCs w:val="32"/>
          <w:lang w:val="zh-CN"/>
        </w:rPr>
        <w:t>（2）应急能力持续提升。</w:t>
      </w:r>
      <w:r>
        <w:rPr>
          <w:rFonts w:hint="eastAsia" w:ascii="仿宋_GB2312" w:hAnsi="仿宋_GB2312" w:eastAsia="仿宋_GB2312" w:cs="仿宋_GB2312"/>
          <w:sz w:val="32"/>
          <w:szCs w:val="32"/>
        </w:rPr>
        <w:t>举办地灾演练12</w:t>
      </w:r>
      <w:r>
        <w:rPr>
          <w:rFonts w:hint="eastAsia" w:ascii="仿宋_GB2312" w:hAnsi="仿宋_GB2312" w:eastAsia="仿宋_GB2312" w:cs="仿宋_GB2312"/>
          <w:sz w:val="32"/>
          <w:szCs w:val="32"/>
        </w:rPr>
        <w:t>次，设立汛期常态安置场所6</w:t>
      </w:r>
      <w:r>
        <w:rPr>
          <w:rFonts w:hint="eastAsia" w:ascii="仿宋_GB2312" w:hAnsi="仿宋_GB2312" w:eastAsia="仿宋_GB2312" w:cs="仿宋_GB2312"/>
          <w:sz w:val="32"/>
          <w:szCs w:val="32"/>
        </w:rPr>
        <w:t>处、新设应急避难场所2</w:t>
      </w:r>
      <w:r>
        <w:rPr>
          <w:rFonts w:hint="eastAsia" w:ascii="仿宋_GB2312" w:hAnsi="仿宋_GB2312" w:eastAsia="仿宋_GB2312" w:cs="仿宋_GB2312"/>
          <w:sz w:val="32"/>
          <w:szCs w:val="32"/>
        </w:rPr>
        <w:t>处，先后组织群众避让2415</w:t>
      </w:r>
      <w:r>
        <w:rPr>
          <w:rFonts w:hint="eastAsia" w:ascii="仿宋_GB2312" w:hAnsi="仿宋_GB2312" w:eastAsia="仿宋_GB2312" w:cs="仿宋_GB2312"/>
          <w:sz w:val="32"/>
          <w:szCs w:val="32"/>
        </w:rPr>
        <w:t>人次，在麻柳村照前沟、赵河村杀牛氹</w:t>
      </w:r>
      <w:r>
        <w:rPr>
          <w:rFonts w:hint="eastAsia" w:ascii="仿宋_GB2312" w:hAnsi="仿宋_GB2312" w:eastAsia="仿宋_GB2312" w:cs="仿宋_GB2312"/>
          <w:szCs w:val="21"/>
        </w:rPr>
        <w:t>[d</w:t>
      </w:r>
      <w:r>
        <w:rPr>
          <w:rFonts w:hint="eastAsia" w:ascii="仿宋_GB2312" w:hAnsi="仿宋_GB2312" w:eastAsia="仿宋_GB2312" w:cs="仿宋_GB2312"/>
          <w:szCs w:val="21"/>
        </w:rPr>
        <w:t>àng]</w:t>
      </w:r>
      <w:r>
        <w:rPr>
          <w:rFonts w:hint="eastAsia" w:ascii="仿宋_GB2312" w:hAnsi="仿宋_GB2312" w:eastAsia="仿宋_GB2312" w:cs="仿宋_GB2312"/>
          <w:sz w:val="32"/>
          <w:szCs w:val="32"/>
        </w:rPr>
        <w:t>、对门山、杨河村洪春槽等地质灾害突发事件中，成功组织群众避让，无一人伤亡；加强森林火灾防控，在4月4日发生的兴阳火灾中高效处置，无人员伤亡。</w:t>
      </w:r>
    </w:p>
    <w:p>
      <w:pPr>
        <w:spacing w:line="600" w:lineRule="exact"/>
        <w:ind w:firstLine="644"/>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（3）社会管理持续深化。</w:t>
      </w:r>
      <w:r>
        <w:rPr>
          <w:rFonts w:hint="eastAsia" w:ascii="仿宋_GB2312" w:hAnsi="仿宋_GB2312" w:eastAsia="仿宋_GB2312" w:cs="仿宋_GB2312"/>
          <w:sz w:val="32"/>
          <w:szCs w:val="32"/>
        </w:rPr>
        <w:t>充分发挥环保网格员的作用，加强境内企业的环保巡查，监测并责令限期整改环保不达标企业2</w:t>
      </w:r>
      <w:r>
        <w:rPr>
          <w:rFonts w:hint="eastAsia" w:ascii="仿宋_GB2312" w:hAnsi="仿宋_GB2312" w:eastAsia="仿宋_GB2312" w:cs="仿宋_GB2312"/>
          <w:sz w:val="32"/>
          <w:szCs w:val="32"/>
        </w:rPr>
        <w:t>家；聘请法律顾问对镇村社干部培训5</w:t>
      </w:r>
      <w:r>
        <w:rPr>
          <w:rFonts w:hint="eastAsia" w:ascii="仿宋_GB2312" w:hAnsi="仿宋_GB2312" w:eastAsia="仿宋_GB2312" w:cs="仿宋_GB2312"/>
          <w:sz w:val="32"/>
          <w:szCs w:val="32"/>
        </w:rPr>
        <w:t>次，组织“法律七进”宣传活动8</w:t>
      </w:r>
      <w:r>
        <w:rPr>
          <w:rFonts w:hint="eastAsia" w:ascii="仿宋_GB2312" w:hAnsi="仿宋_GB2312" w:eastAsia="仿宋_GB2312" w:cs="仿宋_GB2312"/>
          <w:sz w:val="32"/>
          <w:szCs w:val="32"/>
        </w:rPr>
        <w:t>次；做好矛盾纠纷排查调处，及时有效处理群众诉求件1303</w:t>
      </w:r>
      <w:r>
        <w:rPr>
          <w:rFonts w:hint="eastAsia" w:ascii="仿宋_GB2312" w:hAnsi="仿宋_GB2312" w:eastAsia="仿宋_GB2312" w:cs="仿宋_GB2312"/>
          <w:sz w:val="32"/>
          <w:szCs w:val="32"/>
        </w:rPr>
        <w:t>条，办理市长热线和“书记·市长信箱”交办件165</w:t>
      </w:r>
      <w:r>
        <w:rPr>
          <w:rFonts w:hint="eastAsia" w:ascii="仿宋_GB2312" w:hAnsi="仿宋_GB2312" w:eastAsia="仿宋_GB2312" w:cs="仿宋_GB2312"/>
          <w:sz w:val="32"/>
          <w:szCs w:val="32"/>
        </w:rPr>
        <w:t>条，所有信访件受理率、到期办结率、录入率、上报率均为100%</w:t>
      </w:r>
      <w:r>
        <w:rPr>
          <w:rFonts w:hint="eastAsia" w:ascii="仿宋_GB2312" w:hAnsi="仿宋_GB2312" w:eastAsia="仿宋_GB2312" w:cs="仿宋_GB2312"/>
          <w:sz w:val="32"/>
          <w:szCs w:val="32"/>
        </w:rPr>
        <w:t>，配合派出所、卫计局、司法所进行特殊人群走访1293</w:t>
      </w:r>
      <w:r>
        <w:rPr>
          <w:rFonts w:hint="eastAsia" w:ascii="仿宋_GB2312" w:hAnsi="仿宋_GB2312" w:eastAsia="仿宋_GB2312" w:cs="仿宋_GB2312"/>
          <w:sz w:val="32"/>
          <w:szCs w:val="32"/>
        </w:rPr>
        <w:t>次，教育转化邪教人员13</w:t>
      </w:r>
      <w:r>
        <w:rPr>
          <w:rFonts w:hint="eastAsia" w:ascii="仿宋_GB2312" w:hAnsi="仿宋_GB2312" w:eastAsia="仿宋_GB2312" w:cs="仿宋_GB2312"/>
          <w:sz w:val="32"/>
          <w:szCs w:val="32"/>
        </w:rPr>
        <w:t>人。</w:t>
      </w:r>
    </w:p>
    <w:p>
      <w:pPr>
        <w:pStyle w:val="4"/>
        <w:rPr>
          <w:rStyle w:val="19"/>
          <w:rFonts w:hint="eastAsia" w:ascii="仿宋_GB2312" w:hAnsi="仿宋_GB2312" w:eastAsia="仿宋_GB2312" w:cs="仿宋_GB2312"/>
          <w:b w:val="0"/>
          <w:bCs w:val="0"/>
        </w:rPr>
      </w:pPr>
      <w:bookmarkStart w:id="20" w:name="_Toc15396601"/>
      <w:bookmarkStart w:id="21" w:name="_Toc15377200"/>
      <w:r>
        <w:rPr>
          <w:rFonts w:hint="eastAsia" w:ascii="仿宋_GB2312" w:hAnsi="仿宋_GB2312" w:eastAsia="仿宋_GB2312" w:cs="仿宋_GB2312"/>
          <w:b w:val="0"/>
          <w:color w:val="000000"/>
        </w:rPr>
        <w:t>二、机</w:t>
      </w:r>
      <w:r>
        <w:rPr>
          <w:rStyle w:val="19"/>
          <w:rFonts w:hint="eastAsia" w:ascii="仿宋_GB2312" w:hAnsi="仿宋_GB2312" w:eastAsia="仿宋_GB2312" w:cs="仿宋_GB2312"/>
          <w:b w:val="0"/>
          <w:bCs w:val="0"/>
        </w:rPr>
        <w:t>构设置</w:t>
      </w:r>
      <w:bookmarkEnd w:id="20"/>
      <w:bookmarkEnd w:id="21"/>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峨眉山市绥山镇人民政府下属二级单位4个，其中行政单位0个，参照公务员法管理的事业单位0个，其他事业单位4个。</w:t>
      </w:r>
    </w:p>
    <w:p>
      <w:pPr>
        <w:pStyle w:val="6"/>
        <w:adjustRightInd w:val="0"/>
        <w:snapToGrid w:val="0"/>
        <w:spacing w:before="93" w:line="600" w:lineRule="exact"/>
        <w:ind w:firstLine="672" w:firstLineChars="21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2019年度部门决算编制范围的二级预算单位包括：</w:t>
      </w:r>
    </w:p>
    <w:p>
      <w:pPr>
        <w:pStyle w:val="6"/>
        <w:numPr>
          <w:ilvl w:val="0"/>
          <w:numId w:val="1"/>
        </w:numPr>
        <w:adjustRightInd w:val="0"/>
        <w:snapToGrid w:val="0"/>
        <w:spacing w:before="93" w:line="600" w:lineRule="exact"/>
        <w:outlineLvl w:val="2"/>
        <w:rPr>
          <w:rFonts w:hint="eastAsia" w:ascii="仿宋_GB2312" w:hAnsi="仿宋_GB2312" w:eastAsia="仿宋_GB2312" w:cs="仿宋_GB2312"/>
          <w:color w:val="000000"/>
          <w:sz w:val="32"/>
          <w:szCs w:val="32"/>
        </w:rPr>
      </w:pPr>
      <w:bookmarkStart w:id="22" w:name="_Toc15306276"/>
      <w:bookmarkStart w:id="23" w:name="_Toc15378449"/>
      <w:bookmarkStart w:id="24" w:name="_Toc15377433"/>
      <w:bookmarkStart w:id="25" w:name="_Toc15377202"/>
      <w:r>
        <w:rPr>
          <w:rFonts w:hint="eastAsia" w:ascii="仿宋_GB2312" w:hAnsi="仿宋_GB2312" w:eastAsia="仿宋_GB2312" w:cs="仿宋_GB2312"/>
          <w:sz w:val="32"/>
          <w:szCs w:val="32"/>
        </w:rPr>
        <w:t>峨眉山市绥山镇便民服务中心</w:t>
      </w:r>
    </w:p>
    <w:bookmarkEnd w:id="22"/>
    <w:bookmarkEnd w:id="23"/>
    <w:bookmarkEnd w:id="24"/>
    <w:bookmarkEnd w:id="25"/>
    <w:p>
      <w:pPr>
        <w:pStyle w:val="6"/>
        <w:numPr>
          <w:ilvl w:val="0"/>
          <w:numId w:val="1"/>
        </w:numPr>
        <w:adjustRightInd w:val="0"/>
        <w:snapToGrid w:val="0"/>
        <w:spacing w:before="93" w:line="600" w:lineRule="exact"/>
        <w:outlineLvl w:val="2"/>
        <w:rPr>
          <w:rFonts w:hint="eastAsia" w:ascii="仿宋_GB2312" w:hAnsi="仿宋_GB2312" w:eastAsia="仿宋_GB2312" w:cs="仿宋_GB2312"/>
          <w:color w:val="000000"/>
          <w:sz w:val="32"/>
          <w:szCs w:val="32"/>
        </w:rPr>
      </w:pPr>
      <w:bookmarkStart w:id="26" w:name="_Toc15306277"/>
      <w:bookmarkStart w:id="27" w:name="_Toc15377203"/>
      <w:bookmarkStart w:id="28" w:name="_Toc15377434"/>
      <w:bookmarkStart w:id="29" w:name="_Toc15378450"/>
      <w:r>
        <w:rPr>
          <w:rFonts w:hint="eastAsia" w:ascii="仿宋_GB2312" w:hAnsi="仿宋_GB2312" w:eastAsia="仿宋_GB2312" w:cs="仿宋_GB2312"/>
          <w:sz w:val="32"/>
          <w:szCs w:val="32"/>
        </w:rPr>
        <w:t>峨眉山市绥山镇农业综合服务中心</w:t>
      </w:r>
    </w:p>
    <w:bookmarkEnd w:id="26"/>
    <w:bookmarkEnd w:id="27"/>
    <w:bookmarkEnd w:id="28"/>
    <w:bookmarkEnd w:id="29"/>
    <w:p>
      <w:pPr>
        <w:pStyle w:val="6"/>
        <w:numPr>
          <w:ilvl w:val="0"/>
          <w:numId w:val="1"/>
        </w:numPr>
        <w:adjustRightInd w:val="0"/>
        <w:snapToGrid w:val="0"/>
        <w:spacing w:before="93" w:line="600" w:lineRule="exac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峨眉山市绥山镇文化旅游服务中心</w:t>
      </w:r>
    </w:p>
    <w:p>
      <w:pPr>
        <w:pStyle w:val="6"/>
        <w:numPr>
          <w:ilvl w:val="0"/>
          <w:numId w:val="1"/>
        </w:numPr>
        <w:adjustRightInd w:val="0"/>
        <w:snapToGrid w:val="0"/>
        <w:spacing w:before="93" w:line="600" w:lineRule="exac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峨眉山市绥山镇社区治理服务中心</w:t>
      </w:r>
    </w:p>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pPr>
        <w:pStyle w:val="3"/>
        <w:ind w:right="440"/>
        <w:jc w:val="right"/>
        <w:rPr>
          <w:rStyle w:val="18"/>
          <w:rFonts w:hint="eastAsia" w:ascii="仿宋_GB2312" w:hAnsi="仿宋_GB2312" w:eastAsia="仿宋_GB2312" w:cs="仿宋_GB2312"/>
          <w:b w:val="0"/>
          <w:bCs w:val="0"/>
        </w:rPr>
      </w:pPr>
      <w:bookmarkStart w:id="30" w:name="_Toc15396602"/>
      <w:bookmarkStart w:id="31" w:name="_Toc15377204"/>
      <w:r>
        <w:rPr>
          <w:rFonts w:hint="eastAsia" w:ascii="仿宋_GB2312" w:hAnsi="仿宋_GB2312" w:eastAsia="仿宋_GB2312" w:cs="仿宋_GB2312"/>
          <w:b w:val="0"/>
          <w:color w:val="000000"/>
        </w:rPr>
        <w:t>第二部分</w:t>
      </w:r>
      <w:r>
        <w:rPr>
          <w:rFonts w:hint="eastAsia" w:ascii="仿宋_GB2312" w:hAnsi="仿宋_GB2312" w:eastAsia="仿宋_GB2312" w:cs="仿宋_GB2312"/>
          <w:color w:val="000000"/>
        </w:rPr>
        <w:t xml:space="preserve"> </w:t>
      </w:r>
      <w:r>
        <w:rPr>
          <w:rStyle w:val="18"/>
          <w:rFonts w:hint="eastAsia" w:ascii="仿宋_GB2312" w:hAnsi="仿宋_GB2312" w:eastAsia="仿宋_GB2312" w:cs="仿宋_GB2312"/>
          <w:b w:val="0"/>
          <w:bCs w:val="0"/>
        </w:rPr>
        <w:t>2019年度部门决算情况说明</w:t>
      </w:r>
      <w:bookmarkEnd w:id="30"/>
      <w:bookmarkEnd w:id="31"/>
    </w:p>
    <w:p>
      <w:pPr>
        <w:rPr>
          <w:rFonts w:hint="eastAsia" w:ascii="仿宋_GB2312" w:hAnsi="仿宋_GB2312" w:eastAsia="仿宋_GB2312" w:cs="仿宋_GB2312"/>
        </w:rPr>
      </w:pPr>
    </w:p>
    <w:p>
      <w:pPr>
        <w:pStyle w:val="29"/>
        <w:numPr>
          <w:ilvl w:val="0"/>
          <w:numId w:val="2"/>
        </w:numPr>
        <w:spacing w:line="600" w:lineRule="exact"/>
        <w:ind w:firstLineChars="0"/>
        <w:outlineLvl w:val="1"/>
        <w:rPr>
          <w:rStyle w:val="19"/>
          <w:rFonts w:hint="eastAsia" w:ascii="仿宋_GB2312" w:hAnsi="仿宋_GB2312" w:eastAsia="仿宋_GB2312" w:cs="仿宋_GB2312"/>
          <w:b w:val="0"/>
        </w:rPr>
      </w:pPr>
      <w:bookmarkStart w:id="32" w:name="_Toc15396603"/>
      <w:bookmarkStart w:id="33" w:name="_Toc15377205"/>
      <w:r>
        <w:rPr>
          <w:rFonts w:hint="eastAsia" w:ascii="仿宋_GB2312" w:hAnsi="仿宋_GB2312" w:eastAsia="仿宋_GB2312" w:cs="仿宋_GB2312"/>
          <w:color w:val="000000"/>
          <w:sz w:val="32"/>
          <w:szCs w:val="32"/>
        </w:rPr>
        <w:t>收</w:t>
      </w:r>
      <w:r>
        <w:rPr>
          <w:rStyle w:val="19"/>
          <w:rFonts w:hint="eastAsia" w:ascii="仿宋_GB2312" w:hAnsi="仿宋_GB2312" w:eastAsia="仿宋_GB2312" w:cs="仿宋_GB2312"/>
          <w:b w:val="0"/>
        </w:rPr>
        <w:t>入支出决算总体情况说明</w:t>
      </w:r>
      <w:bookmarkEnd w:id="32"/>
      <w:bookmarkEnd w:id="3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2019年度收入总计23759.54万元，支出总计19112.89万元。与2018年相比，收入总计增加5342.69万元，增长29.01%，支出总计增加979.65万元，增长5.4%。主要变动原因是征地拆迁项目资金收入增加。</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olor w:val="000000"/>
          <w:sz w:val="32"/>
          <w:szCs w:val="32"/>
        </w:rPr>
        <w:pict>
          <v:shape id="Object 2" o:spid="_x0000_s1028" o:spt="75" alt="" type="#_x0000_t75" style="position:absolute;left:0pt;margin-left:41.25pt;margin-top:17.25pt;height:218.15pt;width:345.55pt;z-index:251659264;mso-width-relative:page;mso-height-relative:page;" o:ole="t" filled="f" o:preferrelative="t" stroked="f" coordsize="21600,21600">
            <v:path/>
            <v:fill on="f" focussize="0,0"/>
            <v:stroke on="f"/>
            <v:imagedata r:id="rId7" o:title=""/>
            <o:lock v:ext="edit" aspectratio="t"/>
          </v:shape>
          <o:OLEObject Type="Embed" ProgID="Excel.Chart.8" ShapeID="Object 2" DrawAspect="Content" ObjectID="_1468075725" r:id="rId6">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rPr>
          <w:rFonts w:hint="eastAsia" w:ascii="仿宋_GB2312" w:hAnsi="仿宋_GB2312" w:eastAsia="仿宋_GB2312" w:cs="仿宋_GB2312"/>
          <w:color w:val="000000"/>
          <w:sz w:val="32"/>
          <w:szCs w:val="32"/>
        </w:rPr>
      </w:pPr>
    </w:p>
    <w:p>
      <w:pPr>
        <w:pStyle w:val="29"/>
        <w:numPr>
          <w:ilvl w:val="0"/>
          <w:numId w:val="2"/>
        </w:numPr>
        <w:spacing w:line="600" w:lineRule="exact"/>
        <w:ind w:firstLineChars="0"/>
        <w:outlineLvl w:val="1"/>
        <w:rPr>
          <w:rStyle w:val="19"/>
          <w:rFonts w:hint="eastAsia" w:ascii="仿宋_GB2312" w:hAnsi="仿宋_GB2312" w:eastAsia="仿宋_GB2312" w:cs="仿宋_GB2312"/>
          <w:b w:val="0"/>
        </w:rPr>
      </w:pPr>
      <w:bookmarkStart w:id="34" w:name="_Toc15377206"/>
      <w:bookmarkStart w:id="35" w:name="_Toc15396604"/>
      <w:r>
        <w:rPr>
          <w:rFonts w:hint="eastAsia" w:ascii="仿宋_GB2312" w:hAnsi="仿宋_GB2312" w:eastAsia="仿宋_GB2312" w:cs="仿宋_GB2312"/>
          <w:color w:val="000000"/>
          <w:sz w:val="32"/>
          <w:szCs w:val="32"/>
        </w:rPr>
        <w:t>收</w:t>
      </w:r>
      <w:r>
        <w:rPr>
          <w:rStyle w:val="19"/>
          <w:rFonts w:hint="eastAsia" w:ascii="仿宋_GB2312" w:hAnsi="仿宋_GB2312" w:eastAsia="仿宋_GB2312" w:cs="仿宋_GB2312"/>
          <w:b w:val="0"/>
        </w:rPr>
        <w:t>入决算情况说明</w:t>
      </w:r>
      <w:bookmarkEnd w:id="34"/>
      <w:bookmarkEnd w:id="35"/>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23759.54万元，其中：一般公共预算财政拨款收入2861.10万元，占12.04%；政府性基金预算财政拨款收入20898.44万元，占87.96%；上级补助收入0万元，占0%；事业收入0万元，占0%；经营收入0万元，占0%；附属单位上缴收入0万元，占0%；其他收入0万元，占0%。</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 w:hAnsi="仿宋" w:eastAsia="仿宋"/>
          <w:color w:val="000000"/>
          <w:sz w:val="32"/>
          <w:szCs w:val="32"/>
        </w:rPr>
        <w:pict>
          <v:shape id="Object 3" o:spid="_x0000_s1030" o:spt="75" alt="" type="#_x0000_t75" style="position:absolute;left:0pt;margin-left:50pt;margin-top:7.6pt;height:206.25pt;width:343.7pt;z-index:251661312;mso-width-relative:page;mso-height-relative:page;" o:ole="t" filled="f" o:preferrelative="t" stroked="f" coordsize="21600,21600">
            <v:path/>
            <v:fill on="f" focussize="0,0"/>
            <v:stroke on="f"/>
            <v:imagedata r:id="rId9" o:title=""/>
            <o:lock v:ext="edit" aspectratio="t"/>
          </v:shape>
          <o:OLEObject Type="Embed" ProgID="Excel.Chart.8" ShapeID="Object 3" DrawAspect="Content" ObjectID="_1468075726" r:id="rId8">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pStyle w:val="29"/>
        <w:numPr>
          <w:ilvl w:val="0"/>
          <w:numId w:val="2"/>
        </w:numPr>
        <w:spacing w:line="600" w:lineRule="exact"/>
        <w:ind w:firstLineChars="0"/>
        <w:outlineLvl w:val="1"/>
        <w:rPr>
          <w:rStyle w:val="19"/>
          <w:rFonts w:hint="eastAsia" w:ascii="仿宋_GB2312" w:hAnsi="仿宋_GB2312" w:eastAsia="仿宋_GB2312" w:cs="仿宋_GB2312"/>
          <w:b w:val="0"/>
        </w:rPr>
      </w:pPr>
      <w:bookmarkStart w:id="36" w:name="_Toc15396605"/>
      <w:bookmarkStart w:id="37" w:name="_Toc15377207"/>
      <w:r>
        <w:rPr>
          <w:rFonts w:hint="eastAsia" w:ascii="仿宋_GB2312" w:hAnsi="仿宋_GB2312" w:eastAsia="仿宋_GB2312" w:cs="仿宋_GB2312"/>
          <w:color w:val="000000"/>
          <w:sz w:val="32"/>
          <w:szCs w:val="32"/>
        </w:rPr>
        <w:t>支</w:t>
      </w:r>
      <w:r>
        <w:rPr>
          <w:rStyle w:val="19"/>
          <w:rFonts w:hint="eastAsia" w:ascii="仿宋_GB2312" w:hAnsi="仿宋_GB2312" w:eastAsia="仿宋_GB2312" w:cs="仿宋_GB2312"/>
          <w:b w:val="0"/>
        </w:rPr>
        <w:t>出决算情况说明</w:t>
      </w:r>
      <w:bookmarkEnd w:id="36"/>
      <w:bookmarkEnd w:id="37"/>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2019年本年支出合计19112.89万元，其中：基本支出1224.72万元，占6.4%；项目支出17888.17万元，占93.6%；上缴上级支出0万元，占0%；经营支出0万元，占0%；对附属单位补助支出0万元，占0%。</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 w:hAnsi="仿宋" w:eastAsia="仿宋"/>
          <w:color w:val="000000"/>
          <w:sz w:val="32"/>
          <w:szCs w:val="32"/>
          <w:lang w:eastAsia="zh-CN"/>
        </w:rPr>
        <w:pict>
          <v:shape id="Object 6" o:spid="_x0000_s1031" o:spt="75" alt="" type="#_x0000_t75" style="position:absolute;left:0pt;margin-left:48.5pt;margin-top:12.75pt;height:200.9pt;width:341.65pt;z-index:251664384;mso-width-relative:page;mso-height-relative:page;" o:ole="t" filled="f" o:preferrelative="t" stroked="f" coordsize="21600,21600">
            <v:path/>
            <v:fill on="f" focussize="0,0"/>
            <v:stroke on="f"/>
            <v:imagedata r:id="rId11" o:title=""/>
            <o:lock v:ext="edit" aspectratio="t"/>
          </v:shape>
          <o:OLEObject Type="Embed" ProgID="Excel.Chart.8" ShapeID="Object 6" DrawAspect="Content" ObjectID="_1468075727" r:id="rId10">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outlineLvl w:val="1"/>
        <w:rPr>
          <w:rStyle w:val="19"/>
          <w:rFonts w:hint="eastAsia" w:ascii="仿宋_GB2312" w:hAnsi="仿宋_GB2312" w:eastAsia="仿宋_GB2312" w:cs="仿宋_GB2312"/>
          <w:b w:val="0"/>
        </w:rPr>
      </w:pPr>
      <w:bookmarkStart w:id="38" w:name="_Toc15396606"/>
      <w:bookmarkStart w:id="39" w:name="_Toc15377208"/>
      <w:r>
        <w:rPr>
          <w:rFonts w:hint="eastAsia" w:ascii="仿宋_GB2312" w:hAnsi="仿宋_GB2312" w:eastAsia="仿宋_GB2312" w:cs="仿宋_GB2312"/>
          <w:color w:val="000000"/>
          <w:sz w:val="32"/>
          <w:szCs w:val="32"/>
        </w:rPr>
        <w:t>四、财</w:t>
      </w:r>
      <w:r>
        <w:rPr>
          <w:rStyle w:val="19"/>
          <w:rFonts w:hint="eastAsia" w:ascii="仿宋_GB2312" w:hAnsi="仿宋_GB2312" w:eastAsia="仿宋_GB2312" w:cs="仿宋_GB2312"/>
          <w:b w:val="0"/>
        </w:rPr>
        <w:t>政拨款收入支出决算总体情况说明</w:t>
      </w:r>
      <w:bookmarkEnd w:id="38"/>
      <w:bookmarkEnd w:id="39"/>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2019年财政拨款收入总计23759.54万元，支出总计19112.89万元。与2018年相比，财政拨款收入总计增加5342.69万元，增长29.01%，支出总计增加979.65万元，增长5.4%。主要变动原因是征地拆迁项目资金收入增加。</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pict>
          <v:shape id="Object 7" o:spid="_x0000_s1032" o:spt="75" alt="" type="#_x0000_t75" style="position:absolute;left:0pt;margin-left:48pt;margin-top:7.5pt;height:201.05pt;width:304.05pt;z-index:251668480;mso-width-relative:page;mso-height-relative:page;" o:ole="t" filled="f" o:preferrelative="t" stroked="f" coordsize="21600,21600">
            <v:path/>
            <v:fill on="f" focussize="0,0"/>
            <v:stroke on="f"/>
            <v:imagedata r:id="rId13" o:title=""/>
            <o:lock v:ext="edit" aspectratio="t"/>
          </v:shape>
          <o:OLEObject Type="Embed" ProgID="Excel.Chart.8" ShapeID="Object 7" DrawAspect="Content" ObjectID="_1468075728" r:id="rId12">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outlineLvl w:val="1"/>
        <w:rPr>
          <w:rStyle w:val="19"/>
          <w:rFonts w:hint="eastAsia" w:ascii="仿宋_GB2312" w:hAnsi="仿宋_GB2312" w:eastAsia="仿宋_GB2312" w:cs="仿宋_GB2312"/>
          <w:b w:val="0"/>
        </w:rPr>
      </w:pPr>
      <w:bookmarkStart w:id="40" w:name="_Toc15396607"/>
      <w:bookmarkStart w:id="41" w:name="_Toc15377209"/>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color w:val="000000"/>
          <w:sz w:val="32"/>
          <w:szCs w:val="32"/>
        </w:rPr>
        <w:t>一</w:t>
      </w:r>
      <w:r>
        <w:rPr>
          <w:rStyle w:val="19"/>
          <w:rFonts w:hint="eastAsia" w:ascii="仿宋_GB2312" w:hAnsi="仿宋_GB2312" w:eastAsia="仿宋_GB2312" w:cs="仿宋_GB2312"/>
          <w:b w:val="0"/>
        </w:rPr>
        <w:t>般公共预算财政拨款支出决算情况说明</w:t>
      </w:r>
      <w:bookmarkEnd w:id="40"/>
      <w:bookmarkEnd w:id="41"/>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2" w:name="_Toc15377210"/>
      <w:r>
        <w:rPr>
          <w:rFonts w:hint="eastAsia" w:ascii="仿宋_GB2312" w:hAnsi="仿宋_GB2312" w:eastAsia="仿宋_GB2312" w:cs="仿宋_GB2312"/>
          <w:b/>
          <w:color w:val="000000"/>
          <w:sz w:val="32"/>
          <w:szCs w:val="32"/>
        </w:rPr>
        <w:t>（一）一般公共预算财政拨款支出决算总体情况</w:t>
      </w:r>
      <w:bookmarkEnd w:id="42"/>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2019年一般公共预算财政拨款支出3185.80万元，占本年支出合计的16.67%。与2018年相比，一般公共预算财政拨款增加334.72万元，增长11.74%。主要变动原因是畜禽养殖关闭补助资金。</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pict>
          <v:shape id="_x0000_s1033" o:spid="_x0000_s1033" o:spt="75" alt="" type="#_x0000_t75" style="position:absolute;left:0pt;margin-left:53.25pt;margin-top:18pt;height:201.05pt;width:304.05pt;z-index:251679744;mso-width-relative:page;mso-height-relative:page;" o:ole="t" filled="f" o:preferrelative="t" stroked="f" coordsize="21600,21600">
            <v:path/>
            <v:fill on="f" focussize="0,0"/>
            <v:stroke on="f"/>
            <v:imagedata r:id="rId15" o:title=""/>
            <o:lock v:ext="edit" aspectratio="t"/>
          </v:shape>
          <o:OLEObject Type="Embed" ProgID="Excel.Chart.8" ShapeID="_x0000_s1033" DrawAspect="Content" ObjectID="_1468075729" r:id="rId14">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3" w:name="_Toc15377211"/>
    </w:p>
    <w:p>
      <w:pPr>
        <w:spacing w:line="600" w:lineRule="exac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（二）一般公共预算财政拨款支出决算结构情况</w:t>
      </w:r>
      <w:bookmarkEnd w:id="43"/>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2019年一般公共预算财政拨款支出3185.80万元，主要用于以下方面:一般公共服务支出1180.31万元，占37.05%；国防支出支出10.80万元，占0.34%；</w:t>
      </w:r>
      <w:r>
        <w:rPr>
          <w:rFonts w:hint="eastAsia" w:ascii="仿宋_GB2312" w:hAnsi="仿宋_GB2312" w:eastAsia="仿宋_GB2312" w:cs="仿宋_GB2312"/>
          <w:bCs/>
          <w:color w:val="000000"/>
          <w:sz w:val="32"/>
          <w:szCs w:val="32"/>
        </w:rPr>
        <w:t>文化旅游体育与传媒</w:t>
      </w:r>
      <w:r>
        <w:rPr>
          <w:rFonts w:hint="eastAsia" w:ascii="仿宋_GB2312" w:hAnsi="仿宋_GB2312" w:eastAsia="仿宋_GB2312" w:cs="仿宋_GB2312"/>
          <w:color w:val="000000"/>
          <w:sz w:val="32"/>
          <w:szCs w:val="32"/>
        </w:rPr>
        <w:t>支出68.70万元，占2.16%；社会保障和就业支出1048.90万元，占32.92%；</w:t>
      </w:r>
      <w:r>
        <w:rPr>
          <w:rFonts w:hint="eastAsia" w:ascii="仿宋_GB2312" w:hAnsi="仿宋_GB2312" w:eastAsia="仿宋_GB2312" w:cs="仿宋_GB2312"/>
          <w:bCs/>
          <w:color w:val="000000"/>
          <w:sz w:val="32"/>
          <w:szCs w:val="32"/>
        </w:rPr>
        <w:t>卫生健康</w:t>
      </w:r>
      <w:r>
        <w:rPr>
          <w:rFonts w:hint="eastAsia" w:ascii="仿宋_GB2312" w:hAnsi="仿宋_GB2312" w:eastAsia="仿宋_GB2312" w:cs="仿宋_GB2312"/>
          <w:color w:val="000000"/>
          <w:sz w:val="32"/>
          <w:szCs w:val="32"/>
        </w:rPr>
        <w:t>支出56.21万元，占1.76%；城乡社区支出30万元，占0.94%；农林水支出687.85万元，占21.59%；住房保障支出95.03万元，占2.98%；灾害防治及应急管理支出8万元，占0.26%。</w:t>
      </w: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 w:hAnsi="仿宋" w:eastAsia="仿宋"/>
          <w:color w:val="000000"/>
          <w:sz w:val="32"/>
          <w:szCs w:val="32"/>
        </w:rPr>
      </w:pPr>
    </w:p>
    <w:p>
      <w:pPr>
        <w:pStyle w:val="2"/>
        <w:rPr>
          <w:rFonts w:hint="eastAsia" w:eastAsia="仿宋"/>
          <w:lang w:eastAsia="zh-CN"/>
        </w:rPr>
      </w:pPr>
      <w:r>
        <w:rPr>
          <w:rFonts w:hint="eastAsia" w:eastAsia="仿宋"/>
          <w:lang w:eastAsia="zh-CN"/>
        </w:rPr>
        <w:object>
          <v:shape id="_x0000_i1051" o:spt="75" alt="" type="#_x0000_t75" style="height:292.4pt;width:362.6pt;" o:ole="t" filled="f" o:preferrelative="t" stroked="f" coordsize="21600,21600">
            <v:path/>
            <v:fill on="f" focussize="0,0"/>
            <v:stroke on="f"/>
            <v:imagedata r:id="rId17" o:title=""/>
            <o:lock v:ext="edit" aspectratio="t"/>
            <w10:wrap type="none"/>
            <w10:anchorlock/>
          </v:shape>
          <o:OLEObject Type="Embed" ProgID="Excel.Chart.8" ShapeID="_x0000_i1051" DrawAspect="Content" ObjectID="_1468075730" r:id="rId16">
            <o:LockedField>false</o:LockedField>
          </o:OLEObject>
        </w:object>
      </w:r>
    </w:p>
    <w:p>
      <w:pPr>
        <w:spacing w:line="240" w:lineRule="auto"/>
        <w:ind w:firstLine="640" w:firstLineChars="200"/>
        <w:rPr>
          <w:rFonts w:hint="eastAsia" w:ascii="仿宋_GB2312" w:hAnsi="仿宋_GB2312" w:eastAsia="仿宋_GB2312" w:cs="仿宋_GB2312"/>
          <w:color w:val="000000"/>
          <w:sz w:val="32"/>
          <w:szCs w:val="32"/>
          <w:lang w:eastAsia="zh-CN"/>
        </w:rPr>
      </w:pPr>
    </w:p>
    <w:p>
      <w:pPr>
        <w:spacing w:line="600" w:lineRule="exact"/>
        <w:outlineLvl w:val="2"/>
        <w:rPr>
          <w:rFonts w:hint="eastAsia" w:ascii="仿宋_GB2312" w:hAnsi="仿宋_GB2312" w:eastAsia="仿宋_GB2312" w:cs="仿宋_GB2312"/>
          <w:b/>
          <w:color w:val="000000"/>
          <w:sz w:val="32"/>
          <w:szCs w:val="32"/>
        </w:rPr>
      </w:pPr>
      <w:bookmarkStart w:id="44" w:name="_Toc15377212"/>
      <w:bookmarkStart w:id="81" w:name="_GoBack"/>
      <w:bookmarkEnd w:id="81"/>
      <w:r>
        <w:rPr>
          <w:rFonts w:hint="eastAsia" w:ascii="仿宋_GB2312" w:hAnsi="仿宋_GB2312" w:eastAsia="仿宋_GB2312" w:cs="仿宋_GB2312"/>
          <w:b/>
          <w:color w:val="000000"/>
          <w:sz w:val="32"/>
          <w:szCs w:val="32"/>
        </w:rPr>
        <w:t>（三）一般公共预算财政拨款支出决算具体情况</w:t>
      </w:r>
      <w:bookmarkEnd w:id="44"/>
    </w:p>
    <w:p>
      <w:pPr>
        <w:spacing w:line="600" w:lineRule="exact"/>
        <w:ind w:firstLine="643" w:firstLineChars="200"/>
        <w:outlineLvl w:val="2"/>
        <w:rPr>
          <w:rFonts w:hint="eastAsia" w:ascii="仿宋_GB2312" w:hAnsi="仿宋_GB2312" w:eastAsia="仿宋_GB2312" w:cs="仿宋_GB2312"/>
          <w:color w:val="FF0000"/>
          <w:sz w:val="32"/>
          <w:szCs w:val="32"/>
        </w:rPr>
      </w:pPr>
      <w:bookmarkStart w:id="45" w:name="_Toc15377444"/>
      <w:bookmarkStart w:id="46" w:name="_Toc15377213"/>
      <w:bookmarkStart w:id="47" w:name="_Toc15378460"/>
      <w:r>
        <w:rPr>
          <w:rFonts w:hint="eastAsia" w:ascii="仿宋_GB2312" w:hAnsi="仿宋_GB2312" w:eastAsia="仿宋_GB2312" w:cs="仿宋_GB2312"/>
          <w:b/>
          <w:color w:val="000000"/>
          <w:sz w:val="32"/>
          <w:szCs w:val="32"/>
        </w:rPr>
        <w:t>2019年般公共预算支出决算数为3185.8万元</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Cs/>
          <w:color w:val="000000"/>
          <w:sz w:val="32"/>
          <w:szCs w:val="32"/>
        </w:rPr>
        <w:t>完成预算99.99%。其中：</w:t>
      </w:r>
      <w:bookmarkEnd w:id="45"/>
      <w:bookmarkEnd w:id="46"/>
      <w:bookmarkEnd w:id="47"/>
    </w:p>
    <w:p>
      <w:pPr>
        <w:ind w:firstLine="640" w:firstLineChars="200"/>
        <w:rPr>
          <w:rFonts w:hint="eastAsia" w:ascii="仿宋_GB2312" w:hAnsi="仿宋_GB2312" w:eastAsia="仿宋_GB2312" w:cs="仿宋_GB2312"/>
          <w:color w:val="000000"/>
          <w:sz w:val="22"/>
          <w:szCs w:val="22"/>
        </w:rPr>
      </w:pPr>
      <w:r>
        <w:rPr>
          <w:rStyle w:val="15"/>
          <w:rFonts w:hint="eastAsia" w:ascii="仿宋_GB2312" w:hAnsi="仿宋_GB2312" w:eastAsia="仿宋_GB2312" w:cs="仿宋_GB2312"/>
          <w:b w:val="0"/>
          <w:bCs/>
          <w:color w:val="000000"/>
          <w:sz w:val="32"/>
          <w:szCs w:val="32"/>
        </w:rPr>
        <w:t>1.一般公共服务（类）政府办公厅（室）及相关机构事务（款）行政运行（项）: 支出</w:t>
      </w:r>
      <w:r>
        <w:rPr>
          <w:rFonts w:hint="eastAsia" w:ascii="仿宋_GB2312" w:hAnsi="仿宋_GB2312" w:eastAsia="仿宋_GB2312" w:cs="仿宋_GB2312"/>
          <w:color w:val="000000"/>
          <w:sz w:val="32"/>
          <w:szCs w:val="32"/>
        </w:rPr>
        <w:t>决算为595.47万元，完成预算100%。</w:t>
      </w:r>
    </w:p>
    <w:p>
      <w:pPr>
        <w:spacing w:line="580" w:lineRule="exact"/>
        <w:ind w:firstLine="640" w:firstLineChars="200"/>
        <w:rPr>
          <w:rFonts w:hint="eastAsia" w:ascii="仿宋_GB2312" w:hAnsi="仿宋_GB2312" w:eastAsia="仿宋_GB2312" w:cs="仿宋_GB2312"/>
          <w:color w:val="000000"/>
          <w:sz w:val="32"/>
          <w:szCs w:val="32"/>
        </w:rPr>
      </w:pPr>
      <w:r>
        <w:rPr>
          <w:rStyle w:val="15"/>
          <w:rFonts w:hint="eastAsia" w:ascii="仿宋_GB2312" w:hAnsi="仿宋_GB2312" w:eastAsia="仿宋_GB2312" w:cs="仿宋_GB2312"/>
          <w:b w:val="0"/>
          <w:bCs/>
          <w:color w:val="000000"/>
          <w:sz w:val="32"/>
          <w:szCs w:val="32"/>
        </w:rPr>
        <w:t>2.一般公共服务（类）政府办公厅（室）及相关机构事务（款）一般行政管理事务（项）: 支出</w:t>
      </w:r>
      <w:r>
        <w:rPr>
          <w:rFonts w:hint="eastAsia" w:ascii="仿宋_GB2312" w:hAnsi="仿宋_GB2312" w:eastAsia="仿宋_GB2312" w:cs="仿宋_GB2312"/>
          <w:color w:val="000000"/>
          <w:sz w:val="32"/>
          <w:szCs w:val="32"/>
        </w:rPr>
        <w:t>决算为82.67万元，完成预算100%。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Style w:val="15"/>
          <w:rFonts w:hint="eastAsia" w:ascii="仿宋_GB2312" w:hAnsi="仿宋_GB2312" w:eastAsia="仿宋_GB2312" w:cs="仿宋_GB2312"/>
          <w:b w:val="0"/>
          <w:bCs/>
          <w:color w:val="000000"/>
          <w:sz w:val="32"/>
          <w:szCs w:val="32"/>
        </w:rPr>
        <w:t xml:space="preserve"> 一般公共服务（类）政府办公厅（室）及相关机构事务（款）其他政府办公厅（室）及相关机构事务支出（项）: 支出</w:t>
      </w:r>
      <w:r>
        <w:rPr>
          <w:rFonts w:hint="eastAsia" w:ascii="仿宋_GB2312" w:hAnsi="仿宋_GB2312" w:eastAsia="仿宋_GB2312" w:cs="仿宋_GB2312"/>
          <w:color w:val="000000"/>
          <w:sz w:val="32"/>
          <w:szCs w:val="32"/>
        </w:rPr>
        <w:t>决算为496.64万元，完成预算100%。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Style w:val="15"/>
          <w:rFonts w:hint="eastAsia" w:ascii="仿宋_GB2312" w:hAnsi="仿宋_GB2312" w:eastAsia="仿宋_GB2312" w:cs="仿宋_GB2312"/>
          <w:b w:val="0"/>
          <w:bCs/>
          <w:color w:val="000000"/>
          <w:sz w:val="32"/>
          <w:szCs w:val="32"/>
        </w:rPr>
        <w:t xml:space="preserve"> 一般公共服务（类）人力资源事务（款）其他人力资源事务支出（项）：支出</w:t>
      </w:r>
      <w:r>
        <w:rPr>
          <w:rFonts w:hint="eastAsia" w:ascii="仿宋_GB2312" w:hAnsi="仿宋_GB2312" w:eastAsia="仿宋_GB2312" w:cs="仿宋_GB2312"/>
          <w:color w:val="000000"/>
          <w:sz w:val="32"/>
          <w:szCs w:val="32"/>
        </w:rPr>
        <w:t>决算为5.53万元，完成预算100%。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5.国防支出（类）国防动员（款）兵役征集（项）：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决算为0.1万元，完成预算100%。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6.国防支出（类）国防动员（款）民兵（项）：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决算为3.3万元，完成预算100%。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7.国防支出（类）国防动员（款）其他国防动员支出（项）：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决算为2.4万元，完成预算100%。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国防支出（类）其他国防支出（款）其他国防支出（项）：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决算为5万元，完成预算100%。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9.文化旅游体育与传媒支出（类）文化和旅游（款）群众文化（项）：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决算为67.98万元，完成预算100%。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 文化旅游体育与传媒支出（类）其他文化体育与传媒支出（款）其他文化体育与传媒支出（项）：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决算为0.72万元，完成预算100%。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11.社会保障和就业支出（类）人力资源和社会保障管理事务（款）劳动保障监察（项）：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决算为208.23万元，完成预算100%。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12.社会保障和就业支出（类）民政管理事务（款）基层政权和社区建设（项）：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决算为718.29万元，完成预算100%。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13.社会保障和就业支出（类）行政事业单位离退休（款）机关事业单位基本养老保险缴费支出（项）：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决算为81.59万元，完成预算100%。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14.社会保障和就业支出（类）行政事业单位离退休（款）机关事业单位职业年金缴费支出（项）：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决算为33.63万元，完成预算100%。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15.社会保障和就业支出（类）抚恤（款）其他优抚支出（项）：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决算为7.15万元，完成预算100%。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rPr>
        <w:t xml:space="preserve"> </w:t>
      </w:r>
      <w:r>
        <w:rPr>
          <w:rFonts w:hint="eastAsia" w:ascii="仿宋_GB2312" w:hAnsi="仿宋_GB2312" w:eastAsia="仿宋_GB2312" w:cs="仿宋_GB2312"/>
          <w:color w:val="000000"/>
          <w:sz w:val="32"/>
          <w:szCs w:val="32"/>
        </w:rPr>
        <w:t>卫生健康支出（类）行政事业单位医疗（款）行政单位医疗（项）：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决算为26.27万元，完成预算100%。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 卫生健康支出（类）行政事业单位医疗（款）其他行政事业单位医疗支出（项）：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决算为29.94万元，完成预算100%。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18.城乡社区支出（类）城乡社区环境卫生（款）城乡社区环境卫生（项）：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决算为30万元，完成预算100%。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19.农林水支出（类）农业（款）事业运行（项）：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决算为116.51万元，完成预算100%。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20.农林水支出（类）农业（款）农村道路建设（项）：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决算为4万元，完成预算100%。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21.农林水支出（类）农业（款）对高校毕业生到基层任职补助（项）：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决算为2.13万元，完成预算100%。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22.农林水支出（类）农业（款）其他农业支出（项）：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决算为11.58万元，完成预算100%。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23.农林水支出（类）扶贫（款）其他扶贫支出（项）：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决算为27.95万元，完成预算100%。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24.农林水支出（类）农村综合改革（款）对村级一事一议的补助（项）：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决算为18万元，完成预算100%。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25.农林水支出（类）农村综合改革（款）对村民委员会和村党支部的补助（项）：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决算为507.18万元，完成预算100%。</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26.农林水支出（类）农村综合改革（款）对村集体经济组织的补助（项）：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决算为0.5万元，完成预算100%。</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27.住房保障支出（类）住房改革支出（款）住房公积金（项）：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决算为95.03万元，完成预算100%。</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 灾害防治及应急管理支出（类）自然灾害救灾及恢复重建支出（款）中央自然灾害生活补助（项）：</w:t>
      </w:r>
      <w:r>
        <w:rPr>
          <w:rStyle w:val="15"/>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决算为8万元，完成预算98.04%，决算数小于预算数是因为资金未使用完，结转至下一年。</w:t>
      </w:r>
    </w:p>
    <w:p>
      <w:pPr>
        <w:tabs>
          <w:tab w:val="right" w:pos="8306"/>
        </w:tabs>
        <w:spacing w:line="600" w:lineRule="exact"/>
        <w:ind w:firstLine="640"/>
        <w:outlineLvl w:val="1"/>
        <w:rPr>
          <w:rStyle w:val="19"/>
          <w:rFonts w:hint="eastAsia" w:ascii="仿宋_GB2312" w:hAnsi="仿宋_GB2312" w:eastAsia="仿宋_GB2312" w:cs="仿宋_GB2312"/>
        </w:rPr>
      </w:pPr>
      <w:bookmarkStart w:id="48" w:name="_Toc15377214"/>
      <w:bookmarkStart w:id="49" w:name="_Toc15396608"/>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19"/>
          <w:rFonts w:hint="eastAsia" w:ascii="仿宋_GB2312" w:hAnsi="仿宋_GB2312" w:eastAsia="仿宋_GB2312" w:cs="仿宋_GB2312"/>
          <w:b w:val="0"/>
        </w:rPr>
        <w:t>般公共预算财政拨款基本支出决算情况说明</w:t>
      </w:r>
      <w:bookmarkEnd w:id="48"/>
      <w:bookmarkEnd w:id="49"/>
      <w:r>
        <w:rPr>
          <w:rStyle w:val="19"/>
          <w:rFonts w:hint="eastAsia" w:ascii="仿宋_GB2312" w:hAnsi="仿宋_GB2312" w:eastAsia="仿宋_GB2312" w:cs="仿宋_GB2312"/>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2019年一般公共预算财政拨款基本支出1224.71万元，其中：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1113.39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111.32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9"/>
          <w:rFonts w:hint="eastAsia" w:ascii="仿宋_GB2312" w:hAnsi="仿宋_GB2312" w:eastAsia="仿宋_GB2312" w:cs="仿宋_GB2312"/>
          <w:b w:val="0"/>
        </w:rPr>
      </w:pPr>
      <w:bookmarkStart w:id="50" w:name="_Toc15396609"/>
      <w:bookmarkStart w:id="51" w:name="_Toc15377215"/>
      <w:r>
        <w:rPr>
          <w:rFonts w:hint="eastAsia" w:ascii="仿宋_GB2312" w:hAnsi="仿宋_GB2312" w:eastAsia="仿宋_GB2312" w:cs="仿宋_GB2312"/>
          <w:color w:val="000000"/>
          <w:sz w:val="32"/>
          <w:szCs w:val="32"/>
        </w:rPr>
        <w:t>七、</w:t>
      </w:r>
      <w:r>
        <w:rPr>
          <w:rStyle w:val="19"/>
          <w:rFonts w:hint="eastAsia" w:ascii="仿宋_GB2312" w:hAnsi="仿宋_GB2312" w:eastAsia="仿宋_GB2312" w:cs="仿宋_GB2312"/>
        </w:rPr>
        <w:t>“</w:t>
      </w:r>
      <w:r>
        <w:rPr>
          <w:rStyle w:val="19"/>
          <w:rFonts w:hint="eastAsia" w:ascii="仿宋_GB2312" w:hAnsi="仿宋_GB2312" w:eastAsia="仿宋_GB2312" w:cs="仿宋_GB2312"/>
          <w:b w:val="0"/>
        </w:rPr>
        <w:t>三公”经费财政拨款支出决算情况说明</w:t>
      </w:r>
      <w:bookmarkEnd w:id="50"/>
      <w:bookmarkEnd w:id="51"/>
    </w:p>
    <w:p>
      <w:pPr>
        <w:spacing w:line="600" w:lineRule="exact"/>
        <w:ind w:firstLine="640"/>
        <w:outlineLvl w:val="2"/>
        <w:rPr>
          <w:rFonts w:hint="eastAsia" w:ascii="仿宋_GB2312" w:hAnsi="仿宋_GB2312" w:eastAsia="仿宋_GB2312" w:cs="仿宋_GB2312"/>
          <w:b/>
          <w:color w:val="000000"/>
          <w:sz w:val="32"/>
          <w:szCs w:val="32"/>
        </w:rPr>
      </w:pPr>
      <w:bookmarkStart w:id="52" w:name="_Toc15377216"/>
      <w:r>
        <w:rPr>
          <w:rFonts w:hint="eastAsia" w:ascii="仿宋_GB2312" w:hAnsi="仿宋_GB2312" w:eastAsia="仿宋_GB2312" w:cs="仿宋_GB2312"/>
          <w:b/>
          <w:color w:val="000000"/>
          <w:sz w:val="32"/>
          <w:szCs w:val="32"/>
        </w:rPr>
        <w:t>（一）“三公”经费财政拨款支出决算总体情况说明</w:t>
      </w:r>
      <w:bookmarkEnd w:id="5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2019年“三公”经费财政拨款支出决算为8.14万元，完成预算100%。</w:t>
      </w:r>
    </w:p>
    <w:p>
      <w:pPr>
        <w:spacing w:line="600" w:lineRule="exact"/>
        <w:ind w:firstLine="640"/>
        <w:outlineLvl w:val="2"/>
        <w:rPr>
          <w:rFonts w:hint="eastAsia" w:ascii="仿宋_GB2312" w:hAnsi="仿宋_GB2312" w:eastAsia="仿宋_GB2312" w:cs="仿宋_GB2312"/>
          <w:b/>
          <w:color w:val="000000"/>
          <w:sz w:val="32"/>
          <w:szCs w:val="32"/>
        </w:rPr>
      </w:pPr>
      <w:bookmarkStart w:id="53" w:name="_Toc15377217"/>
      <w:r>
        <w:rPr>
          <w:rFonts w:hint="eastAsia" w:ascii="仿宋_GB2312" w:hAnsi="仿宋_GB2312" w:eastAsia="仿宋_GB2312" w:cs="仿宋_GB2312"/>
          <w:b/>
          <w:color w:val="000000"/>
          <w:sz w:val="32"/>
          <w:szCs w:val="32"/>
        </w:rPr>
        <w:t>（二）“三公”经费财政拨款支出决算具体情况说明</w:t>
      </w:r>
      <w:bookmarkEnd w:id="53"/>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2019年“三公”经费财政拨款支出决算中，因公出国（境）费支出决算0万元，占0%；公务用车购置及运行维护费支出决算8.14万元，占100%；公务接待费支出决算0万元，占0%。具体情况如下：</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5"/>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全年安排因公出国（境）团组0次，出国（境）0人。</w:t>
      </w:r>
    </w:p>
    <w:p>
      <w:pPr>
        <w:spacing w:line="580" w:lineRule="exact"/>
        <w:ind w:firstLine="640"/>
        <w:rPr>
          <w:rFonts w:hint="eastAsia" w:ascii="仿宋_GB2312" w:hAnsi="仿宋_GB2312" w:eastAsia="仿宋_GB2312" w:cs="仿宋_GB2312"/>
          <w:color w:val="333333"/>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8.14万元,</w:t>
      </w:r>
      <w:r>
        <w:rPr>
          <w:rStyle w:val="15"/>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公务用车购置及运行维护费支出决算比2018年减少0.75万元，下降8.44%。主要原因是</w:t>
      </w:r>
      <w:r>
        <w:rPr>
          <w:rFonts w:hint="eastAsia" w:ascii="仿宋_GB2312" w:hAnsi="仿宋_GB2312" w:eastAsia="仿宋_GB2312" w:cs="仿宋_GB2312"/>
          <w:color w:val="333333"/>
          <w:sz w:val="32"/>
          <w:szCs w:val="32"/>
        </w:rPr>
        <w:t>加强公务用车管理，相应减少了公车维护费。</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rPr>
        <w:t>0万元。全年按规定更新购置公务用车0辆，金额0元。截至2019年12月底，单位共有公务用车3辆，其中：主要领导干部用车0辆、机要通信用车0辆、应急保障用车0辆、 执法执勤用车0辆，其他用车3辆。</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rPr>
        <w:t>8.14万元。主要用于征地拆迁、精准扶贫、双创工作、农业技术推广、秸秆巡察、违建巡察、环境卫生整治、社会治安综合治理、维稳工作等所需的公务用车燃料费、维修费、过路过桥费、保险费等支出。</w:t>
      </w:r>
    </w:p>
    <w:p>
      <w:pPr>
        <w:spacing w:line="600" w:lineRule="exact"/>
        <w:ind w:firstLine="64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0万元，</w:t>
      </w:r>
      <w:r>
        <w:rPr>
          <w:rStyle w:val="15"/>
          <w:rFonts w:hint="eastAsia" w:ascii="仿宋_GB2312" w:hAnsi="仿宋_GB2312" w:eastAsia="仿宋_GB2312" w:cs="仿宋_GB2312"/>
          <w:b w:val="0"/>
          <w:bCs/>
          <w:color w:val="000000"/>
          <w:sz w:val="32"/>
          <w:szCs w:val="32"/>
        </w:rPr>
        <w:t>完成预算0%。</w:t>
      </w:r>
      <w:bookmarkStart w:id="54" w:name="_Toc15377218"/>
      <w:bookmarkStart w:id="55" w:name="_Toc15396610"/>
    </w:p>
    <w:p>
      <w:pPr>
        <w:spacing w:line="600" w:lineRule="exact"/>
        <w:ind w:firstLine="640"/>
        <w:outlineLvl w:val="1"/>
        <w:rPr>
          <w:rStyle w:val="19"/>
          <w:rFonts w:hint="eastAsia" w:ascii="仿宋_GB2312" w:hAnsi="仿宋_GB2312" w:eastAsia="仿宋_GB2312" w:cs="仿宋_GB2312"/>
        </w:rPr>
      </w:pPr>
      <w:r>
        <w:rPr>
          <w:rFonts w:hint="eastAsia" w:ascii="仿宋_GB2312" w:hAnsi="仿宋_GB2312" w:eastAsia="仿宋_GB2312" w:cs="仿宋_GB2312"/>
          <w:color w:val="000000"/>
          <w:sz w:val="32"/>
          <w:szCs w:val="32"/>
        </w:rPr>
        <w:t>八、</w:t>
      </w:r>
      <w:r>
        <w:rPr>
          <w:rStyle w:val="19"/>
          <w:rFonts w:hint="eastAsia" w:ascii="仿宋_GB2312" w:hAnsi="仿宋_GB2312" w:eastAsia="仿宋_GB2312" w:cs="仿宋_GB2312"/>
          <w:b w:val="0"/>
        </w:rPr>
        <w:t>政府性基金预算支出决算情况说明</w:t>
      </w:r>
      <w:bookmarkEnd w:id="54"/>
      <w:bookmarkEnd w:id="5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2019年政府性基金预算拨款支出15927.09万元。</w:t>
      </w:r>
    </w:p>
    <w:p>
      <w:pPr>
        <w:numPr>
          <w:ilvl w:val="0"/>
          <w:numId w:val="3"/>
        </w:numPr>
        <w:spacing w:line="600" w:lineRule="exact"/>
        <w:ind w:firstLine="640"/>
        <w:outlineLvl w:val="1"/>
        <w:rPr>
          <w:rStyle w:val="19"/>
          <w:rFonts w:hint="eastAsia" w:ascii="仿宋_GB2312" w:hAnsi="仿宋_GB2312" w:eastAsia="仿宋_GB2312" w:cs="仿宋_GB2312"/>
          <w:b w:val="0"/>
        </w:rPr>
      </w:pPr>
      <w:bookmarkStart w:id="56" w:name="_Toc15377219"/>
      <w:bookmarkStart w:id="57" w:name="_Toc15396611"/>
      <w:r>
        <w:rPr>
          <w:rStyle w:val="19"/>
          <w:rFonts w:hint="eastAsia" w:ascii="仿宋_GB2312" w:hAnsi="仿宋_GB2312" w:eastAsia="仿宋_GB2312" w:cs="仿宋_GB2312"/>
          <w:b w:val="0"/>
        </w:rPr>
        <w:t>国有资本经营预算支出决算情况说明</w:t>
      </w:r>
      <w:bookmarkEnd w:id="56"/>
      <w:bookmarkEnd w:id="5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2019年国有资本经营预算拨款支出0万元。</w:t>
      </w:r>
    </w:p>
    <w:p>
      <w:pPr>
        <w:spacing w:line="580" w:lineRule="exact"/>
        <w:jc w:val="center"/>
        <w:rPr>
          <w:rFonts w:hint="eastAsia" w:ascii="仿宋_GB2312" w:hAnsi="仿宋_GB2312" w:eastAsia="仿宋_GB2312" w:cs="仿宋_GB2312"/>
          <w:sz w:val="44"/>
          <w:szCs w:val="44"/>
        </w:rPr>
      </w:pPr>
    </w:p>
    <w:p>
      <w:pPr>
        <w:spacing w:line="600" w:lineRule="exact"/>
        <w:ind w:firstLine="800" w:firstLineChars="250"/>
        <w:outlineLvl w:val="1"/>
        <w:rPr>
          <w:rStyle w:val="19"/>
          <w:rFonts w:hint="eastAsia" w:ascii="仿宋_GB2312" w:hAnsi="仿宋_GB2312" w:eastAsia="仿宋_GB2312" w:cs="仿宋_GB2312"/>
        </w:rPr>
      </w:pPr>
      <w:bookmarkStart w:id="58" w:name="_Toc15377221"/>
      <w:bookmarkStart w:id="59" w:name="_Toc15396612"/>
      <w:r>
        <w:rPr>
          <w:rFonts w:hint="eastAsia" w:ascii="仿宋_GB2312" w:hAnsi="仿宋_GB2312" w:eastAsia="仿宋_GB2312" w:cs="仿宋_GB2312"/>
          <w:color w:val="000000"/>
          <w:sz w:val="32"/>
          <w:szCs w:val="32"/>
        </w:rPr>
        <w:t>十</w:t>
      </w:r>
      <w:r>
        <w:rPr>
          <w:rStyle w:val="19"/>
          <w:rFonts w:hint="eastAsia" w:ascii="仿宋_GB2312" w:hAnsi="仿宋_GB2312" w:eastAsia="仿宋_GB2312" w:cs="仿宋_GB2312"/>
        </w:rPr>
        <w:t>、</w:t>
      </w:r>
      <w:r>
        <w:rPr>
          <w:rStyle w:val="19"/>
          <w:rFonts w:hint="eastAsia" w:ascii="仿宋_GB2312" w:hAnsi="仿宋_GB2312" w:eastAsia="仿宋_GB2312" w:cs="仿宋_GB2312"/>
          <w:b w:val="0"/>
        </w:rPr>
        <w:t>其他重要事项的情况说明</w:t>
      </w:r>
      <w:bookmarkEnd w:id="58"/>
      <w:bookmarkEnd w:id="59"/>
    </w:p>
    <w:p>
      <w:pPr>
        <w:spacing w:line="600" w:lineRule="exact"/>
        <w:ind w:firstLine="643" w:firstLineChars="200"/>
        <w:outlineLvl w:val="2"/>
        <w:rPr>
          <w:rFonts w:hint="eastAsia" w:ascii="仿宋_GB2312" w:hAnsi="仿宋_GB2312" w:eastAsia="仿宋_GB2312" w:cs="仿宋_GB2312"/>
          <w:color w:val="000000"/>
          <w:sz w:val="32"/>
          <w:szCs w:val="32"/>
        </w:rPr>
      </w:pPr>
      <w:bookmarkStart w:id="60" w:name="_Toc15377222"/>
      <w:r>
        <w:rPr>
          <w:rFonts w:hint="eastAsia" w:ascii="仿宋_GB2312" w:hAnsi="仿宋_GB2312" w:eastAsia="仿宋_GB2312" w:cs="仿宋_GB2312"/>
          <w:b/>
          <w:color w:val="000000"/>
          <w:sz w:val="32"/>
          <w:szCs w:val="32"/>
        </w:rPr>
        <w:t>（一）机关运行经费支出情况</w:t>
      </w:r>
      <w:bookmarkEnd w:id="60"/>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机关运行经费支出111.32万元，比2018年增加28.84万元，增长34.97%。主要原因是行政人员车改补贴。</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61" w:name="_Toc15377223"/>
      <w:r>
        <w:rPr>
          <w:rFonts w:hint="eastAsia" w:ascii="仿宋_GB2312" w:hAnsi="仿宋_GB2312" w:eastAsia="仿宋_GB2312" w:cs="仿宋_GB2312"/>
          <w:b/>
          <w:color w:val="000000"/>
          <w:sz w:val="32"/>
          <w:szCs w:val="32"/>
        </w:rPr>
        <w:t>（二）政府采购支出情况</w:t>
      </w:r>
      <w:bookmarkEnd w:id="61"/>
    </w:p>
    <w:p>
      <w:pPr>
        <w:spacing w:line="600" w:lineRule="exact"/>
        <w:ind w:firstLine="640" w:firstLineChars="200"/>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62" w:name="_Toc15377224"/>
      <w:r>
        <w:rPr>
          <w:rFonts w:hint="eastAsia" w:ascii="仿宋_GB2312" w:hAnsi="仿宋_GB2312" w:eastAsia="仿宋_GB2312" w:cs="仿宋_GB2312"/>
          <w:b/>
          <w:color w:val="000000"/>
          <w:sz w:val="32"/>
          <w:szCs w:val="32"/>
        </w:rPr>
        <w:t>（三）国有资产占有使用情况</w:t>
      </w:r>
      <w:bookmarkEnd w:id="62"/>
    </w:p>
    <w:p>
      <w:pPr>
        <w:autoSpaceDE w:val="0"/>
        <w:autoSpaceDN w:val="0"/>
        <w:adjustRightInd w:val="0"/>
        <w:spacing w:line="60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截至2019年12月31日，</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共有车辆3辆，其中：主要领导干部用车0辆、机要通信用车0辆、应急保障用车0辆、其他用车3辆。其他用车主要是用于征地拆迁、精准扶贫、双创工作、农业技术推广、秸秆巡察、违建巡察、环境卫生整治、社会治安综合治理、维稳工作等，单价50万元以上通用设备0台（套），单价100万元以上专用设备0台（套）。</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根据预算绩效管理要求，峨眉山市绥山镇人民政府</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预旅双37高炮营专项经费、</w:t>
      </w:r>
      <w:r>
        <w:rPr>
          <w:rFonts w:hint="eastAsia" w:ascii="仿宋_GB2312" w:hAnsi="仿宋_GB2312" w:eastAsia="仿宋_GB2312" w:cs="仿宋_GB2312"/>
          <w:sz w:val="32"/>
          <w:szCs w:val="32"/>
        </w:rPr>
        <w:t>群团工作经费、</w:t>
      </w:r>
      <w:r>
        <w:rPr>
          <w:rFonts w:hint="eastAsia" w:ascii="仿宋_GB2312" w:hAnsi="仿宋_GB2312" w:eastAsia="仿宋_GB2312" w:cs="仿宋_GB2312"/>
          <w:sz w:val="32"/>
          <w:szCs w:val="32"/>
          <w:lang w:val="en-US" w:eastAsia="zh-CN"/>
        </w:rPr>
        <w:t>武警三大队补助经费、安川花海土地租金、镇政府办公楼租金、双创工作经费、大庙公墓人员经费、</w:t>
      </w:r>
      <w:r>
        <w:rPr>
          <w:rFonts w:hint="eastAsia" w:ascii="仿宋_GB2312" w:hAnsi="仿宋_GB2312" w:eastAsia="仿宋_GB2312" w:cs="仿宋_GB2312"/>
          <w:sz w:val="32"/>
          <w:szCs w:val="32"/>
        </w:rPr>
        <w:t>食品药品监管站工作经费、人武工作经费、乡镇人大经费、文广计工作经费、社会治安综合治理工作经费、</w:t>
      </w:r>
      <w:r>
        <w:rPr>
          <w:rFonts w:hint="eastAsia" w:ascii="仿宋_GB2312" w:hAnsi="仿宋_GB2312" w:eastAsia="仿宋_GB2312" w:cs="仿宋_GB2312"/>
          <w:sz w:val="32"/>
          <w:szCs w:val="32"/>
          <w:lang w:val="en-US" w:eastAsia="zh-CN"/>
        </w:rPr>
        <w:t>滨河路、白龙社区办公楼租金、</w:t>
      </w:r>
      <w:r>
        <w:rPr>
          <w:rFonts w:hint="eastAsia" w:ascii="仿宋_GB2312" w:hAnsi="仿宋_GB2312" w:eastAsia="仿宋_GB2312" w:cs="仿宋_GB2312"/>
          <w:sz w:val="32"/>
          <w:szCs w:val="32"/>
        </w:rPr>
        <w:t>基层组织活动和公共服务运行经费（社区）、城乡环保、环境综合整治专项经费、</w:t>
      </w:r>
      <w:r>
        <w:rPr>
          <w:rFonts w:hint="eastAsia" w:ascii="仿宋_GB2312" w:hAnsi="仿宋_GB2312" w:eastAsia="仿宋_GB2312" w:cs="仿宋_GB2312"/>
          <w:sz w:val="32"/>
          <w:szCs w:val="32"/>
          <w:lang w:val="en-US" w:eastAsia="zh-CN"/>
        </w:rPr>
        <w:t>雪花啤酒有限公司外水泵房经费、万寿宫老年日间照料中心租金、</w:t>
      </w:r>
      <w:r>
        <w:rPr>
          <w:rFonts w:hint="eastAsia" w:ascii="仿宋_GB2312" w:hAnsi="仿宋_GB2312" w:eastAsia="仿宋_GB2312" w:cs="仿宋_GB2312"/>
          <w:sz w:val="32"/>
          <w:szCs w:val="32"/>
        </w:rPr>
        <w:t>基层组织建设经费（含简易装修）、集镇公共设施运行维护经费、</w:t>
      </w:r>
      <w:r>
        <w:rPr>
          <w:rFonts w:hint="eastAsia" w:ascii="仿宋_GB2312" w:hAnsi="仿宋_GB2312" w:eastAsia="仿宋_GB2312" w:cs="仿宋_GB2312"/>
          <w:sz w:val="32"/>
          <w:szCs w:val="32"/>
          <w:lang w:val="en-US" w:eastAsia="zh-CN"/>
        </w:rPr>
        <w:t>安全监管（含道路交通）经费、</w:t>
      </w:r>
      <w:r>
        <w:rPr>
          <w:rFonts w:hint="eastAsia" w:ascii="仿宋_GB2312" w:hAnsi="仿宋_GB2312" w:eastAsia="仿宋_GB2312" w:cs="仿宋_GB2312"/>
          <w:sz w:val="32"/>
          <w:szCs w:val="32"/>
        </w:rPr>
        <w:t>镇乡交管办专项经费及劝导员补助经费、</w:t>
      </w:r>
      <w:r>
        <w:rPr>
          <w:rFonts w:hint="eastAsia" w:ascii="仿宋_GB2312" w:hAnsi="仿宋_GB2312" w:eastAsia="仿宋_GB2312" w:cs="仿宋_GB2312"/>
          <w:sz w:val="32"/>
          <w:szCs w:val="32"/>
          <w:lang w:val="en-US" w:eastAsia="zh-CN"/>
        </w:rPr>
        <w:t>大学生村官生活补助、</w:t>
      </w:r>
      <w:r>
        <w:rPr>
          <w:rFonts w:hint="eastAsia" w:ascii="仿宋_GB2312" w:hAnsi="仿宋_GB2312" w:eastAsia="仿宋_GB2312" w:cs="仿宋_GB2312"/>
          <w:sz w:val="32"/>
          <w:szCs w:val="32"/>
        </w:rPr>
        <w:t>基层组织活动和公共服务运行经费（村级）、</w:t>
      </w:r>
      <w:r>
        <w:rPr>
          <w:rFonts w:hint="eastAsia" w:ascii="仿宋_GB2312" w:hAnsi="仿宋_GB2312" w:eastAsia="仿宋_GB2312" w:cs="仿宋_GB2312"/>
          <w:sz w:val="32"/>
          <w:szCs w:val="32"/>
          <w:lang w:val="en-US" w:eastAsia="zh-CN"/>
        </w:rPr>
        <w:t>三支一扶人员生活补助、</w:t>
      </w:r>
      <w:r>
        <w:rPr>
          <w:rFonts w:hint="eastAsia" w:ascii="仿宋_GB2312" w:hAnsi="仿宋_GB2312" w:eastAsia="仿宋_GB2312" w:cs="仿宋_GB2312"/>
          <w:sz w:val="32"/>
          <w:szCs w:val="32"/>
        </w:rPr>
        <w:t>社区干部报酬、</w:t>
      </w:r>
      <w:r>
        <w:rPr>
          <w:rFonts w:hint="eastAsia" w:ascii="仿宋_GB2312" w:hAnsi="仿宋_GB2312" w:eastAsia="仿宋_GB2312" w:cs="仿宋_GB2312"/>
          <w:sz w:val="32"/>
          <w:szCs w:val="32"/>
          <w:lang w:val="en-US" w:eastAsia="zh-CN"/>
        </w:rPr>
        <w:t>自主择业军人医疗保险单位部分、村</w:t>
      </w:r>
      <w:r>
        <w:rPr>
          <w:rFonts w:hint="eastAsia" w:ascii="仿宋_GB2312" w:hAnsi="仿宋_GB2312" w:eastAsia="仿宋_GB2312" w:cs="仿宋_GB2312"/>
          <w:sz w:val="32"/>
          <w:szCs w:val="32"/>
        </w:rPr>
        <w:t>社干部报酬、2020年“互联网+精准扶贫代理记账”经费开展了预算事前绩效评估，对</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峨眉山市绥山镇人民政府按要求对2019</w:t>
      </w:r>
      <w:r>
        <w:rPr>
          <w:rFonts w:hint="eastAsia" w:ascii="仿宋_GB2312" w:hAnsi="仿宋_GB2312" w:eastAsia="仿宋_GB2312" w:cs="仿宋_GB2312"/>
          <w:sz w:val="32"/>
          <w:szCs w:val="32"/>
        </w:rPr>
        <w:t>年部门整体支出开展绩效自评，从评价情况来看我单位基本做到资金专项专用、项目支出资金拨付到位、资金分配合理，但还存在绩效监控制度不够完善、项目绩效评流程不够完善等问题。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峨眉山市绥山镇人民政府在2019</w:t>
      </w:r>
      <w:r>
        <w:rPr>
          <w:rFonts w:hint="eastAsia" w:ascii="仿宋_GB2312" w:hAnsi="仿宋_GB2312" w:eastAsia="仿宋_GB2312" w:cs="仿宋_GB2312"/>
          <w:sz w:val="32"/>
          <w:szCs w:val="32"/>
        </w:rPr>
        <w:t xml:space="preserve">年度部门决算中反映“集镇公共设施运维经费”、“ </w:t>
      </w:r>
      <w:r>
        <w:rPr>
          <w:rFonts w:hint="eastAsia" w:ascii="仿宋_GB2312" w:hAnsi="仿宋_GB2312" w:eastAsia="仿宋_GB2312" w:cs="仿宋_GB2312"/>
          <w:sz w:val="32"/>
          <w:szCs w:val="32"/>
        </w:rPr>
        <w:t>城乡环保、环境综合整治专项经费”、“</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lang w:val="en-US" w:eastAsia="zh-CN"/>
        </w:rPr>
        <w:t>双创</w:t>
      </w:r>
      <w:r>
        <w:rPr>
          <w:rFonts w:hint="eastAsia" w:ascii="仿宋_GB2312" w:hAnsi="仿宋_GB2312" w:eastAsia="仿宋_GB2312" w:cs="仿宋_GB2312"/>
          <w:sz w:val="32"/>
          <w:szCs w:val="32"/>
        </w:rPr>
        <w:t>工作经费”、等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）集镇公共设施运维经费项目绩效目标完成情况综述。目全年预算数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rPr>
        <w:t>。通过项目实施，我镇集镇农贸市场，车辆摆放规范，之前散乱脏的现象得到了有效整治，及时完成集镇其他地方散乱垃圾的清理及转运、涵洞整治等。集镇公共设施运维的实施有效改善集镇环境，促进区域经济发展，受到群众的一致好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）城乡环保、环境综合整治专项经费项目绩效目标完成情况综述。项目全年预算数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我镇环境优美，</w:t>
      </w:r>
      <w:r>
        <w:rPr>
          <w:rFonts w:hint="eastAsia" w:ascii="仿宋_GB2312" w:hAnsi="仿宋_GB2312" w:eastAsia="仿宋_GB2312" w:cs="仿宋_GB2312"/>
          <w:sz w:val="32"/>
          <w:szCs w:val="32"/>
        </w:rPr>
        <w:t>让广大群众有一个优美整洁的工作、生活、居住环境。</w:t>
      </w:r>
    </w:p>
    <w:p>
      <w:pPr>
        <w:adjustRightInd w:val="0"/>
        <w:snapToGrid w:val="0"/>
        <w:spacing w:line="600" w:lineRule="exact"/>
        <w:ind w:firstLine="720"/>
        <w:rPr>
          <w:rFonts w:hint="eastAsia" w:ascii="仿宋_GB2312" w:hAnsi="仿宋_GB2312" w:eastAsia="仿宋_GB2312" w:cs="仿宋_GB2312"/>
          <w:b/>
          <w:lang w:val="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双创</w:t>
      </w:r>
      <w:r>
        <w:rPr>
          <w:rFonts w:hint="eastAsia" w:ascii="仿宋_GB2312" w:hAnsi="仿宋_GB2312" w:eastAsia="仿宋_GB2312" w:cs="仿宋_GB2312"/>
          <w:sz w:val="32"/>
          <w:szCs w:val="32"/>
        </w:rPr>
        <w:t>工作经费项目绩效目标完成情况综述。项目全年预算数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shd w:val="clear" w:color="auto" w:fill="FFFFFF"/>
        </w:rPr>
        <w:t>集贸市场周边卫生环境整洁，市场周边经营秩序良好，消除了病媒生物孳生</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提高了城市环境质量和居民群众的卫生意识，提高了居民群众</w:t>
      </w:r>
      <w:r>
        <w:rPr>
          <w:rFonts w:hint="eastAsia" w:ascii="仿宋_GB2312" w:hAnsi="仿宋_GB2312" w:eastAsia="仿宋_GB2312" w:cs="仿宋_GB2312"/>
          <w:sz w:val="28"/>
          <w:szCs w:val="28"/>
        </w:rPr>
        <w:t>身体健康水平，加速经济发展和社会进步而努力</w:t>
      </w:r>
      <w:r>
        <w:rPr>
          <w:rFonts w:hint="eastAsia" w:ascii="仿宋_GB2312" w:hAnsi="仿宋_GB2312" w:eastAsia="仿宋_GB2312" w:cs="仿宋_GB2312"/>
          <w:lang w:val="zh-CN"/>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77" w:type="dxa"/>
        <w:tblInd w:w="0" w:type="dxa"/>
        <w:tblLayout w:type="fixed"/>
        <w:tblCellMar>
          <w:top w:w="0" w:type="dxa"/>
          <w:left w:w="0" w:type="dxa"/>
          <w:bottom w:w="0" w:type="dxa"/>
          <w:right w:w="0" w:type="dxa"/>
        </w:tblCellMar>
      </w:tblPr>
      <w:tblGrid>
        <w:gridCol w:w="391"/>
        <w:gridCol w:w="1369"/>
        <w:gridCol w:w="1027"/>
        <w:gridCol w:w="2478"/>
        <w:gridCol w:w="2316"/>
        <w:gridCol w:w="2396"/>
      </w:tblGrid>
      <w:tr>
        <w:tblPrEx>
          <w:tblCellMar>
            <w:top w:w="0" w:type="dxa"/>
            <w:left w:w="0" w:type="dxa"/>
            <w:bottom w:w="0" w:type="dxa"/>
            <w:right w:w="0" w:type="dxa"/>
          </w:tblCellMar>
        </w:tblPrEx>
        <w:trPr>
          <w:trHeight w:val="1041" w:hRule="atLeast"/>
        </w:trPr>
        <w:tc>
          <w:tcPr>
            <w:tcW w:w="9977"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集镇公共设施运维经费项目</w:t>
            </w:r>
          </w:p>
        </w:tc>
      </w:tr>
      <w:tr>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峨眉山市</w:t>
            </w:r>
            <w:r>
              <w:rPr>
                <w:rFonts w:hint="eastAsia" w:ascii="宋体" w:cs="宋体"/>
                <w:color w:val="000000"/>
                <w:sz w:val="24"/>
                <w:lang w:val="en-US" w:eastAsia="zh-CN"/>
              </w:rPr>
              <w:t>绥山</w:t>
            </w:r>
            <w:r>
              <w:rPr>
                <w:rFonts w:hint="eastAsia" w:ascii="宋体" w:cs="宋体"/>
                <w:color w:val="000000"/>
                <w:sz w:val="24"/>
              </w:rPr>
              <w:t>镇人民政府</w:t>
            </w:r>
          </w:p>
        </w:tc>
      </w:tr>
      <w:tr>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w:t>
            </w:r>
            <w:r>
              <w:rPr>
                <w:rFonts w:hint="eastAsia" w:ascii="宋体" w:cs="宋体"/>
                <w:color w:val="000000"/>
                <w:sz w:val="24"/>
              </w:rPr>
              <w:t>万元</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w:t>
            </w:r>
            <w:r>
              <w:rPr>
                <w:rFonts w:hint="eastAsia" w:ascii="宋体" w:cs="宋体"/>
                <w:color w:val="000000"/>
                <w:sz w:val="24"/>
              </w:rPr>
              <w:t>万元</w:t>
            </w:r>
          </w:p>
        </w:tc>
      </w:tr>
      <w:tr>
        <w:tblPrEx>
          <w:tblCellMar>
            <w:top w:w="0" w:type="dxa"/>
            <w:left w:w="0" w:type="dxa"/>
            <w:bottom w:w="0" w:type="dxa"/>
            <w:right w:w="0" w:type="dxa"/>
          </w:tblCellMar>
        </w:tblPrEx>
        <w:trPr>
          <w:trHeight w:val="27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w:t>
            </w:r>
            <w:r>
              <w:rPr>
                <w:rFonts w:hint="eastAsia" w:ascii="宋体" w:cs="宋体"/>
                <w:color w:val="000000"/>
                <w:sz w:val="24"/>
              </w:rPr>
              <w:t>万元</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10</w:t>
            </w:r>
            <w:r>
              <w:rPr>
                <w:rFonts w:hint="eastAsia" w:ascii="宋体" w:cs="宋体"/>
                <w:color w:val="000000"/>
                <w:sz w:val="24"/>
              </w:rPr>
              <w:t>万元</w:t>
            </w:r>
          </w:p>
        </w:tc>
      </w:tr>
      <w:tr>
        <w:tblPrEx>
          <w:tblCellMar>
            <w:top w:w="0" w:type="dxa"/>
            <w:left w:w="0" w:type="dxa"/>
            <w:bottom w:w="0" w:type="dxa"/>
            <w:right w:w="0" w:type="dxa"/>
          </w:tblCellMar>
        </w:tblPrEx>
        <w:trPr>
          <w:trHeight w:val="1522"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67"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0" w:firstLineChars="200"/>
              <w:textAlignment w:val="center"/>
              <w:rPr>
                <w:rFonts w:ascii="宋体" w:cs="宋体"/>
                <w:color w:val="000000"/>
                <w:sz w:val="24"/>
              </w:rPr>
            </w:pPr>
            <w:r>
              <w:rPr>
                <w:rFonts w:hint="eastAsia" w:ascii="宋体" w:cs="宋体"/>
                <w:color w:val="000000"/>
                <w:sz w:val="24"/>
              </w:rPr>
              <w:t>全面保障全镇范围内公共设施的维护、修理与更换，保障集镇范围内的秩序，维护群众的根本利益。</w:t>
            </w:r>
          </w:p>
        </w:tc>
        <w:tc>
          <w:tcPr>
            <w:tcW w:w="47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0" w:firstLineChars="200"/>
              <w:textAlignment w:val="center"/>
              <w:rPr>
                <w:rFonts w:ascii="宋体" w:cs="宋体"/>
                <w:color w:val="000000"/>
                <w:sz w:val="24"/>
              </w:rPr>
            </w:pPr>
            <w:r>
              <w:rPr>
                <w:rFonts w:hint="eastAsia" w:ascii="宋体" w:cs="宋体"/>
                <w:color w:val="000000"/>
                <w:sz w:val="24"/>
              </w:rPr>
              <w:t>全面保障全镇范围内公共设施的维护、修理与更换，保障集镇范围内的秩序，维护群众的根本利益。</w:t>
            </w:r>
          </w:p>
        </w:tc>
      </w:tr>
      <w:tr>
        <w:tblPrEx>
          <w:tblCellMar>
            <w:top w:w="0" w:type="dxa"/>
            <w:left w:w="0" w:type="dxa"/>
            <w:bottom w:w="0" w:type="dxa"/>
            <w:right w:w="0" w:type="dxa"/>
          </w:tblCellMar>
        </w:tblPrEx>
        <w:trPr>
          <w:trHeight w:val="1049" w:hRule="atLeast"/>
        </w:trPr>
        <w:tc>
          <w:tcPr>
            <w:tcW w:w="3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84"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47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完成集镇农贸市场片区的巡逻</w:t>
            </w:r>
          </w:p>
        </w:tc>
        <w:tc>
          <w:tcPr>
            <w:tcW w:w="23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每天对集镇农贸市场片区进行巡逻</w:t>
            </w:r>
          </w:p>
        </w:tc>
        <w:tc>
          <w:tcPr>
            <w:tcW w:w="23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每天对集镇农贸市场片区进行巡逻</w:t>
            </w:r>
          </w:p>
        </w:tc>
      </w:tr>
      <w:tr>
        <w:tblPrEx>
          <w:tblCellMar>
            <w:top w:w="0" w:type="dxa"/>
            <w:left w:w="0" w:type="dxa"/>
            <w:bottom w:w="0" w:type="dxa"/>
            <w:right w:w="0" w:type="dxa"/>
          </w:tblCellMar>
        </w:tblPrEx>
        <w:trPr>
          <w:trHeight w:val="766"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47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cs="宋体"/>
                <w:color w:val="000000"/>
                <w:sz w:val="24"/>
              </w:rPr>
            </w:pPr>
            <w:r>
              <w:rPr>
                <w:rFonts w:hint="eastAsia" w:ascii="宋体" w:cs="宋体"/>
                <w:color w:val="000000"/>
                <w:sz w:val="24"/>
              </w:rPr>
              <w:t>完成集镇公共设施的维护</w:t>
            </w:r>
          </w:p>
        </w:tc>
        <w:tc>
          <w:tcPr>
            <w:tcW w:w="23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cs="宋体"/>
                <w:color w:val="000000"/>
                <w:sz w:val="24"/>
              </w:rPr>
            </w:pPr>
            <w:r>
              <w:rPr>
                <w:rFonts w:hint="eastAsia" w:ascii="宋体" w:cs="宋体"/>
                <w:color w:val="000000"/>
                <w:sz w:val="24"/>
              </w:rPr>
              <w:t>及时完成集镇其他地方散乱垃圾的清理及转运、涵洞整治、公共厕所清理等</w:t>
            </w:r>
          </w:p>
        </w:tc>
        <w:tc>
          <w:tcPr>
            <w:tcW w:w="239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cs="宋体"/>
                <w:color w:val="000000"/>
                <w:sz w:val="24"/>
              </w:rPr>
            </w:pPr>
            <w:r>
              <w:rPr>
                <w:rFonts w:hint="eastAsia" w:ascii="宋体" w:cs="宋体"/>
                <w:color w:val="000000"/>
                <w:sz w:val="24"/>
              </w:rPr>
              <w:t>及时完成集镇其他地方散乱垃圾的清理及转运、涵洞整治、公共厕所清理等</w:t>
            </w:r>
          </w:p>
        </w:tc>
      </w:tr>
      <w:tr>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cs="宋体"/>
                <w:color w:val="000000"/>
                <w:sz w:val="24"/>
              </w:rPr>
            </w:pPr>
            <w:r>
              <w:rPr>
                <w:rFonts w:hint="eastAsia" w:ascii="宋体" w:cs="宋体"/>
                <w:color w:val="000000"/>
                <w:sz w:val="24"/>
              </w:rPr>
              <w:t>确保每次巡逻要整顿摊位，公共设施维护到位</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确保每次巡逻要整顿摊位，公共设施维护到位</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确保每次巡逻要整顿摊位，公共设施维护到位</w:t>
            </w:r>
          </w:p>
        </w:tc>
      </w:tr>
      <w:tr>
        <w:tblPrEx>
          <w:tblCellMar>
            <w:top w:w="0" w:type="dxa"/>
            <w:left w:w="0" w:type="dxa"/>
            <w:bottom w:w="0" w:type="dxa"/>
            <w:right w:w="0" w:type="dxa"/>
          </w:tblCellMar>
        </w:tblPrEx>
        <w:trPr>
          <w:trHeight w:val="1057"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人民生活生产井井有条，集镇秩序良好</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保障群众利益，满意度大于</w:t>
            </w:r>
            <w:r>
              <w:rPr>
                <w:rFonts w:ascii="宋体" w:cs="宋体"/>
                <w:color w:val="000000"/>
                <w:sz w:val="24"/>
              </w:rPr>
              <w:t>95%</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满意度大于</w:t>
            </w:r>
            <w:r>
              <w:rPr>
                <w:rFonts w:ascii="宋体" w:cs="宋体"/>
                <w:color w:val="000000"/>
                <w:sz w:val="24"/>
              </w:rPr>
              <w:t>96%</w:t>
            </w:r>
          </w:p>
        </w:tc>
      </w:tr>
    </w:tbl>
    <w:p>
      <w:pPr>
        <w:spacing w:line="580" w:lineRule="exact"/>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77" w:type="dxa"/>
        <w:jc w:val="center"/>
        <w:tblLayout w:type="fixed"/>
        <w:tblCellMar>
          <w:top w:w="0" w:type="dxa"/>
          <w:left w:w="0" w:type="dxa"/>
          <w:bottom w:w="0" w:type="dxa"/>
          <w:right w:w="0" w:type="dxa"/>
        </w:tblCellMar>
      </w:tblPr>
      <w:tblGrid>
        <w:gridCol w:w="391"/>
        <w:gridCol w:w="1369"/>
        <w:gridCol w:w="1027"/>
        <w:gridCol w:w="2396"/>
        <w:gridCol w:w="2398"/>
        <w:gridCol w:w="2396"/>
      </w:tblGrid>
      <w:tr>
        <w:tblPrEx>
          <w:tblCellMar>
            <w:top w:w="0" w:type="dxa"/>
            <w:left w:w="0" w:type="dxa"/>
            <w:bottom w:w="0" w:type="dxa"/>
            <w:right w:w="0" w:type="dxa"/>
          </w:tblCellMar>
        </w:tblPrEx>
        <w:trPr>
          <w:trHeight w:val="1041" w:hRule="atLeast"/>
          <w:jc w:val="center"/>
        </w:trPr>
        <w:tc>
          <w:tcPr>
            <w:tcW w:w="9977"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城乡环保、环境综合整治专项经费</w:t>
            </w:r>
          </w:p>
        </w:tc>
      </w:tr>
      <w:tr>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峨眉山市</w:t>
            </w:r>
            <w:r>
              <w:rPr>
                <w:rFonts w:hint="eastAsia" w:ascii="宋体" w:cs="宋体"/>
                <w:color w:val="000000"/>
                <w:sz w:val="24"/>
                <w:lang w:val="en-US" w:eastAsia="zh-CN"/>
              </w:rPr>
              <w:t>绥山</w:t>
            </w:r>
            <w:r>
              <w:rPr>
                <w:rFonts w:hint="eastAsia" w:ascii="宋体" w:cs="宋体"/>
                <w:color w:val="000000"/>
                <w:sz w:val="24"/>
              </w:rPr>
              <w:t>镇人民政府</w:t>
            </w:r>
          </w:p>
        </w:tc>
      </w:tr>
      <w:tr>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30</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30</w:t>
            </w:r>
            <w:r>
              <w:rPr>
                <w:rFonts w:hint="eastAsia" w:ascii="宋体" w:cs="宋体"/>
                <w:color w:val="000000"/>
                <w:sz w:val="24"/>
              </w:rPr>
              <w:t>万元</w:t>
            </w:r>
          </w:p>
        </w:tc>
      </w:tr>
      <w:tr>
        <w:tblPrEx>
          <w:tblCellMar>
            <w:top w:w="0" w:type="dxa"/>
            <w:left w:w="0" w:type="dxa"/>
            <w:bottom w:w="0" w:type="dxa"/>
            <w:right w:w="0" w:type="dxa"/>
          </w:tblCellMar>
        </w:tblPrEx>
        <w:trPr>
          <w:trHeight w:val="27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30</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30</w:t>
            </w:r>
            <w:r>
              <w:rPr>
                <w:rFonts w:hint="eastAsia" w:ascii="宋体" w:cs="宋体"/>
                <w:color w:val="000000"/>
                <w:sz w:val="24"/>
              </w:rPr>
              <w:t>万元</w:t>
            </w:r>
          </w:p>
        </w:tc>
      </w:tr>
      <w:tr>
        <w:tblPrEx>
          <w:tblCellMar>
            <w:top w:w="0" w:type="dxa"/>
            <w:left w:w="0" w:type="dxa"/>
            <w:bottom w:w="0" w:type="dxa"/>
            <w:right w:w="0" w:type="dxa"/>
          </w:tblCellMar>
        </w:tblPrEx>
        <w:trPr>
          <w:trHeight w:val="1522"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67"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完成2019年全镇城乡环境环卫设施建设，为全镇营造良好的生活环境</w:t>
            </w:r>
          </w:p>
        </w:tc>
        <w:tc>
          <w:tcPr>
            <w:tcW w:w="47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完成2019年全镇城乡环境环卫设施建设，为全镇营造良好的生活环境</w:t>
            </w:r>
          </w:p>
        </w:tc>
      </w:tr>
      <w:tr>
        <w:tblPrEx>
          <w:tblCellMar>
            <w:top w:w="0" w:type="dxa"/>
            <w:left w:w="0" w:type="dxa"/>
            <w:bottom w:w="0" w:type="dxa"/>
            <w:right w:w="0" w:type="dxa"/>
          </w:tblCellMar>
        </w:tblPrEx>
        <w:trPr>
          <w:trHeight w:val="1049" w:hRule="atLeast"/>
          <w:jc w:val="center"/>
        </w:trPr>
        <w:tc>
          <w:tcPr>
            <w:tcW w:w="3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镇域范围内大型垃圾清理维修。</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镇域范围内大型垃圾清理维修垃圾池。</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镇域范围内大型垃圾清理维修垃圾池。</w:t>
            </w:r>
          </w:p>
        </w:tc>
      </w:tr>
      <w:tr>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镇域范围内垃圾清除率100%破旧垃圾桶更换率100%垃圾池维护率100%垃圾池门安装率100%</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镇域范围内垃圾清除率100%破旧垃圾桶更换率100%垃圾池维护率100%垃圾池门安装率100%</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镇域范围内垃圾清除率100%破旧垃圾桶更换率100%垃圾池维护率100%涵洞整治率100%垃圾池门安装率100%</w:t>
            </w:r>
          </w:p>
        </w:tc>
      </w:tr>
      <w:tr>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生态效益指标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改善生活生产环境质量，便于群众生活，环境质量提高</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改善生活生产环境质量，便于群众生活，环境质量提高</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b/>
                <w:color w:val="000000"/>
                <w:sz w:val="24"/>
              </w:rPr>
            </w:pPr>
            <w:r>
              <w:rPr>
                <w:rFonts w:hint="eastAsia" w:ascii="宋体" w:cs="宋体"/>
                <w:color w:val="000000"/>
                <w:sz w:val="24"/>
              </w:rPr>
              <w:t>改善生活生产环境质量，便于群众生活，环境质量提高</w:t>
            </w:r>
          </w:p>
        </w:tc>
      </w:tr>
      <w:tr>
        <w:tblPrEx>
          <w:tblCellMar>
            <w:top w:w="0" w:type="dxa"/>
            <w:left w:w="0" w:type="dxa"/>
            <w:bottom w:w="0" w:type="dxa"/>
            <w:right w:w="0" w:type="dxa"/>
          </w:tblCellMar>
        </w:tblPrEx>
        <w:trPr>
          <w:trHeight w:val="910"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群众满意</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r>
    </w:tbl>
    <w:tbl>
      <w:tblPr>
        <w:tblStyle w:val="13"/>
        <w:tblpPr w:leftFromText="180" w:rightFromText="180" w:vertAnchor="text" w:horzAnchor="margin" w:tblpXSpec="center" w:tblpY="313"/>
        <w:tblOverlap w:val="never"/>
        <w:tblW w:w="9977" w:type="dxa"/>
        <w:tblInd w:w="0" w:type="dxa"/>
        <w:tblLayout w:type="fixed"/>
        <w:tblCellMar>
          <w:top w:w="0" w:type="dxa"/>
          <w:left w:w="0" w:type="dxa"/>
          <w:bottom w:w="0" w:type="dxa"/>
          <w:right w:w="0" w:type="dxa"/>
        </w:tblCellMar>
      </w:tblPr>
      <w:tblGrid>
        <w:gridCol w:w="391"/>
        <w:gridCol w:w="1369"/>
        <w:gridCol w:w="1027"/>
        <w:gridCol w:w="2396"/>
        <w:gridCol w:w="2398"/>
        <w:gridCol w:w="2396"/>
      </w:tblGrid>
      <w:tr>
        <w:tblPrEx>
          <w:tblCellMar>
            <w:top w:w="0" w:type="dxa"/>
            <w:left w:w="0" w:type="dxa"/>
            <w:bottom w:w="0" w:type="dxa"/>
            <w:right w:w="0" w:type="dxa"/>
          </w:tblCellMar>
        </w:tblPrEx>
        <w:trPr>
          <w:trHeight w:val="1041" w:hRule="atLeast"/>
        </w:trPr>
        <w:tc>
          <w:tcPr>
            <w:tcW w:w="9977"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val="en-US" w:eastAsia="zh-CN"/>
              </w:rPr>
              <w:t>双创</w:t>
            </w:r>
            <w:r>
              <w:rPr>
                <w:rFonts w:hint="eastAsia" w:ascii="仿宋_GB2312" w:hAnsi="仿宋_GB2312" w:eastAsia="仿宋_GB2312" w:cs="仿宋_GB2312"/>
                <w:sz w:val="32"/>
                <w:szCs w:val="32"/>
              </w:rPr>
              <w:t>工作经费</w:t>
            </w:r>
          </w:p>
        </w:tc>
      </w:tr>
      <w:tr>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峨眉山市</w:t>
            </w:r>
            <w:r>
              <w:rPr>
                <w:rFonts w:hint="eastAsia" w:ascii="宋体" w:cs="宋体"/>
                <w:color w:val="000000"/>
                <w:sz w:val="24"/>
                <w:lang w:val="en-US" w:eastAsia="zh-CN"/>
              </w:rPr>
              <w:t>绥山</w:t>
            </w:r>
            <w:r>
              <w:rPr>
                <w:rFonts w:hint="eastAsia" w:ascii="宋体" w:cs="宋体"/>
                <w:color w:val="000000"/>
                <w:sz w:val="24"/>
              </w:rPr>
              <w:t>镇人民政府</w:t>
            </w:r>
          </w:p>
        </w:tc>
      </w:tr>
      <w:tr>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5</w:t>
            </w:r>
            <w:r>
              <w:rPr>
                <w:rFonts w:hint="eastAsia" w:ascii="宋体" w:cs="宋体"/>
                <w:color w:val="000000"/>
                <w:sz w:val="24"/>
              </w:rPr>
              <w:t>万元</w:t>
            </w:r>
          </w:p>
        </w:tc>
      </w:tr>
      <w:tr>
        <w:tblPrEx>
          <w:tblCellMar>
            <w:top w:w="0" w:type="dxa"/>
            <w:left w:w="0" w:type="dxa"/>
            <w:bottom w:w="0" w:type="dxa"/>
            <w:right w:w="0" w:type="dxa"/>
          </w:tblCellMar>
        </w:tblPrEx>
        <w:trPr>
          <w:trHeight w:val="27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5</w:t>
            </w:r>
            <w:r>
              <w:rPr>
                <w:rFonts w:hint="eastAsia" w:ascii="宋体" w:cs="宋体"/>
                <w:color w:val="000000"/>
                <w:sz w:val="24"/>
              </w:rPr>
              <w:t>万元</w:t>
            </w:r>
          </w:p>
        </w:tc>
      </w:tr>
      <w:tr>
        <w:tblPrEx>
          <w:tblCellMar>
            <w:top w:w="0" w:type="dxa"/>
            <w:left w:w="0" w:type="dxa"/>
            <w:bottom w:w="0" w:type="dxa"/>
            <w:right w:w="0" w:type="dxa"/>
          </w:tblCellMar>
        </w:tblPrEx>
        <w:trPr>
          <w:trHeight w:val="1522"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67"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sz w:val="24"/>
                <w:szCs w:val="24"/>
              </w:rPr>
              <w:t>组织开展爱卫、创卫和除害防病工作，把“四害”密度控制在国家标准范围内，给居民群众创造一个干净、整洁、卫生、舒适的工作和生活环境</w:t>
            </w:r>
            <w:r>
              <w:rPr>
                <w:rFonts w:hint="eastAsia" w:ascii="仿宋_GB2312" w:hAnsi="宋体"/>
                <w:sz w:val="24"/>
                <w:szCs w:val="24"/>
                <w:lang w:val="zh-CN"/>
              </w:rPr>
              <w:t>。</w:t>
            </w:r>
          </w:p>
        </w:tc>
        <w:tc>
          <w:tcPr>
            <w:tcW w:w="47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增</w:t>
            </w:r>
            <w:r>
              <w:rPr>
                <w:rFonts w:hint="eastAsia"/>
                <w:sz w:val="24"/>
                <w:szCs w:val="24"/>
              </w:rPr>
              <w:t>组织开展爱卫、创卫和除害防病工作，把“四害”密度控制在国家标准范围内，给居民群众创造一个干净、整洁、卫生、舒适的工作和生活环境</w:t>
            </w:r>
            <w:r>
              <w:rPr>
                <w:rFonts w:hint="eastAsia" w:ascii="仿宋_GB2312" w:hAnsi="宋体"/>
                <w:sz w:val="24"/>
                <w:szCs w:val="24"/>
                <w:lang w:val="zh-CN"/>
              </w:rPr>
              <w:t>。</w:t>
            </w:r>
            <w:r>
              <w:rPr>
                <w:rFonts w:hint="eastAsia" w:ascii="宋体" w:cs="宋体"/>
                <w:color w:val="000000"/>
                <w:sz w:val="24"/>
              </w:rPr>
              <w:t>。</w:t>
            </w:r>
          </w:p>
        </w:tc>
      </w:tr>
      <w:tr>
        <w:tblPrEx>
          <w:tblCellMar>
            <w:top w:w="0" w:type="dxa"/>
            <w:left w:w="0" w:type="dxa"/>
            <w:bottom w:w="0" w:type="dxa"/>
            <w:right w:w="0" w:type="dxa"/>
          </w:tblCellMar>
        </w:tblPrEx>
        <w:trPr>
          <w:trHeight w:val="1049" w:hRule="atLeast"/>
        </w:trPr>
        <w:tc>
          <w:tcPr>
            <w:tcW w:w="3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sz w:val="24"/>
                <w:szCs w:val="24"/>
              </w:rPr>
              <w:t>清理“牛皮癣”约3000张，清运垃圾约100吨</w:t>
            </w:r>
            <w:r>
              <w:rPr>
                <w:rFonts w:hint="eastAsia"/>
                <w:sz w:val="24"/>
                <w:szCs w:val="24"/>
                <w:lang w:eastAsia="zh-CN"/>
              </w:rPr>
              <w:t>，</w:t>
            </w:r>
            <w:r>
              <w:rPr>
                <w:rFonts w:hint="eastAsia"/>
                <w:sz w:val="24"/>
                <w:szCs w:val="24"/>
              </w:rPr>
              <w:t>共发放约200公斤灭鼠药，对老鼠进行灭杀。</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eastAsia="宋体" w:cs="宋体"/>
                <w:color w:val="000000"/>
                <w:sz w:val="24"/>
                <w:lang w:eastAsia="zh-CN"/>
              </w:rPr>
            </w:pPr>
            <w:r>
              <w:rPr>
                <w:rFonts w:hint="eastAsia"/>
                <w:sz w:val="24"/>
                <w:szCs w:val="24"/>
              </w:rPr>
              <w:t>清理“牛皮癣”约3000张，清运垃圾约100吨</w:t>
            </w:r>
            <w:r>
              <w:rPr>
                <w:rFonts w:hint="eastAsia"/>
                <w:sz w:val="24"/>
                <w:szCs w:val="24"/>
                <w:lang w:eastAsia="zh-CN"/>
              </w:rPr>
              <w:t>，</w:t>
            </w:r>
            <w:r>
              <w:rPr>
                <w:rFonts w:hint="eastAsia"/>
                <w:sz w:val="24"/>
                <w:szCs w:val="24"/>
              </w:rPr>
              <w:t>共发放约200公斤灭鼠药，对老鼠进行灭杀</w:t>
            </w:r>
            <w:r>
              <w:rPr>
                <w:rFonts w:hint="eastAsia"/>
                <w:sz w:val="24"/>
                <w:szCs w:val="24"/>
                <w:lang w:eastAsia="zh-CN"/>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eastAsia="宋体" w:cs="宋体"/>
                <w:color w:val="000000"/>
                <w:sz w:val="24"/>
                <w:lang w:eastAsia="zh-CN"/>
              </w:rPr>
            </w:pPr>
            <w:r>
              <w:rPr>
                <w:rFonts w:hint="eastAsia"/>
                <w:sz w:val="24"/>
                <w:szCs w:val="24"/>
              </w:rPr>
              <w:t>清理“牛皮癣”约3000张，清运垃圾约100吨</w:t>
            </w:r>
            <w:r>
              <w:rPr>
                <w:rFonts w:hint="eastAsia"/>
                <w:sz w:val="24"/>
                <w:szCs w:val="24"/>
                <w:lang w:eastAsia="zh-CN"/>
              </w:rPr>
              <w:t>，</w:t>
            </w:r>
            <w:r>
              <w:rPr>
                <w:rFonts w:hint="eastAsia"/>
                <w:sz w:val="24"/>
                <w:szCs w:val="24"/>
              </w:rPr>
              <w:t>共发放约200公斤灭鼠药，对老鼠进行灭杀</w:t>
            </w:r>
            <w:r>
              <w:rPr>
                <w:rFonts w:hint="eastAsia"/>
                <w:sz w:val="24"/>
                <w:szCs w:val="24"/>
                <w:lang w:eastAsia="zh-CN"/>
              </w:rPr>
              <w:t>。</w:t>
            </w:r>
          </w:p>
        </w:tc>
      </w:tr>
      <w:tr>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Theme="majorEastAsia" w:hAnsiTheme="majorEastAsia" w:eastAsiaTheme="majorEastAsia" w:cstheme="majorEastAsia"/>
                <w:color w:val="000000"/>
                <w:sz w:val="24"/>
                <w:szCs w:val="24"/>
                <w:shd w:val="clear" w:color="auto" w:fill="FFFFFF"/>
              </w:rPr>
              <w:t>集贸市场周边卫生环境整洁，市场周边经营秩序良好，消除了病媒生物孳生</w:t>
            </w:r>
            <w:r>
              <w:rPr>
                <w:rFonts w:hint="eastAsia" w:asciiTheme="majorEastAsia" w:hAnsiTheme="majorEastAsia" w:eastAsiaTheme="majorEastAsia" w:cstheme="majorEastAsia"/>
                <w:lang w:val="zh-CN"/>
              </w:rPr>
              <w:t>。</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Theme="majorEastAsia" w:hAnsiTheme="majorEastAsia" w:eastAsiaTheme="majorEastAsia" w:cstheme="majorEastAsia"/>
                <w:color w:val="000000"/>
                <w:sz w:val="24"/>
                <w:szCs w:val="24"/>
                <w:shd w:val="clear" w:color="auto" w:fill="FFFFFF"/>
              </w:rPr>
              <w:t>集贸市场周边卫生环境整洁，市场周边经营秩序良好，消除了病媒生物孳生</w:t>
            </w:r>
            <w:r>
              <w:rPr>
                <w:rFonts w:hint="eastAsia" w:asciiTheme="majorEastAsia" w:hAnsiTheme="majorEastAsia" w:eastAsiaTheme="majorEastAsia" w:cstheme="majorEastAsia"/>
                <w:lang w:val="zh-CN"/>
              </w:rPr>
              <w:t>。</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Theme="majorEastAsia" w:hAnsiTheme="majorEastAsia" w:eastAsiaTheme="majorEastAsia" w:cstheme="majorEastAsia"/>
                <w:color w:val="000000"/>
                <w:sz w:val="24"/>
                <w:szCs w:val="24"/>
                <w:shd w:val="clear" w:color="auto" w:fill="FFFFFF"/>
              </w:rPr>
              <w:t>集贸市场周边卫生环境整洁，市场周边经营秩序良好，消除了病媒生物孳生</w:t>
            </w:r>
            <w:r>
              <w:rPr>
                <w:rFonts w:hint="eastAsia" w:asciiTheme="majorEastAsia" w:hAnsiTheme="majorEastAsia" w:eastAsiaTheme="majorEastAsia" w:cstheme="majorEastAsia"/>
                <w:lang w:val="zh-CN"/>
              </w:rPr>
              <w:t>。</w:t>
            </w:r>
          </w:p>
        </w:tc>
      </w:tr>
      <w:tr>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生态效益指标</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rPr>
                <w:rFonts w:ascii="仿宋_GB2312" w:hAnsi="宋体"/>
                <w:lang w:val="zh-CN"/>
              </w:rPr>
            </w:pPr>
            <w:r>
              <w:rPr>
                <w:rFonts w:hint="eastAsia"/>
                <w:sz w:val="24"/>
                <w:szCs w:val="24"/>
              </w:rPr>
              <w:t>把“四害”密度控制在国家标准范围内</w:t>
            </w:r>
          </w:p>
          <w:p>
            <w:pPr>
              <w:widowControl/>
              <w:textAlignment w:val="center"/>
              <w:rPr>
                <w:rFonts w:ascii="宋体" w:cs="宋体"/>
                <w:color w:val="000000"/>
                <w:sz w:val="24"/>
              </w:rPr>
            </w:pP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sz w:val="24"/>
                <w:szCs w:val="24"/>
              </w:rPr>
              <w:t>把“四害”密度控制在国家标准范围内</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sz w:val="24"/>
                <w:szCs w:val="24"/>
              </w:rPr>
              <w:t>把“四害”密度控制在国家标准范围内</w:t>
            </w:r>
          </w:p>
        </w:tc>
      </w:tr>
      <w:tr>
        <w:tblPrEx>
          <w:tblCellMar>
            <w:top w:w="0" w:type="dxa"/>
            <w:left w:w="0" w:type="dxa"/>
            <w:bottom w:w="0" w:type="dxa"/>
            <w:right w:w="0" w:type="dxa"/>
          </w:tblCellMar>
        </w:tblPrEx>
        <w:trPr>
          <w:trHeight w:val="1057" w:hRule="atLeast"/>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群众满意</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峨眉山市绥山镇人民政府按要求对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年部门整体支出绩效评价情况开展自评，《峨眉山市绥山镇人民政府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双创工作经费</w:t>
      </w:r>
      <w:r>
        <w:rPr>
          <w:rFonts w:hint="eastAsia" w:ascii="仿宋_GB2312" w:hAnsi="仿宋_GB2312" w:eastAsia="仿宋_GB2312" w:cs="仿宋_GB2312"/>
          <w:sz w:val="32"/>
          <w:szCs w:val="32"/>
        </w:rPr>
        <w:t>项目开展了绩效评价，《峨眉山市绥山镇</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18"/>
          <w:rFonts w:ascii="黑体" w:hAnsi="黑体" w:eastAsia="黑体"/>
          <w:b w:val="0"/>
        </w:rPr>
      </w:pPr>
      <w:bookmarkStart w:id="63" w:name="_Toc15377225"/>
      <w:bookmarkStart w:id="64" w:name="_Toc15396613"/>
      <w:r>
        <w:rPr>
          <w:rFonts w:hint="eastAsia" w:ascii="黑体" w:hAnsi="黑体" w:eastAsia="黑体"/>
          <w:color w:val="000000"/>
          <w:sz w:val="44"/>
          <w:szCs w:val="44"/>
        </w:rPr>
        <w:t>名</w:t>
      </w:r>
      <w:r>
        <w:rPr>
          <w:rStyle w:val="18"/>
          <w:rFonts w:hint="eastAsia" w:ascii="黑体" w:hAnsi="黑体" w:eastAsia="黑体"/>
          <w:b w:val="0"/>
        </w:rPr>
        <w:t>词解释</w:t>
      </w:r>
      <w:bookmarkEnd w:id="63"/>
      <w:bookmarkEnd w:id="64"/>
    </w:p>
    <w:p>
      <w:pPr>
        <w:spacing w:line="600" w:lineRule="exact"/>
        <w:jc w:val="left"/>
        <w:rPr>
          <w:rFonts w:ascii="宋体"/>
          <w:b/>
          <w:color w:val="000000"/>
          <w:sz w:val="44"/>
          <w:szCs w:val="44"/>
        </w:rPr>
      </w:pP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640" w:firstLineChars="200"/>
        <w:rPr>
          <w:rFonts w:hint="eastAsia" w:ascii="仿宋_GB2312" w:hAnsi="仿宋_GB2312" w:eastAsia="仿宋_GB2312" w:cs="仿宋_GB2312"/>
          <w:color w:val="000000"/>
          <w:sz w:val="32"/>
          <w:szCs w:val="32"/>
        </w:rPr>
      </w:pPr>
      <w:r>
        <w:rPr>
          <w:rStyle w:val="15"/>
          <w:rFonts w:hint="eastAsia" w:ascii="仿宋_GB2312" w:hAnsi="仿宋_GB2312" w:eastAsia="仿宋_GB2312" w:cs="仿宋_GB2312"/>
          <w:b w:val="0"/>
          <w:bCs/>
          <w:color w:val="000000"/>
          <w:sz w:val="32"/>
          <w:szCs w:val="32"/>
          <w:lang w:val="en-US" w:eastAsia="zh-CN"/>
        </w:rPr>
        <w:t>9</w:t>
      </w:r>
      <w:r>
        <w:rPr>
          <w:rStyle w:val="1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auto"/>
          <w:sz w:val="32"/>
          <w:szCs w:val="32"/>
        </w:rPr>
        <w:t>一般公共服务（类）政府办公厅（室）及相关机构事务（款）行政运行（项）：指政府机关用于保障机构正常运行、开展日常工作的基本支出。</w:t>
      </w:r>
    </w:p>
    <w:p>
      <w:pPr>
        <w:pStyle w:val="28"/>
        <w:spacing w:line="560" w:lineRule="exact"/>
        <w:ind w:firstLine="640" w:firstLineChars="200"/>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b w:val="0"/>
          <w:bCs/>
          <w:color w:val="000000"/>
          <w:sz w:val="32"/>
          <w:szCs w:val="32"/>
          <w:lang w:val="en-US" w:eastAsia="zh-CN"/>
        </w:rPr>
        <w:t>10</w:t>
      </w:r>
      <w:r>
        <w:rPr>
          <w:rStyle w:val="15"/>
          <w:rFonts w:hint="eastAsia" w:ascii="仿宋_GB2312" w:hAnsi="仿宋_GB2312" w:eastAsia="仿宋_GB2312" w:cs="仿宋_GB2312"/>
          <w:b w:val="0"/>
          <w:bCs/>
          <w:color w:val="000000"/>
          <w:sz w:val="32"/>
          <w:szCs w:val="32"/>
        </w:rPr>
        <w:t xml:space="preserve">.一般公共服务（类）政府办公厅（室）及相关机构事务（款）一般行政管理事务（项）: </w:t>
      </w:r>
      <w:r>
        <w:rPr>
          <w:rFonts w:hint="eastAsia" w:ascii="仿宋_GB2312" w:hAnsi="仿宋_GB2312" w:eastAsia="仿宋_GB2312" w:cs="仿宋_GB2312"/>
          <w:color w:val="auto"/>
          <w:sz w:val="32"/>
          <w:szCs w:val="32"/>
        </w:rPr>
        <w:t>指政府机关开展综治、安全、群团、文广计等项目工作未单独设置项级科目的专门性项目工作的项目支出。</w:t>
      </w:r>
    </w:p>
    <w:p>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bCs/>
          <w:color w:val="000000"/>
          <w:sz w:val="32"/>
          <w:szCs w:val="32"/>
        </w:rPr>
        <w:t xml:space="preserve"> 一般公共服务（类）政府办公厅（室）及相关机构事务（款）其他政府办公厅（室）及相关机构事务支出（项）: </w:t>
      </w:r>
      <w:r>
        <w:rPr>
          <w:rFonts w:hint="eastAsia" w:ascii="仿宋_GB2312" w:hAnsi="仿宋_GB2312" w:eastAsia="仿宋_GB2312" w:cs="仿宋_GB2312"/>
          <w:color w:val="000000"/>
          <w:sz w:val="32"/>
          <w:szCs w:val="32"/>
        </w:rPr>
        <w:t>反映</w:t>
      </w:r>
      <w:r>
        <w:rPr>
          <w:rStyle w:val="15"/>
          <w:rFonts w:hint="eastAsia" w:ascii="仿宋_GB2312" w:hAnsi="仿宋_GB2312" w:eastAsia="仿宋_GB2312" w:cs="仿宋_GB2312"/>
          <w:b w:val="0"/>
          <w:bCs/>
          <w:color w:val="000000"/>
          <w:sz w:val="32"/>
          <w:szCs w:val="32"/>
        </w:rPr>
        <w:t>其他政府办公厅及相关机构事务支出</w:t>
      </w:r>
      <w:r>
        <w:rPr>
          <w:rFonts w:hint="eastAsia" w:ascii="仿宋_GB2312" w:hAnsi="仿宋_GB2312" w:eastAsia="仿宋_GB2312" w:cs="仿宋_GB2312"/>
          <w:color w:val="000000"/>
          <w:sz w:val="32"/>
          <w:szCs w:val="32"/>
        </w:rPr>
        <w:t xml:space="preserve">。 </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bCs/>
          <w:color w:val="000000"/>
          <w:sz w:val="32"/>
          <w:szCs w:val="32"/>
        </w:rPr>
        <w:t xml:space="preserve"> 一般公共服务（类）人力资源事务（款）其他人力资源事务支出（项）：</w:t>
      </w:r>
      <w:r>
        <w:rPr>
          <w:rFonts w:hint="eastAsia" w:ascii="仿宋_GB2312" w:hAnsi="仿宋_GB2312" w:eastAsia="仿宋_GB2312" w:cs="仿宋_GB2312"/>
          <w:color w:val="auto"/>
          <w:sz w:val="32"/>
          <w:szCs w:val="32"/>
        </w:rPr>
        <w:t>指政府机关用于三支一扶人员管理未单独设置项级科目的其他项目支出</w:t>
      </w:r>
      <w:r>
        <w:rPr>
          <w:rFonts w:hint="eastAsia" w:ascii="仿宋_GB2312" w:hAnsi="仿宋_GB2312" w:eastAsia="仿宋_GB2312" w:cs="仿宋_GB2312"/>
          <w:color w:val="auto"/>
          <w:sz w:val="32"/>
          <w:szCs w:val="32"/>
          <w:lang w:eastAsia="zh-CN"/>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.国防支出（类）国防动员（款）兵役征集（项）：</w:t>
      </w:r>
      <w:r>
        <w:rPr>
          <w:rStyle w:val="15"/>
          <w:rFonts w:hint="eastAsia" w:ascii="仿宋_GB2312" w:hAnsi="仿宋_GB2312" w:eastAsia="仿宋_GB2312" w:cs="仿宋_GB2312"/>
          <w:b w:val="0"/>
          <w:bCs/>
          <w:color w:val="000000"/>
          <w:sz w:val="32"/>
          <w:szCs w:val="32"/>
          <w:lang w:val="en-US" w:eastAsia="zh-CN"/>
        </w:rPr>
        <w:t>反映用于兵役征集等方面的支出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.国防支出（类）国防动员（款）民兵（项）：</w:t>
      </w:r>
      <w:r>
        <w:rPr>
          <w:rStyle w:val="15"/>
          <w:rFonts w:hint="eastAsia" w:ascii="仿宋_GB2312" w:hAnsi="仿宋_GB2312" w:eastAsia="仿宋_GB2312" w:cs="仿宋_GB2312"/>
          <w:b w:val="0"/>
          <w:bCs/>
          <w:color w:val="000000"/>
          <w:sz w:val="32"/>
          <w:szCs w:val="32"/>
          <w:lang w:val="en-US" w:eastAsia="zh-CN"/>
        </w:rPr>
        <w:t>反映用于民兵建设与管理等方面的支出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.国防支出（类）国防动员（款）其他国防动员支出（项）：</w:t>
      </w:r>
      <w:r>
        <w:rPr>
          <w:rStyle w:val="15"/>
          <w:rFonts w:hint="eastAsia" w:ascii="仿宋_GB2312" w:hAnsi="仿宋_GB2312" w:eastAsia="仿宋_GB2312" w:cs="仿宋_GB2312"/>
          <w:b w:val="0"/>
          <w:bCs/>
          <w:color w:val="000000"/>
          <w:sz w:val="32"/>
          <w:szCs w:val="32"/>
          <w:lang w:val="en-US" w:eastAsia="zh-CN"/>
        </w:rPr>
        <w:t>反映用于</w:t>
      </w:r>
      <w:r>
        <w:rPr>
          <w:rFonts w:hint="eastAsia" w:ascii="仿宋_GB2312" w:hAnsi="仿宋_GB2312" w:eastAsia="仿宋_GB2312" w:cs="仿宋_GB2312"/>
          <w:color w:val="000000"/>
          <w:sz w:val="32"/>
          <w:szCs w:val="32"/>
        </w:rPr>
        <w:t>其他国防动员</w:t>
      </w:r>
      <w:r>
        <w:rPr>
          <w:rStyle w:val="15"/>
          <w:rFonts w:hint="eastAsia" w:ascii="仿宋_GB2312" w:hAnsi="仿宋_GB2312" w:eastAsia="仿宋_GB2312" w:cs="仿宋_GB2312"/>
          <w:b w:val="0"/>
          <w:bCs/>
          <w:color w:val="000000"/>
          <w:sz w:val="32"/>
          <w:szCs w:val="32"/>
          <w:lang w:val="en-US" w:eastAsia="zh-CN"/>
        </w:rPr>
        <w:t>等方面的支出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 国防支出（类）其他国防支出（款）其他国防支出（项）：</w:t>
      </w:r>
      <w:r>
        <w:rPr>
          <w:rStyle w:val="15"/>
          <w:rFonts w:hint="eastAsia" w:ascii="仿宋_GB2312" w:hAnsi="仿宋_GB2312" w:eastAsia="仿宋_GB2312" w:cs="仿宋_GB2312"/>
          <w:b w:val="0"/>
          <w:bCs/>
          <w:color w:val="000000"/>
          <w:sz w:val="32"/>
          <w:szCs w:val="32"/>
          <w:lang w:val="en-US" w:eastAsia="zh-CN"/>
        </w:rPr>
        <w:t>反映用于</w:t>
      </w:r>
      <w:r>
        <w:rPr>
          <w:rFonts w:hint="eastAsia" w:ascii="仿宋_GB2312" w:hAnsi="仿宋_GB2312" w:eastAsia="仿宋_GB2312" w:cs="仿宋_GB2312"/>
          <w:color w:val="000000"/>
          <w:sz w:val="32"/>
          <w:szCs w:val="32"/>
        </w:rPr>
        <w:t>其他国防</w:t>
      </w:r>
      <w:r>
        <w:rPr>
          <w:rStyle w:val="15"/>
          <w:rFonts w:hint="eastAsia" w:ascii="仿宋_GB2312" w:hAnsi="仿宋_GB2312" w:eastAsia="仿宋_GB2312" w:cs="仿宋_GB2312"/>
          <w:b w:val="0"/>
          <w:bCs/>
          <w:color w:val="000000"/>
          <w:sz w:val="32"/>
          <w:szCs w:val="32"/>
          <w:lang w:val="en-US" w:eastAsia="zh-CN"/>
        </w:rPr>
        <w:t>等方面的支出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.文化旅游体育与传媒支出（类）文化和旅游（款）群众文化（项）：</w:t>
      </w:r>
      <w:r>
        <w:rPr>
          <w:rFonts w:hint="eastAsia" w:ascii="仿宋_GB2312" w:hAnsi="仿宋_GB2312" w:eastAsia="仿宋_GB2312" w:cs="仿宋_GB2312"/>
          <w:color w:val="auto"/>
          <w:sz w:val="32"/>
          <w:szCs w:val="32"/>
        </w:rPr>
        <w:t>指政府用于保障机构正常运行、开展文化日常工作的基本支出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文化旅游体育与传媒支出（类）其他文化体育与传媒支出（款）其他文化体育与传媒支出（项）：</w:t>
      </w:r>
      <w:r>
        <w:rPr>
          <w:rFonts w:hint="eastAsia" w:ascii="仿宋_GB2312" w:hAnsi="仿宋_GB2312" w:eastAsia="仿宋_GB2312" w:cs="仿宋_GB2312"/>
          <w:color w:val="auto"/>
          <w:sz w:val="32"/>
          <w:szCs w:val="32"/>
        </w:rPr>
        <w:t>指政府用于开展其他文化活动建设的项目支出。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.社会保障和就业支出（类）人力资源和社会保障管理事务（款）劳动保障监察（项）：</w:t>
      </w:r>
      <w:r>
        <w:rPr>
          <w:rFonts w:hint="eastAsia" w:ascii="仿宋_GB2312" w:hAnsi="仿宋_GB2312" w:eastAsia="仿宋_GB2312" w:cs="仿宋_GB2312"/>
          <w:color w:val="auto"/>
          <w:sz w:val="32"/>
          <w:szCs w:val="32"/>
        </w:rPr>
        <w:t>指政府为保障机构正常运行、开展劳动保障监察日常工作的基本支出。</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.社会保障和就业支出（类）民政管理事务（款）基层政权和社区建设（项）：</w:t>
      </w:r>
      <w:r>
        <w:rPr>
          <w:rFonts w:hint="eastAsia" w:ascii="仿宋_GB2312" w:hAnsi="仿宋_GB2312" w:eastAsia="仿宋_GB2312" w:cs="仿宋_GB2312"/>
          <w:color w:val="auto"/>
          <w:sz w:val="32"/>
          <w:szCs w:val="32"/>
        </w:rPr>
        <w:t>指政府开展社区建设工作的支出。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.社会保障和就业支出（类）行政事业单位离退休（款）机关事业单位基本养老保险缴费支出（项）：反映机关事业单位实施养老保险制度由单位缴纳的基本养老保险费支出。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.社会保障和就业支出（类）行政事业单位离退休（款）机关事业单位职业年金缴费支出（项）：反映机关事业单位实施养老保险制度由单位实际缴纳的职业年金支出。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.社会保障和就业支出（类）抚恤（款）其他优抚支出（项）：反映</w:t>
      </w:r>
      <w:r>
        <w:rPr>
          <w:rFonts w:hint="eastAsia" w:ascii="仿宋_GB2312" w:hAnsi="仿宋_GB2312" w:eastAsia="仿宋_GB2312" w:cs="仿宋_GB2312"/>
          <w:color w:val="000000"/>
          <w:sz w:val="32"/>
          <w:szCs w:val="32"/>
          <w:lang w:val="en-US" w:eastAsia="zh-CN"/>
        </w:rPr>
        <w:t>用于其他优抚等方面的</w:t>
      </w:r>
      <w:r>
        <w:rPr>
          <w:rFonts w:hint="eastAsia" w:ascii="仿宋_GB2312" w:hAnsi="仿宋_GB2312" w:eastAsia="仿宋_GB2312" w:cs="仿宋_GB2312"/>
          <w:color w:val="000000"/>
          <w:sz w:val="32"/>
          <w:szCs w:val="32"/>
        </w:rPr>
        <w:t>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卫生健康支出（类）行政事业单位医疗（款）行政单位医疗（项）：反映财政部门集中安排的行政单位基本医疗保险缴费经费等。</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 卫生健康支出（类）行政事业单位医疗（款）其他行政事业单位医疗支出（项）：</w:t>
      </w:r>
      <w:r>
        <w:rPr>
          <w:rStyle w:val="15"/>
          <w:rFonts w:hint="eastAsia" w:ascii="仿宋_GB2312" w:hAnsi="仿宋_GB2312" w:eastAsia="仿宋_GB2312" w:cs="仿宋_GB2312"/>
          <w:b w:val="0"/>
          <w:sz w:val="32"/>
          <w:szCs w:val="32"/>
        </w:rPr>
        <w:t>指除行政单位医疗、事业单位医疗及公务员医疗补助以外的其他用于行政事业单位医疗方面的支出</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.城乡社区支出（类）城乡社区环境卫生（款）城乡社区环境卫生（项）：反映城乡社区道路清扫、垃圾清运与处理、公厕建设与维护、园林绿化等方面的支出。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.农林水支出（类）农业（款）事业运行（项）：反映用于农业事业单位的基本支出。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.农林水支出（类）农业（款）农村道路建设（项）：</w:t>
      </w:r>
      <w:r>
        <w:rPr>
          <w:rFonts w:hint="eastAsia" w:ascii="仿宋_GB2312" w:hAnsi="仿宋_GB2312" w:eastAsia="仿宋_GB2312" w:cs="仿宋_GB2312"/>
          <w:color w:val="auto"/>
          <w:sz w:val="32"/>
          <w:szCs w:val="32"/>
        </w:rPr>
        <w:t>指政府用于农村公路、乡村道路建设方面的支出。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.农林水支出（类）农业（款）对高校毕业生到基层任职补助（项）：</w:t>
      </w:r>
      <w:r>
        <w:rPr>
          <w:rFonts w:hint="eastAsia" w:ascii="仿宋_GB2312" w:hAnsi="仿宋_GB2312" w:eastAsia="仿宋_GB2312" w:cs="仿宋_GB2312"/>
          <w:color w:val="auto"/>
          <w:sz w:val="32"/>
          <w:szCs w:val="32"/>
        </w:rPr>
        <w:t>指政府用于对高校毕业生到基层任职的补助支出。</w:t>
      </w: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.农林水支出（类）农业（款）其他农业支出（项）：</w:t>
      </w:r>
      <w:r>
        <w:rPr>
          <w:rFonts w:hint="eastAsia" w:ascii="仿宋_GB2312" w:hAnsi="仿宋_GB2312" w:eastAsia="仿宋_GB2312" w:cs="仿宋_GB2312"/>
          <w:color w:val="auto"/>
          <w:sz w:val="32"/>
          <w:szCs w:val="32"/>
        </w:rPr>
        <w:t>指政府用于其他农业方面的支出。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.农林水支出（类）扶贫（款）其他扶贫支出（项）：</w:t>
      </w:r>
      <w:r>
        <w:rPr>
          <w:rStyle w:val="15"/>
          <w:rFonts w:hint="eastAsia" w:ascii="仿宋_GB2312" w:hAnsi="仿宋_GB2312" w:eastAsia="仿宋_GB2312" w:cs="仿宋_GB2312"/>
          <w:b w:val="0"/>
          <w:sz w:val="32"/>
          <w:szCs w:val="32"/>
        </w:rPr>
        <w:t>指除行政运行、一般行政管理事物、机关服务等9项以外其他用于扶贫方面的支出。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32</w:t>
      </w:r>
      <w:r>
        <w:rPr>
          <w:rFonts w:hint="eastAsia" w:ascii="仿宋_GB2312" w:hAnsi="仿宋_GB2312" w:eastAsia="仿宋_GB2312" w:cs="仿宋_GB2312"/>
          <w:color w:val="000000"/>
          <w:sz w:val="32"/>
          <w:szCs w:val="32"/>
        </w:rPr>
        <w:t>.农林水支出（类）农村综合改革（款）对村级一事一议的补助（项）：</w:t>
      </w:r>
      <w:r>
        <w:rPr>
          <w:rStyle w:val="15"/>
          <w:rFonts w:hint="eastAsia" w:ascii="仿宋_GB2312" w:hAnsi="仿宋_GB2312" w:eastAsia="仿宋_GB2312" w:cs="仿宋_GB2312"/>
          <w:b w:val="0"/>
          <w:bCs/>
          <w:color w:val="000000"/>
          <w:sz w:val="32"/>
          <w:szCs w:val="32"/>
          <w:lang w:val="en-US" w:eastAsia="zh-CN"/>
        </w:rPr>
        <w:t>反映农村税费改革后对村级公益事业建设一事一议的补助支出</w:t>
      </w:r>
      <w:r>
        <w:rPr>
          <w:rFonts w:hint="eastAsia" w:ascii="仿宋_GB2312" w:hAnsi="仿宋_GB2312" w:eastAsia="仿宋_GB2312" w:cs="仿宋_GB2312"/>
          <w:color w:val="000000"/>
          <w:sz w:val="32"/>
          <w:szCs w:val="32"/>
        </w:rPr>
        <w:t>。</w:t>
      </w:r>
    </w:p>
    <w:p>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33</w:t>
      </w:r>
      <w:r>
        <w:rPr>
          <w:rFonts w:hint="eastAsia" w:ascii="仿宋_GB2312" w:hAnsi="仿宋_GB2312" w:eastAsia="仿宋_GB2312" w:cs="仿宋_GB2312"/>
          <w:color w:val="000000"/>
          <w:sz w:val="32"/>
          <w:szCs w:val="32"/>
        </w:rPr>
        <w:t>.农林水支出（类）农村综合改革（款）对村民委员会和村党支部的补助（项）：反映各级财政对村民委员会和村党支部的补助支出，以及支持建立县级基本财力保障机制安排的村级组织运转奖补资金。</w:t>
      </w: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.农林水支出（类）农村综合改革（款）对村集体经济组织的补助（项）：</w:t>
      </w:r>
      <w:r>
        <w:rPr>
          <w:rStyle w:val="15"/>
          <w:rFonts w:hint="eastAsia" w:ascii="仿宋_GB2312" w:hAnsi="仿宋_GB2312" w:eastAsia="仿宋_GB2312" w:cs="仿宋_GB2312"/>
          <w:b w:val="0"/>
          <w:color w:val="auto"/>
          <w:sz w:val="32"/>
          <w:szCs w:val="32"/>
        </w:rPr>
        <w:t>指农村税费改革后对村集体经济组织的补助支出。</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 灾害防治及应急管理支出（类）自然灾害救灾及恢复重建支出（款）中央自然灾害生活补助（项）：</w:t>
      </w:r>
      <w:r>
        <w:rPr>
          <w:rStyle w:val="15"/>
          <w:rFonts w:hint="eastAsia" w:ascii="仿宋_GB2312" w:hAnsi="仿宋_GB2312" w:eastAsia="仿宋_GB2312" w:cs="仿宋_GB2312"/>
          <w:b w:val="0"/>
          <w:color w:val="auto"/>
          <w:sz w:val="32"/>
          <w:szCs w:val="32"/>
        </w:rPr>
        <w:t>指中央预算对遭受特大自然灾害地区的地方政府在安排受灾群众吃、穿、住和抢救、转移、安置、治病等经费发生困难时给予的专项补助，以及为抗御特大自然灾害而设立的中央级救灾物资储备资金</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7.基本支出：指为保障机构正常运转、完成日常工作任务而发生的人员支出和公用支出。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8.项目支出：指在基本支出之外为完成特定行政任务和事业发展目标所发生的支出。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9.经营支出：指事业单位在专业业务活动及其辅助活动之外开展非独立核算经营活动发生的支出。</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rPr>
      </w:pPr>
      <w:bookmarkStart w:id="65" w:name="_Toc15377226"/>
      <w:r>
        <w:rPr>
          <w:rFonts w:ascii="宋体"/>
          <w:b/>
          <w:color w:val="000000"/>
          <w:sz w:val="44"/>
          <w:szCs w:val="44"/>
        </w:rPr>
        <w:br w:type="page"/>
      </w:r>
      <w:bookmarkStart w:id="66" w:name="_Toc15396614"/>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6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峨眉山市绥山镇人民政府</w:t>
      </w:r>
      <w:r>
        <w:rPr>
          <w:rFonts w:ascii="方正小标宋简体" w:hAnsi="宋体" w:eastAsia="方正小标宋简体"/>
          <w:color w:val="000000"/>
          <w:kern w:val="0"/>
          <w:sz w:val="40"/>
          <w:szCs w:val="44"/>
        </w:rPr>
        <w:t>2019</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绥山</w:t>
      </w:r>
      <w:r>
        <w:rPr>
          <w:rFonts w:hint="eastAsia" w:ascii="仿宋_GB2312" w:hAnsi="仿宋_GB2312" w:eastAsia="仿宋_GB2312" w:cs="仿宋_GB2312"/>
          <w:sz w:val="32"/>
          <w:szCs w:val="32"/>
        </w:rPr>
        <w:t>镇行政机构设置7个：党政综合办公室，财政所，社会事务办公室，群众工作办公室，新农村建设办公室，经济发展办公室；事业单位机构设置4个：农业技术服务中心，社会事业服务中心，宣传文化服务中心，社区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1.党政综合办公室（0833—5523042）</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协调各部门关系，负责党务、镇政府、安全生产、文书档案、人事等工作；负责机关后勤工作；承办群团组织的日常工作。按时完成镇党委、政府交办的任务。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和管理镇财政收入和支出，落实兑现各级惠农补助资金；围绕财源建设搞好服务，负责机关财务、财产管理工作，做好机关后勤保障工作；做好农村财务管理指导、监督和审计工作，依法代理村级财务，财政项目资金管理和镇政府机关财务代理；做好镇公有资产管理利用及村级集体资产监督管理；财政预算编制、执行及管理。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3.社会事务办公室</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负责科教文卫管理、民政、法律服务等工作，负责农村劳动力技能培训、转移、就业，负责计划生育工作。按时完成镇党委、政府交办的任务。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4.群众工作办公室</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负责社会治安综合治理和对突发事件的预警和管理，建立、健全各种应急机制，加强民事纠纷调解，化解农村社会矛盾，维护农村社会稳定。按时完成镇党委、政府交办的任务。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5.新农村建设办公室</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负责新农村建设规划、示范村建设，负责土地管理、村镇建设、环境保护，负责农村土地承包管理、农村负担监督管理、农村集体资产财务管理的工作。按时完成镇党委、政府交办的任务。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6.经济发展办公室</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负责农业和农村经济，负责科学制定发展规划，加强农村市场监督、培育，推广农业技术，完善农业社会化服务体系，农业产业化发展、经济统计等工作。按时完成镇党委、政府交办的任务。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7.农业技术服务中心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牧业生产中关键技术和新品种、新农具的引进、试验、示范，农作物和林牧病虫害及农业灾害监测、预报防治和处置，农作物苗情监测和农牧产品生产过程中的质量安全检测、监测，农业资源、林业资源、农业生态环境和农业投入品适用监测，农业公共信息和培训教育服务，小型水利工程及水库的整治，水资源管理和防汛抗旱技术服务，水土保持的预防及水土流失的治理，农机安全检查和事故的预防、报告及处理，乡村机耕道的规划、建设，组织农机进行抗灾抢险和跨区域农机作业。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8.社会事业服务中心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做好劳动保障各项工作，开展城镇登记失业人员和农村劳动力转移就业人员的职业培训、劳务输出和就业管理服务，配合做好社会救助等工作。配合有关部门按规定查处违章建筑等，搞好辖区内的建设规划、环境卫生和绿化工作。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9.宣传文化服务中心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群众文化活动，开展繁荣群众文化事业的各项活动，积极开展文化宣传，文艺活动组织和社区文化站、村级文化室业务指导。广播电视“村村通”工程的建设、运行、维护和节目的安全播出，制定年度农村公益性文化项目实施计划，开展多种形式的文娱体育活动和宣传教育活动。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10.社区服务中心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组织指导社区开展宣传教育文化活动，企事业单位退休人员的社会化管理服务。按时完成镇党委、政府交办的任务。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机关人员编制核定为44名（公务员40、工勤4），实有38人（公务员36、工勤2）。核定事业单位人员编制34名，实有32人，各中心核定和实有人数分别如下：农业技术服务中心7名、9人；社会事业服务中心14名、13人；宣传文化服务中心7名、4人，社区服务中心6名、6人。总编制78名，实有70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2019年</w:t>
      </w:r>
      <w:r>
        <w:rPr>
          <w:rFonts w:hint="eastAsia" w:ascii="仿宋_GB2312" w:hAnsi="仿宋_GB2312" w:eastAsia="仿宋_GB2312" w:cs="仿宋_GB2312"/>
          <w:color w:val="000000"/>
          <w:kern w:val="0"/>
          <w:sz w:val="32"/>
          <w:szCs w:val="32"/>
          <w:shd w:val="clear" w:color="auto" w:fill="FFFFFF"/>
          <w:lang w:val="zh-CN"/>
        </w:rPr>
        <w:t>财政资金</w:t>
      </w:r>
      <w:r>
        <w:rPr>
          <w:rFonts w:hint="eastAsia" w:ascii="仿宋_GB2312" w:hAnsi="仿宋_GB2312" w:eastAsia="仿宋_GB2312" w:cs="仿宋_GB2312"/>
          <w:sz w:val="32"/>
          <w:szCs w:val="32"/>
        </w:rPr>
        <w:t>收入23759.53万元，（其中：基本收入1224.72万元，项目收入22534.81万元）。</w:t>
      </w:r>
    </w:p>
    <w:tbl>
      <w:tblPr>
        <w:tblStyle w:val="13"/>
        <w:tblW w:w="9694" w:type="dxa"/>
        <w:tblInd w:w="101" w:type="dxa"/>
        <w:tblLayout w:type="autofit"/>
        <w:tblCellMar>
          <w:top w:w="0" w:type="dxa"/>
          <w:left w:w="108" w:type="dxa"/>
          <w:bottom w:w="0" w:type="dxa"/>
          <w:right w:w="108" w:type="dxa"/>
        </w:tblCellMar>
      </w:tblPr>
      <w:tblGrid>
        <w:gridCol w:w="3960"/>
        <w:gridCol w:w="4174"/>
        <w:gridCol w:w="1686"/>
      </w:tblGrid>
      <w:tr>
        <w:tblPrEx>
          <w:tblCellMar>
            <w:top w:w="0" w:type="dxa"/>
            <w:left w:w="108" w:type="dxa"/>
            <w:bottom w:w="0" w:type="dxa"/>
            <w:right w:w="108" w:type="dxa"/>
          </w:tblCellMar>
        </w:tblPrEx>
        <w:trPr>
          <w:trHeight w:val="255" w:hRule="atLeast"/>
        </w:trPr>
        <w:tc>
          <w:tcPr>
            <w:tcW w:w="396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支出功能分类</w:t>
            </w:r>
          </w:p>
        </w:tc>
        <w:tc>
          <w:tcPr>
            <w:tcW w:w="4174"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名称</w:t>
            </w:r>
          </w:p>
        </w:tc>
        <w:tc>
          <w:tcPr>
            <w:tcW w:w="1560"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金额（元）</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2010301 </w:t>
            </w:r>
            <w:r>
              <w:rPr>
                <w:rFonts w:hint="eastAsia" w:ascii="仿宋_GB2312" w:hAnsi="宋体" w:eastAsia="仿宋_GB2312" w:cs="Arial"/>
                <w:color w:val="000000"/>
                <w:kern w:val="0"/>
                <w:szCs w:val="21"/>
              </w:rPr>
              <w:t>行政运行</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人员工资津贴、公用经费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5,954,733.80</w:t>
            </w:r>
          </w:p>
        </w:tc>
      </w:tr>
      <w:tr>
        <w:tblPrEx>
          <w:tblCellMar>
            <w:top w:w="0" w:type="dxa"/>
            <w:left w:w="108" w:type="dxa"/>
            <w:bottom w:w="0" w:type="dxa"/>
            <w:right w:w="108" w:type="dxa"/>
          </w:tblCellMar>
        </w:tblPrEx>
        <w:trPr>
          <w:trHeight w:val="990"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2010302</w:t>
            </w:r>
            <w:r>
              <w:rPr>
                <w:rFonts w:hint="eastAsia" w:ascii="仿宋_GB2312" w:hAnsi="宋体" w:eastAsia="仿宋_GB2312" w:cs="Arial"/>
                <w:color w:val="000000"/>
                <w:kern w:val="0"/>
                <w:szCs w:val="21"/>
              </w:rPr>
              <w:t>一般行政管理事务</w:t>
            </w:r>
          </w:p>
        </w:tc>
        <w:tc>
          <w:tcPr>
            <w:tcW w:w="4174" w:type="dxa"/>
            <w:tcBorders>
              <w:top w:val="nil"/>
              <w:left w:val="nil"/>
              <w:bottom w:val="single" w:color="auto" w:sz="4" w:space="0"/>
              <w:right w:val="single" w:color="auto"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群团、人武、文广计、人大、信访、维稳、大调、社会治安综合治理工作经费、武警三大队补助经费、预旅双</w:t>
            </w:r>
            <w:r>
              <w:rPr>
                <w:rFonts w:ascii="仿宋_GB2312" w:hAnsi="宋体" w:eastAsia="仿宋_GB2312" w:cs="Arial"/>
                <w:color w:val="000000"/>
                <w:kern w:val="0"/>
                <w:szCs w:val="21"/>
              </w:rPr>
              <w:t>37</w:t>
            </w:r>
            <w:r>
              <w:rPr>
                <w:rFonts w:hint="eastAsia" w:ascii="仿宋_GB2312" w:hAnsi="宋体" w:eastAsia="仿宋_GB2312" w:cs="Arial"/>
                <w:color w:val="000000"/>
                <w:kern w:val="0"/>
                <w:szCs w:val="21"/>
              </w:rPr>
              <w:t>高炮营专项经费、大庙公墓山人员经费、安川花海土地租金等</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826,650.00</w:t>
            </w:r>
          </w:p>
        </w:tc>
      </w:tr>
      <w:tr>
        <w:tblPrEx>
          <w:tblCellMar>
            <w:top w:w="0" w:type="dxa"/>
            <w:left w:w="108" w:type="dxa"/>
            <w:bottom w:w="0" w:type="dxa"/>
            <w:right w:w="108" w:type="dxa"/>
          </w:tblCellMar>
        </w:tblPrEx>
        <w:trPr>
          <w:trHeight w:val="1200"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2010399</w:t>
            </w:r>
            <w:r>
              <w:rPr>
                <w:rFonts w:hint="eastAsia" w:ascii="仿宋_GB2312" w:hAnsi="宋体" w:eastAsia="仿宋_GB2312" w:cs="Arial"/>
                <w:color w:val="000000"/>
                <w:kern w:val="0"/>
                <w:szCs w:val="21"/>
              </w:rPr>
              <w:t>其他政府办公厅（室）及相关机构事务支出</w:t>
            </w:r>
          </w:p>
        </w:tc>
        <w:tc>
          <w:tcPr>
            <w:tcW w:w="41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信访、维稳、大调解经费、纾难解困经费、软弱涣散基层党组织整顿经费、党员学习教育经费、网格化工作绩效奖励考核经费、农民夜校工作经费等</w:t>
            </w:r>
          </w:p>
        </w:tc>
        <w:tc>
          <w:tcPr>
            <w:tcW w:w="1560" w:type="dxa"/>
            <w:tcBorders>
              <w:top w:val="nil"/>
              <w:left w:val="single" w:color="auto" w:sz="4" w:space="0"/>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2,285,303.50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2011099</w:t>
            </w:r>
            <w:r>
              <w:rPr>
                <w:rFonts w:hint="eastAsia" w:ascii="仿宋_GB2312" w:hAnsi="宋体" w:eastAsia="仿宋_GB2312" w:cs="Arial"/>
                <w:color w:val="000000"/>
                <w:kern w:val="0"/>
                <w:szCs w:val="21"/>
              </w:rPr>
              <w:t>其他人力资源事务支出</w:t>
            </w:r>
          </w:p>
        </w:tc>
        <w:tc>
          <w:tcPr>
            <w:tcW w:w="4174" w:type="dxa"/>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三支一扶费用</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55,313.99</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2030601 </w:t>
            </w:r>
            <w:r>
              <w:rPr>
                <w:rFonts w:hint="eastAsia" w:ascii="仿宋_GB2312" w:hAnsi="宋体" w:eastAsia="仿宋_GB2312" w:cs="Arial"/>
                <w:color w:val="000000"/>
                <w:kern w:val="0"/>
                <w:szCs w:val="21"/>
              </w:rPr>
              <w:t>兵役征集</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基层武装工作（规范化建设）及相关工作经费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1,000.00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2030607 </w:t>
            </w:r>
            <w:r>
              <w:rPr>
                <w:rFonts w:hint="eastAsia" w:ascii="仿宋_GB2312" w:hAnsi="宋体" w:eastAsia="仿宋_GB2312" w:cs="Arial"/>
                <w:color w:val="000000"/>
                <w:kern w:val="0"/>
                <w:szCs w:val="21"/>
              </w:rPr>
              <w:t>民兵</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民兵训练经费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33,000.00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2030699</w:t>
            </w:r>
            <w:r>
              <w:rPr>
                <w:rFonts w:hint="eastAsia" w:ascii="仿宋_GB2312" w:hAnsi="宋体" w:eastAsia="仿宋_GB2312" w:cs="Arial"/>
                <w:color w:val="000000"/>
                <w:kern w:val="0"/>
                <w:szCs w:val="21"/>
              </w:rPr>
              <w:t>其他国防动员支出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基层武装工作（规范化建设）及相关经费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24,000.00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2039901</w:t>
            </w:r>
            <w:r>
              <w:rPr>
                <w:rFonts w:hint="eastAsia" w:ascii="仿宋_GB2312" w:hAnsi="宋体" w:eastAsia="仿宋_GB2312" w:cs="Arial"/>
                <w:color w:val="000000"/>
                <w:kern w:val="0"/>
                <w:szCs w:val="21"/>
              </w:rPr>
              <w:t>其他国防支出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征兵新兵回访经费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50,000.00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2070109</w:t>
            </w:r>
            <w:r>
              <w:rPr>
                <w:rFonts w:hint="eastAsia" w:ascii="仿宋_GB2312" w:hAnsi="宋体" w:eastAsia="仿宋_GB2312" w:cs="Arial"/>
                <w:color w:val="000000"/>
                <w:kern w:val="0"/>
                <w:szCs w:val="21"/>
              </w:rPr>
              <w:t>群众文化</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人员工资津贴、公用经费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679,755.82</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2080105 </w:t>
            </w:r>
            <w:r>
              <w:rPr>
                <w:rFonts w:hint="eastAsia" w:ascii="仿宋_GB2312" w:hAnsi="宋体" w:eastAsia="仿宋_GB2312" w:cs="Arial"/>
                <w:color w:val="000000"/>
                <w:kern w:val="0"/>
                <w:szCs w:val="21"/>
              </w:rPr>
              <w:t>劳动保障监察</w:t>
            </w:r>
          </w:p>
        </w:tc>
        <w:tc>
          <w:tcPr>
            <w:tcW w:w="4174" w:type="dxa"/>
            <w:tcBorders>
              <w:top w:val="nil"/>
              <w:left w:val="nil"/>
              <w:bottom w:val="nil"/>
              <w:right w:val="nil"/>
            </w:tcBorders>
            <w:noWrap/>
            <w:vAlign w:val="bottom"/>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人员工资津贴、公用经费</w:t>
            </w:r>
          </w:p>
        </w:tc>
        <w:tc>
          <w:tcPr>
            <w:tcW w:w="1560" w:type="dxa"/>
            <w:tcBorders>
              <w:top w:val="nil"/>
              <w:left w:val="single" w:color="auto" w:sz="4" w:space="0"/>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2,082,341.66</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2080208</w:t>
            </w:r>
            <w:r>
              <w:rPr>
                <w:rFonts w:hint="eastAsia" w:ascii="仿宋_GB2312" w:hAnsi="宋体" w:eastAsia="仿宋_GB2312" w:cs="Arial"/>
                <w:color w:val="000000"/>
                <w:kern w:val="0"/>
                <w:szCs w:val="21"/>
              </w:rPr>
              <w:t>基层政权和社区建设</w:t>
            </w:r>
          </w:p>
        </w:tc>
        <w:tc>
          <w:tcPr>
            <w:tcW w:w="4174" w:type="dxa"/>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社区干部报酬、基层组织活动和公共服务运行经费（社区）</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7,182,943.43</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2080505</w:t>
            </w:r>
            <w:r>
              <w:rPr>
                <w:rFonts w:hint="eastAsia" w:ascii="仿宋_GB2312" w:hAnsi="宋体" w:eastAsia="仿宋_GB2312" w:cs="Arial"/>
                <w:color w:val="000000"/>
                <w:kern w:val="0"/>
                <w:szCs w:val="21"/>
              </w:rPr>
              <w:t>机关事业单位基本养老保险缴费支出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养老保险</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815,937.92</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2080506</w:t>
            </w:r>
            <w:r>
              <w:rPr>
                <w:rFonts w:hint="eastAsia" w:ascii="仿宋_GB2312" w:hAnsi="宋体" w:eastAsia="仿宋_GB2312" w:cs="Arial"/>
                <w:color w:val="000000"/>
                <w:kern w:val="0"/>
                <w:szCs w:val="21"/>
              </w:rPr>
              <w:t>机关事业单位职业年金缴费支出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职业年金</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336,310.28</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2101101</w:t>
            </w:r>
            <w:r>
              <w:rPr>
                <w:rFonts w:hint="eastAsia" w:ascii="仿宋_GB2312" w:hAnsi="宋体" w:eastAsia="仿宋_GB2312" w:cs="Arial"/>
                <w:color w:val="000000"/>
                <w:kern w:val="0"/>
                <w:szCs w:val="21"/>
              </w:rPr>
              <w:t>行政单位医疗</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医疗保险</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262,715.91</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2101199</w:t>
            </w:r>
            <w:r>
              <w:rPr>
                <w:rFonts w:hint="eastAsia" w:ascii="仿宋_GB2312" w:hAnsi="宋体" w:eastAsia="仿宋_GB2312" w:cs="Arial"/>
                <w:color w:val="000000"/>
                <w:kern w:val="0"/>
                <w:szCs w:val="21"/>
              </w:rPr>
              <w:t>其他行政事业单位医疗支出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自主择业军人医保</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299,391.24</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2120501</w:t>
            </w:r>
            <w:r>
              <w:rPr>
                <w:rFonts w:hint="eastAsia" w:ascii="仿宋_GB2312" w:hAnsi="宋体" w:eastAsia="仿宋_GB2312" w:cs="Arial"/>
                <w:color w:val="000000"/>
                <w:kern w:val="0"/>
                <w:szCs w:val="21"/>
              </w:rPr>
              <w:t>城乡社区环境卫生</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城乡环保、环境综合整治专项经费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300,000.00</w:t>
            </w:r>
          </w:p>
        </w:tc>
      </w:tr>
      <w:tr>
        <w:tblPrEx>
          <w:tblCellMar>
            <w:top w:w="0" w:type="dxa"/>
            <w:left w:w="108" w:type="dxa"/>
            <w:bottom w:w="0" w:type="dxa"/>
            <w:right w:w="108" w:type="dxa"/>
          </w:tblCellMar>
        </w:tblPrEx>
        <w:trPr>
          <w:trHeight w:val="930"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2120801</w:t>
            </w:r>
            <w:r>
              <w:rPr>
                <w:rFonts w:hint="eastAsia" w:ascii="仿宋_GB2312" w:hAnsi="宋体" w:eastAsia="仿宋_GB2312" w:cs="Arial"/>
                <w:color w:val="000000"/>
                <w:kern w:val="0"/>
                <w:szCs w:val="21"/>
              </w:rPr>
              <w:t>征地和拆迁补偿支出</w:t>
            </w:r>
          </w:p>
        </w:tc>
        <w:tc>
          <w:tcPr>
            <w:tcW w:w="4174" w:type="dxa"/>
            <w:tcBorders>
              <w:top w:val="nil"/>
              <w:left w:val="nil"/>
              <w:bottom w:val="single" w:color="auto" w:sz="4" w:space="0"/>
              <w:right w:val="single" w:color="auto"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峨眉武术学校项目、城市建设项目、峨眉二中、二小迁建项目、城南村危房改造项目、华西项目、景秀峨眉项目、七路一桥建设项目等项目</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178,985,679.89</w:t>
            </w:r>
          </w:p>
        </w:tc>
      </w:tr>
      <w:tr>
        <w:tblPrEx>
          <w:tblCellMar>
            <w:top w:w="0" w:type="dxa"/>
            <w:left w:w="108" w:type="dxa"/>
            <w:bottom w:w="0" w:type="dxa"/>
            <w:right w:w="108" w:type="dxa"/>
          </w:tblCellMar>
        </w:tblPrEx>
        <w:trPr>
          <w:trHeight w:val="645"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2120802</w:t>
            </w:r>
            <w:r>
              <w:rPr>
                <w:rFonts w:hint="eastAsia" w:ascii="仿宋_GB2312" w:hAnsi="宋体" w:eastAsia="仿宋_GB2312" w:cs="Arial"/>
                <w:color w:val="000000"/>
                <w:kern w:val="0"/>
                <w:szCs w:val="21"/>
              </w:rPr>
              <w:t>土地开发支出</w:t>
            </w:r>
          </w:p>
        </w:tc>
        <w:tc>
          <w:tcPr>
            <w:tcW w:w="4174" w:type="dxa"/>
            <w:tcBorders>
              <w:top w:val="nil"/>
              <w:left w:val="nil"/>
              <w:bottom w:val="single" w:color="auto" w:sz="4" w:space="0"/>
              <w:right w:val="single" w:color="auto"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秸秆焚烧暨综合利用工作经费、项目工作经费、雪花啤酒有限公司外水泵房经费、水利岁修经费等</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27,508,105.93</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2120804</w:t>
            </w:r>
            <w:r>
              <w:rPr>
                <w:rFonts w:hint="eastAsia" w:ascii="仿宋_GB2312" w:hAnsi="宋体" w:eastAsia="仿宋_GB2312" w:cs="Arial"/>
                <w:color w:val="000000"/>
                <w:kern w:val="0"/>
                <w:szCs w:val="21"/>
              </w:rPr>
              <w:t>农村基础设施建设支出</w:t>
            </w:r>
          </w:p>
        </w:tc>
        <w:tc>
          <w:tcPr>
            <w:tcW w:w="4174" w:type="dxa"/>
            <w:tcBorders>
              <w:top w:val="nil"/>
              <w:left w:val="nil"/>
              <w:bottom w:val="single" w:color="auto" w:sz="4" w:space="0"/>
              <w:right w:val="single" w:color="auto"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基层组织建设经费、集镇公共设施运维费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245,378.72</w:t>
            </w:r>
          </w:p>
        </w:tc>
      </w:tr>
      <w:tr>
        <w:tblPrEx>
          <w:tblCellMar>
            <w:top w:w="0" w:type="dxa"/>
            <w:left w:w="108" w:type="dxa"/>
            <w:bottom w:w="0" w:type="dxa"/>
            <w:right w:w="108" w:type="dxa"/>
          </w:tblCellMar>
        </w:tblPrEx>
        <w:trPr>
          <w:trHeight w:val="495"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2120899 </w:t>
            </w:r>
            <w:r>
              <w:rPr>
                <w:rFonts w:hint="eastAsia" w:ascii="仿宋_GB2312" w:hAnsi="宋体" w:eastAsia="仿宋_GB2312" w:cs="Arial"/>
                <w:color w:val="000000"/>
                <w:kern w:val="0"/>
                <w:szCs w:val="21"/>
              </w:rPr>
              <w:t>其他国有土地使用权出让收入安排的支出</w:t>
            </w:r>
          </w:p>
        </w:tc>
        <w:tc>
          <w:tcPr>
            <w:tcW w:w="4174" w:type="dxa"/>
            <w:tcBorders>
              <w:top w:val="nil"/>
              <w:left w:val="nil"/>
              <w:bottom w:val="single" w:color="auto" w:sz="4" w:space="0"/>
              <w:right w:val="single" w:color="auto" w:sz="4" w:space="0"/>
            </w:tcBorders>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双创工作经费、安全监管（含道路交通）经费、党建墙建设奖补经费等</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2,245,200.00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2130104</w:t>
            </w:r>
            <w:r>
              <w:rPr>
                <w:rFonts w:hint="eastAsia" w:ascii="仿宋_GB2312" w:hAnsi="宋体" w:eastAsia="仿宋_GB2312" w:cs="Arial"/>
                <w:color w:val="000000"/>
                <w:kern w:val="0"/>
                <w:szCs w:val="21"/>
              </w:rPr>
              <w:t>事业运行</w:t>
            </w:r>
          </w:p>
        </w:tc>
        <w:tc>
          <w:tcPr>
            <w:tcW w:w="4174" w:type="dxa"/>
            <w:tcBorders>
              <w:top w:val="nil"/>
              <w:left w:val="nil"/>
              <w:bottom w:val="nil"/>
              <w:right w:val="nil"/>
            </w:tcBorders>
            <w:noWrap/>
            <w:vAlign w:val="bottom"/>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人员工资津贴、公用经费</w:t>
            </w:r>
          </w:p>
        </w:tc>
        <w:tc>
          <w:tcPr>
            <w:tcW w:w="1560" w:type="dxa"/>
            <w:tcBorders>
              <w:top w:val="nil"/>
              <w:left w:val="single" w:color="auto" w:sz="4" w:space="0"/>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1,165,057.80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2130142 </w:t>
            </w:r>
            <w:r>
              <w:rPr>
                <w:rFonts w:hint="eastAsia" w:ascii="仿宋_GB2312" w:hAnsi="宋体" w:eastAsia="仿宋_GB2312" w:cs="Arial"/>
                <w:color w:val="000000"/>
                <w:kern w:val="0"/>
                <w:szCs w:val="21"/>
              </w:rPr>
              <w:t>农村道路建设</w:t>
            </w:r>
          </w:p>
        </w:tc>
        <w:tc>
          <w:tcPr>
            <w:tcW w:w="4174" w:type="dxa"/>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镇乡交管办专项经费及劝导员补助经费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40,000.00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2130152</w:t>
            </w:r>
            <w:r>
              <w:rPr>
                <w:rFonts w:hint="eastAsia" w:ascii="仿宋_GB2312" w:hAnsi="宋体" w:eastAsia="仿宋_GB2312" w:cs="Arial"/>
                <w:color w:val="000000"/>
                <w:kern w:val="0"/>
                <w:szCs w:val="21"/>
              </w:rPr>
              <w:t>对高校毕业生到基层任职补助</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大学生村官生活补助</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21,342.58</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2130199</w:t>
            </w:r>
            <w:r>
              <w:rPr>
                <w:rFonts w:hint="eastAsia" w:ascii="仿宋_GB2312" w:hAnsi="宋体" w:eastAsia="仿宋_GB2312" w:cs="Arial"/>
                <w:color w:val="000000"/>
                <w:kern w:val="0"/>
                <w:szCs w:val="21"/>
              </w:rPr>
              <w:t>其他农业支出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“四好”村资金、“两项补贴”项目政策性工作经费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115,808.00</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2130599</w:t>
            </w:r>
            <w:r>
              <w:rPr>
                <w:rFonts w:hint="eastAsia" w:ascii="仿宋_GB2312" w:hAnsi="宋体" w:eastAsia="仿宋_GB2312" w:cs="Arial"/>
                <w:color w:val="000000"/>
                <w:kern w:val="0"/>
                <w:szCs w:val="21"/>
              </w:rPr>
              <w:t>其他扶贫支出</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扶贫及对口支援马边凉山经费</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57,265.95</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2130705</w:t>
            </w:r>
            <w:r>
              <w:rPr>
                <w:rFonts w:hint="eastAsia" w:ascii="仿宋_GB2312" w:hAnsi="宋体" w:eastAsia="仿宋_GB2312" w:cs="Arial"/>
                <w:color w:val="000000"/>
                <w:kern w:val="0"/>
                <w:szCs w:val="21"/>
              </w:rPr>
              <w:t>对村民委员会和村党支部的补助</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村干部报酬、基层组织活动和公共运行经费（村级）</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5,071,769.31</w:t>
            </w:r>
          </w:p>
        </w:tc>
      </w:tr>
      <w:tr>
        <w:tblPrEx>
          <w:tblCellMar>
            <w:top w:w="0" w:type="dxa"/>
            <w:left w:w="108" w:type="dxa"/>
            <w:bottom w:w="0" w:type="dxa"/>
            <w:right w:w="108" w:type="dxa"/>
          </w:tblCellMar>
        </w:tblPrEx>
        <w:trPr>
          <w:trHeight w:val="308" w:hRule="atLeast"/>
        </w:trPr>
        <w:tc>
          <w:tcPr>
            <w:tcW w:w="396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 xml:space="preserve">2210201 </w:t>
            </w:r>
            <w:r>
              <w:rPr>
                <w:rFonts w:hint="eastAsia" w:ascii="仿宋_GB2312" w:hAnsi="宋体" w:eastAsia="仿宋_GB2312" w:cs="Arial"/>
                <w:color w:val="000000"/>
                <w:kern w:val="0"/>
                <w:szCs w:val="21"/>
              </w:rPr>
              <w:t>住房公积金</w:t>
            </w:r>
          </w:p>
        </w:tc>
        <w:tc>
          <w:tcPr>
            <w:tcW w:w="4174" w:type="dxa"/>
            <w:tcBorders>
              <w:top w:val="nil"/>
              <w:left w:val="nil"/>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hint="eastAsia" w:ascii="仿宋_GB2312" w:hAnsi="宋体" w:eastAsia="仿宋_GB2312" w:cs="Arial"/>
                <w:color w:val="000000"/>
                <w:kern w:val="0"/>
                <w:szCs w:val="21"/>
              </w:rPr>
              <w:t>住房公积金</w:t>
            </w:r>
          </w:p>
        </w:tc>
        <w:tc>
          <w:tcPr>
            <w:tcW w:w="156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950,341.00</w:t>
            </w:r>
          </w:p>
        </w:tc>
      </w:tr>
      <w:tr>
        <w:tblPrEx>
          <w:tblCellMar>
            <w:top w:w="0" w:type="dxa"/>
            <w:left w:w="108" w:type="dxa"/>
            <w:bottom w:w="0" w:type="dxa"/>
            <w:right w:w="108" w:type="dxa"/>
          </w:tblCellMar>
        </w:tblPrEx>
        <w:trPr>
          <w:trHeight w:val="405" w:hRule="atLeast"/>
        </w:trPr>
        <w:tc>
          <w:tcPr>
            <w:tcW w:w="8134"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合计</w:t>
            </w:r>
          </w:p>
        </w:tc>
        <w:tc>
          <w:tcPr>
            <w:tcW w:w="1560" w:type="dxa"/>
            <w:tcBorders>
              <w:top w:val="nil"/>
              <w:left w:val="nil"/>
              <w:bottom w:val="single" w:color="auto" w:sz="4" w:space="0"/>
              <w:right w:val="single" w:color="auto" w:sz="4" w:space="0"/>
            </w:tcBorders>
            <w:noWrap/>
            <w:vAlign w:val="bottom"/>
          </w:tcPr>
          <w:p>
            <w:pPr>
              <w:widowControl/>
              <w:jc w:val="right"/>
              <w:rPr>
                <w:rFonts w:ascii="仿宋_GB2312" w:hAnsi="Arial" w:eastAsia="仿宋_GB2312" w:cs="Arial"/>
                <w:color w:val="000000"/>
                <w:kern w:val="0"/>
                <w:szCs w:val="21"/>
              </w:rPr>
            </w:pPr>
            <w:r>
              <w:rPr>
                <w:rFonts w:ascii="仿宋_GB2312" w:hAnsi="Arial" w:eastAsia="仿宋_GB2312" w:cs="Arial"/>
                <w:color w:val="000000"/>
                <w:kern w:val="0"/>
                <w:szCs w:val="21"/>
              </w:rPr>
              <w:t>237,595,346.73</w:t>
            </w:r>
          </w:p>
        </w:tc>
      </w:tr>
    </w:tbl>
    <w:p>
      <w:pPr>
        <w:spacing w:line="600" w:lineRule="exact"/>
        <w:ind w:firstLine="420" w:firstLineChars="200"/>
        <w:rPr>
          <w:rFonts w:ascii="仿宋_GB2312" w:hAnsi="仿宋" w:eastAsia="仿宋_GB2312"/>
          <w:szCs w:val="21"/>
        </w:rPr>
      </w:pPr>
    </w:p>
    <w:p>
      <w:pPr>
        <w:spacing w:line="600" w:lineRule="exact"/>
        <w:ind w:firstLine="420" w:firstLineChars="200"/>
        <w:rPr>
          <w:rFonts w:ascii="仿宋_GB2312" w:hAnsi="楷体" w:eastAsia="仿宋_GB2312"/>
          <w:szCs w:val="21"/>
        </w:rPr>
      </w:pPr>
      <w:r>
        <w:rPr>
          <w:rFonts w:hint="eastAsia" w:ascii="仿宋_GB2312" w:hAnsi="楷体" w:eastAsia="仿宋_GB2312"/>
          <w:szCs w:val="21"/>
        </w:rPr>
        <w:t>（二）部门财政资金支出情况</w:t>
      </w:r>
    </w:p>
    <w:p>
      <w:pPr>
        <w:spacing w:line="600" w:lineRule="exact"/>
        <w:ind w:firstLine="420" w:firstLineChars="200"/>
        <w:rPr>
          <w:rFonts w:ascii="仿宋_GB2312" w:hAnsi="宋体" w:eastAsia="仿宋_GB2312"/>
          <w:sz w:val="28"/>
          <w:szCs w:val="28"/>
        </w:rPr>
      </w:pPr>
      <w:r>
        <w:rPr>
          <w:rFonts w:ascii="仿宋_GB2312" w:hAnsi="宋体" w:eastAsia="仿宋_GB2312"/>
          <w:szCs w:val="21"/>
        </w:rPr>
        <w:t>2019</w:t>
      </w:r>
      <w:r>
        <w:rPr>
          <w:rFonts w:hint="eastAsia" w:ascii="仿宋_GB2312" w:hAnsi="宋体" w:eastAsia="仿宋_GB2312"/>
          <w:szCs w:val="21"/>
        </w:rPr>
        <w:t>年</w:t>
      </w:r>
      <w:r>
        <w:rPr>
          <w:rFonts w:hint="eastAsia" w:ascii="仿宋_GB2312" w:hAnsi="宋体" w:eastAsia="仿宋_GB2312" w:cs="宋体"/>
          <w:color w:val="000000"/>
          <w:kern w:val="0"/>
          <w:szCs w:val="21"/>
          <w:shd w:val="clear" w:color="auto" w:fill="FFFFFF"/>
          <w:lang w:val="zh-CN"/>
        </w:rPr>
        <w:t>财政资金</w:t>
      </w:r>
      <w:r>
        <w:rPr>
          <w:rFonts w:hint="eastAsia" w:ascii="仿宋_GB2312" w:hAnsi="宋体" w:eastAsia="仿宋_GB2312"/>
          <w:szCs w:val="21"/>
        </w:rPr>
        <w:t>支出</w:t>
      </w:r>
      <w:r>
        <w:rPr>
          <w:rFonts w:ascii="仿宋_GB2312" w:hAnsi="宋体" w:eastAsia="仿宋_GB2312"/>
          <w:szCs w:val="21"/>
        </w:rPr>
        <w:t>19112.88</w:t>
      </w:r>
      <w:r>
        <w:rPr>
          <w:rFonts w:hint="eastAsia" w:ascii="仿宋_GB2312" w:hAnsi="宋体" w:eastAsia="仿宋_GB2312"/>
          <w:szCs w:val="21"/>
        </w:rPr>
        <w:t>万元（其中：基本支出</w:t>
      </w:r>
      <w:r>
        <w:rPr>
          <w:rFonts w:ascii="仿宋_GB2312" w:hAnsi="宋体" w:eastAsia="仿宋_GB2312"/>
          <w:szCs w:val="21"/>
        </w:rPr>
        <w:t>1224.72</w:t>
      </w:r>
      <w:r>
        <w:rPr>
          <w:rFonts w:hint="eastAsia" w:ascii="仿宋_GB2312" w:hAnsi="宋体" w:eastAsia="仿宋_GB2312"/>
          <w:szCs w:val="21"/>
        </w:rPr>
        <w:t>万元，项目支出</w:t>
      </w:r>
      <w:r>
        <w:rPr>
          <w:rFonts w:ascii="仿宋_GB2312" w:hAnsi="宋体" w:eastAsia="仿宋_GB2312"/>
          <w:szCs w:val="21"/>
        </w:rPr>
        <w:t>17888.16</w:t>
      </w:r>
      <w:r>
        <w:rPr>
          <w:rFonts w:hint="eastAsia" w:ascii="仿宋_GB2312" w:hAnsi="宋体" w:eastAsia="仿宋_GB2312"/>
          <w:szCs w:val="21"/>
        </w:rPr>
        <w:t>万元。）</w:t>
      </w:r>
    </w:p>
    <w:tbl>
      <w:tblPr>
        <w:tblStyle w:val="13"/>
        <w:tblW w:w="9980" w:type="dxa"/>
        <w:tblInd w:w="101" w:type="dxa"/>
        <w:tblLayout w:type="autofit"/>
        <w:tblCellMar>
          <w:top w:w="0" w:type="dxa"/>
          <w:left w:w="108" w:type="dxa"/>
          <w:bottom w:w="0" w:type="dxa"/>
          <w:right w:w="108" w:type="dxa"/>
        </w:tblCellMar>
      </w:tblPr>
      <w:tblGrid>
        <w:gridCol w:w="3940"/>
        <w:gridCol w:w="1800"/>
        <w:gridCol w:w="1581"/>
        <w:gridCol w:w="1686"/>
        <w:gridCol w:w="1340"/>
      </w:tblGrid>
      <w:tr>
        <w:tblPrEx>
          <w:tblCellMar>
            <w:top w:w="0" w:type="dxa"/>
            <w:left w:w="108" w:type="dxa"/>
            <w:bottom w:w="0" w:type="dxa"/>
            <w:right w:w="108" w:type="dxa"/>
          </w:tblCellMar>
        </w:tblPrEx>
        <w:trPr>
          <w:trHeight w:val="255" w:hRule="atLeast"/>
        </w:trPr>
        <w:tc>
          <w:tcPr>
            <w:tcW w:w="394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支出科目名称</w:t>
            </w:r>
          </w:p>
        </w:tc>
        <w:tc>
          <w:tcPr>
            <w:tcW w:w="1800"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支出合计</w:t>
            </w:r>
          </w:p>
        </w:tc>
        <w:tc>
          <w:tcPr>
            <w:tcW w:w="1420"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基本支出</w:t>
            </w:r>
          </w:p>
        </w:tc>
        <w:tc>
          <w:tcPr>
            <w:tcW w:w="1480"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项目支出</w:t>
            </w:r>
          </w:p>
        </w:tc>
        <w:tc>
          <w:tcPr>
            <w:tcW w:w="1340" w:type="dxa"/>
            <w:tcBorders>
              <w:top w:val="single" w:color="auto" w:sz="4" w:space="0"/>
              <w:left w:val="nil"/>
              <w:bottom w:val="single" w:color="auto" w:sz="4" w:space="0"/>
              <w:right w:val="single" w:color="auto" w:sz="4" w:space="0"/>
            </w:tcBorders>
            <w:noWrap/>
            <w:vAlign w:val="bottom"/>
          </w:tcPr>
          <w:p>
            <w:pPr>
              <w:widowControl/>
              <w:jc w:val="center"/>
              <w:rPr>
                <w:rFonts w:ascii="仿宋_GB2312" w:eastAsia="仿宋_GB2312" w:cs="Arial"/>
                <w:color w:val="000000"/>
                <w:kern w:val="0"/>
                <w:sz w:val="28"/>
                <w:szCs w:val="28"/>
              </w:rPr>
            </w:pPr>
            <w:r>
              <w:rPr>
                <w:rFonts w:hint="eastAsia" w:ascii="仿宋_GB2312" w:hAnsi="宋体" w:eastAsia="仿宋_GB2312" w:cs="Arial"/>
                <w:color w:val="000000"/>
                <w:kern w:val="0"/>
                <w:sz w:val="28"/>
                <w:szCs w:val="28"/>
              </w:rPr>
              <w:t>备注</w:t>
            </w:r>
          </w:p>
        </w:tc>
      </w:tr>
      <w:tr>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2010301</w:t>
            </w:r>
            <w:r>
              <w:rPr>
                <w:rFonts w:hint="eastAsia" w:ascii="仿宋_GB2312" w:hAnsi="宋体" w:eastAsia="仿宋_GB2312" w:cs="Arial"/>
                <w:color w:val="000000"/>
                <w:kern w:val="0"/>
                <w:szCs w:val="21"/>
              </w:rPr>
              <w:t>行政运行</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5,954,733.80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5,954,733.80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eastAsia="仿宋_GB2312" w:cs="Arial"/>
                <w:color w:val="000000"/>
                <w:kern w:val="0"/>
                <w:sz w:val="28"/>
                <w:szCs w:val="28"/>
              </w:rPr>
            </w:pPr>
            <w:r>
              <w:rPr>
                <w:rFonts w:hint="eastAsia" w:ascii="仿宋_GB2312" w:hAnsi="宋体" w:eastAsia="仿宋_GB2312" w:cs="Arial"/>
                <w:color w:val="000000"/>
                <w:kern w:val="0"/>
                <w:sz w:val="28"/>
                <w:szCs w:val="28"/>
              </w:rPr>
              <w:t>　</w:t>
            </w:r>
          </w:p>
        </w:tc>
      </w:tr>
      <w:tr>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2010302</w:t>
            </w:r>
            <w:r>
              <w:rPr>
                <w:rFonts w:hint="eastAsia" w:ascii="仿宋_GB2312" w:hAnsi="宋体" w:eastAsia="仿宋_GB2312" w:cs="Arial"/>
                <w:color w:val="000000"/>
                <w:kern w:val="0"/>
                <w:szCs w:val="21"/>
              </w:rPr>
              <w:t>一般行政管理事务</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826,650.00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826,650.00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2010399</w:t>
            </w:r>
            <w:r>
              <w:rPr>
                <w:rFonts w:hint="eastAsia" w:ascii="仿宋_GB2312" w:hAnsi="宋体" w:eastAsia="仿宋_GB2312" w:cs="Arial"/>
                <w:color w:val="000000"/>
                <w:kern w:val="0"/>
                <w:szCs w:val="21"/>
              </w:rPr>
              <w:t>其他政府办公厅（室）及相关机构事务支出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4,966,371.80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4,966,371.80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2011099</w:t>
            </w:r>
            <w:r>
              <w:rPr>
                <w:rFonts w:hint="eastAsia" w:ascii="仿宋_GB2312" w:hAnsi="宋体" w:eastAsia="仿宋_GB2312" w:cs="Arial"/>
                <w:color w:val="000000"/>
                <w:kern w:val="0"/>
                <w:szCs w:val="21"/>
              </w:rPr>
              <w:t>其他人力资源事务支出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55,313.99</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55,313.99</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2030601</w:t>
            </w:r>
            <w:r>
              <w:rPr>
                <w:rFonts w:hint="eastAsia" w:ascii="仿宋_GB2312" w:hAnsi="宋体" w:eastAsia="仿宋_GB2312" w:cs="Arial"/>
                <w:color w:val="000000"/>
                <w:kern w:val="0"/>
                <w:szCs w:val="21"/>
              </w:rPr>
              <w:t>兵役征集</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2030607</w:t>
            </w:r>
            <w:r>
              <w:rPr>
                <w:rFonts w:hint="eastAsia" w:ascii="仿宋_GB2312" w:hAnsi="宋体" w:eastAsia="仿宋_GB2312" w:cs="Arial"/>
                <w:color w:val="000000"/>
                <w:kern w:val="0"/>
                <w:szCs w:val="21"/>
              </w:rPr>
              <w:t>民兵</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2030699</w:t>
            </w:r>
            <w:r>
              <w:rPr>
                <w:rFonts w:hint="eastAsia" w:ascii="仿宋_GB2312" w:hAnsi="宋体" w:eastAsia="仿宋_GB2312" w:cs="Arial"/>
                <w:color w:val="000000"/>
                <w:kern w:val="0"/>
                <w:szCs w:val="21"/>
              </w:rPr>
              <w:t>其他国防动员支出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2039901</w:t>
            </w:r>
            <w:r>
              <w:rPr>
                <w:rFonts w:hint="eastAsia" w:ascii="仿宋_GB2312" w:hAnsi="宋体" w:eastAsia="仿宋_GB2312" w:cs="Arial"/>
                <w:color w:val="000000"/>
                <w:kern w:val="0"/>
                <w:szCs w:val="21"/>
              </w:rPr>
              <w:t>其他国防支出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2070109</w:t>
            </w:r>
            <w:r>
              <w:rPr>
                <w:rFonts w:hint="eastAsia" w:ascii="仿宋_GB2312" w:hAnsi="宋体" w:eastAsia="仿宋_GB2312" w:cs="Arial"/>
                <w:color w:val="000000"/>
                <w:kern w:val="0"/>
                <w:szCs w:val="21"/>
              </w:rPr>
              <w:t>群众文化</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679,755.82</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679,755.82</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2079999</w:t>
            </w:r>
            <w:r>
              <w:rPr>
                <w:rFonts w:hint="eastAsia" w:ascii="仿宋_GB2312" w:hAnsi="宋体" w:eastAsia="仿宋_GB2312" w:cs="Arial"/>
                <w:color w:val="000000"/>
                <w:kern w:val="0"/>
                <w:szCs w:val="21"/>
              </w:rPr>
              <w:t>其他文化体育与传媒支出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7,200.00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7,200.00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2080105</w:t>
            </w:r>
            <w:r>
              <w:rPr>
                <w:rFonts w:hint="eastAsia" w:ascii="仿宋_GB2312" w:hAnsi="宋体" w:eastAsia="仿宋_GB2312" w:cs="Arial"/>
                <w:color w:val="000000"/>
                <w:kern w:val="0"/>
                <w:szCs w:val="21"/>
              </w:rPr>
              <w:t>劳动保障监察</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2,082,341.66</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2,082,341.66</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2080208</w:t>
            </w:r>
            <w:r>
              <w:rPr>
                <w:rFonts w:hint="eastAsia" w:ascii="仿宋_GB2312" w:hAnsi="宋体" w:eastAsia="仿宋_GB2312" w:cs="Arial"/>
                <w:color w:val="000000"/>
                <w:kern w:val="0"/>
                <w:szCs w:val="21"/>
              </w:rPr>
              <w:t>基层政权和社区建设</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7,182,943.43</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7,182,943.43</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2080505</w:t>
            </w:r>
            <w:r>
              <w:rPr>
                <w:rFonts w:hint="eastAsia" w:ascii="仿宋_GB2312" w:hAnsi="宋体" w:eastAsia="仿宋_GB2312" w:cs="Arial"/>
                <w:color w:val="000000"/>
                <w:kern w:val="0"/>
                <w:szCs w:val="21"/>
              </w:rPr>
              <w:t>机关事业单位基本养老保险缴费支出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815,937.92</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815,937.92</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2080506</w:t>
            </w:r>
            <w:r>
              <w:rPr>
                <w:rFonts w:hint="eastAsia" w:ascii="仿宋_GB2312" w:hAnsi="宋体" w:eastAsia="仿宋_GB2312" w:cs="Arial"/>
                <w:color w:val="000000"/>
                <w:kern w:val="0"/>
                <w:szCs w:val="21"/>
              </w:rPr>
              <w:t>机关事业单位职业年金缴费支出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336,310.28</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336,310.28</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2080899</w:t>
            </w:r>
            <w:r>
              <w:rPr>
                <w:rFonts w:hint="eastAsia" w:ascii="仿宋_GB2312" w:hAnsi="宋体" w:eastAsia="仿宋_GB2312" w:cs="Arial"/>
                <w:color w:val="000000"/>
                <w:kern w:val="0"/>
                <w:szCs w:val="21"/>
              </w:rPr>
              <w:t>其他优抚支出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71,500.00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71,500.00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2101101</w:t>
            </w:r>
            <w:r>
              <w:rPr>
                <w:rFonts w:hint="eastAsia" w:ascii="仿宋_GB2312" w:hAnsi="宋体" w:eastAsia="仿宋_GB2312" w:cs="Arial"/>
                <w:color w:val="000000"/>
                <w:kern w:val="0"/>
                <w:szCs w:val="21"/>
              </w:rPr>
              <w:t>行政单位医疗</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262,715.91</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262,715.91</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2101199</w:t>
            </w:r>
            <w:r>
              <w:rPr>
                <w:rFonts w:hint="eastAsia" w:ascii="仿宋_GB2312" w:hAnsi="宋体" w:eastAsia="仿宋_GB2312" w:cs="Arial"/>
                <w:color w:val="000000"/>
                <w:kern w:val="0"/>
                <w:szCs w:val="21"/>
              </w:rPr>
              <w:t>其他行政事业单位医疗支出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299,391.24</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299,391.24</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2120501</w:t>
            </w:r>
            <w:r>
              <w:rPr>
                <w:rFonts w:hint="eastAsia" w:ascii="仿宋_GB2312" w:hAnsi="宋体" w:eastAsia="仿宋_GB2312" w:cs="Arial"/>
                <w:color w:val="000000"/>
                <w:kern w:val="0"/>
                <w:szCs w:val="21"/>
              </w:rPr>
              <w:t>城乡社区环境卫生</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300,000.00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300,000.00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2120801</w:t>
            </w:r>
            <w:r>
              <w:rPr>
                <w:rFonts w:hint="eastAsia" w:ascii="仿宋_GB2312" w:hAnsi="宋体" w:eastAsia="仿宋_GB2312" w:cs="Arial"/>
                <w:color w:val="000000"/>
                <w:kern w:val="0"/>
                <w:szCs w:val="21"/>
              </w:rPr>
              <w:t>征地和拆迁补偿支出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128,892,394.19</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128,892,394.19</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2120802</w:t>
            </w:r>
            <w:r>
              <w:rPr>
                <w:rFonts w:hint="eastAsia" w:ascii="仿宋_GB2312" w:hAnsi="宋体" w:eastAsia="仿宋_GB2312" w:cs="Arial"/>
                <w:color w:val="000000"/>
                <w:kern w:val="0"/>
                <w:szCs w:val="21"/>
              </w:rPr>
              <w:t>土地开发支出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27,887,888.30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27,887,888.30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2120804</w:t>
            </w:r>
            <w:r>
              <w:rPr>
                <w:rFonts w:hint="eastAsia" w:ascii="仿宋_GB2312" w:hAnsi="宋体" w:eastAsia="仿宋_GB2312" w:cs="Arial"/>
                <w:color w:val="000000"/>
                <w:kern w:val="0"/>
                <w:szCs w:val="21"/>
              </w:rPr>
              <w:t>农村基础设施建设支出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245,378.72</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245,378.72</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2120899</w:t>
            </w:r>
            <w:r>
              <w:rPr>
                <w:rFonts w:hint="eastAsia" w:ascii="仿宋_GB2312" w:hAnsi="宋体" w:eastAsia="仿宋_GB2312" w:cs="Arial"/>
                <w:color w:val="000000"/>
                <w:kern w:val="0"/>
                <w:szCs w:val="21"/>
              </w:rPr>
              <w:t>其他国有土地使用权出让收入安排的支出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2,245,200.00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2,245,200.00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2130104</w:t>
            </w:r>
            <w:r>
              <w:rPr>
                <w:rFonts w:hint="eastAsia" w:ascii="仿宋_GB2312" w:hAnsi="宋体" w:eastAsia="仿宋_GB2312" w:cs="Arial"/>
                <w:color w:val="000000"/>
                <w:kern w:val="0"/>
                <w:szCs w:val="21"/>
              </w:rPr>
              <w:t>事业运行</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1,165,057.80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1,165,057.80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2130142</w:t>
            </w:r>
            <w:r>
              <w:rPr>
                <w:rFonts w:hint="eastAsia" w:ascii="仿宋_GB2312" w:hAnsi="宋体" w:eastAsia="仿宋_GB2312" w:cs="Arial"/>
                <w:color w:val="000000"/>
                <w:kern w:val="0"/>
                <w:szCs w:val="21"/>
              </w:rPr>
              <w:t>农村道路建设</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40,000.00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40,000.00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2130152</w:t>
            </w:r>
            <w:r>
              <w:rPr>
                <w:rFonts w:hint="eastAsia" w:ascii="仿宋_GB2312" w:hAnsi="宋体" w:eastAsia="仿宋_GB2312" w:cs="Arial"/>
                <w:color w:val="000000"/>
                <w:kern w:val="0"/>
                <w:szCs w:val="21"/>
              </w:rPr>
              <w:t>对高校毕业生到基层任职补助</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21,342.58</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21,342.58</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2130199</w:t>
            </w:r>
            <w:r>
              <w:rPr>
                <w:rFonts w:hint="eastAsia" w:ascii="仿宋_GB2312" w:hAnsi="宋体" w:eastAsia="仿宋_GB2312" w:cs="Arial"/>
                <w:color w:val="000000"/>
                <w:kern w:val="0"/>
                <w:szCs w:val="21"/>
              </w:rPr>
              <w:t>其他农业支出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115,808.00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115,808.00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2130599</w:t>
            </w:r>
            <w:r>
              <w:rPr>
                <w:rFonts w:hint="eastAsia" w:ascii="仿宋_GB2312" w:hAnsi="宋体" w:eastAsia="仿宋_GB2312" w:cs="Arial"/>
                <w:color w:val="000000"/>
                <w:kern w:val="0"/>
                <w:szCs w:val="21"/>
              </w:rPr>
              <w:t>其他扶贫支出</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279,495.95</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279,495.95</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2130701</w:t>
            </w:r>
            <w:r>
              <w:rPr>
                <w:rFonts w:hint="eastAsia" w:ascii="仿宋_GB2312" w:hAnsi="宋体" w:eastAsia="仿宋_GB2312" w:cs="Arial"/>
                <w:color w:val="000000"/>
                <w:kern w:val="0"/>
                <w:szCs w:val="21"/>
              </w:rPr>
              <w:t>对村级一事一议的补助</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180,000.00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180,000.00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2130705</w:t>
            </w:r>
            <w:r>
              <w:rPr>
                <w:rFonts w:hint="eastAsia" w:ascii="仿宋_GB2312" w:hAnsi="宋体" w:eastAsia="仿宋_GB2312" w:cs="Arial"/>
                <w:color w:val="000000"/>
                <w:kern w:val="0"/>
                <w:szCs w:val="21"/>
              </w:rPr>
              <w:t>对村民委员会和村党支部的补助</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5,071,769.31</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5,071,769.31</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2130706</w:t>
            </w:r>
            <w:r>
              <w:rPr>
                <w:rFonts w:hint="eastAsia" w:ascii="仿宋_GB2312" w:hAnsi="宋体" w:eastAsia="仿宋_GB2312" w:cs="Arial"/>
                <w:color w:val="000000"/>
                <w:kern w:val="0"/>
                <w:szCs w:val="21"/>
              </w:rPr>
              <w:t>对村集体经济组织的补助</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5,000.00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2210201</w:t>
            </w:r>
            <w:r>
              <w:rPr>
                <w:rFonts w:hint="eastAsia" w:ascii="仿宋_GB2312" w:hAnsi="宋体" w:eastAsia="仿宋_GB2312" w:cs="Arial"/>
                <w:color w:val="000000"/>
                <w:kern w:val="0"/>
                <w:szCs w:val="21"/>
              </w:rPr>
              <w:t>住房公积金</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950,341.00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950,341.00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308" w:hRule="atLeast"/>
        </w:trPr>
        <w:tc>
          <w:tcPr>
            <w:tcW w:w="3940" w:type="dxa"/>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cs="Arial"/>
                <w:color w:val="000000"/>
                <w:kern w:val="0"/>
                <w:szCs w:val="21"/>
              </w:rPr>
            </w:pPr>
            <w:r>
              <w:rPr>
                <w:rFonts w:ascii="仿宋_GB2312" w:hAnsi="宋体" w:eastAsia="仿宋_GB2312" w:cs="Arial"/>
                <w:color w:val="000000"/>
                <w:kern w:val="0"/>
                <w:szCs w:val="21"/>
              </w:rPr>
              <w:t>2240701</w:t>
            </w:r>
            <w:r>
              <w:rPr>
                <w:rFonts w:hint="eastAsia" w:ascii="仿宋_GB2312" w:hAnsi="宋体" w:eastAsia="仿宋_GB2312" w:cs="Arial"/>
                <w:color w:val="000000"/>
                <w:kern w:val="0"/>
                <w:szCs w:val="21"/>
              </w:rPr>
              <w:t>中央自然灾害生活补助</w:t>
            </w:r>
          </w:p>
        </w:tc>
        <w:tc>
          <w:tcPr>
            <w:tcW w:w="180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80,000.00</w:t>
            </w:r>
          </w:p>
        </w:tc>
        <w:tc>
          <w:tcPr>
            <w:tcW w:w="142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eastAsia="仿宋_GB2312" w:cs="Arial"/>
                <w:color w:val="000000"/>
                <w:kern w:val="0"/>
                <w:szCs w:val="21"/>
              </w:rPr>
              <w:t>0.00</w:t>
            </w:r>
          </w:p>
        </w:tc>
        <w:tc>
          <w:tcPr>
            <w:tcW w:w="1480" w:type="dxa"/>
            <w:tcBorders>
              <w:top w:val="nil"/>
              <w:left w:val="nil"/>
              <w:bottom w:val="single" w:color="auto" w:sz="4" w:space="0"/>
              <w:right w:val="single" w:color="auto" w:sz="4" w:space="0"/>
            </w:tcBorders>
            <w:noWrap/>
            <w:vAlign w:val="center"/>
          </w:tcPr>
          <w:p>
            <w:pPr>
              <w:widowControl/>
              <w:jc w:val="right"/>
              <w:rPr>
                <w:rFonts w:ascii="仿宋_GB2312" w:eastAsia="仿宋_GB2312" w:cs="Arial"/>
                <w:color w:val="000000"/>
                <w:kern w:val="0"/>
                <w:szCs w:val="21"/>
              </w:rPr>
            </w:pPr>
            <w:r>
              <w:rPr>
                <w:rFonts w:ascii="仿宋_GB2312" w:hAnsi="宋体" w:eastAsia="仿宋_GB2312" w:cs="Arial"/>
                <w:color w:val="000000"/>
                <w:kern w:val="0"/>
                <w:szCs w:val="21"/>
              </w:rPr>
              <w:t>80,000.00</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r>
        <w:tblPrEx>
          <w:tblCellMar>
            <w:top w:w="0" w:type="dxa"/>
            <w:left w:w="108" w:type="dxa"/>
            <w:bottom w:w="0" w:type="dxa"/>
            <w:right w:w="108" w:type="dxa"/>
          </w:tblCellMar>
        </w:tblPrEx>
        <w:trPr>
          <w:trHeight w:val="465" w:hRule="atLeast"/>
        </w:trPr>
        <w:tc>
          <w:tcPr>
            <w:tcW w:w="3940" w:type="dxa"/>
            <w:tcBorders>
              <w:top w:val="nil"/>
              <w:left w:val="single" w:color="auto" w:sz="4" w:space="0"/>
              <w:bottom w:val="single" w:color="auto" w:sz="4" w:space="0"/>
              <w:right w:val="single" w:color="auto" w:sz="4" w:space="0"/>
            </w:tcBorders>
            <w:noWrap/>
            <w:vAlign w:val="bottom"/>
          </w:tcPr>
          <w:p>
            <w:pPr>
              <w:widowControl/>
              <w:jc w:val="center"/>
              <w:rPr>
                <w:rFonts w:ascii="仿宋_GB2312" w:eastAsia="仿宋_GB2312" w:cs="Arial"/>
                <w:color w:val="000000"/>
                <w:kern w:val="0"/>
                <w:szCs w:val="21"/>
              </w:rPr>
            </w:pPr>
            <w:r>
              <w:rPr>
                <w:rFonts w:hint="eastAsia" w:ascii="仿宋_GB2312" w:hAnsi="宋体" w:eastAsia="仿宋_GB2312" w:cs="Arial"/>
                <w:color w:val="000000"/>
                <w:kern w:val="0"/>
                <w:szCs w:val="21"/>
              </w:rPr>
              <w:t>合计</w:t>
            </w:r>
          </w:p>
        </w:tc>
        <w:tc>
          <w:tcPr>
            <w:tcW w:w="1800" w:type="dxa"/>
            <w:tcBorders>
              <w:top w:val="nil"/>
              <w:left w:val="nil"/>
              <w:bottom w:val="single" w:color="auto" w:sz="4" w:space="0"/>
              <w:right w:val="single" w:color="auto" w:sz="4" w:space="0"/>
            </w:tcBorders>
            <w:noWrap/>
            <w:vAlign w:val="bottom"/>
          </w:tcPr>
          <w:p>
            <w:pPr>
              <w:widowControl/>
              <w:jc w:val="right"/>
              <w:rPr>
                <w:rFonts w:ascii="仿宋_GB2312" w:hAnsi="Arial" w:eastAsia="仿宋_GB2312" w:cs="Arial"/>
                <w:color w:val="000000"/>
                <w:kern w:val="0"/>
                <w:szCs w:val="21"/>
              </w:rPr>
            </w:pPr>
            <w:r>
              <w:rPr>
                <w:rFonts w:ascii="仿宋_GB2312" w:hAnsi="Arial" w:eastAsia="仿宋_GB2312" w:cs="Arial"/>
                <w:color w:val="000000"/>
                <w:kern w:val="0"/>
                <w:szCs w:val="21"/>
              </w:rPr>
              <w:t>191,128,841.70</w:t>
            </w:r>
          </w:p>
        </w:tc>
        <w:tc>
          <w:tcPr>
            <w:tcW w:w="1420" w:type="dxa"/>
            <w:tcBorders>
              <w:top w:val="nil"/>
              <w:left w:val="nil"/>
              <w:bottom w:val="single" w:color="auto" w:sz="4" w:space="0"/>
              <w:right w:val="single" w:color="auto" w:sz="4" w:space="0"/>
            </w:tcBorders>
            <w:noWrap/>
            <w:vAlign w:val="bottom"/>
          </w:tcPr>
          <w:p>
            <w:pPr>
              <w:widowControl/>
              <w:jc w:val="right"/>
              <w:rPr>
                <w:rFonts w:ascii="仿宋_GB2312" w:hAnsi="Arial" w:eastAsia="仿宋_GB2312" w:cs="Arial"/>
                <w:color w:val="000000"/>
                <w:kern w:val="0"/>
                <w:szCs w:val="21"/>
              </w:rPr>
            </w:pPr>
            <w:r>
              <w:rPr>
                <w:rFonts w:ascii="仿宋_GB2312" w:hAnsi="Arial" w:eastAsia="仿宋_GB2312" w:cs="Arial"/>
                <w:color w:val="000000"/>
                <w:kern w:val="0"/>
                <w:szCs w:val="21"/>
              </w:rPr>
              <w:t>12,247,194.19</w:t>
            </w:r>
          </w:p>
        </w:tc>
        <w:tc>
          <w:tcPr>
            <w:tcW w:w="1480" w:type="dxa"/>
            <w:tcBorders>
              <w:top w:val="nil"/>
              <w:left w:val="nil"/>
              <w:bottom w:val="single" w:color="auto" w:sz="4" w:space="0"/>
              <w:right w:val="single" w:color="auto" w:sz="4" w:space="0"/>
            </w:tcBorders>
            <w:noWrap/>
            <w:vAlign w:val="bottom"/>
          </w:tcPr>
          <w:p>
            <w:pPr>
              <w:widowControl/>
              <w:jc w:val="right"/>
              <w:rPr>
                <w:rFonts w:ascii="仿宋_GB2312" w:hAnsi="Arial" w:eastAsia="仿宋_GB2312" w:cs="Arial"/>
                <w:color w:val="000000"/>
                <w:kern w:val="0"/>
                <w:szCs w:val="21"/>
              </w:rPr>
            </w:pPr>
            <w:r>
              <w:rPr>
                <w:rFonts w:ascii="仿宋_GB2312" w:hAnsi="Arial" w:eastAsia="仿宋_GB2312" w:cs="Arial"/>
                <w:color w:val="000000"/>
                <w:kern w:val="0"/>
                <w:szCs w:val="21"/>
              </w:rPr>
              <w:t>178,881,647.51</w:t>
            </w:r>
          </w:p>
        </w:tc>
        <w:tc>
          <w:tcPr>
            <w:tcW w:w="1340" w:type="dxa"/>
            <w:tcBorders>
              <w:top w:val="nil"/>
              <w:left w:val="nil"/>
              <w:bottom w:val="single" w:color="auto" w:sz="4" w:space="0"/>
              <w:right w:val="single" w:color="auto" w:sz="4" w:space="0"/>
            </w:tcBorders>
            <w:noWrap/>
            <w:vAlign w:val="bottom"/>
          </w:tcPr>
          <w:p>
            <w:pPr>
              <w:widowControl/>
              <w:jc w:val="left"/>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　</w:t>
            </w:r>
          </w:p>
        </w:tc>
      </w:tr>
    </w:tbl>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三、部门财政支出管理情况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（一）预决算编制情况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1.预决算编制情况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根据预算编制说明编制预算，并严格执行市财政局的批复预算。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切实加强财政预算资金管理，严格收支，按规定对国有资产进行清理、盘点，做好专项资金项目的验收结算，做好2019年度决算。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2.绩效目标填报情况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按照市政府下达的各类绩效目标，认真组织实施，确保各项目标的完成。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3.专项预算提前细化情况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部门预算项目实施进度和专项预算分配进度，对已经细化项目的专项预算，在预算批复后立即下达执行；为确保项目的组织实施和按时完成，统筹安排、细化部署，做到任务、资金和责任层层落实，确保项目顺利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4.结余结转管理情况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严格管理结转资金（项目支出结转和结余）5334.76万元。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（二）执行管理情况</w:t>
      </w:r>
    </w:p>
    <w:p>
      <w:pPr>
        <w:widowControl/>
        <w:adjustRightInd w:val="0"/>
        <w:snapToGrid w:val="0"/>
        <w:spacing w:line="400" w:lineRule="exact"/>
        <w:ind w:firstLine="720"/>
        <w:jc w:val="left"/>
        <w:rPr>
          <w:rFonts w:ascii="仿宋_GB2312" w:eastAsia="仿宋_GB2312" w:cs="宋体"/>
          <w:color w:val="000000"/>
          <w:kern w:val="0"/>
          <w:szCs w:val="21"/>
          <w:shd w:val="clear" w:color="auto" w:fill="FFFFFF"/>
        </w:rPr>
      </w:pPr>
      <w:r>
        <w:rPr>
          <w:rFonts w:hint="eastAsia" w:ascii="仿宋_GB2312" w:hAnsi="仿宋_GB2312" w:eastAsia="仿宋_GB2312" w:cs="仿宋_GB2312"/>
          <w:color w:val="000000"/>
          <w:kern w:val="0"/>
          <w:sz w:val="32"/>
          <w:szCs w:val="32"/>
          <w:shd w:val="clear" w:color="auto" w:fill="FFFFFF"/>
          <w:lang w:val="zh-CN"/>
        </w:rPr>
        <w:t>在预算执行中对均衡计划按时支付，切实保障单位正常运转。项目资金按照管理要求按时支入，不延期支付，不挪用项目资金。2019</w:t>
      </w:r>
      <w:r>
        <w:rPr>
          <w:rFonts w:hint="eastAsia" w:ascii="仿宋_GB2312" w:hAnsi="仿宋_GB2312" w:eastAsia="仿宋_GB2312" w:cs="仿宋_GB2312"/>
          <w:color w:val="000000"/>
          <w:kern w:val="0"/>
          <w:sz w:val="32"/>
          <w:szCs w:val="32"/>
          <w:shd w:val="clear" w:color="auto" w:fill="FFFFFF"/>
        </w:rPr>
        <w:t>年度收入预算数2180万元，调整预算数23759.53万元，决算数</w:t>
      </w:r>
      <w:r>
        <w:rPr>
          <w:rFonts w:hint="eastAsia" w:ascii="仿宋_GB2312" w:hAnsi="仿宋_GB2312" w:eastAsia="仿宋_GB2312" w:cs="仿宋_GB2312"/>
          <w:color w:val="000000"/>
          <w:sz w:val="32"/>
          <w:szCs w:val="32"/>
        </w:rPr>
        <w:t>23759.53万元。支出预算数</w:t>
      </w:r>
      <w:r>
        <w:rPr>
          <w:rFonts w:hint="eastAsia" w:ascii="仿宋_GB2312" w:hAnsi="仿宋_GB2312" w:eastAsia="仿宋_GB2312" w:cs="仿宋_GB2312"/>
          <w:color w:val="000000"/>
          <w:kern w:val="0"/>
          <w:sz w:val="32"/>
          <w:szCs w:val="32"/>
          <w:shd w:val="clear" w:color="auto" w:fill="FFFFFF"/>
        </w:rPr>
        <w:t>2180万元，调整预算数24449.74万元，决算数</w:t>
      </w:r>
      <w:r>
        <w:rPr>
          <w:rFonts w:hint="eastAsia" w:ascii="仿宋_GB2312" w:hAnsi="仿宋_GB2312" w:eastAsia="仿宋_GB2312" w:cs="仿宋_GB2312"/>
          <w:color w:val="000000"/>
          <w:sz w:val="32"/>
          <w:szCs w:val="32"/>
        </w:rPr>
        <w:t>19112.88万元。</w:t>
      </w:r>
    </w:p>
    <w:tbl>
      <w:tblPr>
        <w:tblStyle w:val="13"/>
        <w:tblW w:w="9000" w:type="dxa"/>
        <w:tblInd w:w="100" w:type="dxa"/>
        <w:tblLayout w:type="autofit"/>
        <w:tblCellMar>
          <w:top w:w="0" w:type="dxa"/>
          <w:left w:w="108" w:type="dxa"/>
          <w:bottom w:w="0" w:type="dxa"/>
          <w:right w:w="108" w:type="dxa"/>
        </w:tblCellMar>
      </w:tblPr>
      <w:tblGrid>
        <w:gridCol w:w="3600"/>
        <w:gridCol w:w="1800"/>
        <w:gridCol w:w="1800"/>
        <w:gridCol w:w="1800"/>
      </w:tblGrid>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Arial"/>
                <w:kern w:val="0"/>
                <w:szCs w:val="21"/>
              </w:rPr>
            </w:pPr>
            <w:r>
              <w:rPr>
                <w:rFonts w:hint="eastAsia" w:ascii="仿宋_GB2312" w:hAnsi="宋体" w:eastAsia="仿宋_GB2312" w:cs="Arial"/>
                <w:kern w:val="0"/>
                <w:szCs w:val="21"/>
              </w:rPr>
              <w:t>收入项目</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kern w:val="0"/>
                <w:szCs w:val="21"/>
              </w:rPr>
            </w:pPr>
            <w:r>
              <w:rPr>
                <w:rFonts w:hint="eastAsia" w:ascii="仿宋_GB2312" w:hAnsi="宋体" w:eastAsia="仿宋_GB2312" w:cs="Arial"/>
                <w:kern w:val="0"/>
                <w:szCs w:val="21"/>
              </w:rPr>
              <w:t>年初预算数</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kern w:val="0"/>
                <w:szCs w:val="21"/>
              </w:rPr>
            </w:pPr>
            <w:r>
              <w:rPr>
                <w:rFonts w:hint="eastAsia" w:ascii="仿宋_GB2312" w:hAnsi="宋体" w:eastAsia="仿宋_GB2312" w:cs="Arial"/>
                <w:kern w:val="0"/>
                <w:szCs w:val="21"/>
              </w:rPr>
              <w:t>调整预算数</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kern w:val="0"/>
                <w:szCs w:val="21"/>
              </w:rPr>
            </w:pPr>
            <w:r>
              <w:rPr>
                <w:rFonts w:hint="eastAsia" w:ascii="仿宋_GB2312" w:hAnsi="宋体" w:eastAsia="仿宋_GB2312" w:cs="Arial"/>
                <w:kern w:val="0"/>
                <w:szCs w:val="21"/>
              </w:rPr>
              <w:t>决算数</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一、一般公共预算财政拨款收入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21,010,015.00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28,610,982.19</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28,610,982.19</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二、政府性基金预算财政拨款收入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790,000.00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208,984,364.54</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208,984,364.54</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三、上级补助收入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四、事业收入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五、经营收入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六、附属单位上缴收入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hint="eastAsia" w:ascii="仿宋_GB2312" w:hAnsi="宋体" w:eastAsia="仿宋_GB2312" w:cs="Arial"/>
                <w:kern w:val="0"/>
                <w:szCs w:val="21"/>
              </w:rPr>
              <w:t>七、其他收入</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Arial"/>
                <w:b/>
                <w:bCs/>
                <w:kern w:val="0"/>
                <w:szCs w:val="21"/>
              </w:rPr>
            </w:pPr>
            <w:r>
              <w:rPr>
                <w:rFonts w:hint="eastAsia" w:ascii="仿宋_GB2312" w:hAnsi="宋体" w:eastAsia="仿宋_GB2312" w:cs="Arial"/>
                <w:b/>
                <w:bCs/>
                <w:kern w:val="0"/>
                <w:szCs w:val="21"/>
              </w:rPr>
              <w:t>本年收入合计</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21,800,015.00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237,595,346.73</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237,595,346.73</w:t>
            </w:r>
          </w:p>
        </w:tc>
      </w:tr>
      <w:tr>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ascii="仿宋_GB2312" w:hAnsi="宋体" w:eastAsia="仿宋_GB2312" w:cs="Arial"/>
                <w:kern w:val="0"/>
                <w:szCs w:val="21"/>
              </w:rPr>
              <w:t xml:space="preserve">    </w:t>
            </w:r>
            <w:r>
              <w:rPr>
                <w:rFonts w:hint="eastAsia" w:ascii="仿宋_GB2312" w:hAnsi="宋体" w:eastAsia="仿宋_GB2312" w:cs="Arial"/>
                <w:kern w:val="0"/>
                <w:szCs w:val="21"/>
              </w:rPr>
              <w:t>用事业基金弥补收支差额</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4" w:space="0"/>
              <w:right w:val="single" w:color="000000" w:sz="4" w:space="0"/>
            </w:tcBorders>
            <w:noWrap/>
            <w:vAlign w:val="center"/>
          </w:tcPr>
          <w:p>
            <w:pPr>
              <w:widowControl/>
              <w:jc w:val="left"/>
              <w:rPr>
                <w:rFonts w:ascii="仿宋_GB2312" w:hAnsi="宋体" w:eastAsia="仿宋_GB2312" w:cs="Arial"/>
                <w:kern w:val="0"/>
                <w:szCs w:val="21"/>
              </w:rPr>
            </w:pPr>
            <w:r>
              <w:rPr>
                <w:rFonts w:ascii="仿宋_GB2312" w:hAnsi="宋体" w:eastAsia="仿宋_GB2312" w:cs="Arial"/>
                <w:kern w:val="0"/>
                <w:szCs w:val="21"/>
              </w:rPr>
              <w:t xml:space="preserve">    </w:t>
            </w:r>
            <w:r>
              <w:rPr>
                <w:rFonts w:hint="eastAsia" w:ascii="仿宋_GB2312" w:hAnsi="宋体" w:eastAsia="仿宋_GB2312" w:cs="Arial"/>
                <w:kern w:val="0"/>
                <w:szCs w:val="21"/>
              </w:rPr>
              <w:t>年初结转和结余</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6,902,032.66</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6,881,081.18</w:t>
            </w:r>
          </w:p>
        </w:tc>
      </w:tr>
      <w:tr>
        <w:tblPrEx>
          <w:tblCellMar>
            <w:top w:w="0" w:type="dxa"/>
            <w:left w:w="108" w:type="dxa"/>
            <w:bottom w:w="0" w:type="dxa"/>
            <w:right w:w="108" w:type="dxa"/>
          </w:tblCellMar>
        </w:tblPrEx>
        <w:trPr>
          <w:trHeight w:val="308" w:hRule="atLeast"/>
        </w:trPr>
        <w:tc>
          <w:tcPr>
            <w:tcW w:w="3600" w:type="dxa"/>
            <w:tcBorders>
              <w:top w:val="nil"/>
              <w:left w:val="single" w:color="000000" w:sz="4" w:space="0"/>
              <w:bottom w:val="single" w:color="000000" w:sz="8" w:space="0"/>
              <w:right w:val="single" w:color="000000" w:sz="4" w:space="0"/>
            </w:tcBorders>
            <w:noWrap/>
            <w:vAlign w:val="center"/>
          </w:tcPr>
          <w:p>
            <w:pPr>
              <w:widowControl/>
              <w:jc w:val="center"/>
              <w:rPr>
                <w:rFonts w:ascii="仿宋_GB2312" w:hAnsi="宋体" w:eastAsia="仿宋_GB2312" w:cs="Arial"/>
                <w:b/>
                <w:bCs/>
                <w:kern w:val="0"/>
                <w:szCs w:val="21"/>
              </w:rPr>
            </w:pPr>
            <w:r>
              <w:rPr>
                <w:rFonts w:hint="eastAsia" w:ascii="仿宋_GB2312" w:hAnsi="宋体" w:eastAsia="仿宋_GB2312" w:cs="Arial"/>
                <w:b/>
                <w:bCs/>
                <w:kern w:val="0"/>
                <w:szCs w:val="21"/>
              </w:rPr>
              <w:t>总计</w:t>
            </w:r>
          </w:p>
        </w:tc>
        <w:tc>
          <w:tcPr>
            <w:tcW w:w="1800" w:type="dxa"/>
            <w:tcBorders>
              <w:top w:val="nil"/>
              <w:left w:val="nil"/>
              <w:bottom w:val="single" w:color="000000" w:sz="8"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21,800,015.00</w:t>
            </w:r>
          </w:p>
        </w:tc>
        <w:tc>
          <w:tcPr>
            <w:tcW w:w="1800" w:type="dxa"/>
            <w:tcBorders>
              <w:top w:val="nil"/>
              <w:left w:val="nil"/>
              <w:bottom w:val="single" w:color="000000" w:sz="8"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244,497,379.39</w:t>
            </w:r>
          </w:p>
        </w:tc>
        <w:tc>
          <w:tcPr>
            <w:tcW w:w="1800" w:type="dxa"/>
            <w:tcBorders>
              <w:top w:val="nil"/>
              <w:left w:val="nil"/>
              <w:bottom w:val="single" w:color="000000" w:sz="8" w:space="0"/>
              <w:right w:val="single" w:color="000000" w:sz="4" w:space="0"/>
            </w:tcBorders>
            <w:noWrap/>
            <w:vAlign w:val="center"/>
          </w:tcPr>
          <w:p>
            <w:pPr>
              <w:widowControl/>
              <w:jc w:val="right"/>
              <w:rPr>
                <w:rFonts w:ascii="仿宋_GB2312" w:hAnsi="宋体" w:eastAsia="仿宋_GB2312" w:cs="Arial"/>
                <w:kern w:val="0"/>
                <w:szCs w:val="21"/>
              </w:rPr>
            </w:pPr>
            <w:r>
              <w:rPr>
                <w:rFonts w:ascii="仿宋_GB2312" w:hAnsi="宋体" w:eastAsia="仿宋_GB2312" w:cs="Arial"/>
                <w:kern w:val="0"/>
                <w:szCs w:val="21"/>
              </w:rPr>
              <w:t>244,476,427.91</w:t>
            </w:r>
          </w:p>
        </w:tc>
      </w:tr>
    </w:tbl>
    <w:p>
      <w:pPr>
        <w:spacing w:line="600" w:lineRule="exact"/>
        <w:ind w:firstLine="420" w:firstLineChars="200"/>
        <w:jc w:val="left"/>
        <w:rPr>
          <w:rFonts w:ascii="仿宋_GB2312" w:hAnsi="仿宋_GB2312" w:eastAsia="仿宋_GB2312" w:cs="仿宋_GB2312"/>
          <w:szCs w:val="21"/>
        </w:rPr>
      </w:pPr>
    </w:p>
    <w:tbl>
      <w:tblPr>
        <w:tblStyle w:val="13"/>
        <w:tblW w:w="9000" w:type="dxa"/>
        <w:tblInd w:w="100" w:type="dxa"/>
        <w:tblLayout w:type="autofit"/>
        <w:tblCellMar>
          <w:top w:w="0" w:type="dxa"/>
          <w:left w:w="108" w:type="dxa"/>
          <w:bottom w:w="0" w:type="dxa"/>
          <w:right w:w="108" w:type="dxa"/>
        </w:tblCellMar>
      </w:tblPr>
      <w:tblGrid>
        <w:gridCol w:w="3600"/>
        <w:gridCol w:w="1800"/>
        <w:gridCol w:w="1800"/>
        <w:gridCol w:w="1800"/>
      </w:tblGrid>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支出项目</w:t>
            </w:r>
            <w:r>
              <w:rPr>
                <w:rFonts w:ascii="仿宋_GB2312" w:hAnsi="宋体" w:eastAsia="仿宋_GB2312" w:cs="Arial"/>
                <w:color w:val="000000"/>
                <w:kern w:val="0"/>
                <w:szCs w:val="21"/>
              </w:rPr>
              <w:t>(</w:t>
            </w:r>
            <w:r>
              <w:rPr>
                <w:rFonts w:hint="eastAsia" w:ascii="仿宋_GB2312" w:hAnsi="宋体" w:eastAsia="仿宋_GB2312" w:cs="Arial"/>
                <w:color w:val="000000"/>
                <w:kern w:val="0"/>
                <w:szCs w:val="21"/>
              </w:rPr>
              <w:t>按功能分类</w:t>
            </w: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年初预算数</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调整预算数</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决算数</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一、一般公共服务支出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4,544,179.00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11,803,069.59</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11,803,069.59</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二、外交支出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三、国防支出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108,000.00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108,000.00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四、公共安全支出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五、教育支出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六、科学技术支出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七、文化旅游体育与传媒支出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372,684.00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686,955.82</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686,955.82</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八、社会保障和就业支出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10,069,381.00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10,489,033.29</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10,489,033.29</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九、卫生健康支出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692,062.00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562,107.15</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562,107.15</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十、节能环保支出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十一、城乡社区支出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1,090,000.00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212,937,848.90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159,570,861.21</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十二、农林水支出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4,085,281.00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6,880,023.64</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6,878,473.64</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十三、交通运输支出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十四、资源勘探信息等支出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十五、商业服务业等支出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十六、金融支出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十七、援助其他地区支出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十八、自然资源海洋气象等支出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十九、住房保障支出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946,428.00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950,341.00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950,341.00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二十、粮油物资储备支出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二十一、灾害防治及应急管理支出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80,000.00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80,000.00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二十二、其他支出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二十三、债务还本支出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二十四、债务付息支出</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6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合计</w:t>
            </w:r>
          </w:p>
        </w:tc>
        <w:tc>
          <w:tcPr>
            <w:tcW w:w="18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21,800,015.00</w:t>
            </w:r>
          </w:p>
        </w:tc>
        <w:tc>
          <w:tcPr>
            <w:tcW w:w="18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244,497,379.39</w:t>
            </w:r>
          </w:p>
        </w:tc>
        <w:tc>
          <w:tcPr>
            <w:tcW w:w="180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191,128,841.70</w:t>
            </w:r>
          </w:p>
        </w:tc>
      </w:tr>
    </w:tbl>
    <w:p>
      <w:pPr>
        <w:spacing w:line="600" w:lineRule="exact"/>
        <w:ind w:firstLine="420" w:firstLineChars="200"/>
        <w:jc w:val="left"/>
        <w:rPr>
          <w:rFonts w:ascii="仿宋_GB2312" w:hAnsi="仿宋_GB2312" w:eastAsia="仿宋_GB2312" w:cs="仿宋_GB2312"/>
          <w:szCs w:val="21"/>
        </w:rPr>
      </w:pPr>
    </w:p>
    <w:tbl>
      <w:tblPr>
        <w:tblStyle w:val="13"/>
        <w:tblW w:w="9260" w:type="dxa"/>
        <w:tblInd w:w="100" w:type="dxa"/>
        <w:tblLayout w:type="autofit"/>
        <w:tblCellMar>
          <w:top w:w="0" w:type="dxa"/>
          <w:left w:w="108" w:type="dxa"/>
          <w:bottom w:w="0" w:type="dxa"/>
          <w:right w:w="108" w:type="dxa"/>
        </w:tblCellMar>
      </w:tblPr>
      <w:tblGrid>
        <w:gridCol w:w="3280"/>
        <w:gridCol w:w="580"/>
        <w:gridCol w:w="1800"/>
        <w:gridCol w:w="1800"/>
        <w:gridCol w:w="1800"/>
      </w:tblGrid>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项目</w:t>
            </w:r>
            <w:r>
              <w:rPr>
                <w:rFonts w:ascii="仿宋_GB2312" w:hAnsi="宋体" w:eastAsia="仿宋_GB2312" w:cs="Arial"/>
                <w:color w:val="000000"/>
                <w:kern w:val="0"/>
                <w:szCs w:val="21"/>
              </w:rPr>
              <w:t>(</w:t>
            </w:r>
            <w:r>
              <w:rPr>
                <w:rFonts w:hint="eastAsia" w:ascii="仿宋_GB2312" w:hAnsi="宋体" w:eastAsia="仿宋_GB2312" w:cs="Arial"/>
                <w:color w:val="000000"/>
                <w:kern w:val="0"/>
                <w:szCs w:val="21"/>
              </w:rPr>
              <w:t>按支出性质和经济分类</w:t>
            </w:r>
            <w:r>
              <w:rPr>
                <w:rFonts w:ascii="仿宋_GB2312" w:hAnsi="宋体" w:eastAsia="仿宋_GB2312" w:cs="Arial"/>
                <w:color w:val="000000"/>
                <w:kern w:val="0"/>
                <w:szCs w:val="21"/>
              </w:rPr>
              <w:t>)</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行次</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年初预算数</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调整预算数</w:t>
            </w:r>
          </w:p>
        </w:tc>
        <w:tc>
          <w:tcPr>
            <w:tcW w:w="1800" w:type="dxa"/>
            <w:tcBorders>
              <w:top w:val="nil"/>
              <w:left w:val="nil"/>
              <w:bottom w:val="single" w:color="000000" w:sz="4" w:space="0"/>
              <w:right w:val="single" w:color="000000" w:sz="8"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决算数</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一、基本支出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56</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8,274,617.00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12,247,194.19</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12,247,194.19</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 xml:space="preserve">      </w:t>
            </w:r>
            <w:r>
              <w:rPr>
                <w:rFonts w:hint="eastAsia" w:ascii="仿宋_GB2312" w:hAnsi="宋体" w:eastAsia="仿宋_GB2312" w:cs="Arial"/>
                <w:color w:val="000000"/>
                <w:kern w:val="0"/>
                <w:szCs w:val="21"/>
              </w:rPr>
              <w:t>人员经费</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57</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7,015,659.00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11,133,945.69</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11,133,945.69</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 xml:space="preserve">      </w:t>
            </w:r>
            <w:r>
              <w:rPr>
                <w:rFonts w:hint="eastAsia" w:ascii="仿宋_GB2312" w:hAnsi="宋体" w:eastAsia="仿宋_GB2312" w:cs="Arial"/>
                <w:color w:val="000000"/>
                <w:kern w:val="0"/>
                <w:szCs w:val="21"/>
              </w:rPr>
              <w:t>日常公用经费</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58</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1,258,958.00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1,113,248.50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1,113,248.50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二、项目支出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59</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13,525,398.00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232,250,185.20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178,881,647.51</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ascii="仿宋_GB2312" w:hAnsi="宋体" w:eastAsia="仿宋_GB2312" w:cs="Arial"/>
                <w:color w:val="000000"/>
                <w:kern w:val="0"/>
                <w:szCs w:val="21"/>
              </w:rPr>
              <w:t xml:space="preserve">    </w:t>
            </w:r>
            <w:r>
              <w:rPr>
                <w:rFonts w:hint="eastAsia" w:ascii="仿宋_GB2312" w:hAnsi="宋体" w:eastAsia="仿宋_GB2312" w:cs="Arial"/>
                <w:color w:val="000000"/>
                <w:kern w:val="0"/>
                <w:szCs w:val="21"/>
              </w:rPr>
              <w:t>其中：基本建设类项目</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三、上缴上级支出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61</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四、经营支出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62</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五、对附属单位补助支出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63</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经济分类支出合计</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66</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191,128,841.70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一、工资福利支出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67</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10,820,099.19</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二、商品和服务支出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68</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11,746,703.98</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三、对个人和家庭的补助</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69</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12,682,469.63</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四、债务利息及费用支出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70</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五、资本性支出（基本建设）</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71</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六、资本性支出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72</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153,293,500.60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七、对企业补助（基本建设）</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73</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八、对企业补助</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74</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2,586,068.30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九、对社会保障基金补助</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75</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十、其他支出</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76</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b/>
                <w:bCs/>
                <w:color w:val="000000"/>
                <w:kern w:val="0"/>
                <w:szCs w:val="21"/>
              </w:rPr>
            </w:pPr>
            <w:r>
              <w:rPr>
                <w:rFonts w:hint="eastAsia" w:ascii="仿宋_GB2312" w:hAnsi="宋体" w:eastAsia="仿宋_GB2312" w:cs="Arial"/>
                <w:b/>
                <w:bCs/>
                <w:color w:val="000000"/>
                <w:kern w:val="0"/>
                <w:szCs w:val="21"/>
              </w:rPr>
              <w:t>　</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81</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21,800,015.00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244,497,379.39</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191,128,841.70</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4" w:space="0"/>
              <w:right w:val="single" w:color="000000" w:sz="4" w:space="0"/>
            </w:tcBorders>
            <w:noWrap/>
            <w:vAlign w:val="center"/>
          </w:tcPr>
          <w:p>
            <w:pPr>
              <w:widowControl/>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t>年末结转和结余</w:t>
            </w:r>
          </w:p>
        </w:tc>
        <w:tc>
          <w:tcPr>
            <w:tcW w:w="580" w:type="dxa"/>
            <w:tcBorders>
              <w:top w:val="nil"/>
              <w:left w:val="nil"/>
              <w:bottom w:val="single" w:color="000000" w:sz="4"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83</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0.00</w:t>
            </w:r>
          </w:p>
        </w:tc>
        <w:tc>
          <w:tcPr>
            <w:tcW w:w="1800" w:type="dxa"/>
            <w:tcBorders>
              <w:top w:val="nil"/>
              <w:left w:val="nil"/>
              <w:bottom w:val="single" w:color="000000" w:sz="4"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53,347,586.21</w:t>
            </w:r>
          </w:p>
        </w:tc>
      </w:tr>
      <w:tr>
        <w:tblPrEx>
          <w:tblCellMar>
            <w:top w:w="0" w:type="dxa"/>
            <w:left w:w="108" w:type="dxa"/>
            <w:bottom w:w="0" w:type="dxa"/>
            <w:right w:w="108" w:type="dxa"/>
          </w:tblCellMar>
        </w:tblPrEx>
        <w:trPr>
          <w:trHeight w:val="308" w:hRule="atLeast"/>
        </w:trPr>
        <w:tc>
          <w:tcPr>
            <w:tcW w:w="3280" w:type="dxa"/>
            <w:tcBorders>
              <w:top w:val="nil"/>
              <w:left w:val="nil"/>
              <w:bottom w:val="single" w:color="000000" w:sz="8" w:space="0"/>
              <w:right w:val="single" w:color="000000" w:sz="4" w:space="0"/>
            </w:tcBorders>
            <w:noWrap/>
            <w:vAlign w:val="center"/>
          </w:tcPr>
          <w:p>
            <w:pPr>
              <w:widowControl/>
              <w:jc w:val="center"/>
              <w:rPr>
                <w:rFonts w:ascii="仿宋_GB2312" w:hAnsi="宋体" w:eastAsia="仿宋_GB2312" w:cs="Arial"/>
                <w:b/>
                <w:bCs/>
                <w:color w:val="000000"/>
                <w:kern w:val="0"/>
                <w:szCs w:val="21"/>
              </w:rPr>
            </w:pPr>
            <w:r>
              <w:rPr>
                <w:rFonts w:hint="eastAsia" w:ascii="仿宋_GB2312" w:hAnsi="宋体" w:eastAsia="仿宋_GB2312" w:cs="Arial"/>
                <w:b/>
                <w:bCs/>
                <w:color w:val="000000"/>
                <w:kern w:val="0"/>
                <w:szCs w:val="21"/>
              </w:rPr>
              <w:t>　</w:t>
            </w:r>
          </w:p>
        </w:tc>
        <w:tc>
          <w:tcPr>
            <w:tcW w:w="580" w:type="dxa"/>
            <w:tcBorders>
              <w:top w:val="nil"/>
              <w:left w:val="nil"/>
              <w:bottom w:val="single" w:color="000000" w:sz="8" w:space="0"/>
              <w:right w:val="single" w:color="000000" w:sz="4" w:space="0"/>
            </w:tcBorders>
            <w:noWrap/>
            <w:vAlign w:val="center"/>
          </w:tcPr>
          <w:p>
            <w:pPr>
              <w:widowControl/>
              <w:jc w:val="center"/>
              <w:rPr>
                <w:rFonts w:ascii="仿宋_GB2312" w:hAnsi="宋体" w:eastAsia="仿宋_GB2312" w:cs="Arial"/>
                <w:color w:val="000000"/>
                <w:kern w:val="0"/>
                <w:szCs w:val="21"/>
              </w:rPr>
            </w:pPr>
            <w:r>
              <w:rPr>
                <w:rFonts w:ascii="仿宋_GB2312" w:hAnsi="宋体" w:eastAsia="仿宋_GB2312" w:cs="Arial"/>
                <w:color w:val="000000"/>
                <w:kern w:val="0"/>
                <w:szCs w:val="21"/>
              </w:rPr>
              <w:t>85</w:t>
            </w:r>
          </w:p>
        </w:tc>
        <w:tc>
          <w:tcPr>
            <w:tcW w:w="1800" w:type="dxa"/>
            <w:tcBorders>
              <w:top w:val="nil"/>
              <w:left w:val="nil"/>
              <w:bottom w:val="single" w:color="000000" w:sz="8"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21,800,015.00</w:t>
            </w:r>
          </w:p>
        </w:tc>
        <w:tc>
          <w:tcPr>
            <w:tcW w:w="1800" w:type="dxa"/>
            <w:tcBorders>
              <w:top w:val="nil"/>
              <w:left w:val="nil"/>
              <w:bottom w:val="single" w:color="000000" w:sz="8" w:space="0"/>
              <w:right w:val="single" w:color="000000" w:sz="4"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244,497,379.39</w:t>
            </w:r>
          </w:p>
        </w:tc>
        <w:tc>
          <w:tcPr>
            <w:tcW w:w="1800" w:type="dxa"/>
            <w:tcBorders>
              <w:top w:val="nil"/>
              <w:left w:val="nil"/>
              <w:bottom w:val="single" w:color="000000" w:sz="8" w:space="0"/>
              <w:right w:val="single" w:color="000000" w:sz="8" w:space="0"/>
            </w:tcBorders>
            <w:noWrap/>
            <w:vAlign w:val="center"/>
          </w:tcPr>
          <w:p>
            <w:pPr>
              <w:widowControl/>
              <w:jc w:val="right"/>
              <w:rPr>
                <w:rFonts w:ascii="仿宋_GB2312" w:hAnsi="宋体" w:eastAsia="仿宋_GB2312" w:cs="Arial"/>
                <w:color w:val="000000"/>
                <w:kern w:val="0"/>
                <w:szCs w:val="21"/>
              </w:rPr>
            </w:pPr>
            <w:r>
              <w:rPr>
                <w:rFonts w:ascii="仿宋_GB2312" w:hAnsi="宋体" w:eastAsia="仿宋_GB2312" w:cs="Arial"/>
                <w:color w:val="000000"/>
                <w:kern w:val="0"/>
                <w:szCs w:val="21"/>
              </w:rPr>
              <w:t>244,476,427.91</w:t>
            </w:r>
          </w:p>
        </w:tc>
      </w:tr>
    </w:tbl>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（三）支出绩效情况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部门支出绩效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）行政运转保障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年财政预算基本支出</w:t>
      </w:r>
      <w:r>
        <w:rPr>
          <w:rFonts w:ascii="仿宋_GB2312" w:hAnsi="宋体" w:eastAsia="仿宋_GB2312"/>
          <w:sz w:val="32"/>
          <w:szCs w:val="32"/>
        </w:rPr>
        <w:t>1224.72</w:t>
      </w:r>
      <w:r>
        <w:rPr>
          <w:rFonts w:hint="eastAsia" w:ascii="仿宋_GB2312" w:hAnsi="仿宋_GB2312" w:eastAsia="仿宋_GB2312" w:cs="仿宋_GB2312"/>
          <w:sz w:val="32"/>
          <w:szCs w:val="32"/>
        </w:rPr>
        <w:t>万元。为保障机关正常高效运转，切实履行各部门职能，严格执行预算规定的开支范围和标准，建立健全支出管理制度，对节约潜力大、管理薄弱的支出进行了重点管控。同时，严格执行财政国库集中支出制度和政府采购制度等规定，严把资金使用和报销审核关，确保财政资金使用规范、行政职能运转正常。</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）机关厉行节约</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我镇继续坚持从严从简、勤俭办事的原则，降低公务活动成本，取消不必要的公务接待和公务用车，严禁将非公务活动纳入接待范围，严禁公车私用。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年，全镇无因公出国（境）费用，无公务接待费，会议费支出</w:t>
      </w:r>
      <w:r>
        <w:rPr>
          <w:rFonts w:ascii="仿宋_GB2312" w:hAnsi="仿宋_GB2312" w:eastAsia="仿宋_GB2312" w:cs="仿宋_GB2312"/>
          <w:sz w:val="32"/>
          <w:szCs w:val="32"/>
        </w:rPr>
        <w:t>14.94</w:t>
      </w:r>
      <w:r>
        <w:rPr>
          <w:rFonts w:hint="eastAsia" w:ascii="仿宋_GB2312" w:hAnsi="仿宋_GB2312" w:eastAsia="仿宋_GB2312" w:cs="仿宋_GB2312"/>
          <w:sz w:val="32"/>
          <w:szCs w:val="32"/>
        </w:rPr>
        <w:t>万元，比上年</w:t>
      </w:r>
      <w:r>
        <w:rPr>
          <w:rFonts w:ascii="仿宋_GB2312" w:hAnsi="仿宋_GB2312" w:eastAsia="仿宋_GB2312" w:cs="仿宋_GB2312"/>
          <w:sz w:val="32"/>
          <w:szCs w:val="32"/>
        </w:rPr>
        <w:t>14.68</w:t>
      </w:r>
      <w:r>
        <w:rPr>
          <w:rFonts w:hint="eastAsia" w:ascii="仿宋_GB2312" w:hAnsi="仿宋_GB2312" w:eastAsia="仿宋_GB2312" w:cs="仿宋_GB2312"/>
          <w:sz w:val="32"/>
          <w:szCs w:val="32"/>
        </w:rPr>
        <w:t>万元增加</w:t>
      </w:r>
      <w:r>
        <w:rPr>
          <w:rFonts w:ascii="仿宋_GB2312" w:hAnsi="仿宋_GB2312" w:eastAsia="仿宋_GB2312" w:cs="仿宋_GB2312"/>
          <w:sz w:val="32"/>
          <w:szCs w:val="32"/>
        </w:rPr>
        <w:t>1.77%</w:t>
      </w:r>
      <w:r>
        <w:rPr>
          <w:rFonts w:hint="eastAsia" w:ascii="仿宋_GB2312" w:hAnsi="仿宋_GB2312" w:eastAsia="仿宋_GB2312" w:cs="仿宋_GB2312"/>
          <w:sz w:val="32"/>
          <w:szCs w:val="32"/>
        </w:rPr>
        <w:t>，无车辆购置费用，车辆运行费用</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万元，比上年</w:t>
      </w:r>
      <w:r>
        <w:rPr>
          <w:rFonts w:ascii="仿宋_GB2312" w:hAnsi="仿宋_GB2312" w:eastAsia="仿宋_GB2312" w:cs="仿宋_GB2312"/>
          <w:sz w:val="32"/>
          <w:szCs w:val="32"/>
        </w:rPr>
        <w:t>13.24</w:t>
      </w:r>
      <w:r>
        <w:rPr>
          <w:rFonts w:hint="eastAsia" w:ascii="仿宋_GB2312" w:hAnsi="仿宋_GB2312" w:eastAsia="仿宋_GB2312" w:cs="仿宋_GB2312"/>
          <w:sz w:val="32"/>
          <w:szCs w:val="32"/>
        </w:rPr>
        <w:t>万元减少</w:t>
      </w:r>
      <w:r>
        <w:rPr>
          <w:rFonts w:ascii="仿宋_GB2312" w:hAnsi="仿宋_GB2312" w:eastAsia="仿宋_GB2312" w:cs="仿宋_GB2312"/>
          <w:sz w:val="32"/>
          <w:szCs w:val="32"/>
        </w:rPr>
        <w:t>57.70%</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）机关节能降耗</w:t>
      </w:r>
    </w:p>
    <w:p>
      <w:pPr>
        <w:adjustRightInd w:val="0"/>
        <w:snapToGrid w:val="0"/>
        <w:spacing w:line="60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建立厉行节约、反对奢侈浪费的长效机制，健全管理制度，强化监督约束，定期维护水电设备，不断降低行政成本，在满足办公职能的基础的上，切实减少用水用电量。</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年支出水费</w:t>
      </w:r>
      <w:r>
        <w:rPr>
          <w:rFonts w:ascii="仿宋_GB2312" w:hAnsi="仿宋_GB2312" w:eastAsia="仿宋_GB2312" w:cs="仿宋_GB2312"/>
          <w:sz w:val="32"/>
          <w:szCs w:val="32"/>
        </w:rPr>
        <w:t>2.24</w:t>
      </w:r>
      <w:r>
        <w:rPr>
          <w:rFonts w:hint="eastAsia" w:ascii="仿宋_GB2312" w:hAnsi="仿宋_GB2312" w:eastAsia="仿宋_GB2312" w:cs="仿宋_GB2312"/>
          <w:sz w:val="32"/>
          <w:szCs w:val="32"/>
        </w:rPr>
        <w:t>万元、电费</w:t>
      </w:r>
      <w:r>
        <w:rPr>
          <w:rFonts w:ascii="仿宋_GB2312" w:hAnsi="仿宋_GB2312" w:eastAsia="仿宋_GB2312" w:cs="仿宋_GB2312"/>
          <w:sz w:val="32"/>
          <w:szCs w:val="32"/>
        </w:rPr>
        <w:t>9.94</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专项预算项目支出绩效</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）资金绩效分配情况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执行《四川省省级财政专项资金绩效分配管理暂行办法》，严格按照预算及任务书下达目标任务执行，确保预期目标的实现。</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）项目资金管理情况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对行政项目类资金结合以前年度纳入预算，根据项目情况进行支付，确保项目完成。对其他专项资金，以上级文件及党政办公会决定纳主预算，对不能纳入当年预算的纳入备选项目库。因特殊原因未能纳入预算当年也必须实施的，报财政追加。对工程内项目根据工作进度进行监管，完工作以据评审等相关手续进行支付</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）绩效目标完成情况</w:t>
      </w:r>
    </w:p>
    <w:p>
      <w:pPr>
        <w:widowControl/>
        <w:adjustRightInd w:val="0"/>
        <w:snapToGrid w:val="0"/>
        <w:spacing w:line="54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本年绩效目标基本完成，达到了项目要求，现就几项重点情况汇报如下：</w:t>
      </w:r>
    </w:p>
    <w:p>
      <w:pPr>
        <w:widowControl/>
        <w:adjustRightInd w:val="0"/>
        <w:snapToGrid w:val="0"/>
        <w:spacing w:line="54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①、对村民委员会和村党支部的补助：村办公经费，按照市组织部要求，所有的村办公经费实行报帐制，按照规定的支出范围由各村定时到镇报销办公经费，其余资金按进度及时拨付各村，村组干部报酬每月足额发放，保障了村务正常运转。</w:t>
      </w:r>
    </w:p>
    <w:p>
      <w:pPr>
        <w:widowControl/>
        <w:adjustRightInd w:val="0"/>
        <w:snapToGrid w:val="0"/>
        <w:spacing w:line="540" w:lineRule="exact"/>
        <w:ind w:firstLine="800" w:firstLineChars="2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②、对民政临时困难救助资金通常由各村上报，按照审批权限进行审批，救济金通过一卡通发放到救助对象手中，对个别特殊对象经党政办公会决定，进行发放。民政项目及时完成，保障全镇经济社会的稳定发展。</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总体上我镇各项目标完成情况良好，促进全镇经济的稳定和发展</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（四）财务管理情况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度重视财务管理工作和会计基础工作的规范化建设，严格执行各项财务管理制度，制定了绥山镇《财务管理制度》、《内部控制制度》、《国有资产管理规定》、《差旅费管理及报销规定》、《廉政建设制度》、《财政管理约法十章》规章制度，有效保证了全镇经济和财务管理、会计核算规范化、合法化。</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管理和会计核算，严格执行《会计法》、《预算法》和有关规章制度，明确资金的使用范围、标准；财政资金管理和使用，严格执行财政国库集中支付，纳入财政大平台管理，并按照预算用途分账核算、专款专用，经费的使用与支付严格执行财政制度规定的程序，并严格履行审批手续，保证了财务信息的真实、及时和完整。镇财政所坚持不定期对资金使用、预算执行进度和资金管理情况进行自查和检查，及时纠正不规范操作，保证各项制度的贯彻落实，较好地保证了财政资金管理的安全、规范。</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政府采购有关规定，通过比选、网上竞价、商场直购等程序，选取具有政府采购资格，以地方政府采购指定单位的供应商作为采购对象，并且按照相关规定签订政府采购合同，履行相关程序、完善审批手续后支付采购资金。</w:t>
      </w:r>
    </w:p>
    <w:p>
      <w:pPr>
        <w:adjustRightInd w:val="0"/>
        <w:snapToGrid w:val="0"/>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四、评价结论及建议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（一）评价结论</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我镇在财政预算管理、执行和会计核算单位中，严格按照有关规定执行，确保了各项财政资金的规范管理和使用的合法合规，做到会计资料真实、完整。</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（二）存在问题</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由于我镇征地拆迁项目多、时间紧、任务重，为确保项目及时进场，对部分项目拆迁户青苗费进行现场补偿，需要大量现金结算，导致资金使用的不规范。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（三）改进建议</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单位内部要深挖潜力，强化责任意识，细化工作措施，夯实管理基础，加强统筹协调，不断提高管理水平和能力，切实抓好部门预算和执行等管理工作，促进财政资金使用绩效的不断提高。</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en-US" w:eastAsia="zh-CN"/>
        </w:rPr>
        <w:t>峨眉山市绥山镇人民政府</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2019</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hint="eastAsia" w:ascii="黑体" w:hAnsi="黑体" w:eastAsia="黑体" w:cs="黑体"/>
          <w:sz w:val="44"/>
          <w:szCs w:val="44"/>
          <w:lang w:val="en-US" w:eastAsia="zh-CN"/>
        </w:rPr>
      </w:pPr>
      <w:r>
        <w:rPr>
          <w:rFonts w:hint="eastAsia" w:ascii="宋体"/>
          <w:sz w:val="32"/>
          <w:szCs w:val="32"/>
          <w:lang w:val="en-US" w:eastAsia="zh-CN"/>
        </w:rPr>
        <w:t xml:space="preserve">               </w:t>
      </w:r>
      <w:r>
        <w:rPr>
          <w:rFonts w:hint="eastAsia" w:ascii="黑体" w:hAnsi="黑体" w:eastAsia="黑体" w:cs="黑体"/>
          <w:sz w:val="44"/>
          <w:szCs w:val="44"/>
        </w:rPr>
        <w:t>（双创工作经费）</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根据市政府的工作部署和爱卫会任务要求</w:t>
      </w:r>
      <w:r>
        <w:rPr>
          <w:rFonts w:hint="eastAsia" w:ascii="仿宋_GB2312" w:hAnsi="仿宋_GB2312" w:eastAsia="仿宋_GB2312" w:cs="仿宋_GB2312"/>
          <w:sz w:val="32"/>
          <w:szCs w:val="32"/>
          <w:lang w:val="zh-CN"/>
        </w:rPr>
        <w:t>，绥山镇</w:t>
      </w:r>
      <w:r>
        <w:rPr>
          <w:rFonts w:hint="eastAsia" w:ascii="仿宋_GB2312" w:hAnsi="仿宋_GB2312" w:eastAsia="仿宋_GB2312" w:cs="仿宋_GB2312"/>
          <w:sz w:val="32"/>
          <w:szCs w:val="32"/>
        </w:rPr>
        <w:t>广泛深入地发动辖内的居民群众，组织开展爱卫、创卫和除害防病工作，把“四害”密度控制在国家标准范围内，给居民群众创造一个干净、整洁、卫生、舒适的工作和生活环境</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2、2019年根据市委市政府要求，峨眉山市财政局追加绥山镇双创工作经费预算150万元（峨财预追【2019】168号）。</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通过预算追加，规划绩效目标：</w:t>
      </w:r>
      <w:r>
        <w:rPr>
          <w:rFonts w:hint="eastAsia" w:ascii="仿宋_GB2312" w:hAnsi="仿宋_GB2312" w:eastAsia="仿宋_GB2312" w:cs="仿宋_GB2312"/>
          <w:color w:val="000000"/>
          <w:sz w:val="32"/>
          <w:szCs w:val="32"/>
          <w:shd w:val="clear" w:color="auto" w:fill="FFFFFF"/>
        </w:rPr>
        <w:t>开展辖区市容“六乱”整治、集贸市场周边卫生环境清理整治以及对辖区沿街“牛皮癣”和卫生死角的整治，加强病媒生物的科学防控，开展以环境治理为主的综合预防控制措施，消除病媒生物孳生地</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（三）项目资金申报相符性</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双创工作的开支提高了城市环境质量和居民群众的卫生意识，改进社会环境卫生水平，提高了居民群众身体健康水平，加速了经济发展和社会进步。</w:t>
      </w:r>
      <w:r>
        <w:rPr>
          <w:rFonts w:hint="eastAsia" w:ascii="仿宋_GB2312" w:hAnsi="仿宋_GB2312" w:eastAsia="仿宋_GB2312" w:cs="仿宋_GB2312"/>
          <w:sz w:val="32"/>
          <w:szCs w:val="32"/>
          <w:lang w:val="zh-CN"/>
        </w:rPr>
        <w:t>申报内容与实际相符，申报目标合理。</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1．资金计划及到位。2019年双创工作经费总投资150万元，实际财政资金到为150万元，到位率100%，到位及时。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2019年，我镇根据项目经办人提供材料，分管领导签字，主要领导同意后将资金分次支付项目实施各相关单位或个人，主要支付村社区双创工作经费，宣传材料费、制作费，误工费等合计150万元，支付率达到100%，对财政资金的使用符合规定。</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（二）项目财务管理情况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我单位财务管理制度健全，严格执行国家法律、法规，按照《会计法》财务规则制度，科学、合理的使用该笔资金，及时处理各笔款项，会计核算规范。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（三）项目组织实施情况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我镇所有双创工作专门成立了双创工作领导小组及办公室，相关事宜均通过分管领导提出解决方案，由党委集体研究方案可行性，最终通过表决确定项目实施单位或者个人。</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sz w:val="32"/>
          <w:szCs w:val="32"/>
          <w:shd w:val="clear" w:color="auto" w:fill="FFFFFF"/>
        </w:rPr>
        <w:t>积极开展辖区市容“六乱”整治、集贸市场周边卫生环境清理整治以及对辖区沿街“牛皮癣”和卫生死角的整治，有效改善辖区的市容环境。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（二）项目效益情况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我镇自开展双创工作以来成效明显：</w:t>
      </w:r>
      <w:r>
        <w:rPr>
          <w:rFonts w:hint="eastAsia" w:ascii="仿宋_GB2312" w:hAnsi="仿宋_GB2312" w:eastAsia="仿宋_GB2312" w:cs="仿宋_GB2312"/>
          <w:color w:val="000000"/>
          <w:sz w:val="32"/>
          <w:szCs w:val="32"/>
          <w:shd w:val="clear" w:color="auto" w:fill="FFFFFF"/>
        </w:rPr>
        <w:t>集贸市场周边卫生环境整洁，市场周边经营秩序良好，消除了病媒生物孳生</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提高了城市环境质量和居民群众的卫生意识，提高了居民群众身体健康水平，加速经济发展和社会进步而努力</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通过项目绩效管理自评，我镇在项目支出中不存在违法违纪行为，做到及时支付，专款专用。</w:t>
      </w:r>
      <w:r>
        <w:rPr>
          <w:rFonts w:hint="eastAsia" w:ascii="仿宋_GB2312" w:hAnsi="仿宋_GB2312" w:eastAsia="仿宋_GB2312" w:cs="仿宋_GB2312"/>
          <w:color w:val="000000"/>
          <w:sz w:val="32"/>
          <w:szCs w:val="32"/>
          <w:shd w:val="clear" w:color="auto" w:fill="FFFFFF"/>
        </w:rPr>
        <w:t>我镇虽然在双创工作中取得了一定的成绩，但离上级的工作要求和群众满意度还有一定的距离今后我们将进一步创新工作机制，改进工作方法，扎实地开展爱国卫生活动，为全镇经济社会和谐发展提供美好环境而不懈努力。</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640" w:firstLineChars="200"/>
        <w:rPr>
          <w:rFonts w:ascii="仿宋_GB2312" w:hAnsi="宋体" w:eastAsia="仿宋_GB2312"/>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18"/>
          <w:rFonts w:ascii="黑体" w:hAnsi="黑体" w:eastAsia="黑体"/>
          <w:b w:val="0"/>
        </w:rPr>
      </w:pPr>
    </w:p>
    <w:p>
      <w:pPr>
        <w:widowControl/>
        <w:jc w:val="left"/>
        <w:rPr>
          <w:rStyle w:val="18"/>
          <w:rFonts w:ascii="黑体" w:hAnsi="黑体" w:eastAsia="黑体"/>
          <w:b w:val="0"/>
        </w:rPr>
      </w:pPr>
      <w:r>
        <w:rPr>
          <w:rStyle w:val="18"/>
          <w:rFonts w:ascii="黑体" w:hAnsi="黑体" w:eastAsia="黑体"/>
          <w:b w:val="0"/>
        </w:rPr>
        <w:br w:type="page"/>
      </w:r>
    </w:p>
    <w:p>
      <w:pPr>
        <w:spacing w:line="600" w:lineRule="exact"/>
        <w:jc w:val="center"/>
        <w:outlineLvl w:val="0"/>
        <w:rPr>
          <w:rStyle w:val="18"/>
          <w:rFonts w:ascii="黑体" w:hAnsi="黑体" w:eastAsia="黑体"/>
          <w:b w:val="0"/>
        </w:rPr>
      </w:pPr>
    </w:p>
    <w:p>
      <w:pPr>
        <w:spacing w:line="600" w:lineRule="exact"/>
        <w:jc w:val="center"/>
        <w:outlineLvl w:val="0"/>
        <w:rPr>
          <w:rStyle w:val="18"/>
          <w:rFonts w:ascii="黑体" w:hAnsi="黑体" w:eastAsia="黑体"/>
          <w:b w:val="0"/>
        </w:rPr>
      </w:pPr>
      <w:bookmarkStart w:id="67" w:name="_Toc15396618"/>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65"/>
      <w:bookmarkEnd w:id="67"/>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8" w:name="_Toc15396619"/>
      <w:r>
        <w:rPr>
          <w:rFonts w:hint="eastAsia" w:ascii="仿宋" w:hAnsi="仿宋" w:eastAsia="仿宋"/>
          <w:b w:val="0"/>
          <w:color w:val="000000"/>
        </w:rPr>
        <w:t>一、收</w:t>
      </w:r>
      <w:r>
        <w:rPr>
          <w:rStyle w:val="19"/>
          <w:rFonts w:hint="eastAsia" w:ascii="仿宋" w:hAnsi="仿宋" w:eastAsia="仿宋"/>
          <w:b w:val="0"/>
          <w:bCs w:val="0"/>
        </w:rPr>
        <w:t>入支出决算总表</w:t>
      </w:r>
      <w:bookmarkEnd w:id="68"/>
    </w:p>
    <w:p>
      <w:pPr>
        <w:pStyle w:val="4"/>
        <w:rPr>
          <w:rFonts w:ascii="仿宋" w:hAnsi="仿宋" w:eastAsia="仿宋"/>
          <w:color w:val="000000"/>
        </w:rPr>
      </w:pPr>
      <w:bookmarkStart w:id="69" w:name="_Toc15396620"/>
      <w:r>
        <w:rPr>
          <w:rFonts w:hint="eastAsia" w:ascii="仿宋" w:hAnsi="仿宋" w:eastAsia="仿宋"/>
          <w:b w:val="0"/>
          <w:color w:val="000000"/>
        </w:rPr>
        <w:t>二、收</w:t>
      </w:r>
      <w:r>
        <w:rPr>
          <w:rStyle w:val="19"/>
          <w:rFonts w:hint="eastAsia" w:ascii="仿宋" w:hAnsi="仿宋" w:eastAsia="仿宋"/>
          <w:b w:val="0"/>
          <w:bCs w:val="0"/>
        </w:rPr>
        <w:t>入决算表</w:t>
      </w:r>
      <w:bookmarkEnd w:id="69"/>
    </w:p>
    <w:p>
      <w:pPr>
        <w:pStyle w:val="4"/>
        <w:rPr>
          <w:rFonts w:ascii="仿宋" w:hAnsi="仿宋" w:eastAsia="仿宋"/>
          <w:color w:val="000000"/>
        </w:rPr>
      </w:pPr>
      <w:bookmarkStart w:id="70" w:name="_Toc1539662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出决算表</w:t>
      </w:r>
      <w:bookmarkEnd w:id="70"/>
    </w:p>
    <w:p>
      <w:pPr>
        <w:pStyle w:val="4"/>
        <w:rPr>
          <w:rFonts w:ascii="仿宋" w:hAnsi="仿宋" w:eastAsia="仿宋"/>
          <w:b w:val="0"/>
          <w:color w:val="000000"/>
        </w:rPr>
      </w:pPr>
      <w:bookmarkStart w:id="71" w:name="_Toc15396622"/>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71"/>
    </w:p>
    <w:p>
      <w:pPr>
        <w:pStyle w:val="4"/>
        <w:rPr>
          <w:rStyle w:val="19"/>
          <w:rFonts w:ascii="仿宋" w:hAnsi="仿宋" w:eastAsia="仿宋"/>
          <w:b w:val="0"/>
          <w:bCs w:val="0"/>
        </w:rPr>
      </w:pPr>
      <w:bookmarkStart w:id="72" w:name="_Toc15396623"/>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w:t>
      </w:r>
      <w:bookmarkEnd w:id="72"/>
      <w:bookmarkStart w:id="73" w:name="_Toc15396624"/>
    </w:p>
    <w:p>
      <w:pPr>
        <w:pStyle w:val="4"/>
        <w:rPr>
          <w:rFonts w:ascii="仿宋" w:hAnsi="仿宋" w:eastAsia="仿宋"/>
          <w:color w:val="000000"/>
        </w:rPr>
      </w:pPr>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73"/>
    </w:p>
    <w:p>
      <w:pPr>
        <w:pStyle w:val="4"/>
        <w:rPr>
          <w:rFonts w:ascii="仿宋" w:hAnsi="仿宋" w:eastAsia="仿宋"/>
          <w:color w:val="000000"/>
        </w:rPr>
      </w:pPr>
      <w:bookmarkStart w:id="74" w:name="_Toc15396625"/>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74"/>
    </w:p>
    <w:p>
      <w:pPr>
        <w:pStyle w:val="4"/>
        <w:rPr>
          <w:rFonts w:ascii="仿宋" w:hAnsi="仿宋" w:eastAsia="仿宋"/>
          <w:color w:val="000000"/>
        </w:rPr>
      </w:pPr>
      <w:bookmarkStart w:id="75" w:name="_Toc15396626"/>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75"/>
    </w:p>
    <w:p>
      <w:pPr>
        <w:pStyle w:val="4"/>
        <w:rPr>
          <w:rFonts w:ascii="仿宋" w:hAnsi="仿宋" w:eastAsia="仿宋"/>
          <w:color w:val="000000"/>
        </w:rPr>
      </w:pPr>
      <w:bookmarkStart w:id="76" w:name="_Toc15396627"/>
      <w:r>
        <w:rPr>
          <w:rStyle w:val="19"/>
          <w:rFonts w:hint="eastAsia" w:ascii="仿宋" w:hAnsi="仿宋" w:eastAsia="仿宋"/>
          <w:b w:val="0"/>
          <w:bCs w:val="0"/>
        </w:rPr>
        <w:t>九、</w:t>
      </w:r>
      <w:r>
        <w:rPr>
          <w:rFonts w:hint="eastAsia" w:ascii="仿宋" w:hAnsi="仿宋" w:eastAsia="仿宋"/>
          <w:b w:val="0"/>
          <w:color w:val="000000"/>
        </w:rPr>
        <w:t>一</w:t>
      </w:r>
      <w:r>
        <w:rPr>
          <w:rStyle w:val="19"/>
          <w:rFonts w:hint="eastAsia" w:ascii="仿宋" w:hAnsi="仿宋" w:eastAsia="仿宋"/>
          <w:b w:val="0"/>
          <w:bCs w:val="0"/>
        </w:rPr>
        <w:t>般公共预算财政拨款项目支出决算表</w:t>
      </w:r>
      <w:bookmarkEnd w:id="76"/>
    </w:p>
    <w:p>
      <w:pPr>
        <w:pStyle w:val="4"/>
        <w:rPr>
          <w:rFonts w:ascii="仿宋" w:hAnsi="仿宋" w:eastAsia="仿宋"/>
          <w:color w:val="000000"/>
        </w:rPr>
      </w:pPr>
      <w:bookmarkStart w:id="77" w:name="_Toc15396628"/>
      <w:r>
        <w:rPr>
          <w:rStyle w:val="19"/>
          <w:rFonts w:hint="eastAsia" w:ascii="仿宋" w:hAnsi="仿宋" w:eastAsia="仿宋"/>
          <w:b w:val="0"/>
          <w:bCs w:val="0"/>
        </w:rPr>
        <w:t>十、</w:t>
      </w:r>
      <w:r>
        <w:rPr>
          <w:rFonts w:hint="eastAsia" w:ascii="仿宋" w:hAnsi="仿宋" w:eastAsia="仿宋"/>
          <w:b w:val="0"/>
          <w:color w:val="000000"/>
        </w:rPr>
        <w:t>一</w:t>
      </w:r>
      <w:r>
        <w:rPr>
          <w:rStyle w:val="19"/>
          <w:rFonts w:hint="eastAsia" w:ascii="仿宋" w:hAnsi="仿宋" w:eastAsia="仿宋"/>
          <w:b w:val="0"/>
          <w:bCs w:val="0"/>
        </w:rPr>
        <w:t>般公共预算财政拨款“三公”经费支出决算表</w:t>
      </w:r>
      <w:bookmarkEnd w:id="77"/>
    </w:p>
    <w:p>
      <w:pPr>
        <w:pStyle w:val="4"/>
        <w:rPr>
          <w:rFonts w:ascii="仿宋" w:hAnsi="仿宋" w:eastAsia="仿宋"/>
          <w:color w:val="000000"/>
        </w:rPr>
      </w:pPr>
      <w:bookmarkStart w:id="78" w:name="_Toc15396629"/>
      <w:r>
        <w:rPr>
          <w:rStyle w:val="19"/>
          <w:rFonts w:hint="eastAsia" w:ascii="仿宋" w:hAnsi="仿宋" w:eastAsia="仿宋"/>
          <w:b w:val="0"/>
          <w:bCs w:val="0"/>
        </w:rPr>
        <w:t>十一、</w:t>
      </w:r>
      <w:r>
        <w:rPr>
          <w:rFonts w:hint="eastAsia" w:ascii="仿宋" w:hAnsi="仿宋" w:eastAsia="仿宋"/>
          <w:b w:val="0"/>
          <w:color w:val="000000"/>
        </w:rPr>
        <w:t>政</w:t>
      </w:r>
      <w:r>
        <w:rPr>
          <w:rStyle w:val="19"/>
          <w:rFonts w:hint="eastAsia" w:ascii="仿宋" w:hAnsi="仿宋" w:eastAsia="仿宋"/>
          <w:b w:val="0"/>
          <w:bCs w:val="0"/>
        </w:rPr>
        <w:t>府性基金预算财政拨款收入支出决算表</w:t>
      </w:r>
      <w:bookmarkEnd w:id="78"/>
    </w:p>
    <w:p>
      <w:pPr>
        <w:pStyle w:val="4"/>
        <w:rPr>
          <w:rFonts w:ascii="仿宋" w:hAnsi="仿宋" w:eastAsia="仿宋"/>
          <w:color w:val="000000"/>
        </w:rPr>
      </w:pPr>
      <w:bookmarkStart w:id="79" w:name="_Toc15396630"/>
      <w:r>
        <w:rPr>
          <w:rStyle w:val="19"/>
          <w:rFonts w:hint="eastAsia" w:ascii="仿宋" w:hAnsi="仿宋" w:eastAsia="仿宋"/>
          <w:b w:val="0"/>
          <w:bCs w:val="0"/>
        </w:rPr>
        <w:t>十二、</w:t>
      </w:r>
      <w:r>
        <w:rPr>
          <w:rFonts w:hint="eastAsia" w:ascii="仿宋" w:hAnsi="仿宋" w:eastAsia="仿宋"/>
          <w:b w:val="0"/>
          <w:color w:val="000000"/>
        </w:rPr>
        <w:t>政</w:t>
      </w:r>
      <w:r>
        <w:rPr>
          <w:rStyle w:val="19"/>
          <w:rFonts w:hint="eastAsia" w:ascii="仿宋" w:hAnsi="仿宋" w:eastAsia="仿宋"/>
          <w:b w:val="0"/>
          <w:bCs w:val="0"/>
        </w:rPr>
        <w:t>府性基金预算财政拨款“三公”经费支出决算表</w:t>
      </w:r>
      <w:bookmarkEnd w:id="79"/>
    </w:p>
    <w:p>
      <w:pPr>
        <w:pStyle w:val="4"/>
        <w:rPr>
          <w:rFonts w:ascii="仿宋" w:hAnsi="仿宋" w:eastAsia="仿宋"/>
          <w:color w:val="000000"/>
        </w:rPr>
      </w:pPr>
      <w:bookmarkStart w:id="80" w:name="_Toc15396631"/>
      <w:r>
        <w:rPr>
          <w:rStyle w:val="19"/>
          <w:rFonts w:hint="eastAsia" w:ascii="仿宋" w:hAnsi="仿宋" w:eastAsia="仿宋"/>
          <w:b w:val="0"/>
          <w:bCs w:val="0"/>
        </w:rPr>
        <w:t>十三、</w:t>
      </w:r>
      <w:r>
        <w:rPr>
          <w:rFonts w:hint="eastAsia" w:ascii="仿宋" w:hAnsi="仿宋" w:eastAsia="仿宋"/>
          <w:b w:val="0"/>
          <w:color w:val="000000"/>
        </w:rPr>
        <w:t>国</w:t>
      </w:r>
      <w:r>
        <w:rPr>
          <w:rStyle w:val="19"/>
          <w:rFonts w:hint="eastAsia" w:ascii="仿宋" w:hAnsi="仿宋" w:eastAsia="仿宋"/>
          <w:b w:val="0"/>
          <w:bCs w:val="0"/>
        </w:rPr>
        <w:t>有资本经营预算支出决算表</w:t>
      </w:r>
      <w:bookmarkEnd w:id="8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18</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9A4"/>
    <w:rsid w:val="000E6613"/>
    <w:rsid w:val="000E7119"/>
    <w:rsid w:val="00114E9B"/>
    <w:rsid w:val="00142216"/>
    <w:rsid w:val="00144D6A"/>
    <w:rsid w:val="0014729F"/>
    <w:rsid w:val="00157BAB"/>
    <w:rsid w:val="001654D1"/>
    <w:rsid w:val="00166DA6"/>
    <w:rsid w:val="00174518"/>
    <w:rsid w:val="00174810"/>
    <w:rsid w:val="0018106D"/>
    <w:rsid w:val="001877A7"/>
    <w:rsid w:val="00191536"/>
    <w:rsid w:val="00196687"/>
    <w:rsid w:val="001A0180"/>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AF"/>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17B2A"/>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D15"/>
    <w:rsid w:val="006A0800"/>
    <w:rsid w:val="006A3141"/>
    <w:rsid w:val="006A4C15"/>
    <w:rsid w:val="006A5E34"/>
    <w:rsid w:val="006B2422"/>
    <w:rsid w:val="006B2B9A"/>
    <w:rsid w:val="006C1937"/>
    <w:rsid w:val="006F020C"/>
    <w:rsid w:val="007026AE"/>
    <w:rsid w:val="007104A0"/>
    <w:rsid w:val="007127B7"/>
    <w:rsid w:val="0071798E"/>
    <w:rsid w:val="00727533"/>
    <w:rsid w:val="007416B6"/>
    <w:rsid w:val="00746F48"/>
    <w:rsid w:val="0075404D"/>
    <w:rsid w:val="0076182A"/>
    <w:rsid w:val="00767B7E"/>
    <w:rsid w:val="007770C3"/>
    <w:rsid w:val="00784D24"/>
    <w:rsid w:val="00785FBA"/>
    <w:rsid w:val="00786E4A"/>
    <w:rsid w:val="007875EB"/>
    <w:rsid w:val="0078799C"/>
    <w:rsid w:val="0079426B"/>
    <w:rsid w:val="007D1682"/>
    <w:rsid w:val="007D312A"/>
    <w:rsid w:val="007D3F19"/>
    <w:rsid w:val="007E23B0"/>
    <w:rsid w:val="007E66B3"/>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75D79"/>
    <w:rsid w:val="00885AF4"/>
    <w:rsid w:val="008939CD"/>
    <w:rsid w:val="008B768C"/>
    <w:rsid w:val="008C4DB1"/>
    <w:rsid w:val="008C4EAF"/>
    <w:rsid w:val="008C5176"/>
    <w:rsid w:val="008C7FD0"/>
    <w:rsid w:val="008E1DE7"/>
    <w:rsid w:val="008E707C"/>
    <w:rsid w:val="00900B08"/>
    <w:rsid w:val="00902155"/>
    <w:rsid w:val="00902FA3"/>
    <w:rsid w:val="00920303"/>
    <w:rsid w:val="00923564"/>
    <w:rsid w:val="0092392E"/>
    <w:rsid w:val="009315F9"/>
    <w:rsid w:val="00933499"/>
    <w:rsid w:val="00935C98"/>
    <w:rsid w:val="00946945"/>
    <w:rsid w:val="00951248"/>
    <w:rsid w:val="0095152F"/>
    <w:rsid w:val="00954C49"/>
    <w:rsid w:val="00955E37"/>
    <w:rsid w:val="00964585"/>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F45"/>
    <w:rsid w:val="00A91760"/>
    <w:rsid w:val="00A93B00"/>
    <w:rsid w:val="00A93C21"/>
    <w:rsid w:val="00AA76B6"/>
    <w:rsid w:val="00AB64C9"/>
    <w:rsid w:val="00AC3C6A"/>
    <w:rsid w:val="00AD0F83"/>
    <w:rsid w:val="00AD5620"/>
    <w:rsid w:val="00AD656B"/>
    <w:rsid w:val="00AD721C"/>
    <w:rsid w:val="00AD7C1B"/>
    <w:rsid w:val="00AE16BA"/>
    <w:rsid w:val="00AE1EBE"/>
    <w:rsid w:val="00B0034E"/>
    <w:rsid w:val="00B03C9D"/>
    <w:rsid w:val="00B060AE"/>
    <w:rsid w:val="00B10517"/>
    <w:rsid w:val="00B12528"/>
    <w:rsid w:val="00B14E76"/>
    <w:rsid w:val="00B161B8"/>
    <w:rsid w:val="00B2048C"/>
    <w:rsid w:val="00B310B9"/>
    <w:rsid w:val="00B35F3F"/>
    <w:rsid w:val="00B36CBB"/>
    <w:rsid w:val="00B425E0"/>
    <w:rsid w:val="00B440AA"/>
    <w:rsid w:val="00B44B70"/>
    <w:rsid w:val="00B45197"/>
    <w:rsid w:val="00B53C56"/>
    <w:rsid w:val="00B57DAF"/>
    <w:rsid w:val="00B77EA6"/>
    <w:rsid w:val="00B81598"/>
    <w:rsid w:val="00B841F1"/>
    <w:rsid w:val="00B944D6"/>
    <w:rsid w:val="00BB4DF0"/>
    <w:rsid w:val="00BC289F"/>
    <w:rsid w:val="00BC2D50"/>
    <w:rsid w:val="00BC5361"/>
    <w:rsid w:val="00BC5460"/>
    <w:rsid w:val="00BC6B50"/>
    <w:rsid w:val="00BD0D7C"/>
    <w:rsid w:val="00BD0E25"/>
    <w:rsid w:val="00BF5BD6"/>
    <w:rsid w:val="00C03E31"/>
    <w:rsid w:val="00C30E69"/>
    <w:rsid w:val="00C33E72"/>
    <w:rsid w:val="00C354B2"/>
    <w:rsid w:val="00C35554"/>
    <w:rsid w:val="00C42709"/>
    <w:rsid w:val="00C533CC"/>
    <w:rsid w:val="00C5751C"/>
    <w:rsid w:val="00C61BFC"/>
    <w:rsid w:val="00C62B85"/>
    <w:rsid w:val="00C65438"/>
    <w:rsid w:val="00C841C6"/>
    <w:rsid w:val="00C91CBB"/>
    <w:rsid w:val="00CB4E70"/>
    <w:rsid w:val="00CC09B6"/>
    <w:rsid w:val="00CC666F"/>
    <w:rsid w:val="00CD1E3F"/>
    <w:rsid w:val="00CE44E4"/>
    <w:rsid w:val="00CE44F6"/>
    <w:rsid w:val="00CE49DA"/>
    <w:rsid w:val="00CE7B61"/>
    <w:rsid w:val="00D00095"/>
    <w:rsid w:val="00D114F0"/>
    <w:rsid w:val="00D20620"/>
    <w:rsid w:val="00D254F7"/>
    <w:rsid w:val="00D26091"/>
    <w:rsid w:val="00D2685C"/>
    <w:rsid w:val="00D34E7C"/>
    <w:rsid w:val="00D35489"/>
    <w:rsid w:val="00D36AFE"/>
    <w:rsid w:val="00D51276"/>
    <w:rsid w:val="00D55CE5"/>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08CA"/>
    <w:rsid w:val="00F36D8F"/>
    <w:rsid w:val="00F417B1"/>
    <w:rsid w:val="00F45853"/>
    <w:rsid w:val="00F602DF"/>
    <w:rsid w:val="00F62E77"/>
    <w:rsid w:val="00F754A1"/>
    <w:rsid w:val="00F817C4"/>
    <w:rsid w:val="00F81FD9"/>
    <w:rsid w:val="00F841AA"/>
    <w:rsid w:val="00F84A94"/>
    <w:rsid w:val="00F87E96"/>
    <w:rsid w:val="00FA23E8"/>
    <w:rsid w:val="00FD3CC1"/>
    <w:rsid w:val="00FF1E02"/>
    <w:rsid w:val="00FF30B4"/>
    <w:rsid w:val="0FB373F9"/>
    <w:rsid w:val="10C055FF"/>
    <w:rsid w:val="16BB723D"/>
    <w:rsid w:val="240371BF"/>
    <w:rsid w:val="29FD04D3"/>
    <w:rsid w:val="30E53665"/>
    <w:rsid w:val="319F7F4E"/>
    <w:rsid w:val="41F6347B"/>
    <w:rsid w:val="4ECE2238"/>
    <w:rsid w:val="68CC59CE"/>
    <w:rsid w:val="72734D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locked/>
    <w:uiPriority w:val="0"/>
    <w:pPr>
      <w:ind w:left="200" w:leftChars="200" w:hanging="200" w:hangingChars="200"/>
    </w:pPr>
    <w:rPr>
      <w:rFonts w:eastAsia="仿宋"/>
      <w:sz w:val="32"/>
      <w:szCs w:val="24"/>
    </w:rPr>
  </w:style>
  <w:style w:type="paragraph" w:styleId="6">
    <w:name w:val="Body Text"/>
    <w:basedOn w:val="1"/>
    <w:link w:val="27"/>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2"/>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uiPriority w:val="99"/>
    <w:pPr>
      <w:tabs>
        <w:tab w:val="right" w:leader="dot" w:pos="8296"/>
      </w:tabs>
      <w:ind w:left="420" w:leftChars="200"/>
    </w:pPr>
  </w:style>
  <w:style w:type="character" w:styleId="15">
    <w:name w:val="Strong"/>
    <w:basedOn w:val="14"/>
    <w:qFormat/>
    <w:uiPriority w:val="99"/>
    <w:rPr>
      <w:rFonts w:cs="Times New Roman"/>
      <w:b/>
    </w:rPr>
  </w:style>
  <w:style w:type="character" w:styleId="16">
    <w:name w:val="page number"/>
    <w:basedOn w:val="14"/>
    <w:qFormat/>
    <w:locked/>
    <w:uiPriority w:val="99"/>
    <w:rPr>
      <w:rFonts w:cs="Times New Roman"/>
    </w:rPr>
  </w:style>
  <w:style w:type="character" w:styleId="17">
    <w:name w:val="Hyperlink"/>
    <w:basedOn w:val="14"/>
    <w:uiPriority w:val="99"/>
    <w:rPr>
      <w:rFonts w:cs="Times New Roman"/>
      <w:color w:val="0000FF"/>
      <w:u w:val="single"/>
    </w:rPr>
  </w:style>
  <w:style w:type="character" w:customStyle="1" w:styleId="18">
    <w:name w:val="Heading 1 Char"/>
    <w:basedOn w:val="14"/>
    <w:link w:val="3"/>
    <w:qFormat/>
    <w:locked/>
    <w:uiPriority w:val="99"/>
    <w:rPr>
      <w:rFonts w:ascii="Times New Roman" w:hAnsi="Times New Roman" w:cs="Times New Roman"/>
      <w:b/>
      <w:bCs/>
      <w:kern w:val="44"/>
      <w:sz w:val="44"/>
      <w:szCs w:val="44"/>
    </w:rPr>
  </w:style>
  <w:style w:type="character" w:customStyle="1" w:styleId="19">
    <w:name w:val="Heading 2 Char"/>
    <w:basedOn w:val="14"/>
    <w:link w:val="4"/>
    <w:qFormat/>
    <w:locked/>
    <w:uiPriority w:val="99"/>
    <w:rPr>
      <w:rFonts w:ascii="Cambria" w:hAnsi="Cambria" w:eastAsia="宋体" w:cs="Times New Roman"/>
      <w:b/>
      <w:bCs/>
      <w:kern w:val="2"/>
      <w:sz w:val="32"/>
      <w:szCs w:val="32"/>
    </w:rPr>
  </w:style>
  <w:style w:type="character" w:customStyle="1" w:styleId="20">
    <w:name w:val="Heading 3 Char"/>
    <w:basedOn w:val="14"/>
    <w:link w:val="5"/>
    <w:locked/>
    <w:uiPriority w:val="99"/>
    <w:rPr>
      <w:rFonts w:ascii="Times New Roman" w:hAnsi="Times New Roman" w:cs="Times New Roman"/>
      <w:b/>
      <w:bCs/>
      <w:kern w:val="2"/>
      <w:sz w:val="32"/>
      <w:szCs w:val="32"/>
    </w:rPr>
  </w:style>
  <w:style w:type="character" w:customStyle="1" w:styleId="21">
    <w:name w:val="Body Text Char"/>
    <w:basedOn w:val="14"/>
    <w:link w:val="6"/>
    <w:semiHidden/>
    <w:qFormat/>
    <w:locked/>
    <w:uiPriority w:val="99"/>
    <w:rPr>
      <w:rFonts w:ascii="Times New Roman" w:hAnsi="Times New Roman" w:cs="Times New Roman"/>
      <w:sz w:val="24"/>
      <w:szCs w:val="24"/>
    </w:rPr>
  </w:style>
  <w:style w:type="character" w:customStyle="1" w:styleId="22">
    <w:name w:val="Balloon Text Char"/>
    <w:basedOn w:val="14"/>
    <w:link w:val="8"/>
    <w:semiHidden/>
    <w:qFormat/>
    <w:locked/>
    <w:uiPriority w:val="99"/>
    <w:rPr>
      <w:rFonts w:ascii="Times New Roman" w:hAnsi="Times New Roman" w:cs="Times New Roman"/>
      <w:kern w:val="2"/>
      <w:sz w:val="18"/>
      <w:szCs w:val="18"/>
    </w:rPr>
  </w:style>
  <w:style w:type="character" w:customStyle="1" w:styleId="23">
    <w:name w:val="Footer Char"/>
    <w:basedOn w:val="14"/>
    <w:link w:val="9"/>
    <w:semiHidden/>
    <w:locked/>
    <w:uiPriority w:val="99"/>
    <w:rPr>
      <w:rFonts w:ascii="Times New Roman" w:hAnsi="Times New Roman" w:cs="Times New Roman"/>
      <w:sz w:val="18"/>
      <w:szCs w:val="18"/>
    </w:rPr>
  </w:style>
  <w:style w:type="character" w:customStyle="1" w:styleId="24">
    <w:name w:val="Header Char"/>
    <w:basedOn w:val="14"/>
    <w:link w:val="10"/>
    <w:semiHidden/>
    <w:locked/>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locked/>
    <w:uiPriority w:val="99"/>
    <w:rPr>
      <w:sz w:val="18"/>
    </w:rPr>
  </w:style>
  <w:style w:type="character" w:customStyle="1" w:styleId="27">
    <w:name w:val="Body Text Char1"/>
    <w:link w:val="6"/>
    <w:locked/>
    <w:uiPriority w:val="99"/>
    <w:rPr>
      <w:rFonts w:ascii="仿宋_GB2312" w:hAnsi="Times New Roman" w:eastAsia="仿宋_GB2312"/>
      <w:sz w:val="24"/>
    </w:rPr>
  </w:style>
  <w:style w:type="paragraph" w:customStyle="1" w:styleId="28">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3"/>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30</Pages>
  <Words>1849</Words>
  <Characters>10541</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2020-10-28T12:16:00Z</dcterms:created>
  <dc:creator>曹颖</dc:creator>
  <cp:lastModifiedBy>开心朋友</cp:lastModifiedBy>
  <cp:lastPrinted>2020-07-23T02:58:00Z</cp:lastPrinted>
  <dcterms:modified xsi:type="dcterms:W3CDTF">2020-10-30T09:05:26Z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