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77193"/>
      <w:bookmarkStart w:id="4" w:name="_Toc15396597"/>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194"/>
      <w:bookmarkStart w:id="7" w:name="_Toc15377426"/>
      <w:bookmarkStart w:id="8" w:name="_Toc15396476"/>
      <w:bookmarkStart w:id="9" w:name="_Toc15378442"/>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val="en-US" w:eastAsia="zh-CN"/>
        </w:rPr>
        <w:t>国有林场</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_GB2312" w:hAnsi="仿宋" w:eastAsia="仿宋_GB2312"/>
          <w:sz w:val="32"/>
          <w:szCs w:val="32"/>
        </w:rPr>
        <w:t>负责</w:t>
      </w:r>
      <w:r>
        <w:rPr>
          <w:rFonts w:hint="eastAsia" w:hAnsi="仿宋"/>
          <w:sz w:val="32"/>
          <w:szCs w:val="32"/>
          <w:lang w:val="en-US" w:eastAsia="zh-CN"/>
        </w:rPr>
        <w:t>峨眉山市国有林场植树造林，绿化荒山，保护森林资源及其合理利用。</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ind w:firstLine="660"/>
        <w:rPr>
          <w:rFonts w:hint="eastAsia" w:ascii="仿宋_GB2312" w:hAnsi="仿宋" w:eastAsia="仿宋_GB2312"/>
          <w:b/>
          <w:color w:val="000000"/>
          <w:sz w:val="32"/>
          <w:szCs w:val="32"/>
        </w:rPr>
      </w:pPr>
      <w:r>
        <w:rPr>
          <w:rFonts w:hint="eastAsia" w:ascii="仿宋_GB2312" w:hAnsi="仿宋" w:eastAsia="仿宋_GB2312"/>
          <w:b/>
          <w:color w:val="000000"/>
          <w:sz w:val="32"/>
          <w:szCs w:val="32"/>
        </w:rPr>
        <w:t>1.重大交通项目</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二峨山林区护林防火通道维修工程。该项目主体工程已经完工，正在等待财评中心审计中。</w:t>
      </w:r>
    </w:p>
    <w:p>
      <w:pPr>
        <w:numPr>
          <w:ilvl w:val="0"/>
          <w:numId w:val="1"/>
        </w:numPr>
        <w:ind w:firstLine="640"/>
        <w:rPr>
          <w:rFonts w:hint="eastAsia" w:ascii="仿宋_GB2312" w:hAnsi="仿宋" w:eastAsia="仿宋_GB2312"/>
          <w:b/>
          <w:sz w:val="32"/>
          <w:szCs w:val="32"/>
          <w:lang w:val="en-US" w:eastAsia="zh-CN"/>
        </w:rPr>
      </w:pPr>
      <w:r>
        <w:rPr>
          <w:rFonts w:hint="eastAsia" w:ascii="仿宋_GB2312" w:hAnsi="仿宋" w:eastAsia="仿宋_GB2312"/>
          <w:b/>
          <w:sz w:val="32"/>
          <w:szCs w:val="32"/>
          <w:lang w:val="en-US" w:eastAsia="zh-CN"/>
        </w:rPr>
        <w:t>国有贫困林场扶贫资金项目</w:t>
      </w:r>
    </w:p>
    <w:p>
      <w:pPr>
        <w:numPr>
          <w:ilvl w:val="0"/>
          <w:numId w:val="0"/>
        </w:numPr>
        <w:rPr>
          <w:rFonts w:hint="default" w:ascii="仿宋_GB2312" w:hAnsi="仿宋" w:eastAsia="仿宋_GB2312"/>
          <w:b/>
          <w:sz w:val="32"/>
          <w:szCs w:val="32"/>
          <w:lang w:val="en-US" w:eastAsia="zh-CN"/>
        </w:rPr>
      </w:pPr>
      <w:r>
        <w:rPr>
          <w:rFonts w:hint="eastAsia" w:ascii="仿宋_GB2312" w:hAnsi="仿宋" w:eastAsia="仿宋_GB2312"/>
          <w:b/>
          <w:sz w:val="32"/>
          <w:szCs w:val="32"/>
          <w:lang w:val="en-US" w:eastAsia="zh-CN"/>
        </w:rPr>
        <w:t>峨眉山市国有林场珍稀植物科技站项目主体工程已经完工，</w:t>
      </w:r>
      <w:r>
        <w:rPr>
          <w:rFonts w:hint="eastAsia" w:ascii="仿宋_GB2312" w:hAnsi="仿宋_GB2312" w:eastAsia="仿宋_GB2312" w:cs="仿宋_GB2312"/>
          <w:sz w:val="32"/>
          <w:szCs w:val="32"/>
          <w:lang w:val="en-US" w:eastAsia="zh-CN"/>
        </w:rPr>
        <w:t>正在等待财评中心审计中。</w:t>
      </w:r>
    </w:p>
    <w:p>
      <w:pPr>
        <w:ind w:firstLine="640"/>
        <w:rPr>
          <w:rFonts w:ascii="仿宋_GB2312" w:eastAsia="仿宋_GB2312"/>
          <w:sz w:val="32"/>
          <w:szCs w:val="32"/>
        </w:rPr>
      </w:pP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峨眉山市</w:t>
      </w:r>
      <w:r>
        <w:rPr>
          <w:rFonts w:hint="eastAsia" w:ascii="仿宋_GB2312" w:eastAsia="仿宋_GB2312"/>
          <w:sz w:val="32"/>
          <w:szCs w:val="32"/>
          <w:lang w:val="en-US" w:eastAsia="zh-CN"/>
        </w:rPr>
        <w:t>国有林场</w:t>
      </w:r>
      <w:r>
        <w:rPr>
          <w:rFonts w:hint="eastAsia" w:ascii="仿宋_GB2312" w:eastAsia="仿宋_GB2312"/>
          <w:sz w:val="32"/>
          <w:szCs w:val="32"/>
          <w:lang w:eastAsia="zh-CN"/>
        </w:rPr>
        <w:t>为市自然资源局</w:t>
      </w:r>
      <w:r>
        <w:rPr>
          <w:rFonts w:hint="eastAsia" w:ascii="仿宋_GB2312" w:eastAsia="仿宋_GB2312"/>
          <w:sz w:val="32"/>
          <w:szCs w:val="32"/>
          <w:lang w:val="en-US" w:eastAsia="zh-CN"/>
        </w:rPr>
        <w:t>下属二级单位，独立预算，全额财政拨款</w:t>
      </w:r>
      <w:r>
        <w:rPr>
          <w:rFonts w:hint="eastAsia" w:ascii="仿宋_GB2312" w:eastAsia="仿宋_GB2312"/>
          <w:sz w:val="32"/>
          <w:szCs w:val="32"/>
          <w:lang w:eastAsia="zh-CN"/>
        </w:rPr>
        <w:t>公益一类事业单位</w:t>
      </w:r>
      <w:r>
        <w:rPr>
          <w:rFonts w:hint="eastAsia" w:ascii="仿宋_GB2312" w:eastAsia="仿宋_GB2312"/>
          <w:sz w:val="32"/>
          <w:szCs w:val="32"/>
          <w:lang w:val="en-US" w:eastAsia="zh-CN"/>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1618.12万</w:t>
      </w:r>
      <w:r>
        <w:rPr>
          <w:rFonts w:hint="eastAsia" w:ascii="仿宋" w:hAnsi="仿宋" w:eastAsia="仿宋"/>
          <w:color w:val="000000"/>
          <w:sz w:val="32"/>
          <w:szCs w:val="32"/>
        </w:rPr>
        <w:t>元。与2018年相比，收、支总计</w:t>
      </w:r>
      <w:r>
        <w:rPr>
          <w:rFonts w:hint="eastAsia" w:ascii="仿宋" w:hAnsi="仿宋" w:eastAsia="仿宋"/>
          <w:color w:val="000000"/>
          <w:sz w:val="32"/>
          <w:szCs w:val="32"/>
          <w:lang w:val="en-US" w:eastAsia="zh-CN"/>
        </w:rPr>
        <w:t>增加297.17万</w:t>
      </w:r>
      <w:r>
        <w:rPr>
          <w:rFonts w:hint="eastAsia" w:ascii="仿宋" w:hAnsi="仿宋" w:eastAsia="仿宋"/>
          <w:color w:val="000000"/>
          <w:sz w:val="32"/>
          <w:szCs w:val="32"/>
        </w:rPr>
        <w:t>元，</w:t>
      </w:r>
      <w:r>
        <w:rPr>
          <w:rFonts w:hint="eastAsia" w:ascii="仿宋" w:hAnsi="仿宋" w:eastAsia="仿宋"/>
          <w:color w:val="000000"/>
          <w:sz w:val="32"/>
          <w:szCs w:val="32"/>
          <w:lang w:val="en-US" w:eastAsia="zh-CN"/>
        </w:rPr>
        <w:t>增加18.37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上级项目资金增加</w:t>
      </w:r>
      <w:r>
        <w:rPr>
          <w:rFonts w:hint="eastAsia" w:ascii="仿宋" w:hAnsi="仿宋" w:eastAsia="仿宋"/>
          <w:color w:val="000000"/>
          <w:sz w:val="32"/>
          <w:szCs w:val="32"/>
          <w:lang w:eastAsia="zh-CN"/>
        </w:rPr>
        <w:t>。</w:t>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：收、支决算总计变动情况图</w:t>
      </w:r>
    </w:p>
    <w:p>
      <w:pPr>
        <w:spacing w:line="600" w:lineRule="exact"/>
        <w:ind w:firstLine="420" w:firstLineChars="200"/>
        <w:rPr>
          <w:rFonts w:hint="eastAsia" w:ascii="仿宋" w:hAnsi="仿宋" w:eastAsia="仿宋"/>
          <w:color w:val="000000" w:themeColor="text1"/>
          <w:sz w:val="32"/>
          <w:szCs w:val="32"/>
          <w:highlight w:val="none"/>
          <w14:textFill>
            <w14:solidFill>
              <w14:schemeClr w14:val="tx1"/>
            </w14:solidFill>
          </w14:textFill>
        </w:rPr>
      </w:pPr>
      <w:r>
        <w:drawing>
          <wp:anchor distT="0" distB="0" distL="114300" distR="114300" simplePos="0" relativeHeight="251658240" behindDoc="0" locked="0" layoutInCell="1" allowOverlap="1">
            <wp:simplePos x="0" y="0"/>
            <wp:positionH relativeFrom="column">
              <wp:posOffset>446405</wp:posOffset>
            </wp:positionH>
            <wp:positionV relativeFrom="paragraph">
              <wp:posOffset>192405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890.05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 xml:space="preserve"> 890.05</w:t>
      </w:r>
      <w:r>
        <w:rPr>
          <w:rFonts w:hint="eastAsia" w:ascii="仿宋" w:hAnsi="仿宋" w:eastAsia="仿宋"/>
          <w:color w:val="000000"/>
          <w:sz w:val="32"/>
          <w:szCs w:val="32"/>
        </w:rPr>
        <w:t>万元，政府性基金预算财政拨款收入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outlineLvl w:val="1"/>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-52705</wp:posOffset>
            </wp:positionH>
            <wp:positionV relativeFrom="paragraph">
              <wp:posOffset>61595</wp:posOffset>
            </wp:positionV>
            <wp:extent cx="4572000" cy="2743200"/>
            <wp:effectExtent l="4445" t="4445" r="14605" b="1460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FF0000"/>
          <w:sz w:val="32"/>
          <w:szCs w:val="32"/>
        </w:rPr>
      </w:pPr>
    </w:p>
    <w:p>
      <w:pPr>
        <w:pStyle w:val="23"/>
        <w:numPr>
          <w:ilvl w:val="0"/>
          <w:numId w:val="0"/>
        </w:numPr>
        <w:spacing w:line="600" w:lineRule="exact"/>
        <w:ind w:left="640" w:leftChars="0"/>
        <w:outlineLvl w:val="1"/>
        <w:rPr>
          <w:rStyle w:val="25"/>
          <w:rFonts w:ascii="黑体" w:hAnsi="黑体" w:eastAsia="黑体"/>
          <w:b w:val="0"/>
        </w:rPr>
      </w:pPr>
      <w:bookmarkStart w:id="28" w:name="_Toc15396605"/>
      <w:bookmarkStart w:id="29" w:name="_Toc15377207"/>
    </w:p>
    <w:p>
      <w:pPr>
        <w:pStyle w:val="23"/>
        <w:numPr>
          <w:ilvl w:val="0"/>
          <w:numId w:val="2"/>
        </w:numPr>
        <w:spacing w:line="600" w:lineRule="exact"/>
        <w:ind w:firstLineChars="0"/>
        <w:outlineLvl w:val="1"/>
        <w:rPr>
          <w:rStyle w:val="25"/>
          <w:rFonts w:ascii="黑体" w:hAnsi="黑体" w:eastAsia="黑体"/>
          <w:b w:val="0"/>
        </w:rPr>
      </w:pPr>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728.07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497.09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68.28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230.98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31.72</w:t>
      </w:r>
      <w:r>
        <w:rPr>
          <w:rFonts w:hint="eastAsia" w:ascii="仿宋" w:hAnsi="仿宋" w:eastAsia="仿宋"/>
          <w:color w:val="000000"/>
          <w:sz w:val="32"/>
          <w:szCs w:val="32"/>
        </w:rPr>
        <w:t>占</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960" w:firstLineChars="300"/>
        <w:outlineLvl w:val="1"/>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420" w:firstLineChars="200"/>
        <w:outlineLvl w:val="1"/>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175895</wp:posOffset>
            </wp:positionH>
            <wp:positionV relativeFrom="paragraph">
              <wp:posOffset>366395</wp:posOffset>
            </wp:positionV>
            <wp:extent cx="4572000" cy="2743200"/>
            <wp:effectExtent l="4445" t="4445" r="14605" b="14605"/>
            <wp:wrapNone/>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hint="eastAsia" w:ascii="黑体" w:hAnsi="黑体" w:eastAsia="黑体"/>
          <w:color w:val="000000"/>
          <w:sz w:val="32"/>
          <w:szCs w:val="32"/>
        </w:rPr>
      </w:pPr>
      <w:bookmarkStart w:id="30" w:name="_Toc15377208"/>
      <w:bookmarkStart w:id="31" w:name="_Toc15396606"/>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320" w:firstLineChars="1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1618.12</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w:t>
      </w:r>
      <w:r>
        <w:rPr>
          <w:rFonts w:hint="eastAsia" w:ascii="仿宋" w:hAnsi="仿宋" w:eastAsia="仿宋"/>
          <w:color w:val="000000"/>
          <w:sz w:val="32"/>
          <w:szCs w:val="32"/>
          <w:lang w:val="en-US" w:eastAsia="zh-CN"/>
        </w:rPr>
        <w:t>增加297.17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增加18.37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项目资金增加</w:t>
      </w:r>
      <w:r>
        <w:rPr>
          <w:rFonts w:hint="eastAsia" w:ascii="仿宋" w:hAnsi="仿宋" w:eastAsia="仿宋"/>
          <w:color w:val="000000"/>
          <w:sz w:val="32"/>
          <w:szCs w:val="32"/>
          <w:lang w:eastAsia="zh-CN"/>
        </w:rPr>
        <w:t>。</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96520</wp:posOffset>
            </wp:positionH>
            <wp:positionV relativeFrom="paragraph">
              <wp:posOffset>-104140</wp:posOffset>
            </wp:positionV>
            <wp:extent cx="4572000" cy="2743200"/>
            <wp:effectExtent l="4445" t="4445" r="1460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728.07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185.57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25.48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项目资金增加。</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420" w:firstLineChars="20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62336" behindDoc="0" locked="0" layoutInCell="1" allowOverlap="1">
            <wp:simplePos x="0" y="0"/>
            <wp:positionH relativeFrom="column">
              <wp:posOffset>378460</wp:posOffset>
            </wp:positionH>
            <wp:positionV relativeFrom="paragraph">
              <wp:posOffset>45085</wp:posOffset>
            </wp:positionV>
            <wp:extent cx="4572000" cy="2743200"/>
            <wp:effectExtent l="4445" t="4445" r="14605" b="14605"/>
            <wp:wrapNone/>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outlineLvl w:val="2"/>
        <w:rPr>
          <w:rFonts w:hint="eastAsia" w:ascii="仿宋" w:hAnsi="仿宋" w:eastAsia="仿宋"/>
          <w:b/>
          <w:color w:val="000000"/>
          <w:sz w:val="32"/>
          <w:szCs w:val="32"/>
        </w:rPr>
      </w:pPr>
      <w:bookmarkStart w:id="35" w:name="_Toc15377211"/>
    </w:p>
    <w:p>
      <w:pPr>
        <w:spacing w:line="600" w:lineRule="exact"/>
        <w:outlineLvl w:val="2"/>
        <w:rPr>
          <w:rFonts w:hint="eastAsia" w:ascii="仿宋" w:hAnsi="仿宋" w:eastAsia="仿宋"/>
          <w:b/>
          <w:color w:val="000000"/>
          <w:sz w:val="32"/>
          <w:szCs w:val="32"/>
        </w:rPr>
      </w:pPr>
    </w:p>
    <w:p>
      <w:pPr>
        <w:spacing w:line="600" w:lineRule="exact"/>
        <w:outlineLvl w:val="2"/>
        <w:rPr>
          <w:rFonts w:hint="eastAsia" w:ascii="仿宋" w:hAnsi="仿宋" w:eastAsia="仿宋"/>
          <w:b/>
          <w:color w:val="000000"/>
          <w:sz w:val="32"/>
          <w:szCs w:val="32"/>
        </w:rPr>
      </w:pPr>
    </w:p>
    <w:p>
      <w:pPr>
        <w:spacing w:line="600" w:lineRule="exact"/>
        <w:outlineLvl w:val="2"/>
        <w:rPr>
          <w:rFonts w:hint="eastAsia" w:ascii="仿宋" w:hAnsi="仿宋" w:eastAsia="仿宋"/>
          <w:b/>
          <w:color w:val="000000"/>
          <w:sz w:val="32"/>
          <w:szCs w:val="32"/>
        </w:rPr>
      </w:pPr>
    </w:p>
    <w:p>
      <w:pPr>
        <w:spacing w:line="600" w:lineRule="exact"/>
        <w:outlineLvl w:val="2"/>
        <w:rPr>
          <w:rFonts w:hint="eastAsia" w:ascii="仿宋" w:hAnsi="仿宋" w:eastAsia="仿宋"/>
          <w:b/>
          <w:color w:val="000000"/>
          <w:sz w:val="32"/>
          <w:szCs w:val="32"/>
        </w:rPr>
      </w:pPr>
    </w:p>
    <w:p>
      <w:pPr>
        <w:spacing w:line="600" w:lineRule="exact"/>
        <w:outlineLvl w:val="2"/>
        <w:rPr>
          <w:rFonts w:hint="eastAsia" w:ascii="仿宋" w:hAnsi="仿宋" w:eastAsia="仿宋"/>
          <w:b/>
          <w:color w:val="000000"/>
          <w:sz w:val="32"/>
          <w:szCs w:val="32"/>
        </w:rPr>
      </w:pPr>
    </w:p>
    <w:p>
      <w:pPr>
        <w:spacing w:line="600" w:lineRule="exact"/>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728.07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社会保障</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36.31</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占4.98</w:t>
      </w:r>
      <w:r>
        <w:rPr>
          <w:rFonts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医疗保险6.77万元，占0.93</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themeColor="text1"/>
          <w:sz w:val="32"/>
          <w:szCs w:val="32"/>
          <w:lang w:val="en-US" w:eastAsia="zh-CN"/>
          <w14:textFill>
            <w14:solidFill>
              <w14:schemeClr w14:val="tx1"/>
            </w14:solidFill>
          </w14:textFill>
        </w:rPr>
        <w:t>节能环保4.23万元，占0.58</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themeColor="text1"/>
          <w:sz w:val="32"/>
          <w:szCs w:val="32"/>
          <w:lang w:val="en-US" w:eastAsia="zh-CN"/>
          <w14:textFill>
            <w14:solidFill>
              <w14:schemeClr w14:val="tx1"/>
            </w14:solidFill>
          </w14:textFill>
        </w:rPr>
        <w:t>农林水支出640.14万元，占87.92</w:t>
      </w:r>
      <w:r>
        <w:rPr>
          <w:rFonts w:ascii="仿宋" w:hAnsi="仿宋" w:eastAsia="仿宋"/>
          <w:color w:val="000000"/>
          <w:sz w:val="32"/>
          <w:szCs w:val="32"/>
        </w:rPr>
        <w:t>%</w:t>
      </w:r>
      <w:r>
        <w:rPr>
          <w:rFonts w:hint="eastAsia" w:ascii="仿宋" w:hAnsi="仿宋" w:eastAsia="仿宋"/>
          <w:color w:val="000000" w:themeColor="text1"/>
          <w:sz w:val="32"/>
          <w:szCs w:val="32"/>
          <w:lang w:val="en-US" w:eastAsia="zh-CN"/>
          <w14:textFill>
            <w14:solidFill>
              <w14:schemeClr w14:val="tx1"/>
            </w14:solidFill>
          </w14:textFill>
        </w:rPr>
        <w:t>住房保障支出40.62万元，占5.58</w:t>
      </w:r>
      <w:r>
        <w:rPr>
          <w:rFonts w:ascii="仿宋" w:hAnsi="仿宋" w:eastAsia="仿宋"/>
          <w:color w:val="000000"/>
          <w:sz w:val="32"/>
          <w:szCs w:val="32"/>
        </w:rPr>
        <w:t>%</w:t>
      </w:r>
    </w:p>
    <w:p>
      <w:pPr>
        <w:spacing w:line="600" w:lineRule="exact"/>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w:t>
      </w:r>
      <w:r>
        <w:rPr>
          <w:rFonts w:hint="eastAsia" w:ascii="仿宋" w:hAnsi="仿宋" w:eastAsia="仿宋"/>
          <w:b/>
          <w:color w:val="000000" w:themeColor="text1"/>
          <w:sz w:val="32"/>
          <w:szCs w:val="32"/>
          <w:lang w:val="en-US" w:eastAsia="zh-CN"/>
          <w14:textFill>
            <w14:solidFill>
              <w14:schemeClr w14:val="tx1"/>
            </w14:solidFill>
          </w14:textFill>
        </w:rPr>
        <w:t>728.07万元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0" w:firstLineChars="200"/>
        <w:rPr>
          <w:rFonts w:hint="eastAsia" w:ascii="仿宋_GB2312" w:eastAsia="仿宋_GB2312"/>
          <w:color w:val="000000"/>
          <w:sz w:val="32"/>
          <w:szCs w:val="32"/>
        </w:rPr>
      </w:pPr>
      <w:r>
        <w:rPr>
          <w:rStyle w:val="14"/>
          <w:rFonts w:hint="eastAsia" w:ascii="仿宋_GB2312" w:eastAsia="仿宋_GB2312"/>
          <w:b w:val="0"/>
          <w:color w:val="000000"/>
          <w:sz w:val="32"/>
          <w:szCs w:val="32"/>
        </w:rPr>
        <w:t>1</w:t>
      </w:r>
      <w:r>
        <w:rPr>
          <w:rStyle w:val="14"/>
          <w:rFonts w:hint="eastAsia" w:ascii="仿宋" w:hAnsi="仿宋" w:eastAsia="仿宋"/>
          <w:bCs/>
          <w:color w:val="000000"/>
          <w:sz w:val="32"/>
          <w:szCs w:val="32"/>
        </w:rPr>
        <w:t>. 农林水支出（类）林业和草原（款）</w:t>
      </w:r>
      <w:r>
        <w:rPr>
          <w:rStyle w:val="14"/>
          <w:rFonts w:hint="eastAsia" w:ascii="仿宋" w:hAnsi="仿宋" w:eastAsia="仿宋"/>
          <w:bCs/>
          <w:color w:val="000000"/>
          <w:sz w:val="32"/>
          <w:szCs w:val="32"/>
          <w:lang w:eastAsia="zh-CN"/>
        </w:rPr>
        <w:t>事业</w:t>
      </w:r>
      <w:r>
        <w:rPr>
          <w:rStyle w:val="14"/>
          <w:rFonts w:hint="eastAsia" w:ascii="仿宋" w:hAnsi="仿宋" w:eastAsia="仿宋"/>
          <w:bCs/>
          <w:color w:val="000000"/>
          <w:sz w:val="32"/>
          <w:szCs w:val="32"/>
        </w:rPr>
        <w:t>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Cs/>
          <w:color w:val="000000"/>
          <w:sz w:val="32"/>
          <w:szCs w:val="32"/>
        </w:rPr>
        <w:t xml:space="preserve"> </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890.05</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81.8</w:t>
      </w:r>
      <w:r>
        <w:rPr>
          <w:rFonts w:hint="eastAsia" w:ascii="仿宋_GB2312" w:eastAsia="仿宋_GB2312"/>
          <w:color w:val="000000"/>
          <w:sz w:val="32"/>
          <w:szCs w:val="32"/>
        </w:rPr>
        <w:t>%。</w:t>
      </w:r>
    </w:p>
    <w:p>
      <w:pPr>
        <w:spacing w:line="600" w:lineRule="exact"/>
        <w:ind w:firstLine="643" w:firstLineChars="200"/>
        <w:rPr>
          <w:rStyle w:val="14"/>
          <w:rFonts w:hint="eastAsia" w:ascii="仿宋_GB2312" w:hAnsi="Calibri" w:eastAsia="仿宋_GB2312"/>
          <w:b w:val="0"/>
          <w:color w:val="000000"/>
          <w:sz w:val="32"/>
          <w:szCs w:val="32"/>
        </w:rPr>
      </w:pPr>
      <w:r>
        <w:rPr>
          <w:rStyle w:val="14"/>
          <w:rFonts w:hint="eastAsia" w:ascii="仿宋" w:hAnsi="仿宋" w:eastAsia="仿宋"/>
          <w:bCs/>
          <w:color w:val="000000"/>
          <w:sz w:val="32"/>
          <w:szCs w:val="32"/>
        </w:rPr>
        <w:t xml:space="preserve">2. 社会保障和就业（类）行政事业单位离退休（款）机关事业单位养老保险缴费支出（项）: </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21.64</w:t>
      </w:r>
      <w:r>
        <w:rPr>
          <w:rFonts w:hint="eastAsia" w:ascii="仿宋_GB2312" w:eastAsia="仿宋_GB2312"/>
          <w:color w:val="000000"/>
          <w:sz w:val="32"/>
          <w:szCs w:val="32"/>
        </w:rPr>
        <w:t>，完成预算</w:t>
      </w:r>
      <w:r>
        <w:rPr>
          <w:rFonts w:hint="eastAsia" w:ascii="仿宋_GB2312" w:eastAsia="仿宋_GB2312"/>
          <w:color w:val="000000"/>
          <w:sz w:val="32"/>
          <w:szCs w:val="32"/>
          <w:lang w:val="en-US" w:eastAsia="zh-CN"/>
        </w:rPr>
        <w:t>72.03</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Style w:val="14"/>
          <w:rFonts w:hint="eastAsia" w:ascii="仿宋" w:hAnsi="仿宋" w:eastAsia="仿宋"/>
          <w:bCs/>
          <w:color w:val="000000"/>
          <w:sz w:val="32"/>
          <w:szCs w:val="32"/>
        </w:rPr>
        <w:t>3. 社会保障和就业（类）行政事业单位离退休（款）机关事业单位职业年金缴费支出（项）</w:t>
      </w:r>
      <w:r>
        <w:rPr>
          <w:rStyle w:val="14"/>
          <w:rFonts w:hint="eastAsia" w:ascii="仿宋_GB2312" w:eastAsia="仿宋_GB2312"/>
          <w:b w:val="0"/>
          <w:color w:val="000000"/>
          <w:sz w:val="32"/>
          <w:szCs w:val="32"/>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14.01</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74.52</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sz w:val="32"/>
          <w:szCs w:val="32"/>
        </w:rPr>
      </w:pPr>
      <w:r>
        <w:rPr>
          <w:rStyle w:val="14"/>
          <w:rFonts w:hint="eastAsia" w:ascii="仿宋" w:hAnsi="仿宋" w:eastAsia="仿宋"/>
          <w:bCs/>
          <w:color w:val="000000"/>
          <w:sz w:val="32"/>
          <w:szCs w:val="32"/>
        </w:rPr>
        <w:t>4. 医疗卫生与计划生育（类）医疗保障（款）事业单位医疗（项）:</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6.77</w:t>
      </w:r>
      <w:r>
        <w:rPr>
          <w:rFonts w:hint="eastAsia" w:ascii="仿宋_GB2312" w:eastAsia="仿宋_GB2312"/>
          <w:color w:val="000000"/>
          <w:sz w:val="32"/>
          <w:szCs w:val="32"/>
        </w:rPr>
        <w:t>万元，完成预算</w:t>
      </w:r>
      <w:r>
        <w:rPr>
          <w:rFonts w:hint="eastAsia" w:ascii="仿宋_GB2312" w:eastAsia="仿宋_GB2312"/>
          <w:color w:val="000000"/>
          <w:sz w:val="32"/>
          <w:szCs w:val="32"/>
          <w:lang w:val="en-US" w:eastAsia="zh-CN"/>
        </w:rPr>
        <w:t>66</w:t>
      </w:r>
      <w:r>
        <w:rPr>
          <w:rFonts w:hint="eastAsia" w:ascii="仿宋_GB2312" w:eastAsia="仿宋_GB2312"/>
          <w:color w:val="000000"/>
          <w:sz w:val="32"/>
          <w:szCs w:val="32"/>
        </w:rPr>
        <w:t>%。</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Style w:val="14"/>
          <w:rFonts w:hint="eastAsia" w:ascii="仿宋" w:hAnsi="仿宋" w:eastAsia="仿宋"/>
          <w:bCs/>
          <w:color w:val="000000"/>
          <w:sz w:val="32"/>
          <w:szCs w:val="32"/>
          <w:lang w:val="en-US" w:eastAsia="zh-CN"/>
        </w:rPr>
        <w:t>5</w:t>
      </w:r>
      <w:r>
        <w:rPr>
          <w:rStyle w:val="14"/>
          <w:rFonts w:hint="eastAsia" w:ascii="仿宋" w:hAnsi="仿宋" w:eastAsia="仿宋"/>
          <w:bCs/>
          <w:color w:val="000000"/>
          <w:sz w:val="32"/>
          <w:szCs w:val="32"/>
        </w:rPr>
        <w:t>. 住房保障支出（类）住房改革支出（款）住房公积金（项）：</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40.62</w:t>
      </w:r>
      <w:r>
        <w:rPr>
          <w:rFonts w:hint="eastAsia" w:ascii="仿宋_GB2312" w:eastAsia="仿宋_GB2312"/>
          <w:color w:val="000000"/>
          <w:sz w:val="32"/>
          <w:szCs w:val="32"/>
        </w:rPr>
        <w:t>万元，完成预算100%。</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497.09</w:t>
      </w:r>
      <w:r>
        <w:rPr>
          <w:rFonts w:hint="eastAsia" w:ascii="仿宋" w:hAnsi="仿宋" w:eastAsia="仿宋"/>
          <w:color w:val="000000"/>
          <w:sz w:val="32"/>
          <w:szCs w:val="32"/>
        </w:rPr>
        <w:t>万元，其中：</w:t>
      </w:r>
    </w:p>
    <w:p>
      <w:pPr>
        <w:spacing w:line="580" w:lineRule="exact"/>
        <w:ind w:firstLine="645"/>
        <w:rPr>
          <w:rFonts w:hint="eastAsia" w:ascii="仿宋_GB2312" w:eastAsia="仿宋_GB2312"/>
          <w:color w:val="000000"/>
          <w:sz w:val="32"/>
          <w:szCs w:val="32"/>
        </w:rPr>
      </w:pP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443.24</w:t>
      </w:r>
      <w:r>
        <w:rPr>
          <w:rFonts w:hint="eastAsia" w:ascii="仿宋" w:hAnsi="仿宋" w:eastAsia="仿宋"/>
          <w:color w:val="000000"/>
          <w:sz w:val="32"/>
          <w:szCs w:val="32"/>
          <w:highlight w:val="none"/>
        </w:rPr>
        <w:t>万元，主要包括：基本工资、津贴补贴、奖金、伙食补助费、绩效工资、机关事业单位基本养老保险缴费、职业年金缴费、其他社会保障缴费、其他工资福利支出、医疗费补助、奖励金、住房公积金、其他对个人和家庭的补助支出等。</w:t>
      </w:r>
      <w:r>
        <w:rPr>
          <w:rFonts w:ascii="仿宋" w:hAnsi="仿宋" w:eastAsia="仿宋"/>
          <w:color w:val="000000"/>
          <w:sz w:val="32"/>
          <w:szCs w:val="32"/>
          <w:highlight w:val="none"/>
        </w:rPr>
        <w:br w:type="textWrapping"/>
      </w:r>
      <w:r>
        <w:rPr>
          <w:rFonts w:hint="eastAsia" w:ascii="仿宋" w:hAnsi="仿宋" w:eastAsia="仿宋"/>
          <w:color w:val="000000"/>
          <w:sz w:val="32"/>
          <w:szCs w:val="32"/>
          <w:highlight w:val="none"/>
        </w:rPr>
        <w:t>　　日常公用经费</w:t>
      </w:r>
      <w:r>
        <w:rPr>
          <w:rFonts w:hint="eastAsia" w:ascii="仿宋" w:hAnsi="仿宋" w:eastAsia="仿宋"/>
          <w:color w:val="000000"/>
          <w:sz w:val="32"/>
          <w:szCs w:val="32"/>
          <w:highlight w:val="none"/>
          <w:lang w:val="en-US" w:eastAsia="zh-CN"/>
        </w:rPr>
        <w:t>53.85</w:t>
      </w:r>
      <w:r>
        <w:rPr>
          <w:rFonts w:hint="eastAsia" w:ascii="仿宋" w:hAnsi="仿宋" w:eastAsia="仿宋"/>
          <w:color w:val="000000"/>
          <w:sz w:val="32"/>
          <w:szCs w:val="32"/>
          <w:highlight w:val="none"/>
        </w:rPr>
        <w:t>万元，主要包括：</w:t>
      </w:r>
      <w:r>
        <w:rPr>
          <w:rFonts w:hint="eastAsia" w:ascii="仿宋_GB2312" w:eastAsia="仿宋_GB2312"/>
          <w:color w:val="000000"/>
          <w:sz w:val="32"/>
          <w:szCs w:val="32"/>
        </w:rPr>
        <w:t>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spacing w:line="580" w:lineRule="exact"/>
        <w:ind w:firstLine="645"/>
        <w:rPr>
          <w:rFonts w:hint="eastAsia" w:ascii="仿宋_GB2312" w:eastAsia="仿宋_GB2312"/>
          <w:color w:val="000000"/>
          <w:sz w:val="32"/>
          <w:szCs w:val="32"/>
        </w:rPr>
      </w:pPr>
    </w:p>
    <w:p>
      <w:pPr>
        <w:spacing w:line="580" w:lineRule="exact"/>
        <w:ind w:firstLine="645"/>
        <w:rPr>
          <w:rFonts w:hint="eastAsia" w:ascii="仿宋_GB2312" w:eastAsia="仿宋_GB2312"/>
          <w:color w:val="000000"/>
          <w:sz w:val="32"/>
          <w:szCs w:val="32"/>
        </w:rPr>
      </w:pP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仿宋_GB2312" w:eastAsia="仿宋_GB2312"/>
          <w:color w:val="333333"/>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10.39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74.21</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eastAsia="仿宋_GB2312"/>
          <w:color w:val="333333"/>
          <w:sz w:val="32"/>
          <w:szCs w:val="32"/>
        </w:rPr>
        <w:t>认真贯彻落实厉行节约各项规定，加强</w:t>
      </w:r>
      <w:r>
        <w:rPr>
          <w:rFonts w:hint="eastAsia" w:ascii="仿宋_GB2312" w:eastAsia="仿宋_GB2312"/>
          <w:color w:val="333333"/>
          <w:sz w:val="32"/>
          <w:szCs w:val="32"/>
          <w:lang w:eastAsia="zh-CN"/>
        </w:rPr>
        <w:t>了</w:t>
      </w:r>
      <w:r>
        <w:rPr>
          <w:rFonts w:hint="eastAsia" w:ascii="仿宋_GB2312" w:eastAsia="仿宋_GB2312"/>
          <w:color w:val="333333"/>
          <w:sz w:val="32"/>
          <w:szCs w:val="32"/>
        </w:rPr>
        <w:t>“三公”经费管理。</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10.11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97.31</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0.29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2.79</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具体情况如下：</w:t>
      </w:r>
    </w:p>
    <w:p>
      <w:pPr>
        <w:spacing w:line="600" w:lineRule="exact"/>
        <w:ind w:firstLine="1292" w:firstLineChars="404"/>
        <w:rPr>
          <w:rFonts w:hint="eastAsia" w:ascii="仿宋" w:hAnsi="仿宋" w:eastAsia="仿宋"/>
          <w:color w:val="000000"/>
          <w:sz w:val="32"/>
          <w:szCs w:val="32"/>
        </w:rPr>
      </w:pPr>
      <w:r>
        <w:rPr>
          <w:rFonts w:hint="eastAsia" w:ascii="仿宋" w:hAnsi="仿宋" w:eastAsia="仿宋"/>
          <w:color w:val="000000"/>
          <w:sz w:val="32"/>
          <w:szCs w:val="32"/>
        </w:rPr>
        <w:t>“三公”经费财政拨款支出结构</w:t>
      </w:r>
    </w:p>
    <w:p>
      <w:pPr>
        <w:spacing w:line="600" w:lineRule="exact"/>
        <w:ind w:firstLine="640"/>
        <w:rPr>
          <w:rFonts w:hint="eastAsia"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781685</wp:posOffset>
            </wp:positionH>
            <wp:positionV relativeFrom="paragraph">
              <wp:posOffset>57150</wp:posOffset>
            </wp:positionV>
            <wp:extent cx="3200400" cy="2743200"/>
            <wp:effectExtent l="4445" t="4445" r="14605" b="14605"/>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万元。全年安排因公出国（境）团组0次，出国（境）0人。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10.11</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84.25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10.11</w:t>
      </w:r>
      <w:r>
        <w:rPr>
          <w:rFonts w:hint="eastAsia" w:ascii="仿宋_GB2312" w:eastAsia="仿宋_GB2312"/>
          <w:color w:val="000000"/>
          <w:sz w:val="32"/>
          <w:szCs w:val="32"/>
        </w:rPr>
        <w:t>万元。主要用</w:t>
      </w:r>
      <w:r>
        <w:rPr>
          <w:rFonts w:hint="eastAsia" w:ascii="仿宋_GB2312" w:eastAsia="仿宋_GB2312"/>
          <w:color w:val="000000"/>
          <w:sz w:val="32"/>
          <w:szCs w:val="32"/>
          <w:lang w:val="en-US" w:eastAsia="zh-CN"/>
        </w:rPr>
        <w:t>于森林防火巡查</w:t>
      </w:r>
      <w:r>
        <w:rPr>
          <w:rFonts w:hint="eastAsia" w:ascii="仿宋_GB2312" w:eastAsia="仿宋_GB2312"/>
          <w:color w:val="000000"/>
          <w:sz w:val="32"/>
          <w:szCs w:val="32"/>
          <w:lang w:eastAsia="zh-CN"/>
        </w:rPr>
        <w:t>工作</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0.29</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主要用于</w:t>
      </w:r>
      <w:r>
        <w:rPr>
          <w:rFonts w:hint="eastAsia" w:ascii="仿宋_GB2312" w:eastAsia="仿宋_GB2312"/>
          <w:color w:val="000000"/>
          <w:sz w:val="32"/>
          <w:szCs w:val="32"/>
          <w:lang w:val="en-US" w:eastAsia="zh-CN"/>
        </w:rPr>
        <w:t>森林经营方案编制上级领导</w:t>
      </w:r>
      <w:r>
        <w:rPr>
          <w:rFonts w:hint="eastAsia" w:ascii="仿宋_GB2312" w:eastAsia="仿宋_GB2312"/>
          <w:color w:val="000000"/>
          <w:sz w:val="32"/>
          <w:szCs w:val="32"/>
        </w:rPr>
        <w:t>用餐费等。</w:t>
      </w:r>
    </w:p>
    <w:p>
      <w:pPr>
        <w:spacing w:line="600" w:lineRule="exact"/>
        <w:ind w:firstLine="640"/>
        <w:outlineLvl w:val="1"/>
        <w:rPr>
          <w:rStyle w:val="25"/>
          <w:rFonts w:ascii="黑体" w:hAnsi="黑体" w:eastAsia="黑体"/>
        </w:rPr>
      </w:pPr>
      <w:bookmarkStart w:id="46" w:name="_Toc15396610"/>
      <w:bookmarkStart w:id="47"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numPr>
          <w:ilvl w:val="0"/>
          <w:numId w:val="3"/>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highlight w:val="none"/>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9年国有资本经营预算拨款支出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spacing w:line="600" w:lineRule="exact"/>
        <w:ind w:firstLine="640" w:firstLineChars="200"/>
        <w:outlineLvl w:val="1"/>
        <w:rPr>
          <w:rStyle w:val="25"/>
          <w:rFonts w:ascii="黑体" w:hAnsi="黑体" w:eastAsia="黑体"/>
          <w:highlight w:val="none"/>
        </w:rPr>
      </w:pPr>
      <w:bookmarkStart w:id="50" w:name="_Toc15377221"/>
      <w:bookmarkStart w:id="51" w:name="_Toc15396612"/>
      <w:r>
        <w:rPr>
          <w:rFonts w:hint="eastAsia" w:ascii="黑体" w:hAnsi="黑体" w:eastAsia="黑体"/>
          <w:color w:val="000000"/>
          <w:sz w:val="32"/>
          <w:szCs w:val="32"/>
          <w:highlight w:val="none"/>
        </w:rPr>
        <w:t>十</w:t>
      </w:r>
      <w:r>
        <w:rPr>
          <w:rStyle w:val="25"/>
          <w:rFonts w:hint="eastAsia" w:ascii="黑体" w:hAnsi="黑体" w:eastAsia="黑体"/>
          <w:highlight w:val="none"/>
        </w:rPr>
        <w:t>、</w:t>
      </w:r>
      <w:r>
        <w:rPr>
          <w:rStyle w:val="25"/>
          <w:rFonts w:hint="eastAsia" w:ascii="黑体" w:hAnsi="黑体" w:eastAsia="黑体"/>
          <w:b w:val="0"/>
          <w:highlight w:val="none"/>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580" w:lineRule="exact"/>
        <w:ind w:firstLine="640" w:firstLineChars="200"/>
        <w:rPr>
          <w:rFonts w:hint="eastAsia" w:ascii="仿宋_GB2312" w:eastAsia="仿宋_GB2312"/>
          <w:color w:val="000000"/>
          <w:sz w:val="32"/>
          <w:szCs w:val="32"/>
        </w:rPr>
      </w:pPr>
      <w:bookmarkStart w:id="53" w:name="_Toc15377223"/>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w:t>
      </w:r>
      <w:r>
        <w:rPr>
          <w:rFonts w:hint="eastAsia" w:ascii="仿宋_GB2312" w:eastAsia="仿宋_GB2312"/>
          <w:color w:val="000000"/>
          <w:sz w:val="32"/>
          <w:szCs w:val="32"/>
          <w:lang w:val="en-US" w:eastAsia="zh-CN"/>
        </w:rPr>
        <w:t>峨眉山市国有林场</w:t>
      </w:r>
      <w:r>
        <w:rPr>
          <w:rFonts w:hint="eastAsia" w:ascii="仿宋_GB2312" w:eastAsia="仿宋_GB2312"/>
          <w:color w:val="000000"/>
          <w:sz w:val="32"/>
          <w:szCs w:val="32"/>
        </w:rPr>
        <w:t>运行经费支出0万元，与201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3"/>
    </w:p>
    <w:p>
      <w:pPr>
        <w:spacing w:line="58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峨眉山市国有林场</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峨眉山市国有林场</w:t>
      </w:r>
      <w:r>
        <w:rPr>
          <w:rFonts w:hint="eastAsia" w:ascii="仿宋_GB2312" w:eastAsia="仿宋_GB2312"/>
          <w:color w:val="000000"/>
          <w:sz w:val="32"/>
          <w:szCs w:val="32"/>
          <w:lang w:eastAsia="zh-CN"/>
        </w:rPr>
        <w:t>共</w:t>
      </w:r>
      <w:r>
        <w:rPr>
          <w:rFonts w:hint="eastAsia" w:ascii="仿宋_GB2312" w:eastAsia="仿宋_GB2312"/>
          <w:color w:val="000000"/>
          <w:sz w:val="32"/>
          <w:szCs w:val="32"/>
        </w:rPr>
        <w:t>有车辆</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辆，其中：省部级领导干部用车0辆、一般公务用车</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辆；单价50万元以上通用设备0台（套），单价100万元以上专用设备0台（套）。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按照预算绩效管理要求，本部门对201</w:t>
      </w:r>
      <w:r>
        <w:rPr>
          <w:rFonts w:hint="eastAsia" w:ascii="仿宋_GB2312" w:eastAsia="仿宋_GB2312"/>
          <w:sz w:val="32"/>
          <w:szCs w:val="32"/>
          <w:lang w:val="en-US" w:eastAsia="zh-CN"/>
        </w:rPr>
        <w:t>9</w:t>
      </w:r>
      <w:r>
        <w:rPr>
          <w:rFonts w:hint="eastAsia" w:ascii="仿宋_GB2312" w:eastAsia="仿宋_GB2312"/>
          <w:sz w:val="32"/>
          <w:szCs w:val="32"/>
        </w:rPr>
        <w:t>年一般公共预算项目支出开展了绩效目标管理，共编制绩效目标</w:t>
      </w:r>
      <w:r>
        <w:rPr>
          <w:rFonts w:hint="eastAsia" w:ascii="仿宋_GB2312" w:eastAsia="仿宋_GB2312"/>
          <w:sz w:val="32"/>
          <w:szCs w:val="32"/>
          <w:lang w:val="en-US" w:eastAsia="zh-CN"/>
        </w:rPr>
        <w:t>2</w:t>
      </w:r>
      <w:r>
        <w:rPr>
          <w:rFonts w:hint="eastAsia" w:ascii="仿宋_GB2312" w:eastAsia="仿宋_GB2312"/>
          <w:sz w:val="32"/>
          <w:szCs w:val="32"/>
        </w:rPr>
        <w:t>个，涉及财政资金</w:t>
      </w:r>
      <w:r>
        <w:rPr>
          <w:rFonts w:hint="eastAsia" w:ascii="仿宋_GB2312" w:eastAsia="仿宋_GB2312"/>
          <w:sz w:val="32"/>
          <w:szCs w:val="32"/>
          <w:lang w:val="en-US" w:eastAsia="zh-CN"/>
        </w:rPr>
        <w:t>50</w:t>
      </w:r>
      <w:r>
        <w:rPr>
          <w:rFonts w:hint="eastAsia" w:ascii="仿宋_GB2312" w:eastAsia="仿宋_GB2312"/>
          <w:sz w:val="32"/>
          <w:szCs w:val="32"/>
        </w:rPr>
        <w:t>万元，覆盖率达到100%。</w:t>
      </w:r>
    </w:p>
    <w:p>
      <w:pPr>
        <w:numPr>
          <w:ilvl w:val="0"/>
          <w:numId w:val="4"/>
        </w:numPr>
        <w:spacing w:line="58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森林培育</w:t>
      </w:r>
      <w:r>
        <w:rPr>
          <w:rFonts w:hint="eastAsia" w:ascii="仿宋_GB2312" w:hAnsi="仿宋_GB2312" w:eastAsia="仿宋_GB2312" w:cs="仿宋_GB2312"/>
          <w:sz w:val="32"/>
          <w:szCs w:val="32"/>
          <w:lang w:eastAsia="zh-CN"/>
        </w:rPr>
        <w:t>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森林防火</w:t>
      </w:r>
      <w:r>
        <w:rPr>
          <w:rFonts w:hint="eastAsia" w:ascii="仿宋_GB2312" w:hAnsi="仿宋_GB2312" w:eastAsia="仿宋_GB2312" w:cs="仿宋_GB2312"/>
          <w:sz w:val="32"/>
          <w:szCs w:val="32"/>
          <w:lang w:eastAsia="zh-CN"/>
        </w:rPr>
        <w:t>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eastAsia="zh-CN"/>
        </w:rPr>
        <w:t>：</w:t>
      </w:r>
    </w:p>
    <w:p>
      <w:pPr>
        <w:numPr>
          <w:ilvl w:val="0"/>
          <w:numId w:val="5"/>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森林培育</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场近几年来的精心培育峨眉含笑、青城枫、热杉、鹅掌秋长势良好，深受各乡镇喜爱，现已免费发放各乡镇苗木20600株，还有其他乡镇未来运送剩余苗木，努力完成峨眉山市自然资源局下达的绿化工作任务，</w:t>
      </w:r>
      <w:r>
        <w:rPr>
          <w:rFonts w:hint="eastAsia" w:ascii="仿宋_GB2312" w:hAnsi="仿宋_GB2312" w:eastAsia="仿宋_GB2312" w:cs="仿宋_GB2312"/>
          <w:sz w:val="32"/>
          <w:szCs w:val="32"/>
          <w:lang w:eastAsia="zh-CN"/>
        </w:rPr>
        <w:t>确保了</w:t>
      </w:r>
      <w:r>
        <w:rPr>
          <w:rFonts w:hint="eastAsia" w:ascii="仿宋_GB2312" w:hAnsi="仿宋_GB2312" w:eastAsia="仿宋_GB2312" w:cs="仿宋_GB2312"/>
          <w:sz w:val="32"/>
          <w:szCs w:val="32"/>
          <w:lang w:val="en-US" w:eastAsia="zh-CN"/>
        </w:rPr>
        <w:t>绿化</w:t>
      </w:r>
      <w:r>
        <w:rPr>
          <w:rFonts w:hint="eastAsia" w:ascii="仿宋_GB2312" w:hAnsi="仿宋_GB2312" w:eastAsia="仿宋_GB2312" w:cs="仿宋_GB2312"/>
          <w:sz w:val="32"/>
          <w:szCs w:val="32"/>
          <w:lang w:eastAsia="zh-CN"/>
        </w:rPr>
        <w:t>工作顺利推进。</w:t>
      </w:r>
    </w:p>
    <w:p>
      <w:pPr>
        <w:widowControl w:val="0"/>
        <w:numPr>
          <w:ilvl w:val="0"/>
          <w:numId w:val="0"/>
        </w:numPr>
        <w:spacing w:line="58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（2）森林防火经</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我场在高桥镇、龙池镇、大为镇国有林区内各设立了3个森林管护站，</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常年对各过往人员和车辆实行实名制登记，每周不间断对林区进行野外生产用火的巡查，严肃查处乱砍乱伐和盗伐林木的违法行为，加强对野生动物植物的保护，确保建场62年以来无一起森林火灾的发生，顺利完成了</w:t>
      </w:r>
      <w:r>
        <w:rPr>
          <w:rFonts w:hint="eastAsia" w:ascii="仿宋_GB2312" w:hAnsi="仿宋_GB2312" w:eastAsia="仿宋_GB2312" w:cs="仿宋_GB2312"/>
          <w:sz w:val="32"/>
          <w:szCs w:val="32"/>
        </w:rPr>
        <w:t>市委市政府交办的</w:t>
      </w:r>
      <w:r>
        <w:rPr>
          <w:rFonts w:hint="eastAsia" w:ascii="仿宋_GB2312" w:hAnsi="仿宋_GB2312" w:eastAsia="仿宋_GB2312" w:cs="仿宋_GB2312"/>
          <w:sz w:val="32"/>
          <w:szCs w:val="32"/>
          <w:lang w:eastAsia="zh-CN"/>
        </w:rPr>
        <w:t>各项</w:t>
      </w:r>
      <w:r>
        <w:rPr>
          <w:rFonts w:hint="eastAsia" w:ascii="仿宋_GB2312" w:hAnsi="仿宋_GB2312" w:eastAsia="仿宋_GB2312" w:cs="仿宋_GB2312"/>
          <w:sz w:val="32"/>
          <w:szCs w:val="32"/>
          <w:lang w:val="en-US" w:eastAsia="zh-CN"/>
        </w:rPr>
        <w:t>森林防火工作</w:t>
      </w:r>
      <w:r>
        <w:rPr>
          <w:rFonts w:hint="eastAsia" w:ascii="仿宋_GB2312" w:hAnsi="仿宋_GB2312" w:eastAsia="仿宋_GB2312" w:cs="仿宋_GB2312"/>
          <w:sz w:val="32"/>
          <w:szCs w:val="32"/>
          <w:lang w:eastAsia="zh-CN"/>
        </w:rPr>
        <w:t>任务。</w:t>
      </w: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80"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森林培育工作经费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峨眉山市</w:t>
            </w:r>
            <w:r>
              <w:rPr>
                <w:rFonts w:hint="eastAsia" w:ascii="宋体" w:hAnsi="宋体" w:cs="宋体"/>
                <w:color w:val="000000"/>
                <w:sz w:val="24"/>
                <w:lang w:val="en-US" w:eastAsia="zh-CN"/>
              </w:rPr>
              <w:t>国有林场</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r>
      <w:tr>
        <w:tblPrEx>
          <w:tblCellMar>
            <w:top w:w="0" w:type="dxa"/>
            <w:left w:w="0" w:type="dxa"/>
            <w:bottom w:w="0" w:type="dxa"/>
            <w:right w:w="0" w:type="dxa"/>
          </w:tblCellMar>
        </w:tblPrEx>
        <w:trPr>
          <w:trHeight w:val="112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5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w:t>
            </w:r>
            <w:r>
              <w:rPr>
                <w:rFonts w:hint="eastAsia" w:ascii="宋体" w:hAnsi="宋体" w:cs="宋体"/>
                <w:color w:val="000000"/>
                <w:sz w:val="24"/>
                <w:lang w:val="en-US" w:eastAsia="zh-CN"/>
              </w:rPr>
              <w:t>预计</w:t>
            </w:r>
            <w:r>
              <w:rPr>
                <w:rFonts w:hint="eastAsia" w:ascii="宋体" w:hAnsi="宋体" w:cs="宋体"/>
                <w:color w:val="000000"/>
                <w:sz w:val="24"/>
              </w:rPr>
              <w:t>完成</w:t>
            </w:r>
            <w:r>
              <w:rPr>
                <w:rFonts w:hint="eastAsia" w:ascii="宋体" w:hAnsi="宋体" w:cs="宋体"/>
                <w:color w:val="000000"/>
                <w:sz w:val="24"/>
                <w:lang w:val="en-US" w:eastAsia="zh-CN"/>
              </w:rPr>
              <w:t>苗木培育8万株的工作任务</w:t>
            </w:r>
            <w:r>
              <w:rPr>
                <w:rFonts w:hint="eastAsia" w:ascii="宋体" w:hAnsi="宋体" w:cs="宋体"/>
                <w:color w:val="000000"/>
                <w:sz w:val="24"/>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实际完成12万株苗木培育的工作任务。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260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完成苗木培育工作任务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保障完成8万株的苗木培育任务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实际完成12万株的苗木培育任务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rPr>
              <w:t>保障完成全市</w:t>
            </w:r>
            <w:r>
              <w:rPr>
                <w:rFonts w:hint="eastAsia" w:ascii="宋体" w:hAnsi="宋体" w:cs="宋体"/>
                <w:color w:val="000000"/>
                <w:sz w:val="24"/>
                <w:lang w:val="en-US" w:eastAsia="zh-CN"/>
              </w:rPr>
              <w:t>绿化任务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保障完成全市</w:t>
            </w:r>
            <w:r>
              <w:rPr>
                <w:rFonts w:hint="eastAsia" w:ascii="宋体" w:hAnsi="宋体" w:cs="宋体"/>
                <w:color w:val="000000"/>
                <w:sz w:val="24"/>
                <w:lang w:val="en-US" w:eastAsia="zh-CN"/>
              </w:rPr>
              <w:t>绿化任务，生态环境得到有效保护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完成了市委、市政府交办的乡镇的绿化工作任务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保证</w:t>
            </w:r>
            <w:r>
              <w:rPr>
                <w:rFonts w:hint="eastAsia" w:ascii="宋体" w:hAnsi="宋体" w:cs="宋体"/>
                <w:i w:val="0"/>
                <w:color w:val="000000"/>
                <w:kern w:val="0"/>
                <w:sz w:val="22"/>
                <w:szCs w:val="22"/>
                <w:u w:val="none"/>
                <w:lang w:val="en-US" w:eastAsia="zh-CN" w:bidi="ar"/>
              </w:rPr>
              <w:t>各乡镇苗木免费供应</w:t>
            </w:r>
            <w:r>
              <w:rPr>
                <w:rFonts w:hint="eastAsia" w:ascii="宋体" w:hAnsi="宋体" w:eastAsia="宋体" w:cs="宋体"/>
                <w:i w:val="0"/>
                <w:color w:val="000000"/>
                <w:kern w:val="0"/>
                <w:sz w:val="22"/>
                <w:szCs w:val="22"/>
                <w:u w:val="none"/>
                <w:lang w:val="en-US" w:eastAsia="zh-CN" w:bidi="ar"/>
              </w:rPr>
              <w:t>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群众满意度达到</w:t>
            </w:r>
            <w:r>
              <w:rPr>
                <w:rFonts w:hint="eastAsia" w:ascii="宋体" w:hAnsi="宋体" w:cs="宋体"/>
                <w:color w:val="000000"/>
                <w:sz w:val="24"/>
                <w:lang w:val="en-US" w:eastAsia="zh-CN"/>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群众满意度达到</w:t>
            </w:r>
            <w:r>
              <w:rPr>
                <w:rFonts w:hint="eastAsia" w:ascii="宋体" w:hAnsi="宋体" w:cs="宋体"/>
                <w:color w:val="000000"/>
                <w:sz w:val="24"/>
                <w:lang w:val="en-US" w:eastAsia="zh-CN"/>
              </w:rPr>
              <w:t>90%以上。</w:t>
            </w:r>
          </w:p>
        </w:tc>
      </w:tr>
    </w:tbl>
    <w:tbl>
      <w:tblPr>
        <w:tblStyle w:val="12"/>
        <w:tblpPr w:leftFromText="180" w:rightFromText="180" w:vertAnchor="text" w:horzAnchor="page" w:tblpX="1039" w:tblpY="322"/>
        <w:tblOverlap w:val="never"/>
        <w:tblW w:w="9960" w:type="dxa"/>
        <w:jc w:val="center"/>
        <w:tblLayout w:type="fixed"/>
        <w:tblCellMar>
          <w:top w:w="0" w:type="dxa"/>
          <w:left w:w="0" w:type="dxa"/>
          <w:bottom w:w="0" w:type="dxa"/>
          <w:right w:w="0" w:type="dxa"/>
        </w:tblCellMar>
      </w:tblPr>
      <w:tblGrid>
        <w:gridCol w:w="390"/>
        <w:gridCol w:w="1367"/>
        <w:gridCol w:w="1025"/>
        <w:gridCol w:w="2918"/>
        <w:gridCol w:w="1868"/>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森林防火</w:t>
            </w:r>
            <w:r>
              <w:rPr>
                <w:rFonts w:hint="eastAsia" w:ascii="宋体" w:hAnsi="宋体" w:cs="宋体"/>
                <w:color w:val="000000"/>
                <w:sz w:val="24"/>
                <w:lang w:eastAsia="zh-CN"/>
              </w:rPr>
              <w:t>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峨眉山市</w:t>
            </w:r>
            <w:r>
              <w:rPr>
                <w:rFonts w:hint="eastAsia" w:ascii="宋体" w:hAnsi="宋体" w:cs="宋体"/>
                <w:color w:val="000000"/>
                <w:sz w:val="24"/>
                <w:lang w:val="en-US" w:eastAsia="zh-CN"/>
              </w:rPr>
              <w:t>国有林场</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jc w:val="both"/>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w:t>
            </w:r>
          </w:p>
        </w:tc>
      </w:tr>
      <w:tr>
        <w:tblPrEx>
          <w:tblCellMar>
            <w:top w:w="0" w:type="dxa"/>
            <w:left w:w="0" w:type="dxa"/>
            <w:bottom w:w="0" w:type="dxa"/>
            <w:right w:w="0" w:type="dxa"/>
          </w:tblCellMar>
        </w:tblPrEx>
        <w:trPr>
          <w:trHeight w:val="77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3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56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3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rPr>
              <w:t>对</w:t>
            </w:r>
            <w:r>
              <w:rPr>
                <w:rFonts w:hint="eastAsia" w:ascii="宋体" w:hAnsi="宋体" w:cs="宋体"/>
                <w:color w:val="000000"/>
                <w:sz w:val="24"/>
                <w:lang w:val="en-US" w:eastAsia="zh-CN"/>
              </w:rPr>
              <w:t>3个乡镇国有林区进行森林防火</w:t>
            </w:r>
            <w:r>
              <w:rPr>
                <w:rFonts w:hint="eastAsia" w:ascii="宋体" w:hAnsi="宋体" w:cs="宋体"/>
                <w:color w:val="000000"/>
                <w:sz w:val="24"/>
              </w:rPr>
              <w:t>宣传知识，</w:t>
            </w:r>
            <w:r>
              <w:rPr>
                <w:rFonts w:hint="eastAsia" w:ascii="宋体" w:hAnsi="宋体" w:cs="宋体"/>
                <w:color w:val="000000"/>
                <w:sz w:val="24"/>
                <w:lang w:val="en-US" w:eastAsia="zh-CN"/>
              </w:rPr>
              <w:t>力争全年无一起森林火灾发生</w:t>
            </w:r>
          </w:p>
        </w:tc>
        <w:tc>
          <w:tcPr>
            <w:tcW w:w="4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全年无一起森林火灾发生，无盗伐，乱砍乱伐违法行为，</w:t>
            </w:r>
            <w:r>
              <w:rPr>
                <w:rFonts w:hint="eastAsia" w:ascii="宋体" w:hAnsi="宋体" w:cs="宋体"/>
                <w:color w:val="000000"/>
                <w:sz w:val="24"/>
              </w:rPr>
              <w:t>定时</w:t>
            </w:r>
            <w:r>
              <w:rPr>
                <w:rFonts w:hint="eastAsia" w:ascii="宋体" w:hAnsi="宋体" w:cs="宋体"/>
                <w:color w:val="000000"/>
                <w:sz w:val="24"/>
                <w:lang w:eastAsia="zh-CN"/>
              </w:rPr>
              <w:t>按期完成了</w:t>
            </w:r>
            <w:r>
              <w:rPr>
                <w:rFonts w:hint="eastAsia" w:ascii="宋体" w:hAnsi="宋体" w:cs="宋体"/>
                <w:color w:val="000000"/>
                <w:sz w:val="24"/>
                <w:lang w:val="en-US" w:eastAsia="zh-CN"/>
              </w:rPr>
              <w:t>森林防火</w:t>
            </w:r>
            <w:r>
              <w:rPr>
                <w:rFonts w:hint="eastAsia" w:ascii="宋体" w:hAnsi="宋体" w:cs="宋体"/>
                <w:color w:val="000000"/>
                <w:sz w:val="24"/>
                <w:lang w:eastAsia="zh-CN"/>
              </w:rPr>
              <w:t>工作任务。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r>
              <w:rPr>
                <w:rFonts w:hint="eastAsia" w:ascii="宋体" w:hAnsi="宋体" w:cs="宋体"/>
                <w:color w:val="000000"/>
                <w:sz w:val="24"/>
              </w:rPr>
              <w:t>准</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w:t>
            </w:r>
            <w:r>
              <w:rPr>
                <w:rFonts w:hint="eastAsia" w:ascii="宋体" w:hAnsi="宋体" w:cs="宋体"/>
                <w:color w:val="000000"/>
                <w:sz w:val="24"/>
                <w:lang w:val="en-US" w:eastAsia="zh-CN"/>
              </w:rPr>
              <w:t>森林防火</w:t>
            </w:r>
            <w:r>
              <w:rPr>
                <w:rFonts w:hint="eastAsia" w:ascii="宋体" w:hAnsi="宋体" w:cs="宋体"/>
                <w:color w:val="000000"/>
                <w:sz w:val="24"/>
              </w:rPr>
              <w:t>工作达到上级</w:t>
            </w:r>
            <w:r>
              <w:rPr>
                <w:rFonts w:hint="eastAsia" w:ascii="宋体" w:hAnsi="宋体" w:cs="宋体"/>
                <w:color w:val="000000"/>
                <w:sz w:val="24"/>
                <w:lang w:val="en-US" w:eastAsia="zh-CN"/>
              </w:rPr>
              <w:t>检查</w:t>
            </w:r>
            <w:r>
              <w:rPr>
                <w:rFonts w:hint="eastAsia" w:ascii="宋体" w:hAnsi="宋体" w:cs="宋体"/>
                <w:color w:val="000000"/>
                <w:sz w:val="24"/>
              </w:rPr>
              <w:t>标准</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每月不少于</w:t>
            </w:r>
            <w:r>
              <w:rPr>
                <w:rFonts w:hint="eastAsia" w:ascii="宋体" w:hAnsi="宋体" w:cs="宋体"/>
                <w:color w:val="000000"/>
                <w:sz w:val="24"/>
                <w:lang w:val="en-US" w:eastAsia="zh-CN"/>
              </w:rPr>
              <w:t>22</w:t>
            </w:r>
            <w:r>
              <w:rPr>
                <w:rFonts w:hint="eastAsia" w:ascii="宋体" w:hAnsi="宋体" w:cs="宋体"/>
                <w:color w:val="000000"/>
                <w:sz w:val="24"/>
              </w:rPr>
              <w:t>个工作日开展</w:t>
            </w:r>
            <w:r>
              <w:rPr>
                <w:rFonts w:hint="eastAsia" w:ascii="宋体" w:hAnsi="宋体" w:cs="宋体"/>
                <w:color w:val="000000"/>
                <w:sz w:val="24"/>
                <w:lang w:val="en-US" w:eastAsia="zh-CN"/>
              </w:rPr>
              <w:t>护林防火</w:t>
            </w:r>
            <w:r>
              <w:rPr>
                <w:rFonts w:hint="eastAsia" w:ascii="宋体" w:hAnsi="宋体" w:cs="宋体"/>
                <w:color w:val="000000"/>
                <w:sz w:val="24"/>
              </w:rPr>
              <w:t>工作检查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每月</w:t>
            </w:r>
            <w:r>
              <w:rPr>
                <w:rFonts w:hint="eastAsia" w:ascii="宋体" w:hAnsi="宋体" w:cs="宋体"/>
                <w:color w:val="000000"/>
                <w:sz w:val="24"/>
                <w:lang w:val="en-US" w:eastAsia="zh-CN"/>
              </w:rPr>
              <w:t>不</w:t>
            </w:r>
            <w:r>
              <w:rPr>
                <w:rFonts w:hint="eastAsia" w:ascii="宋体" w:hAnsi="宋体" w:cs="宋体"/>
                <w:color w:val="000000"/>
                <w:sz w:val="24"/>
                <w:lang w:eastAsia="zh-CN"/>
              </w:rPr>
              <w:t>定期对责任片区进行</w:t>
            </w:r>
            <w:r>
              <w:rPr>
                <w:rFonts w:hint="eastAsia" w:ascii="宋体" w:hAnsi="宋体" w:cs="宋体"/>
                <w:color w:val="000000"/>
                <w:sz w:val="24"/>
                <w:lang w:val="en-US" w:eastAsia="zh-CN"/>
              </w:rPr>
              <w:t>森林防火</w:t>
            </w:r>
            <w:r>
              <w:rPr>
                <w:rFonts w:hint="eastAsia" w:ascii="宋体" w:hAnsi="宋体" w:cs="宋体"/>
                <w:color w:val="000000"/>
                <w:sz w:val="24"/>
                <w:lang w:eastAsia="zh-CN"/>
              </w:rPr>
              <w:t>督查检查，确保了责任片区通过上级</w:t>
            </w:r>
            <w:r>
              <w:rPr>
                <w:rFonts w:hint="eastAsia" w:ascii="宋体" w:hAnsi="宋体" w:cs="宋体"/>
                <w:color w:val="000000"/>
                <w:sz w:val="24"/>
                <w:lang w:val="en-US" w:eastAsia="zh-CN"/>
              </w:rPr>
              <w:t>检查</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对</w:t>
            </w:r>
            <w:r>
              <w:rPr>
                <w:rFonts w:hint="eastAsia" w:ascii="宋体" w:hAnsi="宋体" w:cs="宋体"/>
                <w:color w:val="000000"/>
                <w:sz w:val="24"/>
                <w:lang w:val="en-US" w:eastAsia="zh-CN"/>
              </w:rPr>
              <w:t>3个乡镇国有林区开</w:t>
            </w:r>
            <w:r>
              <w:rPr>
                <w:rFonts w:hint="eastAsia" w:ascii="宋体" w:hAnsi="宋体" w:cs="宋体"/>
                <w:color w:val="000000"/>
                <w:sz w:val="24"/>
              </w:rPr>
              <w:t>展</w:t>
            </w:r>
            <w:r>
              <w:rPr>
                <w:rFonts w:hint="eastAsia" w:ascii="宋体" w:hAnsi="宋体" w:cs="宋体"/>
                <w:color w:val="000000"/>
                <w:sz w:val="24"/>
                <w:lang w:val="en-US" w:eastAsia="zh-CN"/>
              </w:rPr>
              <w:t>森林防火</w:t>
            </w:r>
            <w:r>
              <w:rPr>
                <w:rFonts w:hint="eastAsia" w:ascii="宋体" w:hAnsi="宋体" w:cs="宋体"/>
                <w:color w:val="000000"/>
                <w:sz w:val="24"/>
              </w:rPr>
              <w:t>工作；加大宣传力度，力争家喻户</w:t>
            </w:r>
            <w:r>
              <w:rPr>
                <w:rFonts w:hint="eastAsia" w:ascii="宋体" w:hAnsi="宋体" w:cs="宋体"/>
                <w:color w:val="000000"/>
                <w:sz w:val="24"/>
                <w:lang w:val="en-US" w:eastAsia="zh-CN"/>
              </w:rPr>
              <w:t>晓</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森林防火</w:t>
            </w:r>
            <w:r>
              <w:rPr>
                <w:rFonts w:hint="eastAsia" w:ascii="宋体" w:hAnsi="宋体" w:cs="宋体"/>
                <w:color w:val="000000"/>
                <w:sz w:val="24"/>
              </w:rPr>
              <w:t>工作接受上级检查，合格率达到90%以上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通过了上级检查组</w:t>
            </w:r>
            <w:r>
              <w:rPr>
                <w:rFonts w:hint="eastAsia" w:ascii="宋体" w:hAnsi="宋体" w:cs="宋体"/>
                <w:color w:val="000000"/>
                <w:sz w:val="24"/>
                <w:lang w:val="en-US" w:eastAsia="zh-CN"/>
              </w:rPr>
              <w:t>检查</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6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rPr>
              <w:t>对</w:t>
            </w:r>
            <w:r>
              <w:rPr>
                <w:rFonts w:hint="eastAsia" w:ascii="宋体" w:hAnsi="宋体" w:cs="宋体"/>
                <w:color w:val="000000"/>
                <w:sz w:val="24"/>
                <w:lang w:val="en-US" w:eastAsia="zh-CN"/>
              </w:rPr>
              <w:t>群众生命财产和森林资源得到有效保护；野外违规用火得到控制</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群众知晓率达到</w:t>
            </w:r>
            <w:r>
              <w:rPr>
                <w:rFonts w:hint="eastAsia" w:ascii="宋体" w:hAnsi="宋体" w:cs="宋体"/>
                <w:color w:val="000000"/>
                <w:sz w:val="24"/>
                <w:lang w:val="en-US" w:eastAsia="zh-CN"/>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群众知晓率达到</w:t>
            </w:r>
            <w:r>
              <w:rPr>
                <w:rFonts w:hint="eastAsia" w:ascii="宋体" w:hAnsi="宋体" w:cs="宋体"/>
                <w:color w:val="000000"/>
                <w:sz w:val="24"/>
                <w:lang w:val="en-US" w:eastAsia="zh-CN"/>
              </w:rPr>
              <w:t>90%以上。</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保质保量完成</w:t>
            </w:r>
            <w:r>
              <w:rPr>
                <w:rFonts w:hint="eastAsia" w:ascii="宋体" w:hAnsi="宋体" w:cs="宋体"/>
                <w:i w:val="0"/>
                <w:color w:val="000000"/>
                <w:kern w:val="0"/>
                <w:sz w:val="22"/>
                <w:szCs w:val="22"/>
                <w:u w:val="none"/>
                <w:lang w:val="en-US" w:eastAsia="zh-CN" w:bidi="ar"/>
              </w:rPr>
              <w:t>护林防火工作</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坚持24小时防火值</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群众满意度达到</w:t>
            </w:r>
            <w:r>
              <w:rPr>
                <w:rFonts w:hint="eastAsia" w:ascii="宋体" w:hAnsi="宋体" w:cs="宋体"/>
                <w:color w:val="000000"/>
                <w:sz w:val="24"/>
                <w:lang w:val="en-US" w:eastAsia="zh-CN"/>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通过对</w:t>
            </w:r>
            <w:r>
              <w:rPr>
                <w:rFonts w:hint="eastAsia" w:ascii="宋体" w:hAnsi="宋体" w:cs="宋体"/>
                <w:color w:val="000000"/>
                <w:sz w:val="24"/>
                <w:lang w:val="en-US" w:eastAsia="zh-CN"/>
              </w:rPr>
              <w:t>森林防火</w:t>
            </w:r>
            <w:r>
              <w:rPr>
                <w:rFonts w:hint="eastAsia" w:ascii="宋体" w:hAnsi="宋体" w:cs="宋体"/>
                <w:color w:val="000000"/>
                <w:sz w:val="24"/>
                <w:lang w:eastAsia="zh-CN"/>
              </w:rPr>
              <w:t>工作的实施，群众满意度达到</w:t>
            </w:r>
            <w:r>
              <w:rPr>
                <w:rFonts w:hint="eastAsia" w:ascii="宋体" w:hAnsi="宋体" w:cs="宋体"/>
                <w:color w:val="000000"/>
                <w:sz w:val="24"/>
                <w:lang w:val="en-US" w:eastAsia="zh-CN"/>
              </w:rPr>
              <w:t>90%以上。</w:t>
            </w:r>
          </w:p>
        </w:tc>
      </w:tr>
    </w:tbl>
    <w:p>
      <w:pPr>
        <w:spacing w:line="58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w:t>
      </w:r>
      <w:r>
        <w:rPr>
          <w:rFonts w:hint="eastAsia" w:ascii="仿宋_GB2312" w:hAnsi="仿宋_GB2312" w:eastAsia="仿宋_GB2312" w:cs="仿宋_GB2312"/>
          <w:sz w:val="32"/>
          <w:szCs w:val="32"/>
          <w:lang w:val="en-US" w:eastAsia="zh-CN"/>
        </w:rPr>
        <w:t>国有林场</w:t>
      </w:r>
      <w:r>
        <w:rPr>
          <w:rFonts w:hint="eastAsia" w:ascii="仿宋_GB2312" w:hAnsi="仿宋_GB2312" w:eastAsia="仿宋_GB2312" w:cs="仿宋_GB2312"/>
          <w:sz w:val="32"/>
          <w:szCs w:val="32"/>
        </w:rPr>
        <w:t>2019年部门整体支出绩效评价报告》见附件。</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森林培育</w:t>
      </w:r>
      <w:r>
        <w:rPr>
          <w:rFonts w:hint="eastAsia" w:ascii="仿宋_GB2312" w:hAnsi="仿宋_GB2312" w:eastAsia="仿宋_GB2312" w:cs="仿宋_GB2312"/>
          <w:sz w:val="32"/>
          <w:szCs w:val="32"/>
          <w:lang w:eastAsia="zh-CN"/>
        </w:rPr>
        <w:t>工作经费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森林防火</w:t>
      </w:r>
      <w:r>
        <w:rPr>
          <w:rFonts w:hint="eastAsia" w:ascii="仿宋_GB2312" w:hAnsi="仿宋_GB2312" w:eastAsia="仿宋_GB2312" w:cs="仿宋_GB2312"/>
          <w:sz w:val="32"/>
          <w:szCs w:val="32"/>
          <w:lang w:eastAsia="zh-CN"/>
        </w:rPr>
        <w:t>工作经费</w:t>
      </w:r>
      <w:r>
        <w:rPr>
          <w:rFonts w:hint="eastAsia" w:ascii="仿宋_GB2312" w:hAnsi="仿宋_GB2312" w:eastAsia="仿宋_GB2312" w:cs="仿宋_GB2312"/>
          <w:sz w:val="32"/>
          <w:szCs w:val="32"/>
        </w:rPr>
        <w:t>项目开展了绩效评价。</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
          <w:color w:val="000000"/>
          <w:sz w:val="32"/>
          <w:szCs w:val="32"/>
          <w:lang w:val="en-US" w:eastAsia="zh-CN"/>
        </w:rPr>
      </w:pPr>
      <w:r>
        <w:rPr>
          <w:rFonts w:ascii="仿宋_GB2312" w:eastAsia="仿宋_GB2312"/>
          <w:color w:val="000000"/>
          <w:sz w:val="32"/>
          <w:szCs w:val="32"/>
        </w:rPr>
        <w:t>9.</w:t>
      </w:r>
      <w:r>
        <w:rPr>
          <w:rStyle w:val="14"/>
          <w:rFonts w:hint="eastAsia" w:ascii="仿宋" w:hAnsi="仿宋" w:eastAsia="仿宋"/>
          <w:bCs/>
          <w:color w:val="000000"/>
          <w:sz w:val="30"/>
          <w:szCs w:val="30"/>
        </w:rPr>
        <w:t>社会保障和就业（类）行政事业单位离退休（款）机关事业单位基本养老保险缴费支出（项）</w:t>
      </w:r>
      <w:r>
        <w:rPr>
          <w:rStyle w:val="14"/>
          <w:rFonts w:hint="eastAsia" w:ascii="仿宋" w:hAnsi="仿宋" w:eastAsia="仿宋"/>
          <w:bCs/>
          <w:color w:val="000000"/>
          <w:sz w:val="30"/>
          <w:szCs w:val="30"/>
          <w:lang w:eastAsia="zh-CN"/>
        </w:rPr>
        <w:t>：指机关事业单位实施养老保险制度由单位缴纳的基本养老保险支出。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Style w:val="14"/>
          <w:rFonts w:hint="eastAsia" w:ascii="仿宋" w:hAnsi="仿宋" w:eastAsia="仿宋"/>
          <w:bCs/>
          <w:color w:val="000000"/>
          <w:sz w:val="30"/>
          <w:szCs w:val="30"/>
        </w:rPr>
        <w:t>社会保障和就业（类）行政事业单位离退休（款）机关事业单位职业年金缴费支出（项）</w:t>
      </w:r>
      <w:r>
        <w:rPr>
          <w:rStyle w:val="14"/>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 w:hAnsi="仿宋" w:eastAsia="仿宋"/>
          <w:b/>
          <w:bCs/>
          <w:color w:val="000000" w:themeColor="text1"/>
          <w:sz w:val="32"/>
          <w:szCs w:val="32"/>
          <w14:textFill>
            <w14:solidFill>
              <w14:schemeClr w14:val="tx1"/>
            </w14:solidFill>
          </w14:textFill>
        </w:rPr>
        <w:t>卫生健康</w:t>
      </w:r>
      <w:r>
        <w:rPr>
          <w:rStyle w:val="14"/>
          <w:rFonts w:hint="eastAsia" w:ascii="仿宋" w:hAnsi="仿宋" w:eastAsia="仿宋"/>
          <w:bCs/>
          <w:color w:val="000000"/>
          <w:sz w:val="32"/>
          <w:szCs w:val="32"/>
        </w:rPr>
        <w:t>（类）行政事业单位医疗（款）</w:t>
      </w:r>
      <w:r>
        <w:rPr>
          <w:rStyle w:val="14"/>
          <w:rFonts w:hint="eastAsia" w:ascii="仿宋" w:hAnsi="仿宋" w:eastAsia="仿宋"/>
          <w:bCs/>
          <w:color w:val="000000"/>
          <w:sz w:val="32"/>
          <w:szCs w:val="32"/>
          <w:lang w:eastAsia="zh-CN"/>
        </w:rPr>
        <w:t>事业</w:t>
      </w:r>
      <w:r>
        <w:rPr>
          <w:rStyle w:val="14"/>
          <w:rFonts w:hint="eastAsia" w:ascii="仿宋" w:hAnsi="仿宋" w:eastAsia="仿宋"/>
          <w:bCs/>
          <w:color w:val="000000"/>
          <w:sz w:val="32"/>
          <w:szCs w:val="32"/>
        </w:rPr>
        <w:t>单位医疗（项）</w:t>
      </w:r>
      <w:r>
        <w:rPr>
          <w:rStyle w:val="14"/>
          <w:rFonts w:hint="eastAsia" w:ascii="仿宋" w:hAnsi="仿宋" w:eastAsia="仿宋"/>
          <w:bCs/>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财政部门安排的事业单位基本医疗保险缴费经费，未参加医疗保险的事业单位的公费医疗经费，按国家规定享受离休人员待遇的医疗经费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12.</w:t>
      </w:r>
      <w:r>
        <w:rPr>
          <w:rStyle w:val="14"/>
          <w:rFonts w:hint="eastAsia" w:ascii="仿宋" w:hAnsi="仿宋" w:eastAsia="仿宋"/>
          <w:bCs/>
          <w:color w:val="000000"/>
          <w:sz w:val="32"/>
          <w:szCs w:val="32"/>
        </w:rPr>
        <w:t>农林水支出（类）林业和草原（款）</w:t>
      </w:r>
      <w:r>
        <w:rPr>
          <w:rStyle w:val="14"/>
          <w:rFonts w:hint="eastAsia" w:ascii="仿宋" w:hAnsi="仿宋" w:eastAsia="仿宋"/>
          <w:bCs/>
          <w:color w:val="000000"/>
          <w:sz w:val="32"/>
          <w:szCs w:val="32"/>
          <w:lang w:eastAsia="zh-CN"/>
        </w:rPr>
        <w:t>事业</w:t>
      </w:r>
      <w:r>
        <w:rPr>
          <w:rStyle w:val="14"/>
          <w:rFonts w:hint="eastAsia" w:ascii="仿宋" w:hAnsi="仿宋" w:eastAsia="仿宋"/>
          <w:bCs/>
          <w:color w:val="000000"/>
          <w:sz w:val="32"/>
          <w:szCs w:val="32"/>
        </w:rPr>
        <w:t>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事业单位的基本支出，不包括行政单位（含实行公务员管理的事业单位）后勤服务中心等附属事业单位的支出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Style w:val="14"/>
          <w:rFonts w:hint="eastAsia" w:ascii="仿宋" w:hAnsi="仿宋" w:eastAsia="仿宋"/>
          <w:bCs/>
          <w:color w:val="000000"/>
          <w:sz w:val="32"/>
          <w:szCs w:val="32"/>
        </w:rPr>
        <w:t>农林水支出（类）林业和草原（款） 森林生态效益补偿（项）</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指公益林保护管管理等方面的支出。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lang w:eastAsia="zh-CN"/>
        </w:rPr>
        <w:t>指行政事业单位按人力资源和社会保障部、财政部规定的基本工资和津贴补贴以及规定比例为职工缴纳的住房公积金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bookmarkEnd w:id="57"/>
    <w:p>
      <w:pPr>
        <w:spacing w:line="600" w:lineRule="exact"/>
        <w:jc w:val="center"/>
        <w:outlineLvl w:val="0"/>
        <w:rPr>
          <w:rFonts w:hint="eastAsia" w:ascii="黑体" w:hAnsi="黑体" w:eastAsia="黑体"/>
          <w:color w:val="000000"/>
          <w:sz w:val="44"/>
          <w:szCs w:val="44"/>
        </w:rPr>
      </w:pPr>
      <w:bookmarkStart w:id="59"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Fonts w:hint="eastAsia" w:ascii="黑体" w:hAnsi="黑体" w:eastAsia="黑体"/>
          <w:color w:val="000000"/>
          <w:sz w:val="44"/>
          <w:szCs w:val="44"/>
          <w:lang w:eastAsia="zh-CN"/>
        </w:rPr>
        <w:t>四</w:t>
      </w:r>
      <w:bookmarkStart w:id="73" w:name="_GoBack"/>
      <w:bookmarkEnd w:id="73"/>
      <w:r>
        <w:rPr>
          <w:rStyle w:val="24"/>
          <w:rFonts w:hint="eastAsia" w:ascii="黑体" w:hAnsi="黑体" w:eastAsia="黑体"/>
          <w:b w:val="0"/>
        </w:rPr>
        <w:t>部分 附表</w:t>
      </w:r>
      <w:bookmarkEnd w:id="58"/>
      <w:bookmarkEnd w:id="59"/>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DA1B46"/>
    <w:multiLevelType w:val="singleLevel"/>
    <w:tmpl w:val="CADA1B46"/>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6742E48"/>
    <w:multiLevelType w:val="singleLevel"/>
    <w:tmpl w:val="66742E48"/>
    <w:lvl w:ilvl="0" w:tentative="0">
      <w:start w:val="2"/>
      <w:numFmt w:val="decimal"/>
      <w:lvlText w:val="%1."/>
      <w:lvlJc w:val="left"/>
      <w:pPr>
        <w:tabs>
          <w:tab w:val="left" w:pos="312"/>
        </w:tabs>
      </w:pPr>
    </w:lvl>
  </w:abstractNum>
  <w:abstractNum w:abstractNumId="5">
    <w:nsid w:val="72387337"/>
    <w:multiLevelType w:val="singleLevel"/>
    <w:tmpl w:val="72387337"/>
    <w:lvl w:ilvl="0" w:tentative="0">
      <w:start w:val="1"/>
      <w:numFmt w:val="decimal"/>
      <w:suff w:val="nothing"/>
      <w:lvlText w:val="（%1）"/>
      <w:lvlJc w:val="left"/>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6D638C"/>
    <w:rsid w:val="0B705386"/>
    <w:rsid w:val="10C055FF"/>
    <w:rsid w:val="16BB723D"/>
    <w:rsid w:val="16E47E77"/>
    <w:rsid w:val="18581AB1"/>
    <w:rsid w:val="1A9E09E1"/>
    <w:rsid w:val="1C8F3650"/>
    <w:rsid w:val="1E424440"/>
    <w:rsid w:val="227A33B1"/>
    <w:rsid w:val="228038A7"/>
    <w:rsid w:val="23FA5BAF"/>
    <w:rsid w:val="240371BF"/>
    <w:rsid w:val="272575B4"/>
    <w:rsid w:val="29FD04D3"/>
    <w:rsid w:val="2A78017E"/>
    <w:rsid w:val="2A7D4B6E"/>
    <w:rsid w:val="2B906A64"/>
    <w:rsid w:val="2C04575D"/>
    <w:rsid w:val="2D4F6EFD"/>
    <w:rsid w:val="2E7F3BB6"/>
    <w:rsid w:val="319F7F4E"/>
    <w:rsid w:val="388609E1"/>
    <w:rsid w:val="3BAF2DCA"/>
    <w:rsid w:val="40F558C9"/>
    <w:rsid w:val="47F67ABA"/>
    <w:rsid w:val="4ECE2238"/>
    <w:rsid w:val="4EF67D7E"/>
    <w:rsid w:val="4FC62233"/>
    <w:rsid w:val="5076284E"/>
    <w:rsid w:val="50DD72F5"/>
    <w:rsid w:val="544F778A"/>
    <w:rsid w:val="55112703"/>
    <w:rsid w:val="55632B7F"/>
    <w:rsid w:val="5660204A"/>
    <w:rsid w:val="5BCB06D2"/>
    <w:rsid w:val="5EFE61B5"/>
    <w:rsid w:val="61390204"/>
    <w:rsid w:val="63915F3E"/>
    <w:rsid w:val="66506120"/>
    <w:rsid w:val="68C136F3"/>
    <w:rsid w:val="68DE3584"/>
    <w:rsid w:val="6D2E4C7E"/>
    <w:rsid w:val="6DBE0E15"/>
    <w:rsid w:val="6DEE6035"/>
    <w:rsid w:val="6E155D47"/>
    <w:rsid w:val="72734D90"/>
    <w:rsid w:val="74A6176B"/>
    <w:rsid w:val="776F00BA"/>
    <w:rsid w:val="787D4D27"/>
    <w:rsid w:val="790C1BBD"/>
    <w:rsid w:val="7D005A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19&#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19&#24180;&#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19&#24180;&#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19&#24180;&#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19&#24180;&#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19&#2418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0.00208333333333333"/>
                  <c:y val="0.11805555555555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1320.95</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1618.12</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[图表.xlsx]Sheet3!$A$1:$B$1</c:f>
              <c:strCache>
                <c:ptCount val="2"/>
                <c:pt idx="0">
                  <c:v>2018年度</c:v>
                </c:pt>
                <c:pt idx="1">
                  <c:v>2019年度</c:v>
                </c:pt>
              </c:strCache>
            </c:strRef>
          </c:cat>
          <c:val>
            <c:numRef>
              <c:f>[图表.xlsx]Sheet3!$A$2:$B$2</c:f>
              <c:numCache>
                <c:formatCode>General</c:formatCode>
                <c:ptCount val="2"/>
                <c:pt idx="0">
                  <c:v>17013.51</c:v>
                </c:pt>
                <c:pt idx="1">
                  <c:v>12143.47</c:v>
                </c:pt>
              </c:numCache>
            </c:numRef>
          </c:val>
        </c:ser>
        <c:dLbls>
          <c:showLegendKey val="0"/>
          <c:showVal val="1"/>
          <c:showCatName val="0"/>
          <c:showSerName val="0"/>
          <c:showPercent val="0"/>
          <c:showBubbleSize val="0"/>
        </c:dLbls>
        <c:gapWidth val="150"/>
        <c:overlap val="100"/>
        <c:axId val="878764594"/>
        <c:axId val="162999825"/>
      </c:barChart>
      <c:catAx>
        <c:axId val="878764594"/>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999825"/>
        <c:crosses val="autoZero"/>
        <c:auto val="1"/>
        <c:lblAlgn val="ctr"/>
        <c:lblOffset val="100"/>
        <c:noMultiLvlLbl val="0"/>
      </c:catAx>
      <c:valAx>
        <c:axId val="1629998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7645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lt1"/>
              </a:solidFill>
              <a:ln w="19050">
                <a:solidFill>
                  <a:schemeClr val="accent1"/>
                </a:solidFill>
              </a:ln>
              <a:effectLst/>
            </c:spPr>
          </c:dPt>
          <c:dPt>
            <c:idx val="1"/>
            <c:bubble3D val="0"/>
            <c:spPr>
              <a:solidFill>
                <a:schemeClr val="lt1"/>
              </a:solidFill>
              <a:ln w="19050">
                <a:solidFill>
                  <a:schemeClr val="accent1"/>
                </a:solidFill>
              </a:ln>
              <a:effectLst/>
            </c:spPr>
          </c:dPt>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accent1"/>
                        </a:solidFill>
                        <a:latin typeface="+mn-lt"/>
                        <a:ea typeface="+mn-ea"/>
                        <a:cs typeface="+mn-cs"/>
                      </a:defRPr>
                    </a:pPr>
                    <a:r>
                      <a:t>一般公共预算财政拨款收入</a:t>
                    </a:r>
                  </a:p>
                  <a:p>
                    <a:pPr defTabSz="914400">
                      <a:defRPr lang="zh-CN" sz="900" b="1" i="0" u="none" strike="noStrike" kern="1200" baseline="0">
                        <a:solidFill>
                          <a:schemeClr val="accent1"/>
                        </a:solidFill>
                        <a:latin typeface="+mn-lt"/>
                        <a:ea typeface="+mn-ea"/>
                        <a:cs typeface="+mn-cs"/>
                      </a:defRPr>
                    </a:pPr>
                    <a:r>
                      <a:rPr lang="en-US" altLang="zh-CN"/>
                      <a:t>100</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delete val="1"/>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accen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accent1">
                          <a:lumMod val="60000"/>
                          <a:lumOff val="40000"/>
                        </a:schemeClr>
                      </a:solidFill>
                    </a:ln>
                    <a:effectLst/>
                  </c:spPr>
                </c15:leaderLines>
              </c:ext>
            </c:extLst>
          </c:dLbls>
          <c:cat>
            <c:strRef>
              <c:f>[图表.xlsx]Sheet1!$A$1:$B$1</c:f>
              <c:strCache>
                <c:ptCount val="2"/>
                <c:pt idx="0">
                  <c:v>一般公共预算财政拨款收入</c:v>
                </c:pt>
                <c:pt idx="1">
                  <c:v>政府性基金财政拨款收入</c:v>
                </c:pt>
              </c:strCache>
            </c:strRef>
          </c:cat>
          <c:val>
            <c:numRef>
              <c:f>[图表.xlsx]Sheet1!$A$2:$B$2</c:f>
              <c:numCache>
                <c:formatCode>0.00%</c:formatCode>
                <c:ptCount val="2"/>
                <c:pt idx="0">
                  <c:v>0.0448</c:v>
                </c:pt>
                <c:pt idx="1">
                  <c:v>0.9552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68.28</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31.72</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[图表.xlsx]Sheet1!$A$1:$B$1</c:f>
              <c:strCache>
                <c:ptCount val="2"/>
                <c:pt idx="0">
                  <c:v>基本支出</c:v>
                </c:pt>
                <c:pt idx="1">
                  <c:v>项目支出</c:v>
                </c:pt>
              </c:strCache>
            </c:strRef>
          </c:cat>
          <c:val>
            <c:numRef>
              <c:f>[图表.xlsx]Sheet1!$A$2:$B$2</c:f>
              <c:numCache>
                <c:formatCode>0.00%</c:formatCode>
                <c:ptCount val="2"/>
                <c:pt idx="0">
                  <c:v>0.0283</c:v>
                </c:pt>
                <c:pt idx="1">
                  <c:v>0.9717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320.95</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1618.12</a:t>
                    </a:r>
                    <a:endParaRPr lang="en-US" altLang="zh-CN"/>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[图表.xlsx]Sheet3!$A$1:$B$1</c:f>
              <c:strCache>
                <c:ptCount val="2"/>
                <c:pt idx="0">
                  <c:v>2018年度</c:v>
                </c:pt>
                <c:pt idx="1">
                  <c:v>2019年度</c:v>
                </c:pt>
              </c:strCache>
            </c:strRef>
          </c:cat>
          <c:val>
            <c:numRef>
              <c:f>[图表.xlsx]Sheet3!$A$2:$B$2</c:f>
              <c:numCache>
                <c:formatCode>General</c:formatCode>
                <c:ptCount val="2"/>
                <c:pt idx="0">
                  <c:v>16836.18</c:v>
                </c:pt>
                <c:pt idx="1">
                  <c:v>12143.38</c:v>
                </c:pt>
              </c:numCache>
            </c:numRef>
          </c:val>
        </c:ser>
        <c:dLbls>
          <c:showLegendKey val="0"/>
          <c:showVal val="1"/>
          <c:showCatName val="0"/>
          <c:showSerName val="0"/>
          <c:showPercent val="0"/>
          <c:showBubbleSize val="0"/>
        </c:dLbls>
        <c:gapWidth val="150"/>
        <c:overlap val="100"/>
        <c:axId val="878764594"/>
        <c:axId val="162999825"/>
      </c:barChart>
      <c:catAx>
        <c:axId val="878764594"/>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999825"/>
        <c:crosses val="autoZero"/>
        <c:auto val="1"/>
        <c:lblAlgn val="ctr"/>
        <c:lblOffset val="100"/>
        <c:noMultiLvlLbl val="0"/>
      </c:catAx>
      <c:valAx>
        <c:axId val="16299982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7645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一般公共预算财政拨款支出变动情况</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[图表.xlsx]Sheet3!$A$1:$B$1</c:f>
              <c:strCache>
                <c:ptCount val="2"/>
                <c:pt idx="0">
                  <c:v>2018年度</c:v>
                </c:pt>
                <c:pt idx="1">
                  <c:v>2019年度</c:v>
                </c:pt>
              </c:strCache>
            </c:strRef>
          </c:cat>
          <c:val>
            <c:numRef>
              <c:f>[图表.xlsx]Sheet3!$A$2:$B$2</c:f>
              <c:numCache>
                <c:formatCode>General</c:formatCode>
                <c:ptCount val="2"/>
                <c:pt idx="0">
                  <c:v>447.39</c:v>
                </c:pt>
                <c:pt idx="1">
                  <c:v>544.06</c:v>
                </c:pt>
              </c:numCache>
            </c:numRef>
          </c:val>
        </c:ser>
        <c:dLbls>
          <c:showLegendKey val="0"/>
          <c:showVal val="1"/>
          <c:showCatName val="0"/>
          <c:showSerName val="0"/>
          <c:showPercent val="0"/>
          <c:showBubbleSize val="0"/>
        </c:dLbls>
        <c:gapWidth val="150"/>
        <c:overlap val="100"/>
        <c:axId val="878764594"/>
        <c:axId val="162999825"/>
      </c:barChart>
      <c:catAx>
        <c:axId val="878764594"/>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999825"/>
        <c:crosses val="autoZero"/>
        <c:auto val="1"/>
        <c:lblAlgn val="ctr"/>
        <c:lblOffset val="100"/>
        <c:noMultiLvlLbl val="0"/>
      </c:catAx>
      <c:valAx>
        <c:axId val="16299982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7645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[图表.xlsx]Sheet1!$A$1:$C$1</c:f>
              <c:strCache>
                <c:ptCount val="3"/>
                <c:pt idx="0">
                  <c:v>公务用车购置及运行维护费</c:v>
                </c:pt>
                <c:pt idx="1">
                  <c:v>因公出国（境）经费</c:v>
                </c:pt>
                <c:pt idx="2">
                  <c:v>公务接待费</c:v>
                </c:pt>
              </c:strCache>
            </c:strRef>
          </c:cat>
          <c:val>
            <c:numRef>
              <c:f>[图表.xlsx]Sheet1!$A$2:$C$2</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2020-10-22T08:16:00Z</cp:lastPrinted>
  <dcterms:modified xsi:type="dcterms:W3CDTF">2020-10-30T08:32:17Z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