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8441"/>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72"/>
          <w:szCs w:val="72"/>
        </w:rPr>
        <w:t>四川省乐山市峨眉山市经济和信息化局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w:t>
      </w:r>
      <w:r>
        <w:rPr>
          <w:rFonts w:hint="eastAsia"/>
          <w:lang w:val="en-US" w:eastAsia="zh-CN"/>
        </w:rPr>
        <w:t>10</w:t>
      </w:r>
      <w:r>
        <w:rPr>
          <w:rFonts w:hint="eastAsia"/>
        </w:rPr>
        <w:t>月</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r>
        <w:rPr>
          <w:rFonts w:hint="eastAsia"/>
          <w:sz w:val="24"/>
        </w:rPr>
        <w:t>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hint="eastAsia"/>
          <w:sz w:val="24"/>
        </w:rPr>
      </w:pPr>
      <w:r>
        <w:rPr>
          <w:rFonts w:hint="eastAsia"/>
          <w:sz w:val="24"/>
        </w:rPr>
        <w:t>八、政府性基金预算支出决算情况说明</w:t>
      </w:r>
    </w:p>
    <w:p>
      <w:pPr>
        <w:pStyle w:val="12"/>
        <w:adjustRightInd w:val="0"/>
        <w:snapToGrid w:val="0"/>
        <w:spacing w:line="440" w:lineRule="exact"/>
        <w:jc w:val="left"/>
        <w:rPr>
          <w:rFonts w:hint="eastAsia"/>
          <w:sz w:val="24"/>
        </w:rPr>
      </w:pPr>
      <w:r>
        <w:rPr>
          <w:rFonts w:hint="eastAsia"/>
          <w:sz w:val="24"/>
        </w:rPr>
        <w:t>九、国有资本经营预算支出决算情况说明</w:t>
      </w:r>
    </w:p>
    <w:p>
      <w:pPr>
        <w:pStyle w:val="12"/>
        <w:adjustRightInd w:val="0"/>
        <w:snapToGrid w:val="0"/>
        <w:spacing w:line="440" w:lineRule="exact"/>
        <w:jc w:val="left"/>
        <w:rPr>
          <w:rFonts w:hint="eastAsia"/>
          <w:sz w:val="24"/>
        </w:rPr>
      </w:pPr>
      <w:r>
        <w:rPr>
          <w:rFonts w:hint="eastAsia"/>
          <w:sz w:val="24"/>
        </w:rPr>
        <w:t>十、其他重要事项的情况说明</w:t>
      </w:r>
    </w:p>
    <w:p>
      <w:pPr>
        <w:pStyle w:val="11"/>
        <w:adjustRightInd w:val="0"/>
        <w:snapToGrid w:val="0"/>
        <w:spacing w:before="0" w:line="440" w:lineRule="exact"/>
        <w:jc w:val="left"/>
        <w:rPr>
          <w:rFonts w:hint="eastAsia" w:eastAsia="仿宋"/>
          <w:lang w:eastAsia="zh-CN"/>
        </w:rPr>
      </w:pPr>
      <w:r>
        <w:rPr>
          <w:rFonts w:hint="eastAsia"/>
          <w:sz w:val="24"/>
        </w:rPr>
        <w:t>第</w:t>
      </w:r>
      <w:r>
        <w:rPr>
          <w:rFonts w:hint="eastAsia"/>
          <w:sz w:val="24"/>
          <w:lang w:eastAsia="zh-CN"/>
        </w:rPr>
        <w:t>三</w:t>
      </w:r>
      <w:r>
        <w:rPr>
          <w:rFonts w:hint="eastAsia"/>
          <w:sz w:val="24"/>
        </w:rPr>
        <w:t>部分</w:t>
      </w:r>
      <w:r>
        <w:rPr>
          <w:sz w:val="24"/>
        </w:rPr>
        <w:t xml:space="preserve"> </w:t>
      </w:r>
      <w:r>
        <w:rPr>
          <w:rFonts w:hint="eastAsia"/>
          <w:sz w:val="24"/>
          <w:lang w:eastAsia="zh-CN"/>
        </w:rPr>
        <w:t>名词解释</w:t>
      </w:r>
      <w:bookmarkStart w:id="67" w:name="_GoBack"/>
      <w:bookmarkEnd w:id="67"/>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rFonts w:hint="eastAsia"/>
          <w:sz w:val="24"/>
        </w:rPr>
      </w:pPr>
      <w:r>
        <w:rPr>
          <w:rFonts w:hint="eastAsia"/>
          <w:sz w:val="24"/>
        </w:rPr>
        <w:t>一、收入支出决算总表</w:t>
      </w:r>
    </w:p>
    <w:p>
      <w:pPr>
        <w:pStyle w:val="12"/>
        <w:adjustRightInd w:val="0"/>
        <w:snapToGrid w:val="0"/>
        <w:spacing w:line="440" w:lineRule="exact"/>
        <w:jc w:val="left"/>
        <w:rPr>
          <w:rFonts w:hint="eastAsia"/>
          <w:sz w:val="24"/>
        </w:rPr>
      </w:pPr>
      <w:r>
        <w:rPr>
          <w:rFonts w:hint="eastAsia"/>
          <w:sz w:val="24"/>
        </w:rPr>
        <w:t>二、收入决算表</w:t>
      </w:r>
    </w:p>
    <w:p>
      <w:pPr>
        <w:pStyle w:val="12"/>
        <w:adjustRightInd w:val="0"/>
        <w:snapToGrid w:val="0"/>
        <w:spacing w:line="440" w:lineRule="exact"/>
        <w:jc w:val="left"/>
        <w:rPr>
          <w:rFonts w:hint="eastAsia"/>
          <w:sz w:val="24"/>
        </w:rPr>
      </w:pPr>
      <w:r>
        <w:rPr>
          <w:rFonts w:hint="eastAsia"/>
          <w:sz w:val="24"/>
        </w:rPr>
        <w:t>三、支出决算表</w:t>
      </w:r>
    </w:p>
    <w:p>
      <w:pPr>
        <w:pStyle w:val="12"/>
        <w:adjustRightInd w:val="0"/>
        <w:snapToGrid w:val="0"/>
        <w:spacing w:line="440" w:lineRule="exact"/>
        <w:jc w:val="left"/>
        <w:rPr>
          <w:rFonts w:hint="eastAsia"/>
          <w:sz w:val="24"/>
        </w:rPr>
      </w:pPr>
      <w:r>
        <w:rPr>
          <w:rFonts w:hint="eastAsia"/>
          <w:sz w:val="24"/>
        </w:rPr>
        <w:t>四、财政拨款收入支出决算总表</w:t>
      </w:r>
    </w:p>
    <w:p>
      <w:pPr>
        <w:pStyle w:val="12"/>
        <w:adjustRightInd w:val="0"/>
        <w:snapToGrid w:val="0"/>
        <w:spacing w:line="440" w:lineRule="exact"/>
        <w:jc w:val="left"/>
        <w:rPr>
          <w:rFonts w:hint="eastAsia"/>
          <w:sz w:val="24"/>
        </w:rPr>
      </w:pPr>
      <w:r>
        <w:rPr>
          <w:rFonts w:hint="eastAsia"/>
          <w:sz w:val="24"/>
        </w:rPr>
        <w:t>五、财政拨款支出决算明细表</w:t>
      </w:r>
    </w:p>
    <w:p>
      <w:pPr>
        <w:pStyle w:val="12"/>
        <w:adjustRightInd w:val="0"/>
        <w:snapToGrid w:val="0"/>
        <w:spacing w:line="440" w:lineRule="exact"/>
        <w:jc w:val="left"/>
        <w:rPr>
          <w:rFonts w:hint="eastAsia"/>
          <w:sz w:val="24"/>
        </w:rPr>
      </w:pPr>
      <w:r>
        <w:rPr>
          <w:rFonts w:hint="eastAsia"/>
          <w:sz w:val="24"/>
        </w:rPr>
        <w:t>六、一般公共预算财政拨款支出决算表</w:t>
      </w:r>
    </w:p>
    <w:p>
      <w:pPr>
        <w:pStyle w:val="12"/>
        <w:adjustRightInd w:val="0"/>
        <w:snapToGrid w:val="0"/>
        <w:spacing w:line="440" w:lineRule="exact"/>
        <w:jc w:val="left"/>
        <w:rPr>
          <w:rFonts w:hint="eastAsia"/>
          <w:sz w:val="24"/>
        </w:rPr>
      </w:pPr>
      <w:r>
        <w:rPr>
          <w:rFonts w:hint="eastAsia"/>
          <w:sz w:val="24"/>
        </w:rPr>
        <w:t>七、一般公共预算财政拨款支出决算明细表</w:t>
      </w:r>
    </w:p>
    <w:p>
      <w:pPr>
        <w:pStyle w:val="12"/>
        <w:adjustRightInd w:val="0"/>
        <w:snapToGrid w:val="0"/>
        <w:spacing w:line="440" w:lineRule="exact"/>
        <w:jc w:val="left"/>
        <w:rPr>
          <w:rFonts w:hint="eastAsia"/>
          <w:sz w:val="24"/>
        </w:rPr>
      </w:pPr>
      <w:r>
        <w:rPr>
          <w:rFonts w:hint="eastAsia"/>
          <w:sz w:val="24"/>
        </w:rPr>
        <w:t>八、一般公共预算财政拨款基本支出决算表</w:t>
      </w:r>
    </w:p>
    <w:p>
      <w:pPr>
        <w:pStyle w:val="12"/>
        <w:adjustRightInd w:val="0"/>
        <w:snapToGrid w:val="0"/>
        <w:spacing w:line="440" w:lineRule="exact"/>
        <w:jc w:val="left"/>
        <w:rPr>
          <w:rFonts w:hint="eastAsia"/>
          <w:sz w:val="24"/>
        </w:rPr>
      </w:pPr>
      <w:r>
        <w:rPr>
          <w:rFonts w:hint="eastAsia"/>
          <w:sz w:val="24"/>
        </w:rPr>
        <w:t>九、一般公共预算财政拨款项目支出决算表</w:t>
      </w:r>
    </w:p>
    <w:p>
      <w:pPr>
        <w:pStyle w:val="12"/>
        <w:adjustRightInd w:val="0"/>
        <w:snapToGrid w:val="0"/>
        <w:spacing w:line="440" w:lineRule="exact"/>
        <w:jc w:val="left"/>
        <w:rPr>
          <w:rFonts w:hint="eastAsia"/>
          <w:sz w:val="24"/>
        </w:rPr>
      </w:pPr>
      <w:r>
        <w:rPr>
          <w:rFonts w:hint="eastAsia"/>
          <w:sz w:val="24"/>
        </w:rPr>
        <w:t>十、一般公共预算财政拨款“三公”经费支出决算表</w:t>
      </w:r>
    </w:p>
    <w:p>
      <w:pPr>
        <w:pStyle w:val="12"/>
        <w:adjustRightInd w:val="0"/>
        <w:snapToGrid w:val="0"/>
        <w:spacing w:line="440" w:lineRule="exact"/>
        <w:jc w:val="left"/>
        <w:rPr>
          <w:rFonts w:hint="eastAsia"/>
          <w:sz w:val="24"/>
        </w:rPr>
      </w:pPr>
      <w:r>
        <w:rPr>
          <w:rFonts w:hint="eastAsia"/>
          <w:sz w:val="24"/>
        </w:rPr>
        <w:t>十一、政府性基金预算财政拨款收入支出决算表</w:t>
      </w:r>
    </w:p>
    <w:p>
      <w:pPr>
        <w:pStyle w:val="12"/>
        <w:adjustRightInd w:val="0"/>
        <w:snapToGrid w:val="0"/>
        <w:spacing w:line="440" w:lineRule="exact"/>
        <w:jc w:val="left"/>
        <w:rPr>
          <w:rFonts w:hint="eastAsia"/>
          <w:sz w:val="24"/>
        </w:rPr>
      </w:pPr>
      <w:r>
        <w:rPr>
          <w:rFonts w:hint="eastAsia"/>
          <w:sz w:val="24"/>
        </w:rPr>
        <w:t>十二、政府性基金预算财政拨款“三公”经费支出决算表</w:t>
      </w:r>
    </w:p>
    <w:p>
      <w:pPr>
        <w:pStyle w:val="12"/>
        <w:adjustRightInd w:val="0"/>
        <w:snapToGrid w:val="0"/>
        <w:spacing w:line="440" w:lineRule="exact"/>
        <w:jc w:val="left"/>
        <w:rPr>
          <w:rFonts w:hint="eastAsia"/>
          <w:sz w:val="24"/>
        </w:rPr>
      </w:pPr>
      <w:r>
        <w:rPr>
          <w:rFonts w:hint="eastAsia"/>
          <w:sz w:val="24"/>
        </w:rPr>
        <w:t>十三、国有资本经营预算支出决算表</w:t>
      </w:r>
    </w:p>
    <w:p>
      <w:pPr>
        <w:pStyle w:val="12"/>
        <w:adjustRightInd w:val="0"/>
        <w:snapToGrid w:val="0"/>
        <w:spacing w:line="440" w:lineRule="exact"/>
        <w:jc w:val="left"/>
        <w:rPr>
          <w:rFonts w:hint="eastAsia"/>
          <w:sz w:val="24"/>
        </w:rPr>
      </w:pPr>
      <w:bookmarkStart w:id="6" w:name="_Toc15377196"/>
      <w:bookmarkStart w:id="7" w:name="_Toc15396599"/>
      <w:r>
        <w:rPr>
          <w:rFonts w:hint="eastAsia"/>
          <w:sz w:val="24"/>
        </w:rPr>
        <w:br w:type="page"/>
      </w:r>
    </w:p>
    <w:p>
      <w:pPr>
        <w:pStyle w:val="3"/>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6"/>
      <w:bookmarkEnd w:id="7"/>
    </w:p>
    <w:p>
      <w:pPr>
        <w:pStyle w:val="4"/>
        <w:ind w:firstLine="640" w:firstLineChars="200"/>
        <w:rPr>
          <w:rStyle w:val="26"/>
          <w:rFonts w:ascii="仿宋" w:hAnsi="仿宋" w:eastAsia="仿宋"/>
          <w:b w:val="0"/>
          <w:bCs w:val="0"/>
        </w:rPr>
      </w:pPr>
      <w:bookmarkStart w:id="8" w:name="_Toc15396600"/>
      <w:bookmarkStart w:id="9"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8"/>
      <w:bookmarkEnd w:id="9"/>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0" w:name="_Toc15378445"/>
      <w:bookmarkStart w:id="11" w:name="_Toc15377198"/>
      <w:r>
        <w:rPr>
          <w:rFonts w:hint="eastAsia" w:ascii="仿宋" w:hAnsi="仿宋" w:eastAsia="仿宋"/>
          <w:bCs/>
          <w:color w:val="000000"/>
          <w:sz w:val="32"/>
          <w:szCs w:val="32"/>
        </w:rPr>
        <w:t>（一）主要职能。</w:t>
      </w:r>
      <w:bookmarkEnd w:id="10"/>
      <w:bookmarkEnd w:id="11"/>
      <w:bookmarkStart w:id="12" w:name="_Toc15377199"/>
      <w:bookmarkStart w:id="13" w:name="_Toc15378446"/>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 w:hAnsi="仿宋" w:eastAsia="仿宋"/>
          <w:bCs/>
          <w:color w:val="000000"/>
          <w:sz w:val="32"/>
          <w:szCs w:val="32"/>
        </w:rPr>
      </w:pPr>
      <w:r>
        <w:rPr>
          <w:rFonts w:hint="eastAsia" w:ascii="仿宋_GB2312" w:hAnsi="仿宋_GB2312" w:eastAsia="仿宋_GB2312" w:cs="仿宋_GB2312"/>
          <w:color w:val="auto"/>
          <w:sz w:val="32"/>
          <w:szCs w:val="32"/>
        </w:rPr>
        <w:t>贯彻执行国家有关工业经济、信息化和无线电管理的法律、法规和方针政策，负责推进全市工业结构调整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负责全市经济运行调节，监测、分析经济运行态势和质量，建立全市工业经济运行预警机制，研究拟订中、近期经济运行目标、政策并组织实施，协调解决经济运行中的重大问题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负责全市工业企业技术改造推进工作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负责全市工业企业技术创新体系建设，落实鼓励企业技术创新措施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负责全市工业和信息化领域的节能降耗、淘汰落后产能、清洁生产和资源节约与综合利用工作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负责推进企业信用制度建设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负责工业企业的宏观管理和指导，负责对国家重大工业经济政策实施情况进行督查，指导企业建立现代企业制度、改组改造、兼并重组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负责对全市工业相关行业实施行业管理，制定并组织实施相关政策措施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统筹推进全市信息化工作，制定并组织实施相关政策，指导企业信息化建设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负责全市信息基础设施建设的规划、协调和管理；协调电信市场涉及社会公共利益的重大事项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组织协调全市信息安全保障体系建设</w:t>
      </w:r>
      <w:r>
        <w:rPr>
          <w:rFonts w:hint="eastAsia" w:ascii="仿宋_GB2312" w:hAnsi="仿宋_GB2312" w:eastAsia="仿宋_GB2312" w:cs="仿宋_GB2312"/>
          <w:color w:val="auto"/>
          <w:sz w:val="32"/>
          <w:szCs w:val="32"/>
          <w:lang w:eastAsia="zh-CN"/>
        </w:rPr>
        <w:t>；负责全市盐业行业管理、承担食盐专营管理工作，组织编制《食盐供应应急预案》，组织实施行业政策；负责职责范围内的安全生产和职业健康、生态环境保护、审批服务便民化等工作；</w:t>
      </w:r>
      <w:r>
        <w:rPr>
          <w:rFonts w:hint="eastAsia" w:ascii="仿宋_GB2312" w:hAnsi="仿宋_GB2312" w:eastAsia="仿宋_GB2312" w:cs="仿宋_GB2312"/>
          <w:color w:val="auto"/>
          <w:sz w:val="32"/>
          <w:szCs w:val="32"/>
        </w:rPr>
        <w:t>负责局机关及有隶属党组织关系的企业党群工作、党风廉政建设和纪检监察工作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承办市政府交办的其他事项。</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2"/>
      <w:bookmarkEnd w:id="13"/>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 w:hAnsi="仿宋" w:eastAsia="仿宋"/>
          <w:bCs/>
          <w:color w:val="000000"/>
          <w:sz w:val="32"/>
          <w:szCs w:val="32"/>
        </w:rPr>
      </w:pPr>
      <w:r>
        <w:rPr>
          <w:rFonts w:hint="eastAsia" w:ascii="仿宋_GB2312" w:hAnsi="仿宋_GB2312" w:eastAsia="仿宋_GB2312" w:cs="仿宋_GB2312"/>
          <w:kern w:val="0"/>
          <w:sz w:val="32"/>
          <w:szCs w:val="32"/>
          <w:lang w:val="en-US" w:eastAsia="zh-CN"/>
        </w:rPr>
        <w:t>2019年</w:t>
      </w:r>
      <w:r>
        <w:rPr>
          <w:rFonts w:hint="eastAsia" w:ascii="仿宋_GB2312" w:hAnsi="仿宋_GB2312" w:eastAsia="仿宋_GB2312" w:cs="仿宋_GB2312"/>
          <w:kern w:val="0"/>
          <w:sz w:val="32"/>
          <w:szCs w:val="32"/>
        </w:rPr>
        <w:t>，我局以习近平新时代中国特色社会主义思想和习近平总书记对四川工作系列重要指示精神为指导</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全力推进我市工业经济绿色健康发展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规模以上工业企业实现产值374.9亿元，同比增长13.77%，实现增加值增速</w:t>
      </w:r>
      <w:r>
        <w:rPr>
          <w:rFonts w:hint="eastAsia" w:ascii="仿宋_GB2312" w:hAnsi="仿宋_GB2312" w:eastAsia="仿宋_GB2312" w:cs="仿宋_GB2312"/>
          <w:kern w:val="0"/>
          <w:sz w:val="32"/>
          <w:szCs w:val="32"/>
          <w:lang w:val="en-US" w:eastAsia="zh-CN"/>
        </w:rPr>
        <w:t>10.4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完成工业投资13.1亿元，技改投资8.7亿元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新增规上企业6户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被乐山市经信</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表彰为稳增长、工业投资、两化融合、创业创新先进单位。</w:t>
      </w:r>
    </w:p>
    <w:p>
      <w:pPr>
        <w:pStyle w:val="4"/>
        <w:ind w:firstLine="640" w:firstLineChars="200"/>
        <w:rPr>
          <w:rStyle w:val="26"/>
          <w:b w:val="0"/>
          <w:bCs w:val="0"/>
        </w:rPr>
      </w:pPr>
      <w:bookmarkStart w:id="14" w:name="_Toc15377200"/>
      <w:bookmarkStart w:id="15"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4"/>
      <w:bookmarkEnd w:id="15"/>
    </w:p>
    <w:p>
      <w:pPr>
        <w:spacing w:line="600" w:lineRule="exact"/>
        <w:ind w:firstLine="640" w:firstLineChars="200"/>
        <w:rPr>
          <w:rFonts w:hint="eastAsia" w:ascii="仿宋_GB2312" w:eastAsia="仿宋_GB2312"/>
          <w:color w:val="auto"/>
          <w:sz w:val="32"/>
          <w:szCs w:val="32"/>
          <w:lang w:eastAsia="zh-CN"/>
        </w:rPr>
      </w:pPr>
      <w:bookmarkStart w:id="16" w:name="_Toc15396602"/>
      <w:bookmarkStart w:id="17" w:name="_Toc15377204"/>
      <w:r>
        <w:rPr>
          <w:rFonts w:hint="eastAsia" w:ascii="仿宋_GB2312" w:eastAsia="仿宋_GB2312"/>
          <w:color w:val="auto"/>
          <w:sz w:val="32"/>
          <w:szCs w:val="32"/>
        </w:rPr>
        <w:t>峨眉山市经济和信息化局属</w:t>
      </w:r>
      <w:r>
        <w:rPr>
          <w:rFonts w:hint="eastAsia" w:ascii="仿宋_GB2312" w:eastAsia="仿宋_GB2312"/>
          <w:color w:val="auto"/>
          <w:sz w:val="32"/>
          <w:szCs w:val="32"/>
          <w:lang w:eastAsia="zh-CN"/>
        </w:rPr>
        <w:t>于</w:t>
      </w:r>
      <w:r>
        <w:rPr>
          <w:rFonts w:hint="eastAsia" w:ascii="仿宋_GB2312" w:eastAsia="仿宋_GB2312"/>
          <w:color w:val="auto"/>
          <w:sz w:val="32"/>
          <w:szCs w:val="32"/>
        </w:rPr>
        <w:t>一级</w:t>
      </w:r>
      <w:r>
        <w:rPr>
          <w:rFonts w:hint="eastAsia" w:ascii="仿宋_GB2312" w:eastAsia="仿宋_GB2312"/>
          <w:color w:val="auto"/>
          <w:sz w:val="32"/>
          <w:szCs w:val="32"/>
          <w:lang w:eastAsia="zh-CN"/>
        </w:rPr>
        <w:t>预算</w:t>
      </w:r>
      <w:r>
        <w:rPr>
          <w:rFonts w:hint="eastAsia" w:ascii="仿宋_GB2312" w:eastAsia="仿宋_GB2312"/>
          <w:color w:val="auto"/>
          <w:sz w:val="32"/>
          <w:szCs w:val="32"/>
        </w:rPr>
        <w:t>单位，为行政单位，无下属二级单位</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lang w:eastAsia="zh-CN"/>
        </w:rPr>
      </w:pPr>
    </w:p>
    <w:p>
      <w:pPr>
        <w:spacing w:line="600" w:lineRule="exact"/>
        <w:ind w:firstLine="640" w:firstLineChars="200"/>
        <w:rPr>
          <w:rFonts w:hint="eastAsia" w:ascii="仿宋_GB2312" w:eastAsia="仿宋_GB2312"/>
          <w:color w:val="auto"/>
          <w:sz w:val="32"/>
          <w:szCs w:val="32"/>
          <w:lang w:eastAsia="zh-CN"/>
        </w:rPr>
      </w:pPr>
    </w:p>
    <w:p>
      <w:pPr>
        <w:spacing w:line="600" w:lineRule="exact"/>
        <w:ind w:firstLine="640" w:firstLineChars="200"/>
        <w:rPr>
          <w:rFonts w:hint="eastAsia" w:ascii="仿宋_GB2312" w:eastAsia="仿宋_GB2312"/>
          <w:color w:val="auto"/>
          <w:sz w:val="32"/>
          <w:szCs w:val="32"/>
          <w:lang w:eastAsia="zh-CN"/>
        </w:rPr>
      </w:pPr>
    </w:p>
    <w:p>
      <w:pPr>
        <w:spacing w:line="600" w:lineRule="exact"/>
        <w:ind w:firstLine="640" w:firstLineChars="200"/>
        <w:rPr>
          <w:rFonts w:hint="eastAsia" w:ascii="仿宋_GB2312" w:eastAsia="仿宋_GB2312"/>
          <w:color w:val="auto"/>
          <w:sz w:val="32"/>
          <w:szCs w:val="32"/>
          <w:lang w:eastAsia="zh-CN"/>
        </w:rPr>
      </w:pPr>
    </w:p>
    <w:p>
      <w:pPr>
        <w:spacing w:line="600" w:lineRule="exact"/>
        <w:ind w:firstLine="640" w:firstLineChars="200"/>
        <w:rPr>
          <w:rFonts w:hint="eastAsia" w:ascii="仿宋_GB2312" w:eastAsia="仿宋_GB2312"/>
          <w:color w:val="auto"/>
          <w:sz w:val="32"/>
          <w:szCs w:val="32"/>
          <w:lang w:eastAsia="zh-CN"/>
        </w:rPr>
      </w:pPr>
    </w:p>
    <w:p>
      <w:pPr>
        <w:spacing w:line="600" w:lineRule="exact"/>
        <w:ind w:firstLine="640" w:firstLineChars="200"/>
        <w:rPr>
          <w:rFonts w:hint="eastAsia" w:ascii="仿宋_GB2312" w:eastAsia="仿宋_GB2312"/>
          <w:color w:val="auto"/>
          <w:sz w:val="32"/>
          <w:szCs w:val="32"/>
          <w:lang w:eastAsia="zh-CN"/>
        </w:rPr>
      </w:pPr>
    </w:p>
    <w:p>
      <w:pPr>
        <w:spacing w:line="600" w:lineRule="exact"/>
        <w:ind w:firstLine="640" w:firstLineChars="200"/>
        <w:rPr>
          <w:rFonts w:hint="eastAsia" w:ascii="仿宋_GB2312" w:eastAsia="仿宋_GB2312"/>
          <w:color w:val="auto"/>
          <w:sz w:val="32"/>
          <w:szCs w:val="32"/>
          <w:lang w:eastAsia="zh-CN"/>
        </w:rPr>
      </w:pPr>
    </w:p>
    <w:p>
      <w:pPr>
        <w:pStyle w:val="3"/>
        <w:spacing w:before="0" w:after="0" w:line="240" w:lineRule="auto"/>
        <w:ind w:right="0"/>
        <w:jc w:val="center"/>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16"/>
      <w:bookmarkEnd w:id="17"/>
    </w:p>
    <w:p/>
    <w:p>
      <w:pPr>
        <w:pStyle w:val="24"/>
        <w:numPr>
          <w:ilvl w:val="0"/>
          <w:numId w:val="1"/>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hint="eastAsia" w:ascii="仿宋_GB2312" w:hAnsi="宋体" w:eastAsia="仿宋_GB2312"/>
          <w:color w:val="auto"/>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8060.80</w:t>
      </w:r>
      <w:r>
        <w:rPr>
          <w:rFonts w:hint="eastAsia" w:ascii="仿宋" w:hAnsi="仿宋" w:eastAsia="仿宋"/>
          <w:color w:val="000000"/>
          <w:sz w:val="32"/>
          <w:szCs w:val="32"/>
        </w:rPr>
        <w:t>万元。与2018年相比，收、支总计各增长</w:t>
      </w:r>
      <w:r>
        <w:rPr>
          <w:rFonts w:hint="eastAsia" w:ascii="仿宋" w:hAnsi="仿宋" w:eastAsia="仿宋"/>
          <w:color w:val="000000"/>
          <w:sz w:val="32"/>
          <w:szCs w:val="32"/>
          <w:lang w:val="en-US" w:eastAsia="zh-CN"/>
        </w:rPr>
        <w:t>3570.10</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79.50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工业</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eastAsia="zh-CN"/>
        </w:rPr>
        <w:t>发展专项补助</w:t>
      </w:r>
      <w:r>
        <w:rPr>
          <w:rFonts w:hint="eastAsia" w:ascii="仿宋_GB2312" w:hAnsi="宋体" w:eastAsia="仿宋_GB2312"/>
          <w:color w:val="auto"/>
          <w:sz w:val="32"/>
          <w:szCs w:val="32"/>
          <w:lang w:val="en-US" w:eastAsia="zh-CN"/>
        </w:rPr>
        <w:t>补贴补偿</w:t>
      </w:r>
      <w:r>
        <w:rPr>
          <w:rFonts w:hint="eastAsia" w:ascii="仿宋_GB2312" w:hAnsi="宋体" w:eastAsia="仿宋_GB2312"/>
          <w:color w:val="auto"/>
          <w:sz w:val="32"/>
          <w:szCs w:val="32"/>
          <w:lang w:eastAsia="zh-CN"/>
        </w:rPr>
        <w:t>资金增加</w:t>
      </w:r>
      <w:r>
        <w:rPr>
          <w:rFonts w:hint="eastAsia" w:ascii="仿宋_GB2312" w:hAnsi="宋体" w:eastAsia="仿宋_GB2312"/>
          <w:color w:val="auto"/>
          <w:sz w:val="32"/>
          <w:szCs w:val="32"/>
        </w:rPr>
        <w:t>。</w:t>
      </w:r>
    </w:p>
    <w:p>
      <w:pPr>
        <w:spacing w:line="600" w:lineRule="exact"/>
        <w:ind w:firstLine="420" w:firstLineChars="200"/>
        <w:rPr>
          <w:rFonts w:hint="eastAsia" w:ascii="仿宋_GB2312" w:hAnsi="宋体" w:eastAsia="仿宋_GB2312"/>
          <w:color w:val="auto"/>
          <w:sz w:val="32"/>
          <w:szCs w:val="32"/>
        </w:rPr>
      </w:pPr>
      <w:r>
        <w:drawing>
          <wp:anchor distT="0" distB="0" distL="114300" distR="114300" simplePos="0" relativeHeight="251661312" behindDoc="1" locked="0" layoutInCell="1" allowOverlap="1">
            <wp:simplePos x="0" y="0"/>
            <wp:positionH relativeFrom="column">
              <wp:posOffset>224155</wp:posOffset>
            </wp:positionH>
            <wp:positionV relativeFrom="paragraph">
              <wp:posOffset>250190</wp:posOffset>
            </wp:positionV>
            <wp:extent cx="4610100" cy="2933700"/>
            <wp:effectExtent l="5080" t="4445" r="13970" b="14605"/>
            <wp:wrapTight wrapText="bothSides">
              <wp:wrapPolygon>
                <wp:start x="-24" y="-33"/>
                <wp:lineTo x="-24" y="21567"/>
                <wp:lineTo x="21576" y="21567"/>
                <wp:lineTo x="21576" y="-33"/>
                <wp:lineTo x="-24" y="-33"/>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1280" w:firstLineChars="4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pStyle w:val="24"/>
        <w:numPr>
          <w:ilvl w:val="0"/>
          <w:numId w:val="1"/>
        </w:numPr>
        <w:spacing w:line="600" w:lineRule="exact"/>
        <w:ind w:firstLineChars="0"/>
        <w:outlineLvl w:val="1"/>
        <w:rPr>
          <w:rStyle w:val="26"/>
          <w:rFonts w:ascii="黑体" w:hAnsi="黑体" w:eastAsia="黑体"/>
          <w:b w:val="0"/>
        </w:rPr>
      </w:pPr>
      <w:bookmarkStart w:id="20" w:name="_Toc15377206"/>
      <w:bookmarkStart w:id="21"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5860.56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4145.89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70.74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1714.67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29.26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outlineLvl w:val="1"/>
        <w:rPr>
          <w:rFonts w:ascii="仿宋" w:hAnsi="仿宋" w:eastAsia="仿宋"/>
          <w:color w:val="000000"/>
          <w:sz w:val="32"/>
          <w:szCs w:val="32"/>
        </w:rPr>
      </w:pPr>
      <w:r>
        <w:drawing>
          <wp:anchor distT="0" distB="0" distL="114300" distR="114300" simplePos="0" relativeHeight="251659264" behindDoc="1" locked="0" layoutInCell="1" allowOverlap="1">
            <wp:simplePos x="0" y="0"/>
            <wp:positionH relativeFrom="column">
              <wp:posOffset>128270</wp:posOffset>
            </wp:positionH>
            <wp:positionV relativeFrom="paragraph">
              <wp:posOffset>166370</wp:posOffset>
            </wp:positionV>
            <wp:extent cx="4705350" cy="3113405"/>
            <wp:effectExtent l="4445" t="4445" r="14605" b="6350"/>
            <wp:wrapTight wrapText="bothSides">
              <wp:wrapPolygon>
                <wp:start x="-20" y="-31"/>
                <wp:lineTo x="-20" y="21512"/>
                <wp:lineTo x="21580" y="21512"/>
                <wp:lineTo x="21580" y="-31"/>
                <wp:lineTo x="-20" y="-31"/>
              </wp:wrapPolygon>
            </wp:wrapTight>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jc w:val="both"/>
        <w:rPr>
          <w:rFonts w:hint="eastAsia" w:ascii="仿宋" w:hAnsi="仿宋" w:eastAsia="仿宋"/>
          <w:color w:val="000000" w:themeColor="text1"/>
          <w:sz w:val="32"/>
          <w:szCs w:val="32"/>
        </w:rPr>
      </w:pPr>
    </w:p>
    <w:p>
      <w:pPr>
        <w:spacing w:line="600" w:lineRule="exact"/>
        <w:ind w:firstLine="1920" w:firstLineChars="600"/>
        <w:jc w:val="both"/>
        <w:rPr>
          <w:rFonts w:ascii="仿宋_GB2312" w:eastAsia="仿宋_GB2312"/>
          <w:color w:val="FF0000"/>
          <w:sz w:val="32"/>
          <w:szCs w:val="32"/>
        </w:rPr>
      </w:pPr>
      <w:r>
        <w:rPr>
          <w:rFonts w:hint="eastAsia" w:ascii="仿宋" w:hAnsi="仿宋" w:eastAsia="仿宋"/>
          <w:color w:val="000000" w:themeColor="text1"/>
          <w:sz w:val="32"/>
          <w:szCs w:val="32"/>
        </w:rPr>
        <w:t>（图2：收入决算结构图）</w:t>
      </w:r>
    </w:p>
    <w:p>
      <w:pPr>
        <w:pStyle w:val="24"/>
        <w:numPr>
          <w:ilvl w:val="0"/>
          <w:numId w:val="1"/>
        </w:numPr>
        <w:spacing w:line="600" w:lineRule="exact"/>
        <w:ind w:firstLineChars="0"/>
        <w:outlineLvl w:val="1"/>
        <w:rPr>
          <w:rStyle w:val="26"/>
          <w:rFonts w:ascii="黑体" w:hAnsi="黑体" w:eastAsia="黑体"/>
          <w:b w:val="0"/>
        </w:rPr>
      </w:pPr>
      <w:bookmarkStart w:id="22" w:name="_Toc15396605"/>
      <w:bookmarkStart w:id="23"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6238.34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587.88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5650.46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90.58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60288" behindDoc="1" locked="0" layoutInCell="1" allowOverlap="1">
            <wp:simplePos x="0" y="0"/>
            <wp:positionH relativeFrom="column">
              <wp:posOffset>318770</wp:posOffset>
            </wp:positionH>
            <wp:positionV relativeFrom="paragraph">
              <wp:posOffset>160655</wp:posOffset>
            </wp:positionV>
            <wp:extent cx="4572000" cy="2914650"/>
            <wp:effectExtent l="4445" t="4445" r="14605" b="14605"/>
            <wp:wrapTight wrapText="bothSides">
              <wp:wrapPolygon>
                <wp:start x="-21" y="-33"/>
                <wp:lineTo x="-21" y="21567"/>
                <wp:lineTo x="21579" y="21567"/>
                <wp:lineTo x="21579" y="-33"/>
                <wp:lineTo x="-21" y="-33"/>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1600" w:firstLineChars="500"/>
        <w:rPr>
          <w:rFonts w:ascii="仿宋_GB2312" w:eastAsia="仿宋_GB2312"/>
          <w:color w:val="FF0000"/>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outlineLvl w:val="1"/>
        <w:rPr>
          <w:rStyle w:val="26"/>
          <w:rFonts w:ascii="黑体" w:hAnsi="黑体" w:eastAsia="黑体"/>
          <w:b w:val="0"/>
        </w:rPr>
      </w:pPr>
      <w:bookmarkStart w:id="24" w:name="_Toc15377208"/>
      <w:bookmarkStart w:id="25"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rPr>
          <w:rFonts w:hint="eastAsia" w:ascii="仿宋_GB2312" w:hAnsi="宋体" w:eastAsia="仿宋_GB2312"/>
          <w:color w:val="auto"/>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8059.59</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3570.10</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79.52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工业</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eastAsia="zh-CN"/>
        </w:rPr>
        <w:t>发展专项补助</w:t>
      </w:r>
      <w:r>
        <w:rPr>
          <w:rFonts w:hint="eastAsia" w:ascii="仿宋_GB2312" w:hAnsi="宋体" w:eastAsia="仿宋_GB2312"/>
          <w:color w:val="auto"/>
          <w:sz w:val="32"/>
          <w:szCs w:val="32"/>
          <w:lang w:val="en-US" w:eastAsia="zh-CN"/>
        </w:rPr>
        <w:t>补贴补偿</w:t>
      </w:r>
      <w:r>
        <w:rPr>
          <w:rFonts w:hint="eastAsia" w:ascii="仿宋_GB2312" w:hAnsi="宋体" w:eastAsia="仿宋_GB2312"/>
          <w:color w:val="auto"/>
          <w:sz w:val="32"/>
          <w:szCs w:val="32"/>
          <w:lang w:eastAsia="zh-CN"/>
        </w:rPr>
        <w:t>资金增加</w:t>
      </w:r>
      <w:r>
        <w:rPr>
          <w:rFonts w:hint="eastAsia" w:ascii="仿宋_GB2312" w:hAnsi="宋体" w:eastAsia="仿宋_GB2312"/>
          <w:color w:val="auto"/>
          <w:sz w:val="32"/>
          <w:szCs w:val="32"/>
        </w:rPr>
        <w:t>。</w:t>
      </w:r>
    </w:p>
    <w:p>
      <w:pPr>
        <w:spacing w:line="600" w:lineRule="exact"/>
        <w:ind w:firstLine="640"/>
        <w:rPr>
          <w:rFonts w:ascii="仿宋" w:hAnsi="仿宋" w:eastAsia="仿宋"/>
          <w:color w:val="000000"/>
          <w:sz w:val="32"/>
          <w:szCs w:val="32"/>
        </w:rPr>
      </w:pPr>
      <w:r>
        <w:drawing>
          <wp:anchor distT="0" distB="0" distL="114300" distR="114300" simplePos="0" relativeHeight="251662336" behindDoc="1" locked="0" layoutInCell="1" allowOverlap="1">
            <wp:simplePos x="0" y="0"/>
            <wp:positionH relativeFrom="column">
              <wp:posOffset>300355</wp:posOffset>
            </wp:positionH>
            <wp:positionV relativeFrom="paragraph">
              <wp:posOffset>137795</wp:posOffset>
            </wp:positionV>
            <wp:extent cx="4572000" cy="2857500"/>
            <wp:effectExtent l="5080" t="4445" r="13970" b="14605"/>
            <wp:wrapTight wrapText="bothSides">
              <wp:wrapPolygon>
                <wp:start x="-24" y="-34"/>
                <wp:lineTo x="-24" y="21566"/>
                <wp:lineTo x="21576" y="21566"/>
                <wp:lineTo x="21576" y="-34"/>
                <wp:lineTo x="-24" y="-34"/>
              </wp:wrapPolygon>
            </wp:wrapTight>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rPr>
          <w:rFonts w:hint="eastAsia" w:ascii="仿宋" w:hAnsi="仿宋" w:eastAsia="仿宋"/>
          <w:color w:val="000000" w:themeColor="text1"/>
          <w:sz w:val="32"/>
          <w:szCs w:val="32"/>
        </w:rPr>
      </w:pPr>
    </w:p>
    <w:p>
      <w:pPr>
        <w:spacing w:line="600" w:lineRule="exact"/>
        <w:ind w:firstLine="960" w:firstLineChars="300"/>
        <w:rPr>
          <w:rFonts w:ascii="仿宋" w:hAnsi="仿宋" w:eastAsia="仿宋"/>
          <w:b/>
          <w:color w:val="00B050"/>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26" w:name="_Toc15377209"/>
      <w:bookmarkStart w:id="2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color w:val="000000"/>
          <w:sz w:val="32"/>
          <w:szCs w:val="32"/>
        </w:rPr>
      </w:pPr>
      <w:bookmarkStart w:id="28" w:name="_Toc15377210"/>
      <w:r>
        <w:rPr>
          <w:rFonts w:hint="eastAsia" w:ascii="仿宋" w:hAnsi="仿宋" w:eastAsia="仿宋"/>
          <w:b/>
          <w:color w:val="000000"/>
          <w:sz w:val="32"/>
          <w:szCs w:val="32"/>
        </w:rPr>
        <w:t>（一）一般公共预算财政拨款支出决算总体情况</w:t>
      </w:r>
      <w:bookmarkEnd w:id="2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4507.40</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72.25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val="en-US"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2674.15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145.87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工业</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eastAsia="zh-CN"/>
        </w:rPr>
        <w:t>发展专项补助</w:t>
      </w:r>
      <w:r>
        <w:rPr>
          <w:rFonts w:hint="eastAsia" w:ascii="仿宋_GB2312" w:hAnsi="宋体" w:eastAsia="仿宋_GB2312"/>
          <w:color w:val="auto"/>
          <w:sz w:val="32"/>
          <w:szCs w:val="32"/>
          <w:lang w:val="en-US" w:eastAsia="zh-CN"/>
        </w:rPr>
        <w:t>补贴补偿</w:t>
      </w:r>
      <w:r>
        <w:rPr>
          <w:rFonts w:hint="eastAsia" w:ascii="仿宋_GB2312" w:hAnsi="宋体" w:eastAsia="仿宋_GB2312"/>
          <w:color w:val="auto"/>
          <w:sz w:val="32"/>
          <w:szCs w:val="32"/>
          <w:lang w:eastAsia="zh-CN"/>
        </w:rPr>
        <w:t>资金增加</w:t>
      </w:r>
      <w:r>
        <w:rPr>
          <w:rFonts w:hint="eastAsia" w:ascii="仿宋_GB2312" w:hAnsi="宋体" w:eastAsia="仿宋_GB2312"/>
          <w:color w:val="auto"/>
          <w:sz w:val="32"/>
          <w:szCs w:val="32"/>
        </w:rPr>
        <w:t>。</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63360" behindDoc="1" locked="0" layoutInCell="1" allowOverlap="1">
            <wp:simplePos x="0" y="0"/>
            <wp:positionH relativeFrom="column">
              <wp:posOffset>252730</wp:posOffset>
            </wp:positionH>
            <wp:positionV relativeFrom="paragraph">
              <wp:posOffset>-81280</wp:posOffset>
            </wp:positionV>
            <wp:extent cx="4610100" cy="2772410"/>
            <wp:effectExtent l="4445" t="4445" r="14605" b="80645"/>
            <wp:wrapTight wrapText="bothSides">
              <wp:wrapPolygon>
                <wp:start x="-21" y="-35"/>
                <wp:lineTo x="-21" y="21486"/>
                <wp:lineTo x="21579" y="21486"/>
                <wp:lineTo x="21579" y="-35"/>
                <wp:lineTo x="-21" y="-35"/>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29" w:name="_Toc15377211"/>
      <w:r>
        <w:rPr>
          <w:rFonts w:hint="eastAsia" w:ascii="仿宋" w:hAnsi="仿宋" w:eastAsia="仿宋"/>
          <w:b/>
          <w:color w:val="000000"/>
          <w:sz w:val="32"/>
          <w:szCs w:val="32"/>
        </w:rPr>
        <w:t>（二）一般公共预算财政拨款支出决算结构情况</w:t>
      </w:r>
      <w:bookmarkEnd w:id="29"/>
    </w:p>
    <w:p>
      <w:pPr>
        <w:spacing w:line="600" w:lineRule="exact"/>
        <w:ind w:firstLine="64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lang w:val="en-US" w:eastAsia="zh-CN"/>
        </w:rPr>
        <w:t>4507.40</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2500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55.46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社会保障和就业支出（类）</w:t>
      </w:r>
      <w:r>
        <w:rPr>
          <w:rFonts w:hint="eastAsia" w:ascii="仿宋" w:hAnsi="仿宋" w:eastAsia="仿宋"/>
          <w:color w:val="000000" w:themeColor="text1"/>
          <w:sz w:val="32"/>
          <w:szCs w:val="32"/>
          <w:lang w:val="en-US" w:eastAsia="zh-CN"/>
        </w:rPr>
        <w:t>128.70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2.86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卫生健康支出（类）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11.84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0.26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资源勘探信息等支出（类）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1821.98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40.42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住房保障支出（类）</w:t>
      </w:r>
      <w:r>
        <w:rPr>
          <w:rFonts w:hint="eastAsia" w:ascii="仿宋" w:hAnsi="仿宋" w:eastAsia="仿宋"/>
          <w:color w:val="000000" w:themeColor="text1"/>
          <w:sz w:val="32"/>
          <w:szCs w:val="32"/>
          <w:lang w:val="en-US" w:eastAsia="zh-CN"/>
        </w:rPr>
        <w:t>44.88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drawing>
          <wp:anchor distT="0" distB="0" distL="114300" distR="114300" simplePos="0" relativeHeight="251664384" behindDoc="1" locked="0" layoutInCell="1" allowOverlap="1">
            <wp:simplePos x="0" y="0"/>
            <wp:positionH relativeFrom="column">
              <wp:posOffset>185420</wp:posOffset>
            </wp:positionH>
            <wp:positionV relativeFrom="paragraph">
              <wp:posOffset>103505</wp:posOffset>
            </wp:positionV>
            <wp:extent cx="4714875" cy="3114675"/>
            <wp:effectExtent l="4445" t="4445" r="5080" b="5080"/>
            <wp:wrapTight wrapText="bothSides">
              <wp:wrapPolygon>
                <wp:start x="-20" y="-31"/>
                <wp:lineTo x="-20" y="21503"/>
                <wp:lineTo x="21536" y="21503"/>
                <wp:lineTo x="21536" y="-31"/>
                <wp:lineTo x="-20" y="-31"/>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0" w:name="_Toc15377212"/>
      <w:r>
        <w:rPr>
          <w:rFonts w:hint="eastAsia" w:ascii="仿宋" w:hAnsi="仿宋" w:eastAsia="仿宋"/>
          <w:b/>
          <w:color w:val="000000"/>
          <w:sz w:val="32"/>
          <w:szCs w:val="32"/>
        </w:rPr>
        <w:t>（三）一般公共预算财政拨款支出决算具体情况</w:t>
      </w:r>
      <w:bookmarkEnd w:id="30"/>
    </w:p>
    <w:p>
      <w:pPr>
        <w:spacing w:line="600" w:lineRule="exact"/>
        <w:ind w:firstLine="643" w:firstLineChars="200"/>
        <w:outlineLvl w:val="2"/>
        <w:rPr>
          <w:rFonts w:ascii="仿宋" w:hAnsi="仿宋" w:eastAsia="仿宋"/>
          <w:color w:val="FF0000"/>
          <w:sz w:val="32"/>
          <w:szCs w:val="32"/>
        </w:rPr>
      </w:pPr>
      <w:bookmarkStart w:id="31" w:name="_Toc15378460"/>
      <w:bookmarkStart w:id="32" w:name="_Toc15377444"/>
      <w:bookmarkStart w:id="33"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val="en-US"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4507.40万元</w:t>
      </w:r>
      <w:r>
        <w:rPr>
          <w:rFonts w:hint="eastAsia" w:ascii="仿宋" w:hAnsi="仿宋" w:eastAsia="仿宋"/>
          <w:b/>
          <w:color w:val="000000" w:themeColor="text1"/>
          <w:sz w:val="32"/>
          <w:szCs w:val="32"/>
        </w:rPr>
        <w:t>，完成预算</w:t>
      </w:r>
      <w:r>
        <w:rPr>
          <w:rFonts w:hint="eastAsia" w:ascii="仿宋" w:hAnsi="仿宋" w:eastAsia="仿宋"/>
          <w:b/>
          <w:color w:val="000000" w:themeColor="text1"/>
          <w:sz w:val="32"/>
          <w:szCs w:val="32"/>
          <w:lang w:val="en-US" w:eastAsia="zh-CN"/>
        </w:rPr>
        <w:t>71.22</w:t>
      </w:r>
      <w:r>
        <w:rPr>
          <w:rFonts w:hint="eastAsia" w:ascii="仿宋" w:hAnsi="仿宋" w:eastAsia="仿宋"/>
          <w:b/>
          <w:color w:val="000000" w:themeColor="text1"/>
          <w:sz w:val="32"/>
          <w:szCs w:val="32"/>
        </w:rPr>
        <w:t>%。其中：</w:t>
      </w:r>
      <w:bookmarkEnd w:id="31"/>
      <w:bookmarkEnd w:id="32"/>
      <w:bookmarkEnd w:id="33"/>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val="en-US" w:eastAsia="zh-CN"/>
        </w:rPr>
        <w:t>政府办公厅（室）及相关机构事务</w:t>
      </w:r>
      <w:r>
        <w:rPr>
          <w:rStyle w:val="16"/>
          <w:rFonts w:hint="eastAsia" w:ascii="仿宋" w:hAnsi="仿宋" w:eastAsia="仿宋"/>
          <w:bCs/>
          <w:color w:val="000000"/>
          <w:sz w:val="32"/>
          <w:szCs w:val="32"/>
        </w:rPr>
        <w:t>（款）其他政府办公厅（室）及相关机构事务支出（项）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2500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社会保障和就业支出（类）行政事业单位离退休（款）  未归口管理的行政单位离退休（项）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14.41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社会保障和就业支出（类）行政事业单位离退休（款）    机关事业单位基本养老保险缴费支出（项）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34.21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社会保障和就业支出（类）行政事业单位离退休（款）      机关事业单位职业年金缴费支出（项）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15.75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社会保障和就业支出（类）企业改革补助（款）        其他企业改革发展补助（项）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15.58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6.</w:t>
      </w:r>
      <w:r>
        <w:rPr>
          <w:rStyle w:val="16"/>
          <w:rFonts w:hint="eastAsia" w:ascii="仿宋" w:hAnsi="仿宋" w:eastAsia="仿宋"/>
          <w:bCs/>
          <w:color w:val="000000"/>
          <w:sz w:val="32"/>
          <w:szCs w:val="32"/>
        </w:rPr>
        <w:t>社会保障和就业支出（类）抚恤（款）死亡抚恤（项）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31.03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
          <w:bCs w:val="0"/>
          <w:color w:val="000000"/>
          <w:sz w:val="32"/>
          <w:szCs w:val="32"/>
          <w:lang w:val="en-US" w:eastAsia="zh-CN"/>
        </w:rPr>
        <w:t>7.</w:t>
      </w:r>
      <w:r>
        <w:rPr>
          <w:rStyle w:val="16"/>
          <w:rFonts w:hint="eastAsia" w:ascii="仿宋" w:hAnsi="仿宋" w:eastAsia="仿宋"/>
          <w:bCs/>
          <w:color w:val="000000"/>
          <w:sz w:val="32"/>
          <w:szCs w:val="32"/>
        </w:rPr>
        <w:t>社会保障和就业支出（类）抚恤（款）其他优抚支出（项）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2.91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8.社会</w:t>
      </w:r>
      <w:r>
        <w:rPr>
          <w:rStyle w:val="16"/>
          <w:rFonts w:hint="eastAsia" w:ascii="仿宋" w:hAnsi="仿宋" w:eastAsia="仿宋"/>
          <w:bCs/>
          <w:color w:val="000000"/>
          <w:sz w:val="32"/>
          <w:szCs w:val="32"/>
        </w:rPr>
        <w:t>保障和就业支出（类）临时救助（款）临时救助支出（项）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9.社</w:t>
      </w:r>
      <w:r>
        <w:rPr>
          <w:rStyle w:val="16"/>
          <w:rFonts w:hint="eastAsia" w:ascii="仿宋" w:hAnsi="仿宋" w:eastAsia="仿宋"/>
          <w:bCs/>
          <w:color w:val="000000"/>
          <w:sz w:val="32"/>
          <w:szCs w:val="32"/>
        </w:rPr>
        <w:t>会保障和就业支出（类）其他社会保障和就业支出（款）其他社会保障和就业支出（项）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4.81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10.卫生</w:t>
      </w:r>
      <w:r>
        <w:rPr>
          <w:rStyle w:val="16"/>
          <w:rFonts w:hint="eastAsia" w:ascii="仿宋" w:hAnsi="仿宋" w:eastAsia="仿宋"/>
          <w:bCs/>
          <w:color w:val="000000"/>
          <w:sz w:val="32"/>
          <w:szCs w:val="32"/>
        </w:rPr>
        <w:t>健康支出（类）行政事业单位医疗（款）行政单位医疗（项）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11.84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hint="eastAsia" w:ascii="仿宋_GB2312" w:eastAsia="仿宋_GB2312"/>
          <w:color w:val="auto"/>
          <w:sz w:val="32"/>
          <w:szCs w:val="32"/>
          <w:highlight w:val="none"/>
          <w:lang w:eastAsia="zh-CN"/>
        </w:rPr>
      </w:pP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rPr>
        <w:t>资源勘探信息等支出（类）制造业（款）其他制造业支出（项）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1259.39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41.42</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Fonts w:hint="eastAsia" w:ascii="仿宋_GB2312" w:eastAsia="仿宋_GB2312"/>
          <w:b w:val="0"/>
          <w:bCs w:val="0"/>
          <w:color w:val="auto"/>
          <w:sz w:val="32"/>
          <w:szCs w:val="32"/>
          <w:highlight w:val="none"/>
          <w:lang w:val="en-US" w:eastAsia="zh-CN"/>
        </w:rPr>
        <w:t>决算数小于预算数的主要原因是</w:t>
      </w:r>
      <w:r>
        <w:rPr>
          <w:rFonts w:hint="eastAsia" w:ascii="仿宋_GB2312" w:eastAsia="仿宋_GB2312"/>
          <w:color w:val="auto"/>
          <w:sz w:val="32"/>
          <w:szCs w:val="32"/>
          <w:highlight w:val="none"/>
          <w:lang w:eastAsia="zh-CN"/>
        </w:rPr>
        <w:t>项目资金处于协调阶段，结转下年待协调结束再支付。</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12.资源</w:t>
      </w:r>
      <w:r>
        <w:rPr>
          <w:rStyle w:val="16"/>
          <w:rFonts w:hint="eastAsia" w:ascii="仿宋" w:hAnsi="仿宋" w:eastAsia="仿宋"/>
          <w:bCs/>
          <w:color w:val="000000"/>
          <w:sz w:val="32"/>
          <w:szCs w:val="32"/>
        </w:rPr>
        <w:t>勘探信息等支出（类）工业和信息产业监管（款）  行政运行（项）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432.76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13.资源勘</w:t>
      </w:r>
      <w:r>
        <w:rPr>
          <w:rStyle w:val="16"/>
          <w:rFonts w:hint="eastAsia" w:ascii="仿宋" w:hAnsi="仿宋" w:eastAsia="仿宋"/>
          <w:bCs/>
          <w:color w:val="000000"/>
          <w:sz w:val="32"/>
          <w:szCs w:val="32"/>
        </w:rPr>
        <w:t>探信息等支出（类）工业和信息产业监管（款）  一般行政管理事务（项）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5.26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default" w:ascii="仿宋" w:hAnsi="仿宋" w:eastAsia="仿宋"/>
          <w:b w:val="0"/>
          <w:bCs/>
          <w:color w:val="000000"/>
          <w:sz w:val="32"/>
          <w:szCs w:val="32"/>
          <w:lang w:val="en-US" w:eastAsia="zh-CN"/>
        </w:rPr>
      </w:pPr>
      <w:r>
        <w:rPr>
          <w:rStyle w:val="16"/>
          <w:rFonts w:hint="eastAsia" w:ascii="仿宋" w:hAnsi="仿宋" w:eastAsia="仿宋"/>
          <w:bCs/>
          <w:color w:val="000000"/>
          <w:sz w:val="32"/>
          <w:szCs w:val="32"/>
          <w:lang w:val="en-US" w:eastAsia="zh-CN"/>
        </w:rPr>
        <w:t>14.资源</w:t>
      </w:r>
      <w:r>
        <w:rPr>
          <w:rStyle w:val="16"/>
          <w:rFonts w:hint="eastAsia" w:ascii="仿宋" w:hAnsi="仿宋" w:eastAsia="仿宋"/>
          <w:bCs/>
          <w:color w:val="000000"/>
          <w:sz w:val="32"/>
          <w:szCs w:val="32"/>
        </w:rPr>
        <w:t>勘探信息等支出（类）工业和信息产业监管（款）    其他工业和信息产业监管支出（项）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90.34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hint="eastAsia" w:ascii="仿宋_GB2312" w:eastAsia="仿宋_GB2312"/>
          <w:color w:val="auto"/>
          <w:sz w:val="32"/>
          <w:szCs w:val="32"/>
          <w:highlight w:val="none"/>
          <w:lang w:eastAsia="zh-CN"/>
        </w:rPr>
      </w:pPr>
      <w:r>
        <w:rPr>
          <w:rStyle w:val="16"/>
          <w:rFonts w:hint="eastAsia" w:ascii="仿宋" w:hAnsi="仿宋" w:eastAsia="仿宋"/>
          <w:bCs/>
          <w:color w:val="000000"/>
          <w:sz w:val="32"/>
          <w:szCs w:val="32"/>
          <w:lang w:val="en-US" w:eastAsia="zh-CN"/>
        </w:rPr>
        <w:t>15.资源勘</w:t>
      </w:r>
      <w:r>
        <w:rPr>
          <w:rStyle w:val="16"/>
          <w:rFonts w:hint="eastAsia" w:ascii="仿宋" w:hAnsi="仿宋" w:eastAsia="仿宋"/>
          <w:bCs/>
          <w:color w:val="000000"/>
          <w:sz w:val="32"/>
          <w:szCs w:val="32"/>
        </w:rPr>
        <w:t>探信息等支出（类）支持中小企业发展和管理支出（款</w:t>
      </w:r>
      <w:r>
        <w:rPr>
          <w:rStyle w:val="16"/>
          <w:rFonts w:hint="eastAsia" w:ascii="仿宋" w:hAnsi="仿宋" w:eastAsia="仿宋"/>
          <w:bCs/>
          <w:color w:val="000000"/>
          <w:sz w:val="32"/>
          <w:szCs w:val="32"/>
          <w:lang w:eastAsia="zh-CN"/>
        </w:rPr>
        <w:t>）</w:t>
      </w:r>
      <w:r>
        <w:rPr>
          <w:rStyle w:val="16"/>
          <w:rFonts w:hint="eastAsia" w:ascii="仿宋" w:hAnsi="仿宋" w:eastAsia="仿宋"/>
          <w:bCs/>
          <w:color w:val="000000"/>
          <w:sz w:val="32"/>
          <w:szCs w:val="32"/>
        </w:rPr>
        <w:t>中小企业发展专项（项）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25.00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38.46</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Fonts w:hint="eastAsia" w:ascii="仿宋_GB2312" w:eastAsia="仿宋_GB2312"/>
          <w:b w:val="0"/>
          <w:bCs w:val="0"/>
          <w:color w:val="auto"/>
          <w:sz w:val="32"/>
          <w:szCs w:val="32"/>
          <w:highlight w:val="none"/>
          <w:lang w:val="en-US" w:eastAsia="zh-CN"/>
        </w:rPr>
        <w:t>决算数小于预算数的主要原因是</w:t>
      </w:r>
      <w:r>
        <w:rPr>
          <w:rFonts w:hint="eastAsia" w:ascii="仿宋_GB2312" w:eastAsia="仿宋_GB2312"/>
          <w:color w:val="auto"/>
          <w:sz w:val="32"/>
          <w:szCs w:val="32"/>
          <w:highlight w:val="none"/>
          <w:lang w:eastAsia="zh-CN"/>
        </w:rPr>
        <w:t>项目资金处于协调阶段，结转下年待协调结束再支付。</w:t>
      </w:r>
    </w:p>
    <w:p>
      <w:pPr>
        <w:spacing w:line="600" w:lineRule="exact"/>
        <w:ind w:firstLine="643" w:firstLineChars="200"/>
        <w:rPr>
          <w:rStyle w:val="16"/>
          <w:rFonts w:hint="default" w:ascii="仿宋" w:hAnsi="仿宋" w:eastAsia="仿宋"/>
          <w:b w:val="0"/>
          <w:bCs/>
          <w:color w:val="000000"/>
          <w:sz w:val="32"/>
          <w:szCs w:val="32"/>
          <w:lang w:val="en-US" w:eastAsia="zh-CN"/>
        </w:rPr>
      </w:pPr>
      <w:r>
        <w:rPr>
          <w:rStyle w:val="16"/>
          <w:rFonts w:hint="eastAsia" w:ascii="仿宋" w:hAnsi="仿宋" w:eastAsia="仿宋"/>
          <w:bCs/>
          <w:color w:val="000000"/>
          <w:sz w:val="32"/>
          <w:szCs w:val="32"/>
          <w:lang w:val="en-US" w:eastAsia="zh-CN"/>
        </w:rPr>
        <w:t>16.资源</w:t>
      </w:r>
      <w:r>
        <w:rPr>
          <w:rStyle w:val="16"/>
          <w:rFonts w:hint="eastAsia" w:ascii="仿宋" w:hAnsi="仿宋" w:eastAsia="仿宋"/>
          <w:bCs/>
          <w:color w:val="000000"/>
          <w:sz w:val="32"/>
          <w:szCs w:val="32"/>
        </w:rPr>
        <w:t>勘探信息等支出（类）支持中小企业发展和管理支出（款）其他支持中小企业发展和管理支出（项）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9.23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17.住房</w:t>
      </w:r>
      <w:r>
        <w:rPr>
          <w:rStyle w:val="16"/>
          <w:rFonts w:hint="eastAsia" w:ascii="仿宋" w:hAnsi="仿宋" w:eastAsia="仿宋"/>
          <w:bCs/>
          <w:color w:val="000000"/>
          <w:sz w:val="32"/>
          <w:szCs w:val="32"/>
        </w:rPr>
        <w:t>保障支出（类）住房改革支出（款）其他工业  住房公积金（项）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44.88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34" w:name="_Toc15377214"/>
      <w:bookmarkStart w:id="3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587.79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530.74</w:t>
      </w:r>
      <w:r>
        <w:rPr>
          <w:rFonts w:hint="eastAsia" w:ascii="仿宋" w:hAnsi="仿宋" w:eastAsia="仿宋"/>
          <w:color w:val="000000"/>
          <w:sz w:val="32"/>
          <w:szCs w:val="32"/>
        </w:rPr>
        <w:t>万元，主要包括：基本工资、津贴补贴、伙食补助费、机关事业单位基本养老保险缴费、职业年金缴费、职工基本医疗保险缴费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其他社会保障缴费、住房公积金、离休费、抚恤金、生活补助、奖励金等。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57.05</w:t>
      </w:r>
      <w:r>
        <w:rPr>
          <w:rFonts w:hint="eastAsia" w:ascii="仿宋" w:hAnsi="仿宋" w:eastAsia="仿宋"/>
          <w:color w:val="000000"/>
          <w:sz w:val="32"/>
          <w:szCs w:val="32"/>
        </w:rPr>
        <w:t>万元，主要包括：办公费、印刷费、咨询费、手续费、水费、电费、邮电费、物业管理费、差旅费、维修（护）费、培训费、公务接待费、劳务费、工会经费、福利费、公务用车运行维护费、其他商品和服务支出等。</w:t>
      </w:r>
    </w:p>
    <w:p>
      <w:pPr>
        <w:spacing w:line="600" w:lineRule="exact"/>
        <w:ind w:firstLine="640"/>
        <w:outlineLvl w:val="1"/>
        <w:rPr>
          <w:rStyle w:val="26"/>
          <w:rFonts w:ascii="黑体" w:hAnsi="黑体" w:eastAsia="黑体"/>
          <w:b w:val="0"/>
        </w:rPr>
      </w:pPr>
      <w:bookmarkStart w:id="36" w:name="_Toc15396609"/>
      <w:bookmarkStart w:id="37"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color w:val="000000"/>
          <w:sz w:val="32"/>
          <w:szCs w:val="32"/>
        </w:rPr>
      </w:pPr>
      <w:bookmarkStart w:id="38" w:name="_Toc15377216"/>
      <w:r>
        <w:rPr>
          <w:rFonts w:hint="eastAsia" w:ascii="仿宋" w:hAnsi="仿宋" w:eastAsia="仿宋"/>
          <w:b/>
          <w:color w:val="000000"/>
          <w:sz w:val="32"/>
          <w:szCs w:val="32"/>
        </w:rPr>
        <w:t>（一）“三公”经费财政拨款支出决算总体情况说明</w:t>
      </w:r>
      <w:bookmarkEnd w:id="3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5.20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33.55</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color w:val="auto"/>
          <w:sz w:val="32"/>
          <w:szCs w:val="32"/>
        </w:rPr>
        <w:t>我局继续认真贯彻落实中央八项规定及省委省政府十项规定要求，厉行节约，加强“三公”经费管理。</w:t>
      </w:r>
    </w:p>
    <w:p>
      <w:pPr>
        <w:spacing w:line="600" w:lineRule="exact"/>
        <w:ind w:firstLine="640"/>
        <w:outlineLvl w:val="2"/>
        <w:rPr>
          <w:rFonts w:ascii="仿宋" w:hAnsi="仿宋" w:eastAsia="仿宋"/>
          <w:b/>
          <w:color w:val="000000"/>
          <w:sz w:val="32"/>
          <w:szCs w:val="32"/>
        </w:rPr>
      </w:pPr>
      <w:bookmarkStart w:id="39" w:name="_Toc15377217"/>
      <w:r>
        <w:rPr>
          <w:rFonts w:hint="eastAsia" w:ascii="仿宋" w:hAnsi="仿宋" w:eastAsia="仿宋"/>
          <w:b/>
          <w:color w:val="000000"/>
          <w:sz w:val="32"/>
          <w:szCs w:val="32"/>
        </w:rPr>
        <w:t>（二）“三公”经费财政拨款支出决算具体情况说明</w:t>
      </w:r>
      <w:bookmarkEnd w:id="39"/>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75.77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24.23</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1" locked="0" layoutInCell="1" allowOverlap="1">
            <wp:simplePos x="0" y="0"/>
            <wp:positionH relativeFrom="column">
              <wp:posOffset>325120</wp:posOffset>
            </wp:positionH>
            <wp:positionV relativeFrom="paragraph">
              <wp:posOffset>252095</wp:posOffset>
            </wp:positionV>
            <wp:extent cx="4572000" cy="2971800"/>
            <wp:effectExtent l="4445" t="4445" r="14605" b="14605"/>
            <wp:wrapTight wrapText="bothSides">
              <wp:wrapPolygon>
                <wp:start x="-21" y="-32"/>
                <wp:lineTo x="-21" y="21568"/>
                <wp:lineTo x="21579" y="21568"/>
                <wp:lineTo x="21579" y="-32"/>
                <wp:lineTo x="-21" y="-32"/>
              </wp:wrapPolygon>
            </wp:wrapTight>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960" w:firstLineChars="30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3.94</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40.20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2.84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41.89</w:t>
      </w:r>
      <w:r>
        <w:rPr>
          <w:rFonts w:ascii="仿宋_GB2312" w:eastAsia="仿宋_GB2312"/>
          <w:color w:val="000000"/>
          <w:sz w:val="32"/>
          <w:szCs w:val="32"/>
        </w:rPr>
        <w:t>%</w:t>
      </w:r>
      <w:r>
        <w:rPr>
          <w:rFonts w:hint="eastAsia" w:ascii="仿宋_GB2312" w:eastAsia="仿宋_GB2312"/>
          <w:color w:val="000000"/>
          <w:sz w:val="32"/>
          <w:szCs w:val="32"/>
        </w:rPr>
        <w:t>。主要原因是我局进一步落实厉行节约有关规定，健全公务用车制度，规范车辆使用管理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切实降低车辆运行费用。</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一般</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1辆、其他用车2辆。</w:t>
      </w:r>
    </w:p>
    <w:p>
      <w:pPr>
        <w:spacing w:line="600" w:lineRule="exact"/>
        <w:ind w:firstLine="640"/>
        <w:rPr>
          <w:rFonts w:hint="eastAsia" w:ascii="仿宋_GB2312" w:eastAsia="仿宋_GB2312"/>
          <w:color w:val="auto"/>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3.94</w:t>
      </w:r>
      <w:r>
        <w:rPr>
          <w:rFonts w:hint="eastAsia" w:ascii="仿宋_GB2312" w:eastAsia="仿宋_GB2312"/>
          <w:color w:val="000000"/>
          <w:sz w:val="32"/>
          <w:szCs w:val="32"/>
        </w:rPr>
        <w:t>万元。主要用于</w:t>
      </w:r>
      <w:r>
        <w:rPr>
          <w:rFonts w:hint="eastAsia" w:ascii="仿宋_GB2312" w:eastAsia="仿宋_GB2312"/>
          <w:color w:val="auto"/>
          <w:sz w:val="32"/>
          <w:szCs w:val="32"/>
        </w:rPr>
        <w:t>单位</w:t>
      </w:r>
      <w:r>
        <w:rPr>
          <w:rFonts w:hint="eastAsia" w:ascii="仿宋_GB2312" w:eastAsia="仿宋_GB2312"/>
          <w:color w:val="auto"/>
          <w:sz w:val="32"/>
          <w:szCs w:val="32"/>
          <w:lang w:val="en-US" w:eastAsia="zh-CN"/>
        </w:rPr>
        <w:t>日常</w:t>
      </w:r>
      <w:r>
        <w:rPr>
          <w:rFonts w:hint="eastAsia" w:ascii="仿宋_GB2312" w:eastAsia="仿宋_GB2312"/>
          <w:color w:val="auto"/>
          <w:sz w:val="32"/>
          <w:szCs w:val="32"/>
        </w:rPr>
        <w:t>运行、要素协调、经济运行、节能环保、安全检查、企业调研、</w:t>
      </w:r>
      <w:r>
        <w:rPr>
          <w:rFonts w:hint="eastAsia" w:ascii="仿宋_GB2312" w:eastAsia="仿宋_GB2312"/>
          <w:color w:val="auto"/>
          <w:sz w:val="32"/>
          <w:szCs w:val="32"/>
          <w:lang w:eastAsia="zh-CN"/>
        </w:rPr>
        <w:t>扶贫走访、</w:t>
      </w:r>
      <w:r>
        <w:rPr>
          <w:rFonts w:hint="eastAsia" w:ascii="仿宋_GB2312" w:eastAsia="仿宋_GB2312"/>
          <w:color w:val="auto"/>
          <w:sz w:val="32"/>
          <w:szCs w:val="32"/>
        </w:rPr>
        <w:t>维稳稳控工作等所需的公务用车燃料费、维修费、过路过桥费、保险费等支出。</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1.26</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22.11</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1.07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563.16</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val="en-US" w:eastAsia="zh-CN"/>
        </w:rPr>
        <w:t>是接待上级部门和各地相关单位到我市我局检查、指导、交流、调研的批次增加。</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1.26</w:t>
      </w:r>
      <w:r>
        <w:rPr>
          <w:rFonts w:hint="eastAsia" w:ascii="仿宋_GB2312" w:eastAsia="仿宋_GB2312"/>
          <w:color w:val="000000"/>
          <w:sz w:val="32"/>
          <w:szCs w:val="32"/>
        </w:rPr>
        <w:t>万元，主要用于执行公务、开展业务活动开支</w:t>
      </w:r>
      <w:r>
        <w:rPr>
          <w:rFonts w:hint="eastAsia" w:ascii="仿宋_GB2312" w:eastAsia="仿宋_GB2312"/>
          <w:color w:val="auto"/>
          <w:sz w:val="32"/>
          <w:szCs w:val="32"/>
        </w:rPr>
        <w:t>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219</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1.26</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接待调研企业</w:t>
      </w:r>
      <w:r>
        <w:rPr>
          <w:rFonts w:hint="eastAsia" w:ascii="仿宋_GB2312" w:eastAsia="仿宋_GB2312"/>
          <w:color w:val="000000"/>
          <w:sz w:val="32"/>
          <w:szCs w:val="32"/>
        </w:rPr>
        <w:t>生产发展</w:t>
      </w:r>
      <w:r>
        <w:rPr>
          <w:rFonts w:hint="eastAsia" w:ascii="仿宋_GB2312" w:eastAsia="仿宋_GB2312"/>
          <w:color w:val="000000"/>
          <w:sz w:val="32"/>
          <w:szCs w:val="32"/>
          <w:lang w:eastAsia="zh-CN"/>
        </w:rPr>
        <w:t>、</w:t>
      </w:r>
      <w:r>
        <w:rPr>
          <w:rFonts w:hint="eastAsia" w:ascii="仿宋_GB2312" w:eastAsia="仿宋_GB2312"/>
          <w:color w:val="000000"/>
          <w:sz w:val="32"/>
          <w:szCs w:val="32"/>
        </w:rPr>
        <w:t>产业发展</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开展安全生产检查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节能监察、考察学习等工业工作相关费用</w:t>
      </w:r>
      <w:r>
        <w:rPr>
          <w:rFonts w:hint="eastAsia" w:ascii="仿宋_GB2312" w:eastAsia="仿宋_GB2312"/>
          <w:color w:val="000000"/>
          <w:sz w:val="32"/>
          <w:szCs w:val="32"/>
        </w:rPr>
        <w:t>。</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bookmarkStart w:id="40" w:name="_Toc15377218"/>
      <w:bookmarkStart w:id="41"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1730.85</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44" w:name="_Toc15377221"/>
      <w:bookmarkStart w:id="45"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color w:val="000000"/>
          <w:sz w:val="32"/>
          <w:szCs w:val="32"/>
        </w:rPr>
      </w:pPr>
      <w:bookmarkStart w:id="46" w:name="_Toc15377222"/>
      <w:r>
        <w:rPr>
          <w:rFonts w:hint="eastAsia" w:ascii="仿宋" w:hAnsi="仿宋" w:eastAsia="仿宋"/>
          <w:b/>
          <w:color w:val="000000"/>
          <w:sz w:val="32"/>
          <w:szCs w:val="32"/>
        </w:rPr>
        <w:t>（一）机关运行经费支出情况</w:t>
      </w:r>
      <w:bookmarkEnd w:id="46"/>
    </w:p>
    <w:p>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我局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57.05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12.34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17.78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val="en-US" w:eastAsia="zh-CN"/>
        </w:rPr>
        <w:t>深入贯彻落实中央八项规定，坚持厉行节约、反对浪费，压减相关支出。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3"/>
      <w:r>
        <w:rPr>
          <w:rFonts w:hint="eastAsia" w:ascii="仿宋" w:hAnsi="仿宋" w:eastAsia="仿宋"/>
          <w:b/>
          <w:color w:val="000000"/>
          <w:sz w:val="32"/>
          <w:szCs w:val="32"/>
        </w:rPr>
        <w:t>（二）政府采购支出情况</w:t>
      </w:r>
      <w:bookmarkEnd w:id="4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我局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8" w:name="_Toc15377224"/>
      <w:r>
        <w:rPr>
          <w:rFonts w:hint="eastAsia" w:ascii="仿宋" w:hAnsi="仿宋" w:eastAsia="仿宋"/>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我局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一般</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auto"/>
          <w:sz w:val="32"/>
          <w:szCs w:val="32"/>
        </w:rPr>
        <w:t>单位</w:t>
      </w:r>
      <w:r>
        <w:rPr>
          <w:rFonts w:hint="eastAsia" w:ascii="仿宋_GB2312" w:eastAsia="仿宋_GB2312"/>
          <w:color w:val="auto"/>
          <w:sz w:val="32"/>
          <w:szCs w:val="32"/>
          <w:lang w:val="en-US" w:eastAsia="zh-CN"/>
        </w:rPr>
        <w:t>日常</w:t>
      </w:r>
      <w:r>
        <w:rPr>
          <w:rFonts w:hint="eastAsia" w:ascii="仿宋_GB2312" w:eastAsia="仿宋_GB2312"/>
          <w:color w:val="auto"/>
          <w:sz w:val="32"/>
          <w:szCs w:val="32"/>
        </w:rPr>
        <w:t>运行、要素协调、经济运行、节能环保、安全检查、企业调研、</w:t>
      </w:r>
      <w:r>
        <w:rPr>
          <w:rFonts w:hint="eastAsia" w:ascii="仿宋_GB2312" w:eastAsia="仿宋_GB2312"/>
          <w:color w:val="auto"/>
          <w:sz w:val="32"/>
          <w:szCs w:val="32"/>
          <w:lang w:eastAsia="zh-CN"/>
        </w:rPr>
        <w:t>扶贫走访、</w:t>
      </w:r>
      <w:r>
        <w:rPr>
          <w:rFonts w:hint="eastAsia" w:ascii="仿宋_GB2312" w:eastAsia="仿宋_GB2312"/>
          <w:color w:val="auto"/>
          <w:sz w:val="32"/>
          <w:szCs w:val="32"/>
        </w:rPr>
        <w:t>维稳稳控工作</w:t>
      </w:r>
      <w:r>
        <w:rPr>
          <w:rFonts w:hint="eastAsia" w:ascii="仿宋_GB2312" w:eastAsia="仿宋_GB2312"/>
          <w:color w:val="auto"/>
          <w:sz w:val="32"/>
          <w:szCs w:val="32"/>
          <w:lang w:val="en-US" w:eastAsia="zh-CN"/>
        </w:rPr>
        <w:t>等。</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12个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认真贯彻执行预算法，认真落实预算绩效管理，注重资金支出绩效考核评价工作，采取了有效的资金使用管理措施，各项资金使用严格履行审批程序，资金使用达到了预期效果，较好的服务和保障了</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圆满完成年度</w:t>
      </w:r>
      <w:r>
        <w:rPr>
          <w:rFonts w:hint="eastAsia" w:ascii="仿宋_GB2312" w:hAnsi="仿宋_GB2312" w:eastAsia="仿宋_GB2312" w:cs="仿宋_GB2312"/>
          <w:sz w:val="32"/>
          <w:szCs w:val="32"/>
          <w:lang w:eastAsia="zh-CN"/>
        </w:rPr>
        <w:t>工作任务</w:t>
      </w:r>
      <w:r>
        <w:rPr>
          <w:rFonts w:hint="eastAsia" w:ascii="仿宋_GB2312" w:hAnsi="仿宋_GB2312" w:eastAsia="仿宋_GB2312" w:cs="仿宋_GB2312"/>
          <w:sz w:val="32"/>
          <w:szCs w:val="32"/>
        </w:rPr>
        <w:t>，实现了201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财政预算支出的绩效目标。本部门还自行组织了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，该项目的实施</w:t>
      </w:r>
      <w:r>
        <w:rPr>
          <w:rFonts w:hint="eastAsia" w:ascii="仿宋_GB2312" w:hAnsi="仿宋_GB2312" w:eastAsia="仿宋_GB2312" w:cs="仿宋_GB2312"/>
          <w:sz w:val="32"/>
          <w:szCs w:val="32"/>
        </w:rPr>
        <w:t>妥善解决</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困难职工生活困难，改善民生，化解社会矛盾，缓解基层和家庭压力，确保社会稳定和谐。</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本部门在2019年度部门决算中反映“中小企业服务中心培训费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双创工作经费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“三家关停企业职工生活补助”</w:t>
      </w:r>
      <w:r>
        <w:rPr>
          <w:rFonts w:hint="eastAsia" w:ascii="仿宋_GB2312" w:hAnsi="仿宋_GB2312" w:eastAsia="仿宋_GB2312" w:cs="仿宋_GB2312"/>
          <w:sz w:val="32"/>
          <w:szCs w:val="32"/>
          <w:lang w:eastAsia="zh-CN"/>
        </w:rPr>
        <w:t>“原乐山市属破产企业困难职工春节慰问费”“安全生产工作经费”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中小企业服务中心培训项目绩效目标完成情况综述。项目全年预算数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%。通过项目实施，帮助解决企业发展中的难题，提高企业负责人及管理人员综合素质能力，指导企业创新改革、转型升级，提高企业竞争力，规范发展，带动就业，维护社会稳定，</w:t>
      </w:r>
      <w:r>
        <w:rPr>
          <w:rFonts w:hint="eastAsia" w:ascii="仿宋_GB2312" w:hAnsi="仿宋" w:eastAsia="仿宋_GB2312"/>
          <w:sz w:val="32"/>
          <w:szCs w:val="32"/>
          <w:lang w:eastAsia="zh-CN"/>
        </w:rPr>
        <w:t>促</w:t>
      </w:r>
      <w:r>
        <w:rPr>
          <w:rFonts w:hint="eastAsia" w:ascii="仿宋_GB2312" w:hAnsi="仿宋" w:eastAsia="仿宋_GB2312"/>
          <w:sz w:val="32"/>
          <w:szCs w:val="32"/>
        </w:rPr>
        <w:t>进峨眉山市工业经济</w:t>
      </w:r>
      <w:r>
        <w:rPr>
          <w:rFonts w:hint="eastAsia" w:ascii="仿宋_GB2312" w:hAnsi="仿宋" w:eastAsia="仿宋_GB2312"/>
          <w:sz w:val="32"/>
          <w:szCs w:val="32"/>
          <w:lang w:eastAsia="zh-CN"/>
        </w:rPr>
        <w:t>持续高质量</w:t>
      </w:r>
      <w:r>
        <w:rPr>
          <w:rFonts w:hint="eastAsia" w:ascii="仿宋_GB2312" w:hAnsi="仿宋" w:eastAsia="仿宋_GB2312"/>
          <w:sz w:val="32"/>
          <w:szCs w:val="32"/>
        </w:rPr>
        <w:t>发展。</w:t>
      </w:r>
    </w:p>
    <w:tbl>
      <w:tblPr>
        <w:tblStyle w:val="14"/>
        <w:tblpPr w:leftFromText="180" w:rightFromText="180" w:vertAnchor="text" w:horzAnchor="page" w:tblpXSpec="center" w:tblpY="423"/>
        <w:tblOverlap w:val="never"/>
        <w:tblW w:w="10037" w:type="dxa"/>
        <w:jc w:val="center"/>
        <w:tblLayout w:type="fixed"/>
        <w:tblCellMar>
          <w:top w:w="0" w:type="dxa"/>
          <w:left w:w="0" w:type="dxa"/>
          <w:bottom w:w="0" w:type="dxa"/>
          <w:right w:w="0" w:type="dxa"/>
        </w:tblCellMar>
      </w:tblPr>
      <w:tblGrid>
        <w:gridCol w:w="625"/>
        <w:gridCol w:w="1040"/>
        <w:gridCol w:w="1025"/>
        <w:gridCol w:w="2392"/>
        <w:gridCol w:w="2394"/>
        <w:gridCol w:w="2561"/>
      </w:tblGrid>
      <w:tr>
        <w:tblPrEx>
          <w:tblCellMar>
            <w:top w:w="0" w:type="dxa"/>
            <w:left w:w="0" w:type="dxa"/>
            <w:bottom w:w="0" w:type="dxa"/>
            <w:right w:w="0" w:type="dxa"/>
          </w:tblCellMar>
        </w:tblPrEx>
        <w:trPr>
          <w:trHeight w:val="1034" w:hRule="atLeast"/>
          <w:jc w:val="center"/>
        </w:trPr>
        <w:tc>
          <w:tcPr>
            <w:tcW w:w="1003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6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3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中小企业服务中心培训</w:t>
            </w:r>
            <w:r>
              <w:rPr>
                <w:rFonts w:hint="eastAsia" w:ascii="宋体" w:hAnsi="宋体" w:cs="宋体"/>
                <w:color w:val="000000"/>
                <w:sz w:val="24"/>
                <w:lang w:val="en-US" w:eastAsia="zh-CN"/>
              </w:rPr>
              <w:t>项目</w:t>
            </w:r>
          </w:p>
        </w:tc>
      </w:tr>
      <w:tr>
        <w:tblPrEx>
          <w:tblCellMar>
            <w:top w:w="0" w:type="dxa"/>
            <w:left w:w="0" w:type="dxa"/>
            <w:bottom w:w="0" w:type="dxa"/>
            <w:right w:w="0" w:type="dxa"/>
          </w:tblCellMar>
        </w:tblPrEx>
        <w:trPr>
          <w:trHeight w:val="276" w:hRule="atLeast"/>
          <w:jc w:val="center"/>
        </w:trPr>
        <w:tc>
          <w:tcPr>
            <w:tcW w:w="26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3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40.00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40.00</w:t>
            </w:r>
          </w:p>
        </w:tc>
      </w:tr>
      <w:tr>
        <w:tblPrEx>
          <w:tblCellMar>
            <w:top w:w="0" w:type="dxa"/>
            <w:left w:w="0" w:type="dxa"/>
            <w:bottom w:w="0" w:type="dxa"/>
            <w:right w:w="0" w:type="dxa"/>
          </w:tblCellMar>
        </w:tblPrEx>
        <w:trPr>
          <w:trHeight w:val="276"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40.00</w:t>
            </w:r>
          </w:p>
        </w:tc>
      </w:tr>
      <w:tr>
        <w:tblPrEx>
          <w:tblCellMar>
            <w:top w:w="0" w:type="dxa"/>
            <w:left w:w="0" w:type="dxa"/>
            <w:bottom w:w="0" w:type="dxa"/>
            <w:right w:w="0" w:type="dxa"/>
          </w:tblCellMar>
        </w:tblPrEx>
        <w:trPr>
          <w:trHeight w:val="747"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9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246"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帮助解决企业发展中的难题，提高企业负责人及管理人员综合素质能力</w:t>
            </w:r>
            <w:r>
              <w:rPr>
                <w:rFonts w:hint="eastAsia" w:ascii="宋体" w:hAnsi="宋体" w:cs="宋体"/>
                <w:color w:val="000000"/>
                <w:sz w:val="24"/>
                <w:lang w:eastAsia="zh-CN"/>
              </w:rPr>
              <w:t>。</w:t>
            </w:r>
          </w:p>
        </w:tc>
        <w:tc>
          <w:tcPr>
            <w:tcW w:w="49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围绕全市中小企业积极开展创新创业、科技服务、人才培训、市场</w:t>
            </w:r>
            <w:r>
              <w:rPr>
                <w:rFonts w:hint="eastAsia" w:ascii="宋体" w:hAnsi="宋体" w:cs="宋体"/>
                <w:color w:val="000000"/>
                <w:sz w:val="24"/>
                <w:lang w:eastAsia="zh-CN"/>
              </w:rPr>
              <w:t>开拓、投资融资</w:t>
            </w:r>
            <w:r>
              <w:rPr>
                <w:rFonts w:hint="eastAsia" w:ascii="宋体" w:hAnsi="宋体" w:cs="宋体"/>
                <w:color w:val="000000"/>
                <w:sz w:val="24"/>
              </w:rPr>
              <w:t>等</w:t>
            </w:r>
            <w:r>
              <w:rPr>
                <w:rFonts w:hint="eastAsia" w:ascii="宋体" w:hAnsi="宋体" w:cs="宋体"/>
                <w:color w:val="000000"/>
                <w:sz w:val="24"/>
                <w:lang w:val="en-US" w:eastAsia="zh-CN"/>
              </w:rPr>
              <w:t>指导培训</w:t>
            </w:r>
            <w:r>
              <w:rPr>
                <w:rFonts w:hint="eastAsia" w:ascii="宋体" w:hAnsi="宋体" w:cs="宋体"/>
                <w:color w:val="000000"/>
                <w:sz w:val="24"/>
              </w:rPr>
              <w:t>服务活动</w:t>
            </w:r>
            <w:r>
              <w:rPr>
                <w:rFonts w:hint="eastAsia" w:ascii="宋体" w:hAnsi="宋体" w:cs="宋体"/>
                <w:color w:val="000000"/>
                <w:sz w:val="24"/>
                <w:lang w:eastAsia="zh-CN"/>
              </w:rPr>
              <w:t>，助力中小企业成长，提升竞争力，促进峨眉山市工业经济持续高质量发展</w:t>
            </w:r>
          </w:p>
        </w:tc>
      </w:tr>
      <w:tr>
        <w:tblPrEx>
          <w:tblCellMar>
            <w:top w:w="0" w:type="dxa"/>
            <w:left w:w="0" w:type="dxa"/>
            <w:bottom w:w="0" w:type="dxa"/>
            <w:right w:w="0" w:type="dxa"/>
          </w:tblCellMar>
        </w:tblPrEx>
        <w:trPr>
          <w:trHeight w:val="794" w:hRule="atLeast"/>
          <w:jc w:val="center"/>
        </w:trPr>
        <w:tc>
          <w:tcPr>
            <w:tcW w:w="6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178" w:hRule="atLeast"/>
          <w:jc w:val="center"/>
        </w:trPr>
        <w:tc>
          <w:tcPr>
            <w:tcW w:w="6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举办培训指导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全年12次</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开展创新创业、科技服务、人才培训、市场</w:t>
            </w:r>
            <w:r>
              <w:rPr>
                <w:rFonts w:hint="eastAsia" w:ascii="宋体" w:hAnsi="宋体" w:cs="宋体"/>
                <w:color w:val="000000"/>
                <w:sz w:val="24"/>
                <w:lang w:eastAsia="zh-CN"/>
              </w:rPr>
              <w:t>开拓、投资融资</w:t>
            </w:r>
            <w:r>
              <w:rPr>
                <w:rFonts w:hint="eastAsia" w:ascii="宋体" w:hAnsi="宋体" w:cs="宋体"/>
                <w:color w:val="000000"/>
                <w:sz w:val="24"/>
              </w:rPr>
              <w:t>等</w:t>
            </w:r>
            <w:r>
              <w:rPr>
                <w:rFonts w:hint="eastAsia" w:ascii="宋体" w:hAnsi="宋体" w:cs="宋体"/>
                <w:color w:val="000000"/>
                <w:sz w:val="24"/>
                <w:lang w:val="en-US" w:eastAsia="zh-CN"/>
              </w:rPr>
              <w:t>指导培训</w:t>
            </w:r>
            <w:r>
              <w:rPr>
                <w:rFonts w:hint="eastAsia" w:ascii="宋体" w:hAnsi="宋体" w:cs="宋体"/>
                <w:color w:val="000000"/>
                <w:sz w:val="24"/>
              </w:rPr>
              <w:t>服务活动3</w:t>
            </w:r>
            <w:r>
              <w:rPr>
                <w:rFonts w:hint="eastAsia" w:ascii="宋体" w:hAnsi="宋体" w:cs="宋体"/>
                <w:color w:val="000000"/>
                <w:sz w:val="24"/>
                <w:lang w:val="en-US" w:eastAsia="zh-CN"/>
              </w:rPr>
              <w:t>0余</w:t>
            </w:r>
            <w:r>
              <w:rPr>
                <w:rFonts w:hint="eastAsia" w:ascii="宋体" w:hAnsi="宋体" w:cs="宋体"/>
                <w:color w:val="000000"/>
                <w:sz w:val="24"/>
              </w:rPr>
              <w:t>场次</w:t>
            </w:r>
          </w:p>
        </w:tc>
      </w:tr>
      <w:tr>
        <w:tblPrEx>
          <w:tblCellMar>
            <w:top w:w="0" w:type="dxa"/>
            <w:left w:w="0" w:type="dxa"/>
            <w:bottom w:w="0" w:type="dxa"/>
            <w:right w:w="0" w:type="dxa"/>
          </w:tblCellMar>
        </w:tblPrEx>
        <w:trPr>
          <w:trHeight w:val="772" w:hRule="atLeast"/>
          <w:jc w:val="center"/>
        </w:trPr>
        <w:tc>
          <w:tcPr>
            <w:tcW w:w="6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提高企业负责人及管理人员综合素质能力，提高企业竞争力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促</w:t>
            </w:r>
            <w:r>
              <w:rPr>
                <w:rFonts w:hint="eastAsia" w:ascii="宋体" w:hAnsi="宋体" w:cs="宋体"/>
                <w:color w:val="000000"/>
                <w:sz w:val="24"/>
              </w:rPr>
              <w:t>进峨眉山市工业经济</w:t>
            </w:r>
            <w:r>
              <w:rPr>
                <w:rFonts w:hint="eastAsia" w:ascii="宋体" w:hAnsi="宋体" w:cs="宋体"/>
                <w:color w:val="000000"/>
                <w:sz w:val="24"/>
                <w:lang w:eastAsia="zh-CN"/>
              </w:rPr>
              <w:t>持续高质量</w:t>
            </w:r>
            <w:r>
              <w:rPr>
                <w:rFonts w:hint="eastAsia" w:ascii="宋体" w:hAnsi="宋体" w:cs="宋体"/>
                <w:color w:val="000000"/>
                <w:sz w:val="24"/>
              </w:rPr>
              <w:t>发展</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促</w:t>
            </w:r>
            <w:r>
              <w:rPr>
                <w:rFonts w:hint="eastAsia" w:ascii="宋体" w:hAnsi="宋体" w:cs="宋体"/>
                <w:color w:val="000000"/>
                <w:sz w:val="24"/>
              </w:rPr>
              <w:t>进峨眉山市工业经济</w:t>
            </w:r>
            <w:r>
              <w:rPr>
                <w:rFonts w:hint="eastAsia" w:ascii="宋体" w:hAnsi="宋体" w:cs="宋体"/>
                <w:color w:val="000000"/>
                <w:sz w:val="24"/>
                <w:lang w:eastAsia="zh-CN"/>
              </w:rPr>
              <w:t>持续高质量</w:t>
            </w:r>
            <w:r>
              <w:rPr>
                <w:rFonts w:hint="eastAsia" w:ascii="宋体" w:hAnsi="宋体" w:cs="宋体"/>
                <w:color w:val="000000"/>
                <w:sz w:val="24"/>
              </w:rPr>
              <w:t>发展</w:t>
            </w:r>
          </w:p>
        </w:tc>
      </w:tr>
      <w:tr>
        <w:tblPrEx>
          <w:tblCellMar>
            <w:top w:w="0" w:type="dxa"/>
            <w:left w:w="0" w:type="dxa"/>
            <w:bottom w:w="0" w:type="dxa"/>
            <w:right w:w="0" w:type="dxa"/>
          </w:tblCellMar>
        </w:tblPrEx>
        <w:trPr>
          <w:trHeight w:val="800" w:hRule="atLeast"/>
          <w:jc w:val="center"/>
        </w:trPr>
        <w:tc>
          <w:tcPr>
            <w:tcW w:w="6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提高企业安全环保等方面能力，规范发展，带动就</w:t>
            </w:r>
            <w:r>
              <w:rPr>
                <w:rFonts w:hint="eastAsia" w:ascii="宋体" w:hAnsi="宋体" w:cs="宋体"/>
                <w:color w:val="000000"/>
                <w:sz w:val="24"/>
                <w:lang w:val="en-US" w:eastAsia="zh-CN"/>
              </w:rPr>
              <w:t>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维护社会稳定，促进社会和谐</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确保人民群众生命和财产安全，</w:t>
            </w:r>
            <w:r>
              <w:rPr>
                <w:rFonts w:hint="eastAsia" w:ascii="宋体" w:hAnsi="宋体" w:cs="宋体"/>
                <w:color w:val="000000"/>
                <w:sz w:val="24"/>
              </w:rPr>
              <w:t>维护</w:t>
            </w:r>
            <w:r>
              <w:rPr>
                <w:rFonts w:hint="eastAsia" w:ascii="宋体" w:hAnsi="宋体" w:cs="宋体"/>
                <w:color w:val="000000"/>
                <w:sz w:val="24"/>
                <w:lang w:val="en-US" w:eastAsia="zh-CN"/>
              </w:rPr>
              <w:t>了</w:t>
            </w:r>
            <w:r>
              <w:rPr>
                <w:rFonts w:hint="eastAsia" w:ascii="宋体" w:hAnsi="宋体" w:cs="宋体"/>
                <w:color w:val="000000"/>
                <w:sz w:val="24"/>
              </w:rPr>
              <w:t>社会稳定</w:t>
            </w:r>
          </w:p>
        </w:tc>
      </w:tr>
      <w:tr>
        <w:tblPrEx>
          <w:tblCellMar>
            <w:top w:w="0" w:type="dxa"/>
            <w:left w:w="0" w:type="dxa"/>
            <w:bottom w:w="0" w:type="dxa"/>
            <w:right w:w="0" w:type="dxa"/>
          </w:tblCellMar>
        </w:tblPrEx>
        <w:trPr>
          <w:trHeight w:val="666" w:hRule="atLeast"/>
          <w:jc w:val="center"/>
        </w:trPr>
        <w:tc>
          <w:tcPr>
            <w:tcW w:w="6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受训企业满意度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90%以上</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满意度9</w:t>
            </w:r>
            <w:r>
              <w:rPr>
                <w:rFonts w:hint="eastAsia" w:ascii="宋体" w:hAnsi="宋体" w:cs="宋体"/>
                <w:color w:val="000000"/>
                <w:sz w:val="24"/>
                <w:lang w:val="en-US" w:eastAsia="zh-CN"/>
              </w:rPr>
              <w:t>9</w:t>
            </w:r>
            <w:r>
              <w:rPr>
                <w:rFonts w:hint="eastAsia" w:ascii="宋体" w:hAnsi="宋体" w:cs="宋体"/>
                <w:color w:val="000000"/>
                <w:sz w:val="24"/>
              </w:rPr>
              <w:t>%</w:t>
            </w:r>
          </w:p>
        </w:tc>
      </w:tr>
    </w:tbl>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双创工作项目绩效目标完成情况综述。项目</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4.93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98.60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提高了市民的文明卫生素质，营造一个管理规范、干净卫生、整洁有序、优美文明的城市环境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部分市民、窗口单位</w:t>
      </w:r>
      <w:r>
        <w:rPr>
          <w:rFonts w:hint="eastAsia" w:ascii="仿宋_GB2312" w:hAnsi="仿宋_GB2312" w:eastAsia="仿宋_GB2312" w:cs="仿宋_GB2312"/>
          <w:sz w:val="32"/>
          <w:szCs w:val="32"/>
        </w:rPr>
        <w:t>文明卫生意识不够强。下一步改进措施：进一步加强双创</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宣传，开展</w:t>
      </w:r>
      <w:r>
        <w:rPr>
          <w:rFonts w:hint="eastAsia" w:ascii="仿宋_GB2312" w:hAnsi="仿宋_GB2312" w:eastAsia="仿宋_GB2312" w:cs="仿宋_GB2312"/>
          <w:sz w:val="32"/>
          <w:szCs w:val="32"/>
          <w:lang w:eastAsia="zh-CN"/>
        </w:rPr>
        <w:t>责任片区环境</w:t>
      </w:r>
      <w:r>
        <w:rPr>
          <w:rFonts w:hint="eastAsia" w:ascii="仿宋_GB2312" w:hAnsi="仿宋_GB2312" w:eastAsia="仿宋_GB2312" w:cs="仿宋_GB2312"/>
          <w:sz w:val="32"/>
          <w:szCs w:val="32"/>
        </w:rPr>
        <w:t>卫生整治</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窗口行业规范化服务。</w:t>
      </w:r>
    </w:p>
    <w:tbl>
      <w:tblPr>
        <w:tblStyle w:val="14"/>
        <w:tblpPr w:leftFromText="180" w:rightFromText="180" w:vertAnchor="text" w:horzAnchor="page" w:tblpX="983" w:tblpY="183"/>
        <w:tblOverlap w:val="never"/>
        <w:tblW w:w="9980" w:type="dxa"/>
        <w:jc w:val="center"/>
        <w:tblLayout w:type="fixed"/>
        <w:tblCellMar>
          <w:top w:w="0" w:type="dxa"/>
          <w:left w:w="0" w:type="dxa"/>
          <w:bottom w:w="0" w:type="dxa"/>
          <w:right w:w="0" w:type="dxa"/>
        </w:tblCellMar>
      </w:tblPr>
      <w:tblGrid>
        <w:gridCol w:w="700"/>
        <w:gridCol w:w="974"/>
        <w:gridCol w:w="1025"/>
        <w:gridCol w:w="2392"/>
        <w:gridCol w:w="2394"/>
        <w:gridCol w:w="2495"/>
      </w:tblGrid>
      <w:tr>
        <w:tblPrEx>
          <w:tblCellMar>
            <w:top w:w="0" w:type="dxa"/>
            <w:left w:w="0" w:type="dxa"/>
            <w:bottom w:w="0" w:type="dxa"/>
            <w:right w:w="0" w:type="dxa"/>
          </w:tblCellMar>
        </w:tblPrEx>
        <w:trPr>
          <w:trHeight w:val="1034" w:hRule="atLeast"/>
          <w:jc w:val="center"/>
        </w:trPr>
        <w:tc>
          <w:tcPr>
            <w:tcW w:w="998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1" w:hRule="atLeast"/>
          <w:jc w:val="center"/>
        </w:trPr>
        <w:tc>
          <w:tcPr>
            <w:tcW w:w="26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双创工作</w:t>
            </w:r>
          </w:p>
        </w:tc>
      </w:tr>
      <w:tr>
        <w:tblPrEx>
          <w:tblCellMar>
            <w:top w:w="0" w:type="dxa"/>
            <w:left w:w="0" w:type="dxa"/>
            <w:bottom w:w="0" w:type="dxa"/>
            <w:right w:w="0" w:type="dxa"/>
          </w:tblCellMar>
        </w:tblPrEx>
        <w:trPr>
          <w:trHeight w:val="276" w:hRule="atLeast"/>
          <w:jc w:val="center"/>
        </w:trPr>
        <w:tc>
          <w:tcPr>
            <w:tcW w:w="26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4.93</w:t>
            </w:r>
          </w:p>
        </w:tc>
      </w:tr>
      <w:tr>
        <w:tblPrEx>
          <w:tblCellMar>
            <w:top w:w="0" w:type="dxa"/>
            <w:left w:w="0" w:type="dxa"/>
            <w:bottom w:w="0" w:type="dxa"/>
            <w:right w:w="0" w:type="dxa"/>
          </w:tblCellMar>
        </w:tblPrEx>
        <w:trPr>
          <w:trHeight w:val="276"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9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4.93</w:t>
            </w:r>
          </w:p>
        </w:tc>
      </w:tr>
      <w:tr>
        <w:tblPrEx>
          <w:tblCellMar>
            <w:top w:w="0" w:type="dxa"/>
            <w:left w:w="0" w:type="dxa"/>
            <w:bottom w:w="0" w:type="dxa"/>
            <w:right w:w="0" w:type="dxa"/>
          </w:tblCellMar>
        </w:tblPrEx>
        <w:trPr>
          <w:trHeight w:val="541"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9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699"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3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完成创建四川省文明城市和国家卫生城市工作</w:t>
            </w:r>
          </w:p>
        </w:tc>
        <w:tc>
          <w:tcPr>
            <w:tcW w:w="4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开展片区卫生整治、</w:t>
            </w:r>
            <w:r>
              <w:rPr>
                <w:rFonts w:hint="eastAsia" w:ascii="宋体" w:hAnsi="宋体" w:cs="宋体"/>
                <w:color w:val="000000"/>
                <w:sz w:val="24"/>
                <w:lang w:eastAsia="zh-CN"/>
              </w:rPr>
              <w:t>创文氛围营造</w:t>
            </w:r>
            <w:r>
              <w:rPr>
                <w:rFonts w:hint="eastAsia" w:ascii="宋体" w:hAnsi="宋体" w:cs="宋体"/>
                <w:color w:val="000000"/>
                <w:sz w:val="24"/>
              </w:rPr>
              <w:t>等工作，完成了双创工作</w:t>
            </w:r>
          </w:p>
        </w:tc>
      </w:tr>
      <w:tr>
        <w:tblPrEx>
          <w:tblCellMar>
            <w:top w:w="0" w:type="dxa"/>
            <w:left w:w="0" w:type="dxa"/>
            <w:bottom w:w="0" w:type="dxa"/>
            <w:right w:w="0" w:type="dxa"/>
          </w:tblCellMar>
        </w:tblPrEx>
        <w:trPr>
          <w:trHeight w:val="794" w:hRule="atLeast"/>
          <w:jc w:val="center"/>
        </w:trPr>
        <w:tc>
          <w:tcPr>
            <w:tcW w:w="7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361" w:hRule="atLeast"/>
          <w:jc w:val="center"/>
        </w:trPr>
        <w:tc>
          <w:tcPr>
            <w:tcW w:w="7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宣传广告展板</w:t>
            </w:r>
            <w:r>
              <w:rPr>
                <w:rFonts w:hint="eastAsia" w:ascii="宋体" w:hAnsi="宋体" w:cs="宋体"/>
                <w:color w:val="000000"/>
                <w:sz w:val="24"/>
              </w:rPr>
              <w:t>制作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≥10幅</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rPr>
              <w:t>新增</w:t>
            </w:r>
            <w:r>
              <w:rPr>
                <w:rFonts w:hint="eastAsia" w:ascii="宋体" w:hAnsi="宋体" w:cs="宋体"/>
                <w:color w:val="000000"/>
                <w:sz w:val="24"/>
                <w:lang w:val="en-US" w:eastAsia="zh-CN"/>
              </w:rPr>
              <w:t>20</w:t>
            </w:r>
            <w:r>
              <w:rPr>
                <w:rFonts w:hint="eastAsia" w:ascii="宋体" w:hAnsi="宋体" w:cs="宋体"/>
                <w:color w:val="000000"/>
                <w:sz w:val="24"/>
              </w:rPr>
              <w:t>余幅</w:t>
            </w:r>
            <w:r>
              <w:rPr>
                <w:rFonts w:hint="eastAsia" w:ascii="宋体" w:hAnsi="宋体" w:cs="宋体"/>
                <w:color w:val="000000"/>
                <w:sz w:val="24"/>
                <w:lang w:eastAsia="zh-CN"/>
              </w:rPr>
              <w:t>宣传广告展板</w:t>
            </w:r>
            <w:r>
              <w:rPr>
                <w:rFonts w:hint="eastAsia" w:ascii="宋体" w:hAnsi="宋体" w:cs="宋体"/>
                <w:color w:val="000000"/>
                <w:sz w:val="24"/>
              </w:rPr>
              <w:t>，覆盖整个责任片区</w:t>
            </w:r>
            <w:r>
              <w:rPr>
                <w:rFonts w:hint="eastAsia" w:ascii="宋体" w:hAnsi="宋体" w:cs="宋体"/>
                <w:color w:val="000000"/>
                <w:sz w:val="24"/>
                <w:lang w:eastAsia="zh-CN"/>
              </w:rPr>
              <w:t>和窗口单位</w:t>
            </w:r>
          </w:p>
        </w:tc>
      </w:tr>
      <w:tr>
        <w:tblPrEx>
          <w:tblCellMar>
            <w:top w:w="0" w:type="dxa"/>
            <w:left w:w="0" w:type="dxa"/>
            <w:bottom w:w="0" w:type="dxa"/>
            <w:right w:w="0" w:type="dxa"/>
          </w:tblCellMar>
        </w:tblPrEx>
        <w:trPr>
          <w:trHeight w:val="478" w:hRule="atLeast"/>
          <w:jc w:val="center"/>
        </w:trPr>
        <w:tc>
          <w:tcPr>
            <w:tcW w:w="7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双创效果达到预期目标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rPr>
              <w:t>开展卫生整治及</w:t>
            </w:r>
            <w:r>
              <w:rPr>
                <w:rFonts w:hint="eastAsia" w:ascii="宋体" w:hAnsi="宋体" w:cs="宋体"/>
                <w:color w:val="000000"/>
                <w:sz w:val="24"/>
                <w:lang w:eastAsia="zh-CN"/>
              </w:rPr>
              <w:t>氛围营造工作</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rPr>
              <w:t>整治了</w:t>
            </w:r>
            <w:r>
              <w:rPr>
                <w:rFonts w:hint="eastAsia" w:ascii="宋体" w:hAnsi="宋体" w:cs="宋体"/>
                <w:color w:val="000000"/>
                <w:sz w:val="24"/>
                <w:lang w:eastAsia="zh-CN"/>
              </w:rPr>
              <w:t>责任</w:t>
            </w:r>
            <w:r>
              <w:rPr>
                <w:rFonts w:hint="eastAsia" w:ascii="宋体" w:hAnsi="宋体" w:cs="宋体"/>
                <w:color w:val="000000"/>
                <w:sz w:val="24"/>
              </w:rPr>
              <w:t>片区卫生</w:t>
            </w:r>
            <w:r>
              <w:rPr>
                <w:rFonts w:hint="eastAsia" w:ascii="宋体" w:hAnsi="宋体" w:cs="宋体"/>
                <w:color w:val="000000"/>
                <w:sz w:val="24"/>
                <w:lang w:eastAsia="zh-CN"/>
              </w:rPr>
              <w:t>、开展了文明劝导、氛围营造等工作</w:t>
            </w:r>
          </w:p>
        </w:tc>
      </w:tr>
      <w:tr>
        <w:tblPrEx>
          <w:tblCellMar>
            <w:top w:w="0" w:type="dxa"/>
            <w:left w:w="0" w:type="dxa"/>
            <w:bottom w:w="0" w:type="dxa"/>
            <w:right w:w="0" w:type="dxa"/>
          </w:tblCellMar>
        </w:tblPrEx>
        <w:trPr>
          <w:trHeight w:val="500" w:hRule="atLeast"/>
          <w:jc w:val="center"/>
        </w:trPr>
        <w:tc>
          <w:tcPr>
            <w:tcW w:w="7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双创对周边环境的影响率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375" w:hRule="atLeast"/>
          <w:jc w:val="center"/>
        </w:trPr>
        <w:tc>
          <w:tcPr>
            <w:tcW w:w="70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群众对</w:t>
            </w:r>
            <w:r>
              <w:rPr>
                <w:rFonts w:hint="eastAsia" w:ascii="宋体" w:hAnsi="宋体" w:cs="宋体"/>
                <w:color w:val="000000"/>
                <w:sz w:val="24"/>
                <w:lang w:eastAsia="zh-CN"/>
              </w:rPr>
              <w:t>责任片区</w:t>
            </w:r>
            <w:r>
              <w:rPr>
                <w:rFonts w:hint="eastAsia" w:ascii="宋体" w:hAnsi="宋体" w:cs="宋体"/>
                <w:color w:val="000000"/>
                <w:sz w:val="24"/>
              </w:rPr>
              <w:t>双创工作的满意度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bl>
    <w:p>
      <w:pPr>
        <w:pStyle w:val="2"/>
        <w:numPr>
          <w:ilvl w:val="0"/>
          <w:numId w:val="0"/>
        </w:numPr>
      </w:pP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三家关停企业职工生活补助项目绩效目标完成情况综述。项</w:t>
      </w:r>
      <w:r>
        <w:rPr>
          <w:rFonts w:hint="eastAsia" w:ascii="仿宋_GB2312" w:hAnsi="仿宋_GB2312" w:eastAsia="仿宋_GB2312" w:cs="仿宋_GB2312"/>
          <w:sz w:val="32"/>
          <w:szCs w:val="32"/>
        </w:rPr>
        <w:t>目全年预算数</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15.58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42.11</w:t>
      </w:r>
      <w:r>
        <w:rPr>
          <w:rFonts w:hint="eastAsia" w:ascii="仿宋_GB2312" w:hAnsi="仿宋_GB2312" w:eastAsia="仿宋_GB2312" w:cs="仿宋_GB2312"/>
          <w:sz w:val="32"/>
          <w:szCs w:val="32"/>
        </w:rPr>
        <w:t>%。通过项目实施，妥善解决</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困难职工生活困难，改善民生，化解社会矛盾，缓解基层和家庭压力，确保社会稳定和谐。</w:t>
      </w:r>
    </w:p>
    <w:p>
      <w:pPr>
        <w:numPr>
          <w:ilvl w:val="0"/>
          <w:numId w:val="0"/>
        </w:numPr>
        <w:spacing w:line="580" w:lineRule="exact"/>
        <w:rPr>
          <w:rFonts w:hint="eastAsia" w:ascii="仿宋_GB2312" w:hAnsi="仿宋_GB2312" w:eastAsia="仿宋_GB2312" w:cs="仿宋_GB2312"/>
          <w:sz w:val="32"/>
          <w:szCs w:val="32"/>
        </w:rPr>
      </w:pPr>
    </w:p>
    <w:tbl>
      <w:tblPr>
        <w:tblStyle w:val="14"/>
        <w:tblpPr w:leftFromText="180" w:rightFromText="180" w:vertAnchor="text" w:horzAnchor="page" w:tblpX="1139" w:tblpY="52"/>
        <w:tblOverlap w:val="never"/>
        <w:tblW w:w="9735" w:type="dxa"/>
        <w:jc w:val="center"/>
        <w:tblLayout w:type="fixed"/>
        <w:tblCellMar>
          <w:top w:w="0" w:type="dxa"/>
          <w:left w:w="0" w:type="dxa"/>
          <w:bottom w:w="0" w:type="dxa"/>
          <w:right w:w="0" w:type="dxa"/>
        </w:tblCellMar>
      </w:tblPr>
      <w:tblGrid>
        <w:gridCol w:w="650"/>
        <w:gridCol w:w="927"/>
        <w:gridCol w:w="980"/>
        <w:gridCol w:w="2437"/>
        <w:gridCol w:w="2394"/>
        <w:gridCol w:w="2347"/>
      </w:tblGrid>
      <w:tr>
        <w:tblPrEx>
          <w:tblCellMar>
            <w:top w:w="0" w:type="dxa"/>
            <w:left w:w="0" w:type="dxa"/>
            <w:bottom w:w="0" w:type="dxa"/>
            <w:right w:w="0" w:type="dxa"/>
          </w:tblCellMar>
        </w:tblPrEx>
        <w:trPr>
          <w:trHeight w:val="1034" w:hRule="atLeast"/>
          <w:jc w:val="center"/>
        </w:trPr>
        <w:tc>
          <w:tcPr>
            <w:tcW w:w="973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5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三家关停企业职工生活补助</w:t>
            </w:r>
          </w:p>
        </w:tc>
      </w:tr>
      <w:tr>
        <w:tblPrEx>
          <w:tblCellMar>
            <w:top w:w="0" w:type="dxa"/>
            <w:left w:w="0" w:type="dxa"/>
            <w:bottom w:w="0" w:type="dxa"/>
            <w:right w:w="0" w:type="dxa"/>
          </w:tblCellMar>
        </w:tblPrEx>
        <w:trPr>
          <w:trHeight w:val="276" w:hRule="atLeast"/>
          <w:jc w:val="center"/>
        </w:trPr>
        <w:tc>
          <w:tcPr>
            <w:tcW w:w="25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37.00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15.58</w:t>
            </w:r>
          </w:p>
        </w:tc>
      </w:tr>
      <w:tr>
        <w:tblPrEx>
          <w:tblCellMar>
            <w:top w:w="0" w:type="dxa"/>
            <w:left w:w="0" w:type="dxa"/>
            <w:bottom w:w="0" w:type="dxa"/>
            <w:right w:w="0" w:type="dxa"/>
          </w:tblCellMar>
        </w:tblPrEx>
        <w:trPr>
          <w:trHeight w:val="276"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9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37</w:t>
            </w:r>
            <w:r>
              <w:rPr>
                <w:rFonts w:hint="eastAsia" w:ascii="宋体" w:hAnsi="宋体" w:cs="宋体"/>
                <w:color w:val="000000"/>
                <w:sz w:val="24"/>
              </w:rPr>
              <w:t>.00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15.58</w:t>
            </w:r>
          </w:p>
        </w:tc>
      </w:tr>
      <w:tr>
        <w:tblPrEx>
          <w:tblCellMar>
            <w:top w:w="0" w:type="dxa"/>
            <w:left w:w="0" w:type="dxa"/>
            <w:bottom w:w="0" w:type="dxa"/>
            <w:right w:w="0" w:type="dxa"/>
          </w:tblCellMar>
        </w:tblPrEx>
        <w:trPr>
          <w:trHeight w:val="558"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9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53"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3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改善民生，缓解社会、基层和家庭的压力，维护社会稳定和谐</w:t>
            </w:r>
          </w:p>
        </w:tc>
        <w:tc>
          <w:tcPr>
            <w:tcW w:w="4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24"/>
              </w:rPr>
            </w:pPr>
            <w:r>
              <w:rPr>
                <w:rFonts w:hint="eastAsia" w:ascii="宋体" w:hAnsi="宋体" w:cs="宋体"/>
                <w:color w:val="000000"/>
                <w:sz w:val="24"/>
              </w:rPr>
              <w:t>妥善解决</w:t>
            </w:r>
            <w:r>
              <w:rPr>
                <w:rFonts w:hint="eastAsia" w:ascii="宋体" w:hAnsi="宋体" w:cs="宋体"/>
                <w:color w:val="000000"/>
                <w:sz w:val="24"/>
                <w:lang w:eastAsia="zh-CN"/>
              </w:rPr>
              <w:t>了</w:t>
            </w:r>
            <w:r>
              <w:rPr>
                <w:rFonts w:hint="eastAsia" w:ascii="宋体" w:hAnsi="宋体" w:cs="宋体"/>
                <w:color w:val="000000"/>
                <w:sz w:val="24"/>
              </w:rPr>
              <w:t>困难职工生活困难，改善民生，化解社会矛盾，缓解基层和家庭压力，确保</w:t>
            </w:r>
            <w:r>
              <w:rPr>
                <w:rFonts w:hint="eastAsia" w:ascii="宋体" w:hAnsi="宋体" w:cs="宋体"/>
                <w:color w:val="000000"/>
                <w:sz w:val="24"/>
                <w:lang w:eastAsia="zh-CN"/>
              </w:rPr>
              <w:t>了</w:t>
            </w:r>
            <w:r>
              <w:rPr>
                <w:rFonts w:hint="eastAsia" w:ascii="宋体" w:hAnsi="宋体" w:cs="宋体"/>
                <w:color w:val="000000"/>
                <w:sz w:val="24"/>
              </w:rPr>
              <w:t>社会稳定和谐</w:t>
            </w:r>
          </w:p>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794" w:hRule="atLeast"/>
          <w:jc w:val="center"/>
        </w:trPr>
        <w:tc>
          <w:tcPr>
            <w:tcW w:w="65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469" w:hRule="atLeast"/>
          <w:jc w:val="center"/>
        </w:trPr>
        <w:tc>
          <w:tcPr>
            <w:tcW w:w="6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准确发放医药费、伤残补助、慰问费等费用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960" w:firstLineChars="400"/>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408" w:hRule="atLeast"/>
          <w:jc w:val="center"/>
        </w:trPr>
        <w:tc>
          <w:tcPr>
            <w:tcW w:w="6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时效</w:t>
            </w:r>
            <w:r>
              <w:rPr>
                <w:rFonts w:hint="eastAsia" w:ascii="宋体" w:hAnsi="宋体" w:cs="宋体"/>
                <w:color w:val="000000"/>
                <w:sz w:val="24"/>
              </w:rPr>
              <w:t>指标</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及时发放医疗费、伤残补助、慰问费等费用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每月每季度按时发放</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每月每季度按时发放</w:t>
            </w:r>
          </w:p>
        </w:tc>
      </w:tr>
      <w:tr>
        <w:tblPrEx>
          <w:tblCellMar>
            <w:top w:w="0" w:type="dxa"/>
            <w:left w:w="0" w:type="dxa"/>
            <w:bottom w:w="0" w:type="dxa"/>
            <w:right w:w="0" w:type="dxa"/>
          </w:tblCellMar>
        </w:tblPrEx>
        <w:trPr>
          <w:trHeight w:val="492" w:hRule="atLeast"/>
          <w:jc w:val="center"/>
        </w:trPr>
        <w:tc>
          <w:tcPr>
            <w:tcW w:w="65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改善民生，缓解社会</w:t>
            </w:r>
            <w:r>
              <w:rPr>
                <w:rFonts w:hint="eastAsia" w:ascii="宋体" w:hAnsi="宋体" w:cs="宋体"/>
                <w:color w:val="000000"/>
                <w:sz w:val="24"/>
                <w:lang w:eastAsia="zh-CN"/>
              </w:rPr>
              <w:t>、</w:t>
            </w:r>
            <w:r>
              <w:rPr>
                <w:rFonts w:hint="eastAsia" w:ascii="宋体" w:hAnsi="宋体" w:cs="宋体"/>
                <w:color w:val="000000"/>
                <w:sz w:val="24"/>
              </w:rPr>
              <w:t>基层和家庭的压力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661" w:hRule="atLeast"/>
          <w:jc w:val="center"/>
        </w:trPr>
        <w:tc>
          <w:tcPr>
            <w:tcW w:w="6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企业职工满意度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随机抽选5位企业职工进行问卷调查</w:t>
            </w:r>
            <w:r>
              <w:rPr>
                <w:rFonts w:hint="eastAsia" w:ascii="宋体" w:hAnsi="宋体" w:cs="宋体"/>
                <w:color w:val="000000"/>
                <w:sz w:val="24"/>
                <w:lang w:val="en-US" w:eastAsia="zh-CN"/>
              </w:rPr>
              <w:t>，满意度为100%</w:t>
            </w:r>
          </w:p>
        </w:tc>
      </w:tr>
    </w:tbl>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原乐山市属破产企业困难职工春节慰问项目绩效目标完成情况综述。项目</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%。通过项目实施，改善民生，缓解社会、基层和家庭的压力，为维护社会稳定和谐发挥积极作用，提高幸福指数。</w:t>
      </w:r>
    </w:p>
    <w:tbl>
      <w:tblPr>
        <w:tblStyle w:val="14"/>
        <w:tblpPr w:leftFromText="180" w:rightFromText="180" w:vertAnchor="text" w:horzAnchor="page" w:tblpX="950" w:tblpY="247"/>
        <w:tblOverlap w:val="never"/>
        <w:tblW w:w="9848" w:type="dxa"/>
        <w:jc w:val="center"/>
        <w:tblLayout w:type="fixed"/>
        <w:tblCellMar>
          <w:top w:w="0" w:type="dxa"/>
          <w:left w:w="0" w:type="dxa"/>
          <w:bottom w:w="0" w:type="dxa"/>
          <w:right w:w="0" w:type="dxa"/>
        </w:tblCellMar>
      </w:tblPr>
      <w:tblGrid>
        <w:gridCol w:w="716"/>
        <w:gridCol w:w="1041"/>
        <w:gridCol w:w="1025"/>
        <w:gridCol w:w="2392"/>
        <w:gridCol w:w="2394"/>
        <w:gridCol w:w="2280"/>
      </w:tblGrid>
      <w:tr>
        <w:tblPrEx>
          <w:tblCellMar>
            <w:top w:w="0" w:type="dxa"/>
            <w:left w:w="0" w:type="dxa"/>
            <w:bottom w:w="0" w:type="dxa"/>
            <w:right w:w="0" w:type="dxa"/>
          </w:tblCellMar>
        </w:tblPrEx>
        <w:trPr>
          <w:trHeight w:val="1034" w:hRule="atLeast"/>
          <w:jc w:val="center"/>
        </w:trPr>
        <w:tc>
          <w:tcPr>
            <w:tcW w:w="984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原乐山市属破产企业困难职工春节慰问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0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.00</w:t>
            </w:r>
          </w:p>
        </w:tc>
      </w:tr>
      <w:tr>
        <w:tblPrEx>
          <w:tblCellMar>
            <w:top w:w="0" w:type="dxa"/>
            <w:left w:w="0" w:type="dxa"/>
            <w:bottom w:w="0" w:type="dxa"/>
            <w:right w:w="0" w:type="dxa"/>
          </w:tblCellMar>
        </w:tblPrEx>
        <w:trPr>
          <w:trHeight w:val="27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0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.00</w:t>
            </w:r>
          </w:p>
        </w:tc>
      </w:tr>
      <w:tr>
        <w:tblPrEx>
          <w:tblCellMar>
            <w:top w:w="0" w:type="dxa"/>
            <w:left w:w="0" w:type="dxa"/>
            <w:bottom w:w="0" w:type="dxa"/>
            <w:right w:w="0" w:type="dxa"/>
          </w:tblCellMar>
        </w:tblPrEx>
        <w:trPr>
          <w:trHeight w:val="52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0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78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4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改善民生，缓解社会、基层和家庭的压力，维护社会稳定和谐</w:t>
            </w:r>
          </w:p>
        </w:tc>
        <w:tc>
          <w:tcPr>
            <w:tcW w:w="46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24"/>
              </w:rPr>
            </w:pPr>
            <w:r>
              <w:rPr>
                <w:rFonts w:hint="eastAsia" w:ascii="宋体" w:hAnsi="宋体" w:cs="宋体"/>
                <w:color w:val="000000"/>
                <w:sz w:val="24"/>
              </w:rPr>
              <w:t>妥善</w:t>
            </w:r>
            <w:r>
              <w:rPr>
                <w:rFonts w:hint="eastAsia" w:ascii="宋体" w:hAnsi="宋体" w:cs="宋体"/>
                <w:color w:val="000000"/>
                <w:sz w:val="24"/>
                <w:lang w:eastAsia="zh-CN"/>
              </w:rPr>
              <w:t>帮助了</w:t>
            </w:r>
            <w:r>
              <w:rPr>
                <w:rFonts w:hint="eastAsia" w:ascii="宋体" w:hAnsi="宋体" w:cs="宋体"/>
                <w:color w:val="000000"/>
                <w:sz w:val="24"/>
              </w:rPr>
              <w:t>困难职工，化解社会矛盾，缓解基层和家庭压力，确保</w:t>
            </w:r>
            <w:r>
              <w:rPr>
                <w:rFonts w:hint="eastAsia" w:ascii="宋体" w:hAnsi="宋体" w:cs="宋体"/>
                <w:color w:val="000000"/>
                <w:sz w:val="24"/>
                <w:lang w:eastAsia="zh-CN"/>
              </w:rPr>
              <w:t>了</w:t>
            </w:r>
            <w:r>
              <w:rPr>
                <w:rFonts w:hint="eastAsia" w:ascii="宋体" w:hAnsi="宋体" w:cs="宋体"/>
                <w:color w:val="000000"/>
                <w:sz w:val="24"/>
              </w:rPr>
              <w:t>社会稳定和谐</w:t>
            </w:r>
          </w:p>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794" w:hRule="atLeast"/>
          <w:jc w:val="center"/>
        </w:trPr>
        <w:tc>
          <w:tcPr>
            <w:tcW w:w="7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94" w:hRule="atLeast"/>
          <w:jc w:val="center"/>
        </w:trPr>
        <w:tc>
          <w:tcPr>
            <w:tcW w:w="71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原乐山市属破产企业困难职工慰问费准确发放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960" w:firstLineChars="400"/>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308" w:hRule="atLeast"/>
          <w:jc w:val="center"/>
        </w:trPr>
        <w:tc>
          <w:tcPr>
            <w:tcW w:w="71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时效</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及时发放慰问费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rPr>
              <w:t>春节前及时发放</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rPr>
              <w:t>春节前及时发放</w:t>
            </w:r>
          </w:p>
        </w:tc>
      </w:tr>
      <w:tr>
        <w:tblPrEx>
          <w:tblCellMar>
            <w:top w:w="0" w:type="dxa"/>
            <w:left w:w="0" w:type="dxa"/>
            <w:bottom w:w="0" w:type="dxa"/>
            <w:right w:w="0" w:type="dxa"/>
          </w:tblCellMar>
        </w:tblPrEx>
        <w:trPr>
          <w:trHeight w:val="917" w:hRule="atLeast"/>
          <w:jc w:val="center"/>
        </w:trPr>
        <w:tc>
          <w:tcPr>
            <w:tcW w:w="71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改善民生，缓解社会、基层和家庭的压力，维护社会稳定和谐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309" w:hRule="atLeast"/>
          <w:jc w:val="center"/>
        </w:trPr>
        <w:tc>
          <w:tcPr>
            <w:tcW w:w="71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破产</w:t>
            </w:r>
            <w:r>
              <w:rPr>
                <w:rFonts w:hint="eastAsia" w:ascii="宋体" w:hAnsi="宋体" w:cs="宋体"/>
                <w:color w:val="000000"/>
                <w:sz w:val="24"/>
              </w:rPr>
              <w:t>企业职工满意度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bl>
    <w:p>
      <w:pPr>
        <w:pStyle w:val="2"/>
        <w:widowControl w:val="0"/>
        <w:numPr>
          <w:ilvl w:val="0"/>
          <w:numId w:val="0"/>
        </w:numPr>
        <w:autoSpaceDE w:val="0"/>
        <w:autoSpaceDN w:val="0"/>
        <w:adjustRightInd w:val="0"/>
        <w:rPr>
          <w:rFonts w:hint="eastAsia"/>
        </w:rPr>
      </w:pP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）安全生产工作项目绩效目标完成情况综述。项目</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9.86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98.60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进一步</w:t>
      </w:r>
      <w:r>
        <w:rPr>
          <w:rFonts w:hint="eastAsia" w:eastAsia="仿宋_GB2312"/>
          <w:sz w:val="32"/>
          <w:szCs w:val="32"/>
          <w:shd w:val="clear" w:color="auto" w:fill="FFFFFF"/>
          <w:lang w:val="en-US" w:eastAsia="zh-CN"/>
        </w:rPr>
        <w:t>压紧压实企业安全生产主体责任，</w:t>
      </w:r>
      <w:r>
        <w:rPr>
          <w:rFonts w:hint="eastAsia" w:ascii="仿宋_GB2312" w:hAnsi="仿宋_GB2312" w:eastAsia="仿宋_GB2312" w:cs="仿宋_GB2312"/>
          <w:sz w:val="32"/>
          <w:szCs w:val="32"/>
          <w:lang w:eastAsia="zh-CN"/>
        </w:rPr>
        <w:t>帮助企业辨识风险、排查隐患，督促指导企业及时消除安全隐</w:t>
      </w:r>
      <w:r>
        <w:rPr>
          <w:rFonts w:hint="eastAsia" w:ascii="仿宋_GB2312" w:hAnsi="仿宋_GB2312" w:eastAsia="仿宋_GB2312" w:cs="仿宋_GB2312"/>
          <w:sz w:val="32"/>
          <w:szCs w:val="32"/>
        </w:rPr>
        <w:t>患</w:t>
      </w:r>
      <w:r>
        <w:rPr>
          <w:rFonts w:hint="eastAsia" w:ascii="仿宋_GB2312" w:hAnsi="仿宋_GB2312" w:eastAsia="仿宋_GB2312" w:cs="仿宋_GB2312"/>
          <w:sz w:val="32"/>
          <w:szCs w:val="32"/>
          <w:lang w:eastAsia="zh-CN"/>
        </w:rPr>
        <w:t>，筑牢安全生产防线，杜绝重特大事故、遏制较大事故、防范一般事故，</w:t>
      </w:r>
      <w:r>
        <w:rPr>
          <w:rFonts w:hint="eastAsia" w:eastAsia="仿宋_GB2312"/>
          <w:sz w:val="32"/>
          <w:szCs w:val="32"/>
          <w:shd w:val="clear" w:color="auto" w:fill="FFFFFF"/>
          <w:lang w:val="en-US" w:eastAsia="zh-CN"/>
        </w:rPr>
        <w:t>为峨眉山市经济社会发展营造了安全稳定的社会环境</w:t>
      </w:r>
      <w:r>
        <w:rPr>
          <w:rFonts w:hint="eastAsia" w:ascii="仿宋_GB2312" w:hAnsi="仿宋_GB2312" w:eastAsia="仿宋_GB2312" w:cs="仿宋_GB2312"/>
          <w:sz w:val="32"/>
          <w:szCs w:val="32"/>
        </w:rPr>
        <w:t>。</w:t>
      </w:r>
    </w:p>
    <w:tbl>
      <w:tblPr>
        <w:tblStyle w:val="14"/>
        <w:tblpPr w:leftFromText="180" w:rightFromText="180" w:vertAnchor="text" w:horzAnchor="page" w:tblpXSpec="center" w:tblpY="423"/>
        <w:tblOverlap w:val="never"/>
        <w:tblW w:w="10012" w:type="dxa"/>
        <w:jc w:val="center"/>
        <w:tblLayout w:type="fixed"/>
        <w:tblCellMar>
          <w:top w:w="0" w:type="dxa"/>
          <w:left w:w="0" w:type="dxa"/>
          <w:bottom w:w="0" w:type="dxa"/>
          <w:right w:w="0" w:type="dxa"/>
        </w:tblCellMar>
      </w:tblPr>
      <w:tblGrid>
        <w:gridCol w:w="664"/>
        <w:gridCol w:w="1145"/>
        <w:gridCol w:w="1025"/>
        <w:gridCol w:w="2392"/>
        <w:gridCol w:w="2394"/>
        <w:gridCol w:w="2392"/>
      </w:tblGrid>
      <w:tr>
        <w:tblPrEx>
          <w:tblCellMar>
            <w:top w:w="0" w:type="dxa"/>
            <w:left w:w="0" w:type="dxa"/>
            <w:bottom w:w="0" w:type="dxa"/>
            <w:right w:w="0" w:type="dxa"/>
          </w:tblCellMar>
        </w:tblPrEx>
        <w:trPr>
          <w:trHeight w:val="1034" w:hRule="atLeast"/>
          <w:jc w:val="center"/>
        </w:trPr>
        <w:tc>
          <w:tcPr>
            <w:tcW w:w="1001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83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安全生产工作项目</w:t>
            </w:r>
          </w:p>
        </w:tc>
      </w:tr>
      <w:tr>
        <w:tblPrEx>
          <w:tblCellMar>
            <w:top w:w="0" w:type="dxa"/>
            <w:left w:w="0" w:type="dxa"/>
            <w:bottom w:w="0" w:type="dxa"/>
            <w:right w:w="0" w:type="dxa"/>
          </w:tblCellMar>
        </w:tblPrEx>
        <w:trPr>
          <w:trHeight w:val="276" w:hRule="atLeast"/>
          <w:jc w:val="center"/>
        </w:trPr>
        <w:tc>
          <w:tcPr>
            <w:tcW w:w="2834"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6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9.86</w:t>
            </w:r>
          </w:p>
        </w:tc>
      </w:tr>
      <w:tr>
        <w:tblPrEx>
          <w:tblCellMar>
            <w:top w:w="0" w:type="dxa"/>
            <w:left w:w="0" w:type="dxa"/>
            <w:bottom w:w="0" w:type="dxa"/>
            <w:right w:w="0" w:type="dxa"/>
          </w:tblCellMar>
        </w:tblPrEx>
        <w:trPr>
          <w:trHeight w:val="276"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 w:val="24"/>
              </w:rPr>
            </w:pPr>
          </w:p>
        </w:tc>
        <w:tc>
          <w:tcPr>
            <w:tcW w:w="21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9.86</w:t>
            </w:r>
          </w:p>
        </w:tc>
      </w:tr>
      <w:tr>
        <w:tblPrEx>
          <w:tblCellMar>
            <w:top w:w="0" w:type="dxa"/>
            <w:left w:w="0" w:type="dxa"/>
            <w:bottom w:w="0" w:type="dxa"/>
            <w:right w:w="0" w:type="dxa"/>
          </w:tblCellMar>
        </w:tblPrEx>
        <w:trPr>
          <w:trHeight w:val="741"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 w:val="24"/>
              </w:rPr>
            </w:pPr>
          </w:p>
        </w:tc>
        <w:tc>
          <w:tcPr>
            <w:tcW w:w="21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6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6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 w:val="24"/>
              </w:rPr>
            </w:pPr>
          </w:p>
        </w:tc>
        <w:tc>
          <w:tcPr>
            <w:tcW w:w="456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进一步</w:t>
            </w:r>
            <w:r>
              <w:rPr>
                <w:rFonts w:hint="eastAsia" w:ascii="宋体" w:hAnsi="宋体" w:cs="宋体"/>
                <w:color w:val="000000"/>
                <w:sz w:val="24"/>
                <w:lang w:val="en-US" w:eastAsia="zh-CN"/>
              </w:rPr>
              <w:t>压紧压实企业安全生产主体责任，</w:t>
            </w:r>
            <w:r>
              <w:rPr>
                <w:rFonts w:hint="eastAsia" w:ascii="宋体" w:hAnsi="宋体" w:cs="宋体"/>
                <w:color w:val="000000"/>
                <w:sz w:val="24"/>
                <w:lang w:eastAsia="zh-CN"/>
              </w:rPr>
              <w:t>帮助企业辨识风险、排查隐患</w:t>
            </w:r>
          </w:p>
        </w:tc>
        <w:tc>
          <w:tcPr>
            <w:tcW w:w="478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进一步</w:t>
            </w:r>
            <w:r>
              <w:rPr>
                <w:rFonts w:hint="eastAsia" w:ascii="宋体" w:hAnsi="宋体" w:cs="宋体"/>
                <w:color w:val="000000"/>
                <w:sz w:val="24"/>
                <w:lang w:val="en-US" w:eastAsia="zh-CN"/>
              </w:rPr>
              <w:t>压紧压实了企业安全生产主体责任，</w:t>
            </w:r>
            <w:r>
              <w:rPr>
                <w:rFonts w:hint="eastAsia" w:ascii="宋体" w:hAnsi="宋体" w:cs="宋体"/>
                <w:color w:val="000000"/>
                <w:sz w:val="24"/>
                <w:lang w:eastAsia="zh-CN"/>
              </w:rPr>
              <w:t>帮助企业辨识风险、排查隐患，筑牢安全生产防线</w:t>
            </w:r>
          </w:p>
        </w:tc>
      </w:tr>
      <w:tr>
        <w:tblPrEx>
          <w:tblCellMar>
            <w:top w:w="0" w:type="dxa"/>
            <w:left w:w="0" w:type="dxa"/>
            <w:bottom w:w="0" w:type="dxa"/>
            <w:right w:w="0" w:type="dxa"/>
          </w:tblCellMar>
        </w:tblPrEx>
        <w:trPr>
          <w:trHeight w:val="572" w:hRule="atLeast"/>
          <w:jc w:val="center"/>
        </w:trPr>
        <w:tc>
          <w:tcPr>
            <w:tcW w:w="6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96"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数量指标1</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color w:val="000000"/>
                <w:sz w:val="24"/>
                <w:lang w:val="en-US"/>
              </w:rPr>
            </w:pPr>
            <w:r>
              <w:rPr>
                <w:rFonts w:hint="eastAsia" w:ascii="宋体" w:hAnsi="宋体" w:eastAsia="宋体" w:cs="宋体"/>
                <w:i w:val="0"/>
                <w:color w:val="000000"/>
                <w:kern w:val="0"/>
                <w:sz w:val="18"/>
                <w:szCs w:val="18"/>
                <w:u w:val="none"/>
                <w:lang w:val="en-US" w:eastAsia="zh-CN" w:bidi="ar"/>
              </w:rPr>
              <w:t>聘请专家</w:t>
            </w:r>
            <w:r>
              <w:rPr>
                <w:rFonts w:hint="eastAsia" w:ascii="宋体" w:hAnsi="宋体" w:cs="宋体"/>
                <w:i w:val="0"/>
                <w:color w:val="000000"/>
                <w:kern w:val="0"/>
                <w:sz w:val="18"/>
                <w:szCs w:val="18"/>
                <w:u w:val="none"/>
                <w:lang w:val="en-US" w:eastAsia="zh-CN" w:bidi="ar"/>
              </w:rPr>
              <w:t>开展</w:t>
            </w:r>
            <w:r>
              <w:rPr>
                <w:rFonts w:hint="eastAsia" w:ascii="宋体" w:hAnsi="宋体" w:eastAsia="宋体" w:cs="宋体"/>
                <w:i w:val="0"/>
                <w:color w:val="000000"/>
                <w:kern w:val="0"/>
                <w:sz w:val="18"/>
                <w:szCs w:val="18"/>
                <w:u w:val="none"/>
                <w:lang w:val="en-US" w:eastAsia="zh-CN" w:bidi="ar"/>
              </w:rPr>
              <w:t>监督检查工作</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组织相关部门查处非法经营成品油</w:t>
            </w:r>
            <w:r>
              <w:rPr>
                <w:rFonts w:hint="eastAsia" w:ascii="宋体" w:hAnsi="宋体" w:cs="宋体"/>
                <w:i w:val="0"/>
                <w:color w:val="000000"/>
                <w:kern w:val="0"/>
                <w:sz w:val="18"/>
                <w:szCs w:val="18"/>
                <w:u w:val="none"/>
                <w:lang w:val="en-US" w:eastAsia="zh-CN" w:bidi="ar"/>
              </w:rPr>
              <w:t>行为</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12次</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49次</w:t>
            </w:r>
          </w:p>
        </w:tc>
      </w:tr>
      <w:tr>
        <w:tblPrEx>
          <w:tblCellMar>
            <w:top w:w="0" w:type="dxa"/>
            <w:left w:w="0" w:type="dxa"/>
            <w:bottom w:w="0" w:type="dxa"/>
            <w:right w:w="0" w:type="dxa"/>
          </w:tblCellMar>
        </w:tblPrEx>
        <w:trPr>
          <w:trHeight w:val="897"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数量指标2</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“安全生产月”安全活动1次，“11.9”消防日活动1次，安全工作创新活动2次</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4次</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18"/>
                <w:szCs w:val="18"/>
                <w:u w:val="none"/>
                <w:lang w:val="en-US" w:eastAsia="zh-CN" w:bidi="ar"/>
              </w:rPr>
              <w:t>4次</w:t>
            </w:r>
          </w:p>
        </w:tc>
      </w:tr>
      <w:tr>
        <w:tblPrEx>
          <w:tblCellMar>
            <w:top w:w="0" w:type="dxa"/>
            <w:left w:w="0" w:type="dxa"/>
            <w:bottom w:w="0" w:type="dxa"/>
            <w:right w:w="0" w:type="dxa"/>
          </w:tblCellMar>
        </w:tblPrEx>
        <w:trPr>
          <w:trHeight w:val="457"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数量指标3</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应急演练预案编审，购买器材、设备，训练演练</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2次</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18"/>
                <w:szCs w:val="18"/>
                <w:u w:val="none"/>
                <w:lang w:val="en-US" w:eastAsia="zh-CN" w:bidi="ar"/>
              </w:rPr>
              <w:t>2次</w:t>
            </w:r>
          </w:p>
        </w:tc>
      </w:tr>
      <w:tr>
        <w:tblPrEx>
          <w:tblCellMar>
            <w:top w:w="0" w:type="dxa"/>
            <w:left w:w="0" w:type="dxa"/>
            <w:bottom w:w="0" w:type="dxa"/>
            <w:right w:w="0" w:type="dxa"/>
          </w:tblCellMar>
        </w:tblPrEx>
        <w:trPr>
          <w:trHeight w:val="357"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质量指标1</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安全生产隐患整改率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85%以上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18"/>
                <w:szCs w:val="18"/>
                <w:u w:val="none"/>
                <w:lang w:val="en-US" w:eastAsia="zh-CN" w:bidi="ar"/>
              </w:rPr>
              <w:t>97%</w:t>
            </w:r>
          </w:p>
        </w:tc>
      </w:tr>
      <w:tr>
        <w:tblPrEx>
          <w:tblCellMar>
            <w:top w:w="0" w:type="dxa"/>
            <w:left w:w="0" w:type="dxa"/>
            <w:bottom w:w="0" w:type="dxa"/>
            <w:right w:w="0" w:type="dxa"/>
          </w:tblCellMar>
        </w:tblPrEx>
        <w:trPr>
          <w:trHeight w:val="409"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color w:val="000000"/>
                <w:sz w:val="24"/>
                <w:lang w:val="en-US"/>
              </w:rPr>
            </w:pPr>
            <w:r>
              <w:rPr>
                <w:rFonts w:hint="eastAsia" w:ascii="宋体" w:hAnsi="宋体" w:cs="宋体"/>
                <w:i w:val="0"/>
                <w:color w:val="000000"/>
                <w:kern w:val="0"/>
                <w:sz w:val="18"/>
                <w:szCs w:val="18"/>
                <w:u w:val="none"/>
                <w:lang w:val="en-US" w:eastAsia="zh-CN" w:bidi="ar"/>
              </w:rPr>
              <w:t>时效指标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安全生产事故比上年降低50%以上</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年底达成</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18"/>
                <w:szCs w:val="18"/>
                <w:u w:val="none"/>
                <w:lang w:val="en-US" w:eastAsia="zh-CN" w:bidi="ar"/>
              </w:rPr>
              <w:t>年底已达成</w:t>
            </w:r>
          </w:p>
        </w:tc>
      </w:tr>
      <w:tr>
        <w:tblPrEx>
          <w:tblCellMar>
            <w:top w:w="0" w:type="dxa"/>
            <w:left w:w="0" w:type="dxa"/>
            <w:bottom w:w="0" w:type="dxa"/>
            <w:right w:w="0" w:type="dxa"/>
          </w:tblCellMar>
        </w:tblPrEx>
        <w:trPr>
          <w:trHeight w:val="377"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color w:val="000000"/>
                <w:sz w:val="24"/>
                <w:lang w:val="en-US"/>
              </w:rPr>
            </w:pPr>
            <w:r>
              <w:rPr>
                <w:rFonts w:hint="eastAsia" w:ascii="宋体" w:hAnsi="宋体" w:eastAsia="宋体" w:cs="宋体"/>
                <w:i w:val="0"/>
                <w:color w:val="000000"/>
                <w:kern w:val="0"/>
                <w:sz w:val="18"/>
                <w:szCs w:val="18"/>
                <w:u w:val="none"/>
                <w:lang w:val="en-US" w:eastAsia="zh-CN" w:bidi="ar"/>
              </w:rPr>
              <w:t>社会指标</w:t>
            </w:r>
            <w:r>
              <w:rPr>
                <w:rFonts w:hint="eastAsia" w:ascii="宋体" w:hAnsi="宋体" w:cs="宋体"/>
                <w:i w:val="0"/>
                <w:color w:val="000000"/>
                <w:kern w:val="0"/>
                <w:sz w:val="18"/>
                <w:szCs w:val="18"/>
                <w:u w:val="none"/>
                <w:lang w:val="en-US" w:eastAsia="zh-CN" w:bidi="ar"/>
              </w:rPr>
              <w:t>1</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安全管理人员持证上岗率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452" w:hRule="atLeast"/>
          <w:jc w:val="cent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color w:val="000000"/>
                <w:sz w:val="24"/>
                <w:lang w:val="en-US"/>
              </w:rPr>
            </w:pPr>
            <w:r>
              <w:rPr>
                <w:rFonts w:hint="eastAsia" w:ascii="宋体" w:hAnsi="宋体" w:eastAsia="宋体" w:cs="宋体"/>
                <w:i w:val="0"/>
                <w:color w:val="000000"/>
                <w:kern w:val="0"/>
                <w:sz w:val="18"/>
                <w:szCs w:val="18"/>
                <w:u w:val="none"/>
                <w:lang w:val="en-US" w:eastAsia="zh-CN" w:bidi="ar"/>
              </w:rPr>
              <w:t>社会指标</w:t>
            </w:r>
            <w:r>
              <w:rPr>
                <w:rFonts w:hint="eastAsia" w:ascii="宋体" w:hAnsi="宋体" w:cs="宋体"/>
                <w:i w:val="0"/>
                <w:color w:val="000000"/>
                <w:kern w:val="0"/>
                <w:sz w:val="18"/>
                <w:szCs w:val="18"/>
                <w:u w:val="none"/>
                <w:lang w:val="en-US" w:eastAsia="zh-CN" w:bidi="ar"/>
              </w:rPr>
              <w:t>2</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安全生产标准化创建工作</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70%以上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18"/>
                <w:szCs w:val="18"/>
                <w:u w:val="none"/>
                <w:lang w:val="en-US" w:eastAsia="zh-CN" w:bidi="ar"/>
              </w:rPr>
              <w:t>75%</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峨眉山市经济和信息化局</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 w:eastAsia="仿宋_GB2312" w:cs="Times New Roman"/>
          <w:sz w:val="32"/>
          <w:szCs w:val="32"/>
          <w:lang w:eastAsia="zh-CN"/>
        </w:rPr>
        <w:t>三</w:t>
      </w:r>
      <w:r>
        <w:rPr>
          <w:rFonts w:hint="eastAsia" w:ascii="仿宋_GB2312" w:hAnsi="仿宋" w:eastAsia="仿宋_GB2312" w:cs="Times New Roman"/>
          <w:sz w:val="32"/>
          <w:szCs w:val="32"/>
          <w:lang w:val="en-US" w:eastAsia="zh-CN"/>
        </w:rPr>
        <w:t>家关停企业职工生活补助</w:t>
      </w:r>
      <w:r>
        <w:rPr>
          <w:rFonts w:hint="eastAsia" w:ascii="仿宋_GB2312" w:hAnsi="仿宋_GB2312" w:eastAsia="仿宋_GB2312" w:cs="仿宋_GB2312"/>
          <w:sz w:val="32"/>
          <w:szCs w:val="32"/>
        </w:rPr>
        <w:t>项目开展了绩效评价，《</w:t>
      </w:r>
      <w:r>
        <w:rPr>
          <w:rFonts w:hint="eastAsia" w:ascii="仿宋_GB2312" w:hAnsi="仿宋" w:eastAsia="仿宋_GB2312" w:cs="Times New Roman"/>
          <w:sz w:val="32"/>
          <w:szCs w:val="32"/>
          <w:lang w:eastAsia="zh-CN"/>
        </w:rPr>
        <w:t>三</w:t>
      </w:r>
      <w:r>
        <w:rPr>
          <w:rFonts w:hint="eastAsia" w:ascii="仿宋_GB2312" w:hAnsi="仿宋" w:eastAsia="仿宋_GB2312" w:cs="Times New Roman"/>
          <w:sz w:val="32"/>
          <w:szCs w:val="32"/>
          <w:lang w:val="en-US" w:eastAsia="zh-CN"/>
        </w:rPr>
        <w:t>家关停企业职工生活补助</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9" w:name="_Toc15377225"/>
      <w:bookmarkStart w:id="50"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
        <w:spacing w:line="560" w:lineRule="exact"/>
        <w:ind w:left="638" w:leftChars="304" w:firstLine="0" w:firstLineChars="0"/>
        <w:rPr>
          <w:rFonts w:hint="eastAsia" w:ascii="仿宋_GB2312" w:eastAsia="仿宋_GB2312"/>
          <w:sz w:val="32"/>
          <w:szCs w:val="32"/>
          <w:lang w:eastAsia="zh-CN"/>
        </w:rPr>
      </w:pPr>
      <w:r>
        <w:rPr>
          <w:rFonts w:ascii="仿宋_GB2312" w:eastAsia="仿宋_GB2312"/>
          <w:sz w:val="32"/>
          <w:szCs w:val="32"/>
        </w:rPr>
        <w:t>4.</w:t>
      </w:r>
      <w:r>
        <w:rPr>
          <w:rFonts w:hint="eastAsia" w:ascii="仿宋_GB2312" w:eastAsia="仿宋_GB2312"/>
          <w:sz w:val="32"/>
          <w:szCs w:val="32"/>
        </w:rPr>
        <w:t>其他收入：指单位取得的除上述收入以外的各项收</w:t>
      </w:r>
      <w:r>
        <w:rPr>
          <w:rFonts w:hint="eastAsia" w:ascii="仿宋_GB2312" w:eastAsia="仿宋_GB2312"/>
          <w:sz w:val="32"/>
          <w:szCs w:val="32"/>
          <w:lang w:eastAsia="zh-CN"/>
        </w:rPr>
        <w:t>。</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pStyle w:val="2"/>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一般公共服务（类）</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（款）其他政府办公厅（室）及相关机构事务支出（项）:</w:t>
      </w:r>
      <w:r>
        <w:rPr>
          <w:rFonts w:hint="eastAsia" w:ascii="仿宋_GB2312" w:eastAsia="仿宋_GB2312"/>
          <w:sz w:val="32"/>
          <w:szCs w:val="32"/>
          <w:lang w:val="en-US" w:eastAsia="zh-CN"/>
        </w:rPr>
        <w:t>反映除上述项目以外的其他政府办公厅（室）及相关机构事物支出。</w:t>
      </w:r>
    </w:p>
    <w:p>
      <w:pPr>
        <w:spacing w:line="600" w:lineRule="exact"/>
        <w:ind w:firstLine="640" w:firstLineChars="200"/>
        <w:rPr>
          <w:rFonts w:ascii="仿宋_GB2312" w:eastAsia="仿宋_GB2312"/>
          <w:b/>
          <w:color w:val="auto"/>
          <w:sz w:val="32"/>
          <w:szCs w:val="32"/>
        </w:rPr>
      </w:pPr>
      <w:r>
        <w:rPr>
          <w:rStyle w:val="16"/>
          <w:rFonts w:hint="eastAsia" w:ascii="仿宋_GB2312" w:eastAsia="仿宋_GB2312"/>
          <w:b w:val="0"/>
          <w:color w:val="auto"/>
          <w:sz w:val="32"/>
          <w:szCs w:val="32"/>
          <w:lang w:val="en-US" w:eastAsia="zh-CN"/>
        </w:rPr>
        <w:t>10</w:t>
      </w:r>
      <w:r>
        <w:rPr>
          <w:rStyle w:val="16"/>
          <w:rFonts w:hint="eastAsia" w:ascii="仿宋_GB2312" w:eastAsia="仿宋_GB2312"/>
          <w:b w:val="0"/>
          <w:color w:val="auto"/>
          <w:sz w:val="32"/>
          <w:szCs w:val="32"/>
        </w:rPr>
        <w:t>.社会保障和就业支出（类）行政事业单位离退休（款）未归口管理的行政单位离退休（项）</w:t>
      </w:r>
      <w:r>
        <w:rPr>
          <w:rStyle w:val="16"/>
          <w:rFonts w:hint="eastAsia" w:ascii="仿宋_GB2312" w:eastAsia="仿宋_GB2312"/>
          <w:color w:val="auto"/>
          <w:sz w:val="32"/>
          <w:szCs w:val="32"/>
        </w:rPr>
        <w:t>:</w:t>
      </w:r>
      <w:r>
        <w:rPr>
          <w:rFonts w:hint="eastAsia" w:ascii="仿宋_GB2312" w:eastAsia="仿宋_GB2312"/>
          <w:color w:val="auto"/>
          <w:sz w:val="32"/>
          <w:szCs w:val="32"/>
        </w:rPr>
        <w:t>指反映未实行归口管理的行政单位（包括实行公务员管理的事业单位）开支的离退休支出。</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w:t>
      </w:r>
      <w:r>
        <w:rPr>
          <w:rStyle w:val="16"/>
          <w:rFonts w:hint="eastAsia" w:ascii="仿宋_GB2312" w:eastAsia="仿宋_GB2312"/>
          <w:b w:val="0"/>
          <w:color w:val="auto"/>
          <w:sz w:val="32"/>
          <w:szCs w:val="32"/>
        </w:rPr>
        <w:t>社会保障和就业支出（类）行政事业单位离退休（款）机关事业单位基本养老保险缴费支出（项）:</w:t>
      </w:r>
      <w:r>
        <w:rPr>
          <w:rFonts w:hint="eastAsia" w:ascii="仿宋_GB2312" w:eastAsia="仿宋_GB2312"/>
          <w:color w:val="auto"/>
          <w:sz w:val="32"/>
          <w:szCs w:val="32"/>
        </w:rPr>
        <w:t>指反映机关事业单位实施养老保险制度由单位缴纳的基本养老保险费支出。</w:t>
      </w:r>
    </w:p>
    <w:p>
      <w:pPr>
        <w:spacing w:line="600" w:lineRule="exact"/>
        <w:ind w:firstLine="640" w:firstLineChars="200"/>
        <w:rPr>
          <w:rFonts w:hint="eastAsia" w:ascii="仿宋_GB2312" w:eastAsia="仿宋_GB2312"/>
          <w:color w:val="auto"/>
          <w:sz w:val="32"/>
          <w:szCs w:val="32"/>
        </w:rPr>
      </w:pPr>
      <w:r>
        <w:rPr>
          <w:rStyle w:val="16"/>
          <w:rFonts w:hint="eastAsia" w:ascii="仿宋_GB2312" w:eastAsia="仿宋_GB2312"/>
          <w:b w:val="0"/>
          <w:color w:val="auto"/>
          <w:sz w:val="32"/>
          <w:szCs w:val="32"/>
          <w:lang w:val="en-US" w:eastAsia="zh-CN"/>
        </w:rPr>
        <w:t>12</w:t>
      </w:r>
      <w:r>
        <w:rPr>
          <w:rStyle w:val="16"/>
          <w:rFonts w:hint="eastAsia" w:ascii="仿宋_GB2312" w:eastAsia="仿宋_GB2312"/>
          <w:b w:val="0"/>
          <w:color w:val="auto"/>
          <w:sz w:val="32"/>
          <w:szCs w:val="32"/>
        </w:rPr>
        <w:t>.社会保障和就业支出（类）行政事业单位离退休（款）机关事业单位职业年金缴费支出（项）：</w:t>
      </w:r>
      <w:r>
        <w:rPr>
          <w:rFonts w:hint="eastAsia" w:ascii="仿宋_GB2312" w:eastAsia="仿宋_GB2312"/>
          <w:color w:val="auto"/>
          <w:sz w:val="32"/>
          <w:szCs w:val="32"/>
        </w:rPr>
        <w:t>指反映机关事业单位实施养老保险制度由单位缴纳的职业年金支出。</w:t>
      </w:r>
    </w:p>
    <w:p>
      <w:pPr>
        <w:spacing w:line="600" w:lineRule="exact"/>
        <w:ind w:firstLine="640" w:firstLineChars="200"/>
        <w:rPr>
          <w:rFonts w:hint="eastAsia" w:ascii="仿宋_GB2312" w:eastAsia="仿宋_GB2312"/>
          <w:color w:val="auto"/>
          <w:sz w:val="32"/>
          <w:szCs w:val="32"/>
        </w:rPr>
      </w:pPr>
      <w:r>
        <w:rPr>
          <w:rStyle w:val="16"/>
          <w:rFonts w:hint="eastAsia" w:ascii="仿宋_GB2312" w:hAnsi="宋体" w:eastAsia="仿宋_GB2312" w:cs="宋体"/>
          <w:b w:val="0"/>
          <w:color w:val="auto"/>
          <w:sz w:val="32"/>
          <w:szCs w:val="32"/>
        </w:rPr>
        <w:t>1</w:t>
      </w:r>
      <w:r>
        <w:rPr>
          <w:rStyle w:val="16"/>
          <w:rFonts w:hint="eastAsia" w:ascii="仿宋_GB2312" w:hAnsi="宋体" w:eastAsia="仿宋_GB2312" w:cs="宋体"/>
          <w:b w:val="0"/>
          <w:color w:val="auto"/>
          <w:sz w:val="32"/>
          <w:szCs w:val="32"/>
          <w:lang w:val="en-US" w:eastAsia="zh-CN"/>
        </w:rPr>
        <w:t>3</w:t>
      </w:r>
      <w:r>
        <w:rPr>
          <w:rStyle w:val="16"/>
          <w:rFonts w:hint="eastAsia" w:ascii="仿宋_GB2312" w:hAnsi="宋体" w:eastAsia="仿宋_GB2312" w:cs="宋体"/>
          <w:b w:val="0"/>
          <w:color w:val="auto"/>
          <w:sz w:val="32"/>
          <w:szCs w:val="32"/>
        </w:rPr>
        <w:t>.社会保障和就业支出（类）企业改革补助（款）其他企业改革发展补助（项）:</w:t>
      </w:r>
      <w:r>
        <w:rPr>
          <w:rFonts w:hint="eastAsia" w:ascii="仿宋_GB2312" w:eastAsia="仿宋_GB2312"/>
          <w:color w:val="auto"/>
          <w:sz w:val="32"/>
          <w:szCs w:val="32"/>
        </w:rPr>
        <w:t>指反映除上述项目以外财政用于企业改革发展方面的补助。</w:t>
      </w:r>
    </w:p>
    <w:p>
      <w:pPr>
        <w:spacing w:line="600" w:lineRule="exact"/>
        <w:ind w:firstLine="640" w:firstLineChars="200"/>
        <w:rPr>
          <w:rFonts w:ascii="仿宋_GB2312" w:eastAsia="仿宋_GB2312"/>
          <w:color w:val="auto"/>
          <w:sz w:val="32"/>
          <w:szCs w:val="32"/>
        </w:rPr>
      </w:pPr>
      <w:r>
        <w:rPr>
          <w:rStyle w:val="16"/>
          <w:rFonts w:hint="eastAsia" w:ascii="仿宋_GB2312" w:eastAsia="仿宋_GB2312"/>
          <w:b w:val="0"/>
          <w:color w:val="auto"/>
          <w:sz w:val="32"/>
          <w:szCs w:val="32"/>
        </w:rPr>
        <w:t>1</w:t>
      </w:r>
      <w:r>
        <w:rPr>
          <w:rStyle w:val="16"/>
          <w:rFonts w:hint="eastAsia" w:ascii="仿宋_GB2312" w:eastAsia="仿宋_GB2312"/>
          <w:b w:val="0"/>
          <w:color w:val="auto"/>
          <w:sz w:val="32"/>
          <w:szCs w:val="32"/>
          <w:lang w:val="en-US" w:eastAsia="zh-CN"/>
        </w:rPr>
        <w:t>4</w:t>
      </w:r>
      <w:r>
        <w:rPr>
          <w:rStyle w:val="16"/>
          <w:rFonts w:hint="eastAsia" w:ascii="仿宋_GB2312" w:eastAsia="仿宋_GB2312"/>
          <w:b w:val="0"/>
          <w:color w:val="auto"/>
          <w:sz w:val="32"/>
          <w:szCs w:val="32"/>
        </w:rPr>
        <w:t>. 社会保障和就业支出（类）抚恤（款）死亡抚恤（项）:</w:t>
      </w:r>
      <w:r>
        <w:rPr>
          <w:rFonts w:hint="eastAsia" w:ascii="仿宋_GB2312" w:eastAsia="仿宋_GB2312"/>
          <w:color w:val="auto"/>
          <w:sz w:val="32"/>
          <w:szCs w:val="32"/>
        </w:rPr>
        <w:t>指反映按规定用于烈士和牺牲、病故人员家属的一次性和定期抚恤金以及丧葬补助费。</w:t>
      </w:r>
    </w:p>
    <w:p>
      <w:pPr>
        <w:spacing w:line="600" w:lineRule="exact"/>
        <w:ind w:firstLine="640" w:firstLineChars="200"/>
        <w:rPr>
          <w:rFonts w:hint="eastAsia" w:ascii="仿宋_GB2312" w:eastAsia="仿宋_GB2312"/>
          <w:color w:val="auto"/>
          <w:sz w:val="32"/>
          <w:szCs w:val="32"/>
        </w:rPr>
      </w:pPr>
      <w:r>
        <w:rPr>
          <w:rStyle w:val="16"/>
          <w:rFonts w:hint="eastAsia" w:ascii="仿宋_GB2312" w:eastAsia="仿宋_GB2312"/>
          <w:b w:val="0"/>
          <w:color w:val="auto"/>
          <w:sz w:val="32"/>
          <w:szCs w:val="32"/>
        </w:rPr>
        <w:t>1</w:t>
      </w:r>
      <w:r>
        <w:rPr>
          <w:rStyle w:val="16"/>
          <w:rFonts w:hint="eastAsia" w:ascii="仿宋_GB2312" w:eastAsia="仿宋_GB2312"/>
          <w:b w:val="0"/>
          <w:color w:val="auto"/>
          <w:sz w:val="32"/>
          <w:szCs w:val="32"/>
          <w:lang w:val="en-US" w:eastAsia="zh-CN"/>
        </w:rPr>
        <w:t>5</w:t>
      </w:r>
      <w:r>
        <w:rPr>
          <w:rStyle w:val="16"/>
          <w:rFonts w:hint="eastAsia" w:ascii="仿宋_GB2312" w:eastAsia="仿宋_GB2312"/>
          <w:b w:val="0"/>
          <w:color w:val="auto"/>
          <w:sz w:val="32"/>
          <w:szCs w:val="32"/>
        </w:rPr>
        <w:t>. 社会保障和就业支出（类）抚恤（款）其他优抚支出（项）:</w:t>
      </w:r>
      <w:r>
        <w:rPr>
          <w:rFonts w:hint="eastAsia" w:ascii="仿宋_GB2312" w:eastAsia="仿宋_GB2312"/>
          <w:color w:val="auto"/>
          <w:sz w:val="32"/>
          <w:szCs w:val="32"/>
        </w:rPr>
        <w:t>指反映除上述项目以外其他用于优抚方面的支出。</w:t>
      </w:r>
    </w:p>
    <w:p>
      <w:pPr>
        <w:spacing w:line="600" w:lineRule="exact"/>
        <w:ind w:firstLine="640" w:firstLineChars="200"/>
        <w:rPr>
          <w:rFonts w:hint="eastAsia" w:ascii="仿宋_GB2312" w:eastAsia="仿宋_GB2312"/>
          <w:color w:val="auto"/>
          <w:sz w:val="32"/>
          <w:szCs w:val="32"/>
        </w:rPr>
      </w:pPr>
      <w:r>
        <w:rPr>
          <w:rStyle w:val="16"/>
          <w:rFonts w:hint="eastAsia" w:ascii="仿宋_GB2312" w:eastAsia="仿宋_GB2312"/>
          <w:b w:val="0"/>
          <w:color w:val="auto"/>
          <w:sz w:val="32"/>
          <w:szCs w:val="32"/>
        </w:rPr>
        <w:t>1</w:t>
      </w:r>
      <w:r>
        <w:rPr>
          <w:rStyle w:val="16"/>
          <w:rFonts w:hint="eastAsia" w:ascii="仿宋_GB2312" w:eastAsia="仿宋_GB2312"/>
          <w:b w:val="0"/>
          <w:color w:val="auto"/>
          <w:sz w:val="32"/>
          <w:szCs w:val="32"/>
          <w:lang w:val="en-US" w:eastAsia="zh-CN"/>
        </w:rPr>
        <w:t>6</w:t>
      </w:r>
      <w:r>
        <w:rPr>
          <w:rStyle w:val="16"/>
          <w:rFonts w:hint="eastAsia" w:ascii="仿宋_GB2312" w:eastAsia="仿宋_GB2312"/>
          <w:b w:val="0"/>
          <w:color w:val="auto"/>
          <w:sz w:val="32"/>
          <w:szCs w:val="32"/>
        </w:rPr>
        <w:t>. 社会保障和就业支出（类）临时救助（款）临时救助支出（项）:</w:t>
      </w:r>
      <w:r>
        <w:rPr>
          <w:rFonts w:hint="eastAsia" w:ascii="仿宋_GB2312" w:eastAsia="仿宋_GB2312"/>
          <w:color w:val="auto"/>
          <w:sz w:val="32"/>
          <w:szCs w:val="32"/>
        </w:rPr>
        <w:t>指反映用于城乡生活困难居民的临时救助支出。</w:t>
      </w:r>
    </w:p>
    <w:p>
      <w:pPr>
        <w:spacing w:line="600" w:lineRule="exact"/>
        <w:ind w:firstLine="640" w:firstLineChars="200"/>
        <w:rPr>
          <w:rFonts w:ascii="仿宋_GB2312" w:eastAsia="仿宋_GB2312"/>
          <w:color w:val="auto"/>
          <w:sz w:val="32"/>
          <w:szCs w:val="32"/>
        </w:rPr>
      </w:pPr>
      <w:r>
        <w:rPr>
          <w:rStyle w:val="16"/>
          <w:rFonts w:hint="eastAsia" w:ascii="仿宋_GB2312" w:eastAsia="仿宋_GB2312"/>
          <w:b w:val="0"/>
          <w:color w:val="auto"/>
          <w:sz w:val="32"/>
          <w:szCs w:val="32"/>
        </w:rPr>
        <w:t>1</w:t>
      </w:r>
      <w:r>
        <w:rPr>
          <w:rStyle w:val="16"/>
          <w:rFonts w:hint="eastAsia" w:ascii="仿宋_GB2312" w:eastAsia="仿宋_GB2312"/>
          <w:b w:val="0"/>
          <w:color w:val="auto"/>
          <w:sz w:val="32"/>
          <w:szCs w:val="32"/>
          <w:lang w:val="en-US" w:eastAsia="zh-CN"/>
        </w:rPr>
        <w:t>7</w:t>
      </w:r>
      <w:r>
        <w:rPr>
          <w:rStyle w:val="16"/>
          <w:rFonts w:hint="eastAsia" w:ascii="仿宋_GB2312" w:eastAsia="仿宋_GB2312"/>
          <w:b w:val="0"/>
          <w:color w:val="auto"/>
          <w:sz w:val="32"/>
          <w:szCs w:val="32"/>
        </w:rPr>
        <w:t>.社会保障和就业支出（类）其他社会保障和就业支出（款）其他社会保障和就业支出（项）:</w:t>
      </w:r>
      <w:r>
        <w:rPr>
          <w:rFonts w:hint="eastAsia" w:ascii="仿宋_GB2312" w:eastAsia="仿宋_GB2312"/>
          <w:color w:val="auto"/>
          <w:sz w:val="32"/>
          <w:szCs w:val="32"/>
        </w:rPr>
        <w:t>指反映除上述项目以外其他用于社会保障和就业方面的支出。</w:t>
      </w:r>
    </w:p>
    <w:p>
      <w:pPr>
        <w:spacing w:line="600" w:lineRule="exact"/>
        <w:ind w:firstLine="640" w:firstLineChars="200"/>
        <w:rPr>
          <w:rFonts w:hint="eastAsia" w:ascii="仿宋_GB2312" w:eastAsia="仿宋_GB2312"/>
          <w:bCs/>
          <w:color w:val="auto"/>
          <w:sz w:val="32"/>
          <w:szCs w:val="32"/>
        </w:rPr>
      </w:pPr>
      <w:r>
        <w:rPr>
          <w:rStyle w:val="16"/>
          <w:rFonts w:hint="eastAsia" w:ascii="仿宋_GB2312" w:hAnsi="宋体" w:eastAsia="仿宋_GB2312" w:cs="宋体"/>
          <w:b w:val="0"/>
          <w:color w:val="auto"/>
          <w:sz w:val="32"/>
          <w:szCs w:val="32"/>
        </w:rPr>
        <w:t>1</w:t>
      </w:r>
      <w:r>
        <w:rPr>
          <w:rStyle w:val="16"/>
          <w:rFonts w:hint="eastAsia" w:ascii="仿宋_GB2312" w:hAnsi="宋体" w:eastAsia="仿宋_GB2312" w:cs="宋体"/>
          <w:b w:val="0"/>
          <w:color w:val="auto"/>
          <w:sz w:val="32"/>
          <w:szCs w:val="32"/>
          <w:lang w:val="en-US" w:eastAsia="zh-CN"/>
        </w:rPr>
        <w:t>8</w:t>
      </w:r>
      <w:r>
        <w:rPr>
          <w:rStyle w:val="16"/>
          <w:rFonts w:hint="eastAsia" w:ascii="仿宋_GB2312" w:hAnsi="宋体" w:eastAsia="仿宋_GB2312" w:cs="宋体"/>
          <w:b w:val="0"/>
          <w:color w:val="auto"/>
          <w:sz w:val="32"/>
          <w:szCs w:val="32"/>
        </w:rPr>
        <w:t>. 医疗卫生与计划生育支出（类）医疗保障（款）行政单位医疗（项）:</w:t>
      </w:r>
      <w:r>
        <w:rPr>
          <w:rStyle w:val="16"/>
          <w:rFonts w:hint="eastAsia" w:ascii="仿宋_GB2312" w:hAnsi="仿宋" w:eastAsia="仿宋_GB2312" w:cs="宋体"/>
          <w:color w:val="auto"/>
          <w:sz w:val="32"/>
          <w:szCs w:val="32"/>
        </w:rPr>
        <w:t xml:space="preserve"> </w:t>
      </w:r>
      <w:r>
        <w:rPr>
          <w:rFonts w:hint="eastAsia" w:ascii="仿宋_GB2312" w:eastAsia="仿宋_GB2312"/>
          <w:bCs/>
          <w:color w:val="auto"/>
          <w:sz w:val="32"/>
          <w:szCs w:val="32"/>
        </w:rPr>
        <w:t>指反映财政部门集中安排的行政单位基本医疗保险缴费经费，未参加医疗保险的行政单位的公费医疗经费，按国家规定享受离休人员、红军老战士待遇人员的医疗经费。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rPr>
      </w:pPr>
      <w:r>
        <w:rPr>
          <w:rFonts w:hint="eastAsia" w:ascii="仿宋_GB2312" w:eastAsia="仿宋_GB2312"/>
          <w:b w:val="0"/>
          <w:bCs w:val="0"/>
          <w:color w:val="auto"/>
          <w:sz w:val="32"/>
          <w:szCs w:val="32"/>
          <w:lang w:val="en-US" w:eastAsia="zh-CN"/>
        </w:rPr>
        <w:t>19.城乡社区支出（类）国有土地使用权出让收入及对应专项债务收入安排的支出（款）征地和拆迁补偿支出（项）：指反映地方人民政府在征地和收购土地过程中支付的土地补偿费、安置补助费、地上附着和青苗补偿费、拆迁补偿费支出。</w:t>
      </w:r>
    </w:p>
    <w:p>
      <w:pPr>
        <w:spacing w:line="60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20.城乡社区支出（类）国有土地使用权出让收入及对应专项债务收入安排的支出（款）土地开发支出（项）：指反映地方人民政府用于前期土地开发性支出以及与前期土地开发相关的费用等支出。</w:t>
      </w:r>
    </w:p>
    <w:p>
      <w:pPr>
        <w:spacing w:line="600" w:lineRule="exact"/>
        <w:ind w:firstLine="640" w:firstLineChars="200"/>
        <w:rPr>
          <w:rFonts w:hint="eastAsia" w:ascii="仿宋_GB2312" w:eastAsia="仿宋_GB2312"/>
          <w:bCs/>
          <w:color w:val="auto"/>
          <w:sz w:val="32"/>
          <w:szCs w:val="32"/>
        </w:rPr>
      </w:pPr>
      <w:r>
        <w:rPr>
          <w:rFonts w:hint="eastAsia" w:ascii="仿宋_GB2312" w:eastAsia="仿宋_GB2312"/>
          <w:b w:val="0"/>
          <w:bCs w:val="0"/>
          <w:color w:val="auto"/>
          <w:sz w:val="32"/>
          <w:szCs w:val="32"/>
          <w:lang w:val="en-US" w:eastAsia="zh-CN"/>
        </w:rPr>
        <w:t>21.城乡社区支出（类）国有土地使用权出让收入及对应专项债务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pPr>
        <w:spacing w:line="600" w:lineRule="exact"/>
        <w:ind w:firstLine="640" w:firstLineChars="200"/>
        <w:rPr>
          <w:rFonts w:ascii="仿宋_GB2312" w:eastAsia="仿宋_GB2312"/>
          <w:color w:val="auto"/>
          <w:sz w:val="32"/>
          <w:szCs w:val="32"/>
        </w:rPr>
      </w:pPr>
      <w:r>
        <w:rPr>
          <w:rStyle w:val="16"/>
          <w:rFonts w:hint="eastAsia" w:ascii="仿宋_GB2312" w:eastAsia="仿宋_GB2312"/>
          <w:b w:val="0"/>
          <w:color w:val="auto"/>
          <w:sz w:val="32"/>
          <w:szCs w:val="32"/>
          <w:lang w:val="en-US" w:eastAsia="zh-CN"/>
        </w:rPr>
        <w:t>22</w:t>
      </w:r>
      <w:r>
        <w:rPr>
          <w:rStyle w:val="16"/>
          <w:rFonts w:hint="eastAsia" w:ascii="仿宋_GB2312" w:eastAsia="仿宋_GB2312"/>
          <w:b w:val="0"/>
          <w:color w:val="auto"/>
          <w:sz w:val="32"/>
          <w:szCs w:val="32"/>
        </w:rPr>
        <w:t>. 资源勘探信息等支出（类）制造业（款）其他制造业支出（项）:</w:t>
      </w:r>
      <w:r>
        <w:rPr>
          <w:rFonts w:hint="eastAsia" w:ascii="仿宋_GB2312" w:eastAsia="仿宋_GB2312"/>
          <w:color w:val="auto"/>
          <w:sz w:val="32"/>
          <w:szCs w:val="32"/>
        </w:rPr>
        <w:t>指反映除上述项目以外其他用于制造业方面的支出。</w:t>
      </w:r>
    </w:p>
    <w:p>
      <w:pPr>
        <w:spacing w:line="600" w:lineRule="exact"/>
        <w:ind w:firstLine="640" w:firstLineChars="200"/>
        <w:rPr>
          <w:rFonts w:hint="eastAsia" w:ascii="仿宋_GB2312" w:eastAsia="仿宋_GB2312"/>
          <w:color w:val="auto"/>
          <w:sz w:val="32"/>
          <w:szCs w:val="32"/>
        </w:rPr>
      </w:pPr>
      <w:r>
        <w:rPr>
          <w:rStyle w:val="16"/>
          <w:rFonts w:hint="eastAsia" w:ascii="仿宋_GB2312" w:eastAsia="仿宋_GB2312"/>
          <w:b w:val="0"/>
          <w:color w:val="auto"/>
          <w:sz w:val="32"/>
          <w:szCs w:val="32"/>
          <w:lang w:val="en-US" w:eastAsia="zh-CN"/>
        </w:rPr>
        <w:t>23</w:t>
      </w:r>
      <w:r>
        <w:rPr>
          <w:rStyle w:val="16"/>
          <w:rFonts w:hint="eastAsia" w:ascii="仿宋_GB2312" w:eastAsia="仿宋_GB2312"/>
          <w:b w:val="0"/>
          <w:color w:val="auto"/>
          <w:sz w:val="32"/>
          <w:szCs w:val="32"/>
        </w:rPr>
        <w:t>. 资源勘探信息等支出（类）工业和信息产业监管（款）行政运行（项）:</w:t>
      </w:r>
      <w:r>
        <w:rPr>
          <w:rFonts w:hint="eastAsia" w:ascii="仿宋_GB2312" w:eastAsia="仿宋_GB2312"/>
          <w:color w:val="auto"/>
          <w:sz w:val="32"/>
          <w:szCs w:val="32"/>
        </w:rPr>
        <w:t>指反映行政单位（包括实行公务员管理的事业单位）的基本支出。</w:t>
      </w:r>
    </w:p>
    <w:p>
      <w:pPr>
        <w:spacing w:line="600" w:lineRule="exact"/>
        <w:ind w:firstLine="640" w:firstLineChars="200"/>
        <w:rPr>
          <w:rFonts w:ascii="仿宋_GB2312" w:eastAsia="仿宋_GB2312"/>
          <w:color w:val="auto"/>
          <w:sz w:val="32"/>
          <w:szCs w:val="32"/>
        </w:rPr>
      </w:pPr>
      <w:r>
        <w:rPr>
          <w:rStyle w:val="16"/>
          <w:rFonts w:hint="eastAsia" w:ascii="仿宋_GB2312" w:eastAsia="仿宋_GB2312"/>
          <w:b w:val="0"/>
          <w:color w:val="auto"/>
          <w:sz w:val="32"/>
          <w:szCs w:val="32"/>
          <w:lang w:val="en-US" w:eastAsia="zh-CN"/>
        </w:rPr>
        <w:t>24</w:t>
      </w:r>
      <w:r>
        <w:rPr>
          <w:rStyle w:val="16"/>
          <w:rFonts w:hint="eastAsia" w:ascii="仿宋_GB2312" w:eastAsia="仿宋_GB2312"/>
          <w:b w:val="0"/>
          <w:color w:val="auto"/>
          <w:sz w:val="32"/>
          <w:szCs w:val="32"/>
        </w:rPr>
        <w:t>.资源勘探信息等支出（类）工业和信息产业监管（款）一般行政管理事务（项）:</w:t>
      </w:r>
      <w:r>
        <w:rPr>
          <w:rFonts w:hint="eastAsia" w:ascii="仿宋_GB2312" w:eastAsia="仿宋_GB2312"/>
          <w:color w:val="auto"/>
          <w:sz w:val="32"/>
          <w:szCs w:val="32"/>
        </w:rPr>
        <w:t>指反映行政单位（包括实行公务员管理的事业单位）未单独设置项级科目的其他项目支出。</w:t>
      </w:r>
    </w:p>
    <w:p>
      <w:pPr>
        <w:spacing w:line="600" w:lineRule="exact"/>
        <w:ind w:firstLine="640" w:firstLineChars="200"/>
        <w:rPr>
          <w:rStyle w:val="16"/>
          <w:rFonts w:hint="eastAsia" w:ascii="仿宋_GB2312" w:eastAsia="仿宋_GB2312"/>
          <w:b w:val="0"/>
          <w:color w:val="auto"/>
          <w:sz w:val="32"/>
          <w:szCs w:val="32"/>
        </w:rPr>
      </w:pPr>
      <w:r>
        <w:rPr>
          <w:rStyle w:val="16"/>
          <w:rFonts w:hint="eastAsia" w:ascii="仿宋_GB2312" w:eastAsia="仿宋_GB2312"/>
          <w:b w:val="0"/>
          <w:color w:val="auto"/>
          <w:sz w:val="32"/>
          <w:szCs w:val="32"/>
        </w:rPr>
        <w:t>2</w:t>
      </w:r>
      <w:r>
        <w:rPr>
          <w:rStyle w:val="16"/>
          <w:rFonts w:hint="eastAsia" w:ascii="仿宋_GB2312" w:eastAsia="仿宋_GB2312"/>
          <w:b w:val="0"/>
          <w:color w:val="auto"/>
          <w:sz w:val="32"/>
          <w:szCs w:val="32"/>
          <w:lang w:val="en-US" w:eastAsia="zh-CN"/>
        </w:rPr>
        <w:t>5</w:t>
      </w:r>
      <w:r>
        <w:rPr>
          <w:rStyle w:val="16"/>
          <w:rFonts w:hint="eastAsia" w:ascii="仿宋_GB2312" w:eastAsia="仿宋_GB2312"/>
          <w:b w:val="0"/>
          <w:color w:val="auto"/>
          <w:sz w:val="32"/>
          <w:szCs w:val="32"/>
        </w:rPr>
        <w:t>.资源勘探信息等支出（类）工业和信息产业监管（款）其他工业和信息产业监管支出（项）:</w:t>
      </w:r>
      <w:r>
        <w:rPr>
          <w:rFonts w:hint="eastAsia" w:ascii="仿宋_GB2312" w:eastAsia="仿宋_GB2312"/>
          <w:color w:val="auto"/>
          <w:sz w:val="32"/>
          <w:szCs w:val="32"/>
        </w:rPr>
        <w:t>指反映除上述项目以外其他用于</w:t>
      </w:r>
      <w:r>
        <w:rPr>
          <w:rStyle w:val="16"/>
          <w:rFonts w:hint="eastAsia" w:ascii="仿宋_GB2312" w:eastAsia="仿宋_GB2312"/>
          <w:b w:val="0"/>
          <w:color w:val="auto"/>
          <w:sz w:val="32"/>
          <w:szCs w:val="32"/>
        </w:rPr>
        <w:t>工业和信息产业监管方面的支出。</w:t>
      </w:r>
    </w:p>
    <w:p>
      <w:pPr>
        <w:spacing w:line="600" w:lineRule="exact"/>
        <w:ind w:firstLine="640" w:firstLineChars="200"/>
        <w:rPr>
          <w:rFonts w:ascii="仿宋_GB2312" w:eastAsia="仿宋_GB2312"/>
          <w:b/>
          <w:color w:val="auto"/>
          <w:sz w:val="32"/>
          <w:szCs w:val="32"/>
        </w:rPr>
      </w:pPr>
      <w:r>
        <w:rPr>
          <w:rStyle w:val="16"/>
          <w:rFonts w:hint="eastAsia" w:ascii="仿宋_GB2312" w:eastAsia="仿宋_GB2312"/>
          <w:b w:val="0"/>
          <w:color w:val="auto"/>
          <w:sz w:val="32"/>
          <w:szCs w:val="32"/>
        </w:rPr>
        <w:t>2</w:t>
      </w:r>
      <w:r>
        <w:rPr>
          <w:rStyle w:val="16"/>
          <w:rFonts w:hint="eastAsia" w:ascii="仿宋_GB2312" w:eastAsia="仿宋_GB2312"/>
          <w:b w:val="0"/>
          <w:color w:val="auto"/>
          <w:sz w:val="32"/>
          <w:szCs w:val="32"/>
          <w:lang w:val="en-US" w:eastAsia="zh-CN"/>
        </w:rPr>
        <w:t>6</w:t>
      </w:r>
      <w:r>
        <w:rPr>
          <w:rStyle w:val="16"/>
          <w:rFonts w:hint="eastAsia" w:ascii="仿宋_GB2312" w:eastAsia="仿宋_GB2312"/>
          <w:b w:val="0"/>
          <w:color w:val="auto"/>
          <w:sz w:val="32"/>
          <w:szCs w:val="32"/>
        </w:rPr>
        <w:t>.资源勘探信息等支出（类）支持中小企业发展和管理支出（款）中小企业发展专项（项）:</w:t>
      </w:r>
      <w:r>
        <w:rPr>
          <w:rFonts w:hint="eastAsia" w:ascii="仿宋_GB2312" w:eastAsia="仿宋_GB2312"/>
          <w:color w:val="auto"/>
          <w:sz w:val="32"/>
          <w:szCs w:val="32"/>
        </w:rPr>
        <w:t>指反映用于</w:t>
      </w:r>
      <w:r>
        <w:rPr>
          <w:rStyle w:val="16"/>
          <w:rFonts w:hint="eastAsia" w:ascii="仿宋_GB2312" w:eastAsia="仿宋_GB2312"/>
          <w:b w:val="0"/>
          <w:color w:val="auto"/>
          <w:sz w:val="32"/>
          <w:szCs w:val="32"/>
        </w:rPr>
        <w:t>支持中小企业专业化发展、与大企业协作配套等方面的支出。</w:t>
      </w:r>
    </w:p>
    <w:p>
      <w:pPr>
        <w:spacing w:line="600" w:lineRule="exact"/>
        <w:ind w:firstLine="640" w:firstLineChars="200"/>
        <w:rPr>
          <w:rStyle w:val="16"/>
          <w:rFonts w:hint="eastAsia" w:ascii="仿宋_GB2312" w:eastAsia="仿宋_GB2312"/>
          <w:b w:val="0"/>
          <w:color w:val="auto"/>
          <w:sz w:val="32"/>
          <w:szCs w:val="32"/>
        </w:rPr>
      </w:pPr>
      <w:r>
        <w:rPr>
          <w:rStyle w:val="16"/>
          <w:rFonts w:hint="eastAsia" w:ascii="仿宋_GB2312" w:eastAsia="仿宋_GB2312"/>
          <w:b w:val="0"/>
          <w:color w:val="auto"/>
          <w:sz w:val="32"/>
          <w:szCs w:val="32"/>
        </w:rPr>
        <w:t>2</w:t>
      </w:r>
      <w:r>
        <w:rPr>
          <w:rStyle w:val="16"/>
          <w:rFonts w:hint="eastAsia" w:ascii="仿宋_GB2312" w:eastAsia="仿宋_GB2312"/>
          <w:b w:val="0"/>
          <w:color w:val="auto"/>
          <w:sz w:val="32"/>
          <w:szCs w:val="32"/>
          <w:lang w:val="en-US" w:eastAsia="zh-CN"/>
        </w:rPr>
        <w:t>7</w:t>
      </w:r>
      <w:r>
        <w:rPr>
          <w:rStyle w:val="16"/>
          <w:rFonts w:hint="eastAsia" w:ascii="仿宋_GB2312" w:eastAsia="仿宋_GB2312"/>
          <w:b w:val="0"/>
          <w:color w:val="auto"/>
          <w:sz w:val="32"/>
          <w:szCs w:val="32"/>
        </w:rPr>
        <w:t>.资源勘探信息等支出（类）支持中小企业发展和管理支出（款）其他支持中小企业发展和管理支出（项）:</w:t>
      </w:r>
      <w:r>
        <w:rPr>
          <w:rFonts w:hint="eastAsia" w:ascii="仿宋_GB2312" w:eastAsia="仿宋_GB2312"/>
          <w:color w:val="auto"/>
          <w:sz w:val="32"/>
          <w:szCs w:val="32"/>
        </w:rPr>
        <w:t>指反映除上述项目以外其他用于</w:t>
      </w:r>
      <w:r>
        <w:rPr>
          <w:rStyle w:val="16"/>
          <w:rFonts w:hint="eastAsia" w:ascii="仿宋_GB2312" w:eastAsia="仿宋_GB2312"/>
          <w:b w:val="0"/>
          <w:color w:val="auto"/>
          <w:sz w:val="32"/>
          <w:szCs w:val="32"/>
        </w:rPr>
        <w:t>支持中小企业发展和管理方面的支出。</w:t>
      </w:r>
    </w:p>
    <w:p>
      <w:pPr>
        <w:spacing w:line="600" w:lineRule="exact"/>
        <w:ind w:firstLine="640" w:firstLineChars="200"/>
        <w:rPr>
          <w:rFonts w:ascii="仿宋_GB2312" w:eastAsia="仿宋_GB2312"/>
          <w:color w:val="auto"/>
          <w:sz w:val="32"/>
          <w:szCs w:val="32"/>
        </w:rPr>
      </w:pPr>
      <w:r>
        <w:rPr>
          <w:rStyle w:val="16"/>
          <w:rFonts w:hint="eastAsia" w:ascii="仿宋_GB2312" w:eastAsia="仿宋_GB2312"/>
          <w:b w:val="0"/>
          <w:color w:val="auto"/>
          <w:sz w:val="32"/>
          <w:szCs w:val="32"/>
        </w:rPr>
        <w:t>2</w:t>
      </w:r>
      <w:r>
        <w:rPr>
          <w:rStyle w:val="16"/>
          <w:rFonts w:hint="eastAsia" w:ascii="仿宋_GB2312" w:eastAsia="仿宋_GB2312"/>
          <w:b w:val="0"/>
          <w:color w:val="auto"/>
          <w:sz w:val="32"/>
          <w:szCs w:val="32"/>
          <w:lang w:val="en-US" w:eastAsia="zh-CN"/>
        </w:rPr>
        <w:t>8</w:t>
      </w:r>
      <w:r>
        <w:rPr>
          <w:rStyle w:val="16"/>
          <w:rFonts w:hint="eastAsia" w:ascii="仿宋_GB2312" w:eastAsia="仿宋_GB2312"/>
          <w:b w:val="0"/>
          <w:color w:val="auto"/>
          <w:sz w:val="32"/>
          <w:szCs w:val="32"/>
        </w:rPr>
        <w:t>.住房保障支出（类）住房改革支出（款）住房公积金（项）:</w:t>
      </w:r>
      <w:r>
        <w:rPr>
          <w:rFonts w:hint="eastAsia" w:ascii="仿宋_GB2312" w:eastAsia="仿宋_GB2312"/>
          <w:color w:val="auto"/>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1" w:name="_Toc15377226"/>
      <w:r>
        <w:rPr>
          <w:rFonts w:ascii="宋体"/>
          <w:b/>
          <w:color w:val="000000"/>
          <w:sz w:val="44"/>
          <w:szCs w:val="44"/>
        </w:rPr>
        <w:br w:type="page"/>
      </w:r>
      <w:bookmarkStart w:id="52"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2"/>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val="zh-CN" w:eastAsia="zh-CN"/>
        </w:rPr>
      </w:pPr>
      <w:r>
        <w:rPr>
          <w:rFonts w:hint="eastAsia" w:ascii="方正小标宋简体" w:hAnsi="宋体" w:eastAsia="方正小标宋简体"/>
          <w:color w:val="000000"/>
          <w:kern w:val="0"/>
          <w:sz w:val="40"/>
          <w:szCs w:val="44"/>
          <w:lang w:val="zh-CN"/>
        </w:rPr>
        <w:t>峨眉山市</w:t>
      </w:r>
      <w:r>
        <w:rPr>
          <w:rFonts w:hint="eastAsia" w:ascii="方正小标宋简体" w:hAnsi="宋体" w:eastAsia="方正小标宋简体"/>
          <w:color w:val="000000"/>
          <w:kern w:val="0"/>
          <w:sz w:val="40"/>
          <w:szCs w:val="44"/>
          <w:lang w:val="zh-CN" w:eastAsia="zh-CN"/>
        </w:rPr>
        <w:t>经济和信息化局</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keepNext w:val="0"/>
        <w:keepLines w:val="0"/>
        <w:pageBreakBefore w:val="0"/>
        <w:kinsoku/>
        <w:wordWrap/>
        <w:overflowPunct/>
        <w:topLinePunct w:val="0"/>
        <w:autoSpaceDE/>
        <w:autoSpaceDN/>
        <w:bidi w:val="0"/>
        <w:adjustRightInd/>
        <w:spacing w:beforeAutospacing="0" w:afterAutospacing="0" w:line="6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b w:val="0"/>
          <w:bCs w:val="0"/>
          <w:sz w:val="32"/>
          <w:szCs w:val="32"/>
        </w:rPr>
        <w:t>一、部门（单位）概况</w:t>
      </w:r>
    </w:p>
    <w:p>
      <w:pPr>
        <w:keepNext w:val="0"/>
        <w:keepLines w:val="0"/>
        <w:pageBreakBefore w:val="0"/>
        <w:kinsoku/>
        <w:wordWrap/>
        <w:overflowPunct/>
        <w:topLinePunct w:val="0"/>
        <w:autoSpaceDE/>
        <w:autoSpaceDN/>
        <w:bidi w:val="0"/>
        <w:adjustRightInd/>
        <w:spacing w:beforeAutospacing="0" w:afterAutospacing="0" w:line="6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（一）机构组成</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峨眉山市经济和信息化局为行政机关，无下属二级预算单位。经信局设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个内设机构</w:t>
      </w:r>
      <w:r>
        <w:rPr>
          <w:rFonts w:hint="eastAsia" w:ascii="仿宋_GB2312" w:hAnsi="仿宋_GB2312" w:eastAsia="仿宋_GB2312" w:cs="仿宋_GB2312"/>
          <w:sz w:val="32"/>
          <w:szCs w:val="32"/>
          <w:lang w:eastAsia="zh-CN"/>
        </w:rPr>
        <w:t>，分别为</w:t>
      </w:r>
      <w:r>
        <w:rPr>
          <w:rFonts w:hint="eastAsia" w:ascii="仿宋_GB2312" w:hAnsi="仿宋_GB2312" w:eastAsia="仿宋_GB2312" w:cs="仿宋_GB2312"/>
          <w:sz w:val="32"/>
          <w:szCs w:val="32"/>
        </w:rPr>
        <w:t>办公室、产业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股、政策法规</w:t>
      </w:r>
      <w:r>
        <w:rPr>
          <w:rFonts w:hint="eastAsia" w:ascii="仿宋_GB2312" w:hAnsi="仿宋_GB2312" w:eastAsia="仿宋_GB2312" w:cs="仿宋_GB2312"/>
          <w:sz w:val="32"/>
          <w:szCs w:val="32"/>
          <w:lang w:eastAsia="zh-CN"/>
        </w:rPr>
        <w:t>和环境资源</w:t>
      </w:r>
      <w:r>
        <w:rPr>
          <w:rFonts w:hint="eastAsia" w:ascii="仿宋_GB2312" w:hAnsi="仿宋_GB2312" w:eastAsia="仿宋_GB2312" w:cs="仿宋_GB2312"/>
          <w:sz w:val="32"/>
          <w:szCs w:val="32"/>
        </w:rPr>
        <w:t>股、能源安全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信息化股。</w:t>
      </w:r>
    </w:p>
    <w:p>
      <w:pPr>
        <w:keepNext w:val="0"/>
        <w:keepLines w:val="0"/>
        <w:pageBreakBefore w:val="0"/>
        <w:kinsoku/>
        <w:wordWrap/>
        <w:overflowPunct/>
        <w:topLinePunct w:val="0"/>
        <w:autoSpaceDE/>
        <w:autoSpaceDN/>
        <w:bidi w:val="0"/>
        <w:adjustRightInd/>
        <w:spacing w:beforeAutospacing="0" w:afterAutospacing="0" w:line="6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（二）机构职能</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贯彻执行国家有关工业经济、信息化和无线电管理的法律、法规和方针政策，负责推进全市工业结构调整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负责全市经济运行调节，监测、分析经济运行态势和质量，建立全市工业经济运行预警机制，研究拟订中、近期经济运行目标、政策并组织实施，协调解决经济运行中的重大问题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负责全市工业企业技术改造推进工作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负责全市工业企业技术创新体系建设，落实鼓励企业技术创新措施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负责全市工业和信息化领域的节能降耗、淘汰落后产能、清洁生产和资源节约与综合利用工作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负责推进企业信用制度建设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负责工业企业的宏观管理和指导，负责对国家重大工业经济政策实施情况进行督查，指导企业建立现代企业制度、改组改造、兼并重组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负责对全市工业相关行业实施行业管理，制定并组织实施相关政策措施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统筹推进全市信息化工作，制定并组织实施相关政策，指导企业信息化建设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负责全市信息基础设施建设的规划、协调和管理；协调电信市场涉及社会公共利益的重大事项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组织协调全市信息安全保障体系建设</w:t>
      </w:r>
      <w:r>
        <w:rPr>
          <w:rFonts w:hint="eastAsia" w:ascii="仿宋_GB2312" w:hAnsi="仿宋_GB2312" w:eastAsia="仿宋_GB2312" w:cs="仿宋_GB2312"/>
          <w:color w:val="auto"/>
          <w:sz w:val="32"/>
          <w:szCs w:val="32"/>
          <w:lang w:eastAsia="zh-CN"/>
        </w:rPr>
        <w:t>；负责全市盐业行业管理、承担食盐专营管理工作，组织编制《食盐供应应急预案》，组织实施行业政策；负责职责范围内的安全生产和职业健康、生态环境保护、审批服务便民化等工作；</w:t>
      </w:r>
      <w:r>
        <w:rPr>
          <w:rFonts w:hint="eastAsia" w:ascii="仿宋_GB2312" w:hAnsi="仿宋_GB2312" w:eastAsia="仿宋_GB2312" w:cs="仿宋_GB2312"/>
          <w:color w:val="auto"/>
          <w:sz w:val="32"/>
          <w:szCs w:val="32"/>
        </w:rPr>
        <w:t>负责局机关及有隶属党组织关系的企业党群工作、党风廉政建设和纪检监察工作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承办市政府交办的其他事项。</w:t>
      </w:r>
    </w:p>
    <w:p>
      <w:pPr>
        <w:keepNext w:val="0"/>
        <w:keepLines w:val="0"/>
        <w:pageBreakBefore w:val="0"/>
        <w:kinsoku/>
        <w:wordWrap/>
        <w:overflowPunct/>
        <w:topLinePunct w:val="0"/>
        <w:autoSpaceDE/>
        <w:autoSpaceDN/>
        <w:bidi w:val="0"/>
        <w:adjustRightInd/>
        <w:spacing w:beforeAutospacing="0" w:afterAutospacing="0" w:line="6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（三）人员概况</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峨眉山市经济和信息化局核定机关行政编制1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名，其中：局长1名，副局长</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名，总经济师1名，</w:t>
      </w:r>
      <w:r>
        <w:rPr>
          <w:rFonts w:hint="eastAsia" w:ascii="仿宋_GB2312" w:hAnsi="仿宋_GB2312" w:eastAsia="仿宋_GB2312" w:cs="仿宋_GB2312"/>
          <w:sz w:val="32"/>
          <w:szCs w:val="32"/>
          <w:lang w:eastAsia="zh-CN"/>
        </w:rPr>
        <w:t>总工程师</w:t>
      </w:r>
      <w:r>
        <w:rPr>
          <w:rFonts w:hint="eastAsia" w:ascii="仿宋_GB2312" w:hAnsi="仿宋_GB2312" w:eastAsia="仿宋_GB2312" w:cs="仿宋_GB2312"/>
          <w:sz w:val="32"/>
          <w:szCs w:val="32"/>
          <w:lang w:val="en-US" w:eastAsia="zh-CN"/>
        </w:rPr>
        <w:t>1名，机关党委书记1名，</w:t>
      </w:r>
      <w:r>
        <w:rPr>
          <w:rFonts w:hint="eastAsia" w:ascii="仿宋_GB2312" w:hAnsi="仿宋_GB2312" w:eastAsia="仿宋_GB2312" w:cs="仿宋_GB2312"/>
          <w:sz w:val="32"/>
          <w:szCs w:val="32"/>
        </w:rPr>
        <w:t>中层职数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（含机关党委专职副书记</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，实际在编</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名。</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eastAsia="zh-CN"/>
        </w:rPr>
        <w:t>工勤编制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名，实际在编2名。</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二、部门财政资金收支情况</w:t>
      </w:r>
    </w:p>
    <w:p>
      <w:pPr>
        <w:keepNext w:val="0"/>
        <w:keepLines w:val="0"/>
        <w:pageBreakBefore w:val="0"/>
        <w:kinsoku/>
        <w:wordWrap/>
        <w:overflowPunct/>
        <w:topLinePunct w:val="0"/>
        <w:autoSpaceDE/>
        <w:autoSpaceDN/>
        <w:bidi w:val="0"/>
        <w:adjustRightInd/>
        <w:spacing w:beforeAutospacing="0" w:afterAutospacing="0" w:line="6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峨眉山市经济和信息化局201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年财政资金收入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8060.80万元，其中</w:t>
      </w:r>
      <w:r>
        <w:rPr>
          <w:rFonts w:hint="eastAsia" w:ascii="仿宋_GB2312" w:hAnsi="仿宋_GB2312" w:eastAsia="仿宋_GB2312" w:cs="仿宋_GB2312"/>
          <w:sz w:val="32"/>
          <w:szCs w:val="32"/>
          <w:lang w:eastAsia="zh-CN"/>
        </w:rPr>
        <w:t>年初结转和结余</w:t>
      </w:r>
      <w:r>
        <w:rPr>
          <w:rFonts w:hint="eastAsia" w:ascii="仿宋_GB2312" w:hAnsi="仿宋_GB2312" w:eastAsia="仿宋_GB2312" w:cs="仿宋_GB2312"/>
          <w:sz w:val="32"/>
          <w:szCs w:val="32"/>
          <w:lang w:val="en-US" w:eastAsia="zh-CN"/>
        </w:rPr>
        <w:t>2200.24万元，本年</w:t>
      </w:r>
      <w:r>
        <w:rPr>
          <w:rFonts w:hint="eastAsia" w:ascii="仿宋_GB2312" w:hAnsi="仿宋_GB2312" w:eastAsia="仿宋_GB2312" w:cs="仿宋_GB2312"/>
          <w:sz w:val="32"/>
          <w:szCs w:val="32"/>
          <w:lang w:eastAsia="zh-CN"/>
        </w:rPr>
        <w:t>财政拨款</w:t>
      </w:r>
      <w:r>
        <w:rPr>
          <w:rFonts w:hint="eastAsia" w:ascii="仿宋_GB2312" w:hAnsi="仿宋_GB2312" w:eastAsia="仿宋_GB2312" w:cs="仿宋_GB2312"/>
          <w:sz w:val="32"/>
          <w:szCs w:val="32"/>
        </w:rPr>
        <w:t>收入</w:t>
      </w:r>
      <w:r>
        <w:rPr>
          <w:rFonts w:hint="eastAsia" w:ascii="仿宋_GB2312" w:hAnsi="仿宋_GB2312" w:eastAsia="仿宋_GB2312" w:cs="仿宋_GB2312"/>
          <w:kern w:val="0"/>
          <w:sz w:val="32"/>
          <w:szCs w:val="32"/>
        </w:rPr>
        <w:t>5860.56万元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其中政府性基金预算财政拨款</w:t>
      </w:r>
      <w:r>
        <w:rPr>
          <w:rFonts w:hint="eastAsia" w:ascii="仿宋_GB2312" w:hAnsi="仿宋_GB2312" w:eastAsia="仿宋_GB2312" w:cs="仿宋_GB2312"/>
          <w:sz w:val="32"/>
          <w:szCs w:val="32"/>
          <w:lang w:val="en-US" w:eastAsia="zh-CN"/>
        </w:rPr>
        <w:t>1714.67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beforeAutospacing="0" w:afterAutospacing="0" w:line="6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（二）部门财政资金支出情况</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峨眉山市经济和信息化局201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年支出</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kern w:val="0"/>
          <w:sz w:val="32"/>
          <w:szCs w:val="32"/>
        </w:rPr>
        <w:t>6238.</w:t>
      </w:r>
      <w:r>
        <w:rPr>
          <w:rFonts w:hint="eastAsia" w:ascii="仿宋_GB2312" w:hAnsi="仿宋_GB2312" w:eastAsia="仿宋_GB2312" w:cs="仿宋_GB2312"/>
          <w:kern w:val="0"/>
          <w:sz w:val="32"/>
          <w:szCs w:val="32"/>
          <w:lang w:val="en-US" w:eastAsia="zh-CN"/>
        </w:rPr>
        <w:t>34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其中：一般公共服务支出2500万元，社会保障和就业支出128.70万元，卫生健康支出11.84万元，城乡社区支出1730.85万元，资源勘探信息等支出1822.07万元，住房保障支出44.88万元。</w:t>
      </w:r>
      <w:r>
        <w:rPr>
          <w:rFonts w:hint="eastAsia" w:ascii="仿宋_GB2312" w:hAnsi="仿宋_GB2312" w:eastAsia="仿宋_GB2312" w:cs="仿宋_GB2312"/>
          <w:kern w:val="0"/>
          <w:sz w:val="32"/>
          <w:szCs w:val="32"/>
          <w:lang w:eastAsia="zh-CN"/>
        </w:rPr>
        <w:t>年末结转和结余</w:t>
      </w:r>
      <w:r>
        <w:rPr>
          <w:rFonts w:hint="eastAsia" w:ascii="仿宋_GB2312" w:hAnsi="仿宋_GB2312" w:eastAsia="仿宋_GB2312" w:cs="仿宋_GB2312"/>
          <w:kern w:val="0"/>
          <w:sz w:val="32"/>
          <w:szCs w:val="32"/>
          <w:lang w:val="en-US" w:eastAsia="zh-CN"/>
        </w:rPr>
        <w:t>1822.46万元</w:t>
      </w:r>
      <w:r>
        <w:rPr>
          <w:rFonts w:hint="eastAsia" w:ascii="仿宋_GB2312" w:hAnsi="仿宋_GB2312" w:eastAsia="仿宋_GB2312" w:cs="仿宋_GB2312"/>
          <w:kern w:val="0"/>
          <w:sz w:val="32"/>
          <w:szCs w:val="32"/>
        </w:rPr>
        <w:t>。</w:t>
      </w:r>
    </w:p>
    <w:p>
      <w:pPr>
        <w:keepNext w:val="0"/>
        <w:keepLines w:val="0"/>
        <w:pageBreakBefore w:val="0"/>
        <w:numPr>
          <w:ilvl w:val="0"/>
          <w:numId w:val="5"/>
        </w:numPr>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部门整体预算绩效管理情况</w:t>
      </w:r>
    </w:p>
    <w:p>
      <w:pPr>
        <w:keepNext w:val="0"/>
        <w:keepLines w:val="0"/>
        <w:pageBreakBefore w:val="0"/>
        <w:numPr>
          <w:ilvl w:val="0"/>
          <w:numId w:val="0"/>
        </w:numPr>
        <w:kinsoku/>
        <w:wordWrap/>
        <w:overflowPunct/>
        <w:topLinePunct w:val="0"/>
        <w:autoSpaceDE/>
        <w:autoSpaceDN/>
        <w:bidi w:val="0"/>
        <w:adjustRightInd/>
        <w:spacing w:beforeAutospacing="0" w:afterAutospacing="0" w:line="6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zh-CN"/>
        </w:rPr>
        <w:t>（一）部门预算管理</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绩效目标制定</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以实现基本职能职责为导向，结合201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我局</w:t>
      </w:r>
      <w:r>
        <w:rPr>
          <w:rFonts w:hint="eastAsia" w:ascii="仿宋_GB2312" w:hAnsi="仿宋_GB2312" w:eastAsia="仿宋_GB2312" w:cs="仿宋_GB2312"/>
          <w:kern w:val="0"/>
          <w:sz w:val="32"/>
          <w:szCs w:val="32"/>
        </w:rPr>
        <w:t>整体工作计划和目标任务，科学合理设置部门整体支出绩效目标。切实落实全面实施预算绩效管理的相关意见，转变预算绩效管理理念，将预算绩效理念和方法深度融入到预算编制、执行、监督全过程，改进部门预算绩效目标编制、绩效监控、绩效评价、结果运用等工作。重点做好绩效目标编制工作，为绩效管理工作打牢基石。</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2.绩效目标完成情况</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2019年</w:t>
      </w:r>
      <w:r>
        <w:rPr>
          <w:rFonts w:hint="eastAsia" w:ascii="仿宋_GB2312" w:hAnsi="仿宋_GB2312" w:eastAsia="仿宋_GB2312" w:cs="仿宋_GB2312"/>
          <w:kern w:val="0"/>
          <w:sz w:val="32"/>
          <w:szCs w:val="32"/>
        </w:rPr>
        <w:t>，我局以习近平新时代中国特色社会主义思想和习近平总书记对四川工作系列重要指示精神为指导</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全力推进我市工业经济绿色健康发展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规模以上工业企业实现产值374.9亿元，同比增长13.77%，实现增加值增速</w:t>
      </w:r>
      <w:r>
        <w:rPr>
          <w:rFonts w:hint="eastAsia" w:ascii="仿宋_GB2312" w:hAnsi="仿宋_GB2312" w:eastAsia="仿宋_GB2312" w:cs="仿宋_GB2312"/>
          <w:kern w:val="0"/>
          <w:sz w:val="32"/>
          <w:szCs w:val="32"/>
          <w:lang w:val="en-US" w:eastAsia="zh-CN"/>
        </w:rPr>
        <w:t>10.4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完成工业投资13.1亿元，技改投资8.7亿元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新增规上企业6户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被乐山市经信</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表彰为稳增长、工业投资、两化融合、创业创新先进单位，</w:t>
      </w:r>
      <w:r>
        <w:rPr>
          <w:rFonts w:hint="eastAsia" w:ascii="仿宋_GB2312" w:hAnsi="仿宋_GB2312" w:eastAsia="仿宋_GB2312" w:cs="仿宋_GB2312"/>
          <w:kern w:val="0"/>
          <w:sz w:val="32"/>
          <w:szCs w:val="32"/>
          <w:lang w:eastAsia="zh-CN"/>
        </w:rPr>
        <w:t>实现了</w:t>
      </w:r>
      <w:r>
        <w:rPr>
          <w:rFonts w:hint="eastAsia" w:ascii="仿宋_GB2312" w:hAnsi="仿宋_GB2312" w:eastAsia="仿宋_GB2312" w:cs="仿宋_GB2312"/>
          <w:kern w:val="0"/>
          <w:sz w:val="32"/>
          <w:szCs w:val="32"/>
        </w:rPr>
        <w:t>预定工作</w:t>
      </w:r>
      <w:r>
        <w:rPr>
          <w:rFonts w:hint="eastAsia" w:ascii="仿宋_GB2312" w:hAnsi="仿宋_GB2312" w:eastAsia="仿宋_GB2312" w:cs="仿宋_GB2312"/>
          <w:kern w:val="0"/>
          <w:sz w:val="32"/>
          <w:szCs w:val="32"/>
          <w:lang w:eastAsia="zh-CN"/>
        </w:rPr>
        <w:t>任务，完成了</w:t>
      </w:r>
      <w:r>
        <w:rPr>
          <w:rFonts w:hint="eastAsia" w:ascii="仿宋_GB2312" w:hAnsi="仿宋_GB2312" w:eastAsia="仿宋_GB2312" w:cs="仿宋_GB2312"/>
          <w:kern w:val="0"/>
          <w:sz w:val="32"/>
          <w:szCs w:val="32"/>
        </w:rPr>
        <w:t>绩效目标。</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3.预算编制</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深入贯彻落实中央八项规定和省委省政府、乐山市委市政府及峨眉山市委市政府十项规定及其实施细则等一系列要求，合理统筹、科学调控和综合平衡编制部门预算，提供资金保障，确保工作顺利完成。</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4.支出控制及预算动态调控</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一是完善财务管理制度，加强内部控制建设，加强支出业务审核管理，确保资金安全。二是按期开展预算执行中期评估，同时开展预算绩效中期检查，进一步规范和促进预算执行进度，提高绩效管理水平。</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5.预算执行进度</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6月共支出</w:t>
      </w:r>
      <w:r>
        <w:rPr>
          <w:rFonts w:hint="eastAsia" w:ascii="仿宋_GB2312" w:hAnsi="仿宋_GB2312" w:eastAsia="仿宋_GB2312" w:cs="仿宋_GB2312"/>
          <w:sz w:val="32"/>
          <w:szCs w:val="32"/>
          <w:lang w:val="en-US" w:eastAsia="zh-CN"/>
        </w:rPr>
        <w:t>496.58</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9月共支出</w:t>
      </w:r>
      <w:r>
        <w:rPr>
          <w:rFonts w:hint="eastAsia" w:ascii="仿宋_GB2312" w:hAnsi="仿宋_GB2312" w:eastAsia="仿宋_GB2312" w:cs="仿宋_GB2312"/>
          <w:sz w:val="32"/>
          <w:szCs w:val="32"/>
          <w:lang w:val="en-US" w:eastAsia="zh-CN"/>
        </w:rPr>
        <w:t>2080.48</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11月共支出</w:t>
      </w:r>
      <w:r>
        <w:rPr>
          <w:rFonts w:hint="eastAsia" w:ascii="仿宋_GB2312" w:hAnsi="仿宋_GB2312" w:eastAsia="仿宋_GB2312" w:cs="仿宋_GB2312"/>
          <w:sz w:val="32"/>
          <w:szCs w:val="32"/>
          <w:lang w:val="en-US" w:eastAsia="zh-CN"/>
        </w:rPr>
        <w:t>5284.68</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年全年共支出</w:t>
      </w:r>
      <w:r>
        <w:rPr>
          <w:rFonts w:hint="eastAsia" w:ascii="仿宋_GB2312" w:hAnsi="仿宋_GB2312" w:eastAsia="仿宋_GB2312" w:cs="仿宋_GB2312"/>
          <w:sz w:val="32"/>
          <w:szCs w:val="32"/>
          <w:lang w:val="en-US" w:eastAsia="zh-CN"/>
        </w:rPr>
        <w:t>6238.34</w:t>
      </w:r>
      <w:r>
        <w:rPr>
          <w:rFonts w:hint="eastAsia" w:ascii="仿宋_GB2312" w:hAnsi="仿宋_GB2312" w:eastAsia="仿宋_GB2312" w:cs="仿宋_GB2312"/>
          <w:sz w:val="32"/>
          <w:szCs w:val="32"/>
        </w:rPr>
        <w:t>万元，资金拨付严格按照</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rPr>
        <w:t>管理流程实施，报账手续合规、资料附件齐全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全面落实到位。</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val="zh-CN"/>
        </w:rPr>
        <w:t>.预算完成情况和违规记录</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val="zh-CN"/>
        </w:rPr>
        <w:t>年，峨眉山市经济和信息化局调整预算数为</w:t>
      </w:r>
      <w:r>
        <w:rPr>
          <w:rFonts w:hint="eastAsia" w:ascii="仿宋_GB2312" w:hAnsi="仿宋_GB2312" w:eastAsia="仿宋_GB2312" w:cs="仿宋_GB2312"/>
          <w:kern w:val="0"/>
          <w:sz w:val="32"/>
          <w:szCs w:val="32"/>
          <w:lang w:val="en-US" w:eastAsia="zh-CN"/>
        </w:rPr>
        <w:t>8060.8万元，</w:t>
      </w:r>
      <w:r>
        <w:rPr>
          <w:rFonts w:hint="eastAsia" w:ascii="仿宋_GB2312" w:hAnsi="仿宋_GB2312" w:eastAsia="仿宋_GB2312" w:cs="仿宋_GB2312"/>
          <w:sz w:val="32"/>
          <w:szCs w:val="32"/>
        </w:rPr>
        <w:t>全年共支出</w:t>
      </w:r>
      <w:r>
        <w:rPr>
          <w:rFonts w:hint="eastAsia" w:ascii="仿宋_GB2312" w:hAnsi="仿宋_GB2312" w:eastAsia="仿宋_GB2312" w:cs="仿宋_GB2312"/>
          <w:sz w:val="32"/>
          <w:szCs w:val="32"/>
          <w:lang w:val="en-US" w:eastAsia="zh-CN"/>
        </w:rPr>
        <w:t>6238.34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eastAsia="zh-CN"/>
        </w:rPr>
        <w:t>年末结转和结余</w:t>
      </w:r>
      <w:r>
        <w:rPr>
          <w:rFonts w:hint="eastAsia" w:ascii="仿宋_GB2312" w:hAnsi="仿宋_GB2312" w:eastAsia="仿宋_GB2312" w:cs="仿宋_GB2312"/>
          <w:kern w:val="0"/>
          <w:sz w:val="32"/>
          <w:szCs w:val="32"/>
          <w:lang w:val="en-US" w:eastAsia="zh-CN"/>
        </w:rPr>
        <w:t>1822.46万元，</w:t>
      </w:r>
      <w:r>
        <w:rPr>
          <w:rFonts w:hint="eastAsia" w:ascii="仿宋_GB2312" w:hAnsi="仿宋_GB2312" w:eastAsia="仿宋_GB2312" w:cs="仿宋_GB2312"/>
          <w:kern w:val="0"/>
          <w:sz w:val="32"/>
          <w:szCs w:val="32"/>
          <w:lang w:val="zh-CN"/>
        </w:rPr>
        <w:t>完成预算</w:t>
      </w:r>
      <w:r>
        <w:rPr>
          <w:rFonts w:hint="eastAsia" w:ascii="仿宋_GB2312" w:hAnsi="仿宋_GB2312" w:eastAsia="仿宋_GB2312" w:cs="仿宋_GB2312"/>
          <w:kern w:val="0"/>
          <w:sz w:val="32"/>
          <w:szCs w:val="32"/>
          <w:lang w:val="en-US" w:eastAsia="zh-CN"/>
        </w:rPr>
        <w:t>77.39</w:t>
      </w:r>
      <w:r>
        <w:rPr>
          <w:rFonts w:hint="eastAsia" w:ascii="仿宋_GB2312" w:hAnsi="仿宋_GB2312" w:eastAsia="仿宋_GB2312" w:cs="仿宋_GB2312"/>
          <w:kern w:val="0"/>
          <w:sz w:val="32"/>
          <w:szCs w:val="32"/>
          <w:lang w:val="zh-CN"/>
        </w:rPr>
        <w:t>%，无违规记录。</w:t>
      </w:r>
    </w:p>
    <w:p>
      <w:pPr>
        <w:keepNext w:val="0"/>
        <w:keepLines w:val="0"/>
        <w:pageBreakBefore w:val="0"/>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专用项目绩效目标编制过程中，由资金使用股室根据项目实施方案、计划，和预期将达到的绩效目标如实填报效果目标，做到了绩效目标符合各自项目特点。股室编制专用项目绩效目标后，经办公室审核，确保预算金额和绩效目标相匹配。</w:t>
      </w:r>
    </w:p>
    <w:p>
      <w:pPr>
        <w:keepNext w:val="0"/>
        <w:keepLines w:val="0"/>
        <w:pageBreakBefore w:val="0"/>
        <w:numPr>
          <w:ilvl w:val="0"/>
          <w:numId w:val="6"/>
        </w:numPr>
        <w:kinsoku/>
        <w:wordWrap/>
        <w:overflowPunct/>
        <w:topLinePunct w:val="0"/>
        <w:autoSpaceDE/>
        <w:autoSpaceDN/>
        <w:bidi w:val="0"/>
        <w:adjustRightInd/>
        <w:snapToGrid w:val="0"/>
        <w:spacing w:beforeAutospacing="0" w:afterAutospacing="0" w:line="620" w:lineRule="exact"/>
        <w:ind w:firstLine="643" w:firstLineChars="200"/>
        <w:textAlignment w:val="auto"/>
        <w:outlineLvl w:val="9"/>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rPr>
        <w:t>结果应用情况</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峨眉山市经济和信息化局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预算编制目标严格按照市财政局要求，在规定的时间内编制并报送市财政局；部门预算整体目标紧紧围绕本部门年度重点工作科学合理编制，各项目绩效目标要素完整、任务明确清晰、目标值细化量化，可操作性强。</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峨眉山市经济和信息化局</w:t>
      </w:r>
      <w:r>
        <w:rPr>
          <w:rFonts w:hint="eastAsia" w:ascii="仿宋_GB2312" w:hAnsi="仿宋_GB2312" w:eastAsia="仿宋_GB2312" w:cs="仿宋_GB2312"/>
          <w:sz w:val="32"/>
          <w:szCs w:val="32"/>
        </w:rPr>
        <w:t>严格按照预算决算信息公开要求，在财政的统一时间及规定网站及时向社会公开了本部门的预算、决算信息（含所有财政资金安排的“三公”经费、机关运行经费的安排、使用情况等）、部门绩效目标和部门整体绩效自评情况。</w:t>
      </w:r>
    </w:p>
    <w:p>
      <w:pPr>
        <w:pStyle w:val="13"/>
        <w:keepNext w:val="0"/>
        <w:keepLines w:val="0"/>
        <w:pageBreakBefore w:val="0"/>
        <w:widowControl/>
        <w:numPr>
          <w:ilvl w:val="0"/>
          <w:numId w:val="5"/>
        </w:numPr>
        <w:suppressLineNumbers w:val="0"/>
        <w:kinsoku/>
        <w:wordWrap/>
        <w:overflowPunct/>
        <w:topLinePunct w:val="0"/>
        <w:autoSpaceDE/>
        <w:autoSpaceDN/>
        <w:bidi w:val="0"/>
        <w:adjustRightInd/>
        <w:spacing w:beforeAutospacing="0" w:afterAutospacing="0" w:line="620" w:lineRule="exact"/>
        <w:ind w:left="0" w:leftChars="0" w:firstLine="640" w:firstLineChars="200"/>
        <w:textAlignment w:val="auto"/>
        <w:outlineLvl w:val="9"/>
        <w:rPr>
          <w:rStyle w:val="16"/>
          <w:rFonts w:hint="eastAsia" w:ascii="黑体" w:hAnsi="黑体" w:eastAsia="黑体" w:cs="黑体"/>
          <w:b w:val="0"/>
          <w:bCs/>
          <w:sz w:val="32"/>
          <w:szCs w:val="32"/>
        </w:rPr>
      </w:pPr>
      <w:r>
        <w:rPr>
          <w:rStyle w:val="16"/>
          <w:rFonts w:hint="eastAsia" w:ascii="黑体" w:hAnsi="黑体" w:eastAsia="黑体" w:cs="黑体"/>
          <w:b w:val="0"/>
          <w:bCs/>
          <w:sz w:val="32"/>
          <w:szCs w:val="32"/>
        </w:rPr>
        <w:t>评价结论及建议</w:t>
      </w:r>
    </w:p>
    <w:p>
      <w:pPr>
        <w:pStyle w:val="13"/>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620" w:lineRule="exact"/>
        <w:ind w:leftChars="200" w:right="0" w:rightChars="0"/>
        <w:textAlignment w:val="auto"/>
        <w:outlineLvl w:val="9"/>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rPr>
        <w:t>（一）评价结论</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6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认真贯彻执行预算法，认真落实预算绩效管理，注重资金支出绩效考核评价工作，确保财政预算资金充分发挥绩效。根据部门自评，</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采取了有效的资金使用管理措施，各项资金使用严格履行审批程序，资金使用达到了预期效果，较好的服务和保障了</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圆满完成年度</w:t>
      </w:r>
      <w:r>
        <w:rPr>
          <w:rFonts w:hint="eastAsia" w:ascii="仿宋_GB2312" w:hAnsi="仿宋_GB2312" w:eastAsia="仿宋_GB2312" w:cs="仿宋_GB2312"/>
          <w:sz w:val="32"/>
          <w:szCs w:val="32"/>
          <w:lang w:eastAsia="zh-CN"/>
        </w:rPr>
        <w:t>工作任务</w:t>
      </w:r>
      <w:r>
        <w:rPr>
          <w:rFonts w:hint="eastAsia" w:ascii="仿宋_GB2312" w:hAnsi="仿宋_GB2312" w:eastAsia="仿宋_GB2312" w:cs="仿宋_GB2312"/>
          <w:sz w:val="32"/>
          <w:szCs w:val="32"/>
        </w:rPr>
        <w:t>，实现了201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财政预算支出的绩效目标。</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6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16"/>
          <w:rFonts w:hint="eastAsia" w:ascii="仿宋_GB2312" w:hAnsi="仿宋_GB2312" w:eastAsia="仿宋_GB2312" w:cs="仿宋_GB2312"/>
          <w:sz w:val="32"/>
          <w:szCs w:val="32"/>
        </w:rPr>
        <w:t>　（二）存在问题</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1.个别项目由于要素保障方面存在不足，工作进度受到了一定影响，导致项目支出执行进度滞后；</w:t>
      </w:r>
    </w:p>
    <w:p>
      <w:pPr>
        <w:keepNext w:val="0"/>
        <w:keepLines w:val="0"/>
        <w:pageBreakBefore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2.绩效管理工作有待加强。</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620" w:lineRule="exact"/>
        <w:textAlignment w:val="auto"/>
        <w:outlineLvl w:val="9"/>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rPr>
        <w:t>　　（三）改进建议</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加强对重点项目推进，集中多部门、协调各渠道，全力保障要素供给，确保工作顺利完成，资金及时准确支付</w:t>
      </w:r>
      <w:r>
        <w:rPr>
          <w:rFonts w:hint="eastAsia" w:ascii="仿宋_GB2312" w:hAnsi="仿宋_GB2312" w:eastAsia="仿宋_GB2312" w:cs="仿宋_GB2312"/>
          <w:sz w:val="32"/>
          <w:szCs w:val="32"/>
        </w:rPr>
        <w:t>；</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62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加强预算绩效管理，增强预算约束力，做好预算项目支出绩效目标及各项绩效指标的细化、量化工作,用好用活各类财政资金，提高财政资金的使用效益。</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s="Times New Roman"/>
          <w:color w:val="000000"/>
          <w:kern w:val="0"/>
          <w:sz w:val="44"/>
          <w:szCs w:val="44"/>
          <w:lang w:eastAsia="zh-CN"/>
        </w:rPr>
        <w:t>三</w:t>
      </w:r>
      <w:r>
        <w:rPr>
          <w:rFonts w:hint="eastAsia" w:ascii="方正小标宋简体" w:hAnsi="宋体" w:eastAsia="方正小标宋简体" w:cs="Times New Roman"/>
          <w:color w:val="000000"/>
          <w:kern w:val="0"/>
          <w:sz w:val="44"/>
          <w:szCs w:val="44"/>
          <w:lang w:val="en-US" w:eastAsia="zh-CN"/>
        </w:rPr>
        <w:t>家关停企业职工生活补助</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pPr>
        <w:ind w:firstLine="640" w:firstLineChars="200"/>
        <w:rPr>
          <w:rFonts w:ascii="仿宋_GB2312" w:hAnsi="仿宋" w:eastAsia="仿宋_GB2312"/>
          <w:sz w:val="32"/>
          <w:szCs w:val="32"/>
        </w:rPr>
      </w:pPr>
      <w:r>
        <w:rPr>
          <w:rFonts w:hint="eastAsia" w:ascii="仿宋_GB2312" w:hAnsi="仿宋" w:eastAsia="仿宋_GB2312"/>
          <w:sz w:val="32"/>
          <w:szCs w:val="32"/>
        </w:rPr>
        <w:t>三家关停企业职工生活补助资金项目由三家关停企业职工生活补助及原大为石膏矿遗留问题处理费用两部分构成。</w:t>
      </w:r>
    </w:p>
    <w:p>
      <w:pPr>
        <w:ind w:firstLine="640" w:firstLineChars="200"/>
        <w:rPr>
          <w:rFonts w:hint="eastAsia" w:ascii="仿宋_GB2312" w:hAnsi="仿宋" w:eastAsia="仿宋_GB2312"/>
          <w:sz w:val="32"/>
          <w:szCs w:val="32"/>
        </w:rPr>
      </w:pPr>
      <w:r>
        <w:rPr>
          <w:rFonts w:hint="eastAsia" w:ascii="楷体" w:hAnsi="楷体" w:eastAsia="楷体" w:cs="楷体"/>
          <w:b w:val="0"/>
          <w:bCs w:val="0"/>
          <w:sz w:val="32"/>
          <w:szCs w:val="32"/>
        </w:rPr>
        <w:t>三家关停企业职工生活补助</w:t>
      </w:r>
      <w:r>
        <w:rPr>
          <w:rFonts w:hint="eastAsia" w:ascii="仿宋_GB2312" w:hAnsi="仿宋" w:eastAsia="仿宋_GB2312"/>
          <w:b w:val="0"/>
          <w:bCs w:val="0"/>
          <w:sz w:val="32"/>
          <w:szCs w:val="32"/>
        </w:rPr>
        <w:t>：</w:t>
      </w:r>
      <w:r>
        <w:rPr>
          <w:rFonts w:hint="eastAsia" w:ascii="仿宋_GB2312" w:hAnsi="仿宋" w:eastAsia="仿宋_GB2312"/>
          <w:sz w:val="32"/>
          <w:szCs w:val="32"/>
        </w:rPr>
        <w:t>原高桥瓷厂、高桥煤矿、东风煤矿为原县属国有企业，于80年代破产解体，当时三家关停企业的退休、留守人员经费由政府财政解决。后来，退休人员的退休费进入社保，医疗等费用仍由财政报销处理，此经费历年纳入市财政预算管理。</w:t>
      </w:r>
    </w:p>
    <w:p>
      <w:pPr>
        <w:ind w:firstLine="640" w:firstLineChars="200"/>
        <w:rPr>
          <w:rFonts w:ascii="仿宋_GB2312" w:hAnsi="仿宋" w:eastAsia="仿宋_GB2312"/>
          <w:sz w:val="32"/>
          <w:szCs w:val="32"/>
        </w:rPr>
      </w:pPr>
      <w:r>
        <w:rPr>
          <w:rFonts w:hint="eastAsia" w:ascii="楷体" w:hAnsi="楷体" w:eastAsia="楷体" w:cs="楷体"/>
          <w:b w:val="0"/>
          <w:bCs w:val="0"/>
          <w:sz w:val="32"/>
          <w:szCs w:val="32"/>
        </w:rPr>
        <w:t>原大为石膏矿处理遗留问题费用：</w:t>
      </w:r>
      <w:r>
        <w:rPr>
          <w:rFonts w:hint="eastAsia" w:ascii="仿宋_GB2312" w:hAnsi="仿宋" w:eastAsia="仿宋_GB2312"/>
          <w:sz w:val="32"/>
          <w:szCs w:val="32"/>
        </w:rPr>
        <w:t>大为石膏矿为原乐山市属国有企业，2009年乐山市将市属国有企业大为石膏矿的遗留问题下放峨眉山市管理，按照（川财企</w:t>
      </w:r>
      <w:r>
        <w:rPr>
          <w:rFonts w:hint="eastAsia" w:ascii="微软雅黑" w:hAnsi="微软雅黑" w:eastAsia="微软雅黑" w:cs="微软雅黑"/>
          <w:sz w:val="32"/>
          <w:szCs w:val="32"/>
        </w:rPr>
        <w:t>〔</w:t>
      </w:r>
      <w:r>
        <w:rPr>
          <w:rFonts w:hint="eastAsia" w:ascii="仿宋_GB2312" w:hAnsi="仿宋" w:eastAsia="仿宋_GB2312"/>
          <w:sz w:val="32"/>
          <w:szCs w:val="32"/>
        </w:rPr>
        <w:t>2007</w:t>
      </w:r>
      <w:r>
        <w:rPr>
          <w:rFonts w:hint="eastAsia" w:ascii="微软雅黑" w:hAnsi="微软雅黑" w:eastAsia="微软雅黑" w:cs="微软雅黑"/>
          <w:sz w:val="32"/>
          <w:szCs w:val="32"/>
        </w:rPr>
        <w:t>〕</w:t>
      </w:r>
      <w:r>
        <w:rPr>
          <w:rFonts w:hint="eastAsia" w:ascii="仿宋_GB2312" w:hAnsi="仿宋" w:eastAsia="仿宋_GB2312"/>
          <w:sz w:val="32"/>
          <w:szCs w:val="32"/>
        </w:rPr>
        <w:t>134号）文件精神，我市将原大为石膏矿处理遗留问题费用纳入市财政预算，一并列入“三家关停企业职工生活补助”费用科目开支。</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（一）项目资金申报及批复情况</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楷体" w:hAnsi="楷体" w:eastAsia="楷体" w:cs="楷体"/>
          <w:sz w:val="32"/>
          <w:szCs w:val="32"/>
        </w:rPr>
        <w:t>三家关停企业职工生活补助。按</w:t>
      </w:r>
      <w:r>
        <w:rPr>
          <w:rFonts w:hint="eastAsia" w:ascii="仿宋_GB2312" w:hAnsi="仿宋" w:eastAsia="仿宋_GB2312"/>
          <w:sz w:val="32"/>
          <w:szCs w:val="32"/>
        </w:rPr>
        <w:t>《峨眉山市经济和信息化局关于适当调整高桥瓷厂等三家关停企业退休人员补贴标准的请示》（峨经信</w:t>
      </w:r>
      <w:r>
        <w:rPr>
          <w:rFonts w:hint="eastAsia" w:ascii="微软雅黑" w:hAnsi="微软雅黑" w:eastAsia="微软雅黑" w:cs="微软雅黑"/>
          <w:sz w:val="32"/>
          <w:szCs w:val="32"/>
        </w:rPr>
        <w:t>〔</w:t>
      </w:r>
      <w:r>
        <w:rPr>
          <w:rFonts w:hint="eastAsia" w:ascii="仿宋_GB2312" w:hAnsi="仿宋" w:eastAsia="仿宋_GB2312"/>
          <w:sz w:val="32"/>
          <w:szCs w:val="32"/>
        </w:rPr>
        <w:t>2015</w:t>
      </w:r>
      <w:r>
        <w:rPr>
          <w:rFonts w:hint="eastAsia" w:ascii="微软雅黑" w:hAnsi="微软雅黑" w:eastAsia="微软雅黑" w:cs="微软雅黑"/>
          <w:sz w:val="32"/>
          <w:szCs w:val="32"/>
        </w:rPr>
        <w:t>〕</w:t>
      </w:r>
      <w:r>
        <w:rPr>
          <w:rFonts w:hint="eastAsia" w:ascii="仿宋_GB2312" w:hAnsi="仿宋" w:eastAsia="仿宋_GB2312"/>
          <w:sz w:val="32"/>
          <w:szCs w:val="32"/>
        </w:rPr>
        <w:t>6号）标准执行，其标准为：</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（1）门诊药费：每人每月调整为30元，超出部分按发票及处方，30年工龄报50%，25年工龄报45%，20年工龄报40%;</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（2）住院费：</w:t>
      </w:r>
      <w:r>
        <w:rPr>
          <w:rFonts w:hint="eastAsia" w:ascii="仿宋_GB2312" w:eastAsia="仿宋_GB2312"/>
          <w:sz w:val="32"/>
          <w:szCs w:val="32"/>
        </w:rPr>
        <w:t>扣当月门诊费5元和自费外，按票上余额报85%</w:t>
      </w:r>
      <w:r>
        <w:rPr>
          <w:rFonts w:hint="eastAsia" w:ascii="仿宋_GB2312" w:hAnsi="仿宋" w:eastAsia="仿宋_GB2312"/>
          <w:sz w:val="32"/>
          <w:szCs w:val="32"/>
        </w:rPr>
        <w:t>;</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（3）节日慰问费:春节调整为300元/人，重阳节调整为100元/人; 八一慰问2人（余庭章、曾明宣）调整为200元/人;</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（4）特困职工（家属）生活费：张邦云调整为200元/月(家属)，万堂才100元/月(家属)，杨选洪调整为600元/月。</w:t>
      </w:r>
    </w:p>
    <w:p>
      <w:pPr>
        <w:ind w:firstLine="640" w:firstLineChars="200"/>
        <w:rPr>
          <w:rFonts w:hint="eastAsia" w:ascii="楷体" w:hAnsi="楷体" w:eastAsia="楷体" w:cs="楷体"/>
          <w:sz w:val="32"/>
          <w:szCs w:val="32"/>
        </w:rPr>
      </w:pPr>
      <w:r>
        <w:rPr>
          <w:rFonts w:hint="eastAsia" w:ascii="仿宋_GB2312" w:hAnsi="仿宋" w:eastAsia="仿宋_GB2312"/>
          <w:sz w:val="32"/>
          <w:szCs w:val="32"/>
        </w:rPr>
        <w:t>2.</w:t>
      </w:r>
      <w:r>
        <w:rPr>
          <w:rFonts w:hint="eastAsia" w:ascii="楷体" w:hAnsi="楷体" w:eastAsia="楷体" w:cs="楷体"/>
          <w:sz w:val="32"/>
          <w:szCs w:val="32"/>
        </w:rPr>
        <w:t>原大为石膏矿处理遗留问题费用。原大为石膏矿菜沱办公楼（单身宿舍）住户水电费、原大为石膏矿留守人员及其他公共管理费用开支。</w:t>
      </w:r>
    </w:p>
    <w:p>
      <w:pPr>
        <w:ind w:firstLine="640" w:firstLineChars="200"/>
        <w:rPr>
          <w:rFonts w:ascii="楷体" w:hAnsi="楷体" w:eastAsia="楷体" w:cs="楷体"/>
          <w:sz w:val="32"/>
          <w:szCs w:val="32"/>
        </w:rPr>
      </w:pPr>
      <w:r>
        <w:rPr>
          <w:rFonts w:hint="eastAsia" w:ascii="楷体" w:hAnsi="楷体" w:eastAsia="楷体" w:cs="楷体"/>
          <w:sz w:val="32"/>
          <w:szCs w:val="32"/>
        </w:rPr>
        <w:t>上述两项费用都是按规定实报实销，未使用完的费用全额返还市财政。</w:t>
      </w:r>
    </w:p>
    <w:p>
      <w:pPr>
        <w:ind w:firstLine="643" w:firstLine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ind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zh-CN"/>
        </w:rPr>
        <w:t>三家关停企业职工生活补助是按照（峨经信</w:t>
      </w:r>
      <w:r>
        <w:rPr>
          <w:rFonts w:hint="eastAsia" w:ascii="仿宋_GB2312" w:hAnsi="仿宋_GB2312" w:eastAsia="仿宋_GB2312" w:cs="仿宋_GB2312"/>
          <w:sz w:val="32"/>
          <w:szCs w:val="32"/>
        </w:rPr>
        <w:t>〔2015〕</w:t>
      </w:r>
      <w:r>
        <w:rPr>
          <w:rFonts w:hint="eastAsia" w:ascii="仿宋_GB2312" w:hAnsi="仿宋" w:eastAsia="仿宋_GB2312"/>
          <w:sz w:val="32"/>
          <w:szCs w:val="32"/>
        </w:rPr>
        <w:t>6号</w:t>
      </w:r>
      <w:r>
        <w:rPr>
          <w:rFonts w:hint="eastAsia" w:ascii="仿宋_GB2312" w:hAnsi="仿宋" w:eastAsia="仿宋_GB2312"/>
          <w:sz w:val="32"/>
          <w:szCs w:val="32"/>
          <w:lang w:val="zh-CN"/>
        </w:rPr>
        <w:t>）发放，包含医药费、慰问费等费用，后期</w:t>
      </w:r>
      <w:r>
        <w:rPr>
          <w:rFonts w:hint="eastAsia" w:ascii="仿宋_GB2312" w:hAnsi="仿宋" w:eastAsia="仿宋_GB2312"/>
          <w:sz w:val="32"/>
          <w:szCs w:val="32"/>
        </w:rPr>
        <w:t>按照（川财企</w:t>
      </w:r>
      <w:r>
        <w:rPr>
          <w:rFonts w:hint="eastAsia" w:ascii="微软雅黑" w:hAnsi="微软雅黑" w:eastAsia="微软雅黑" w:cs="微软雅黑"/>
          <w:sz w:val="32"/>
          <w:szCs w:val="32"/>
        </w:rPr>
        <w:t>〔</w:t>
      </w:r>
      <w:r>
        <w:rPr>
          <w:rFonts w:hint="eastAsia" w:ascii="仿宋_GB2312" w:hAnsi="仿宋" w:eastAsia="仿宋_GB2312"/>
          <w:sz w:val="32"/>
          <w:szCs w:val="32"/>
        </w:rPr>
        <w:t>2007</w:t>
      </w:r>
      <w:r>
        <w:rPr>
          <w:rFonts w:hint="eastAsia" w:ascii="微软雅黑" w:hAnsi="微软雅黑" w:eastAsia="微软雅黑" w:cs="微软雅黑"/>
          <w:sz w:val="32"/>
          <w:szCs w:val="32"/>
        </w:rPr>
        <w:t>〕</w:t>
      </w:r>
      <w:r>
        <w:rPr>
          <w:rFonts w:hint="eastAsia" w:ascii="仿宋_GB2312" w:hAnsi="仿宋" w:eastAsia="仿宋_GB2312"/>
          <w:sz w:val="32"/>
          <w:szCs w:val="32"/>
        </w:rPr>
        <w:t>134号）文件</w:t>
      </w:r>
      <w:r>
        <w:rPr>
          <w:rFonts w:hint="eastAsia" w:ascii="仿宋_GB2312" w:hAnsi="仿宋" w:eastAsia="仿宋_GB2312"/>
          <w:sz w:val="32"/>
          <w:szCs w:val="32"/>
          <w:lang w:val="zh-CN"/>
        </w:rPr>
        <w:t>把</w:t>
      </w:r>
      <w:r>
        <w:rPr>
          <w:rFonts w:hint="eastAsia" w:ascii="仿宋_GB2312" w:hAnsi="仿宋" w:eastAsia="仿宋_GB2312"/>
          <w:sz w:val="32"/>
          <w:szCs w:val="32"/>
        </w:rPr>
        <w:t>大为石膏矿处理遗留问题费用纳入发放科目范围，</w:t>
      </w:r>
      <w:r>
        <w:rPr>
          <w:rFonts w:hint="eastAsia" w:ascii="仿宋_GB2312" w:hAnsi="仿宋" w:eastAsia="仿宋_GB2312"/>
          <w:sz w:val="32"/>
          <w:szCs w:val="32"/>
          <w:lang w:val="zh-CN"/>
        </w:rPr>
        <w:t>最终效果是为了妥善解决困难职工生活困难，改善民生，化解社会矛盾，缓解基层和家庭压力，确保社会稳定。</w:t>
      </w:r>
    </w:p>
    <w:p>
      <w:pPr>
        <w:ind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zh-CN"/>
        </w:rPr>
        <w:t>项目资金申报相符性。项目资金由峨眉山市财政局下拨到峨眉山市经信局，再由市经信局负责兑付。项目资金申报是与项目目标相符的。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二、项目实施及管理情况</w:t>
      </w:r>
    </w:p>
    <w:p>
      <w:pPr>
        <w:ind w:firstLine="643" w:firstLine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（一）资金计划、到位及使用情况</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lang w:val="zh-CN"/>
        </w:rPr>
        <w:t>1</w:t>
      </w:r>
      <w:r>
        <w:rPr>
          <w:rFonts w:hint="eastAsia" w:ascii="仿宋_GB2312" w:hAnsi="仿宋" w:eastAsia="仿宋_GB2312"/>
          <w:sz w:val="32"/>
          <w:szCs w:val="32"/>
        </w:rPr>
        <w:t>.</w:t>
      </w:r>
      <w:r>
        <w:rPr>
          <w:rFonts w:hint="eastAsia" w:ascii="仿宋_GB2312" w:hAnsi="仿宋" w:eastAsia="仿宋_GB2312"/>
          <w:sz w:val="32"/>
          <w:szCs w:val="32"/>
          <w:lang w:val="zh-CN"/>
        </w:rPr>
        <w:t>资金计划及到位。每年</w:t>
      </w:r>
      <w:r>
        <w:rPr>
          <w:rFonts w:hint="eastAsia" w:ascii="仿宋_GB2312" w:hAnsi="仿宋" w:eastAsia="仿宋_GB2312"/>
          <w:sz w:val="32"/>
          <w:szCs w:val="32"/>
        </w:rPr>
        <w:t>市财政局对该项目的预算经费为37万元，市经信局根据需要按规定申请并足额</w:t>
      </w:r>
      <w:r>
        <w:rPr>
          <w:rFonts w:hint="eastAsia" w:ascii="仿宋_GB2312" w:hAnsi="仿宋" w:eastAsia="仿宋_GB2312"/>
          <w:sz w:val="32"/>
          <w:szCs w:val="32"/>
          <w:lang w:val="zh-CN"/>
        </w:rPr>
        <w:t>兑付，剩余部分按要求返还市财政</w:t>
      </w:r>
      <w:r>
        <w:rPr>
          <w:rFonts w:hint="eastAsia" w:ascii="仿宋_GB2312" w:hAnsi="仿宋" w:eastAsia="仿宋_GB2312"/>
          <w:sz w:val="32"/>
          <w:szCs w:val="32"/>
        </w:rPr>
        <w:t>。</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2.资金使用。根据《三家关停企业职工生活补助2019年费用汇总表》、《大为石膏矿处理遗留问题费用2019年费用汇总表》：高桥瓷厂、高桥煤矿、东风煤矿三家关停企业职工生活补助费用</w:t>
      </w:r>
      <w:r>
        <w:rPr>
          <w:rFonts w:hint="eastAsia" w:ascii="仿宋_GB2312" w:hAnsi="仿宋" w:eastAsia="仿宋_GB2312"/>
          <w:sz w:val="32"/>
          <w:szCs w:val="32"/>
          <w:lang w:val="zh-CN"/>
        </w:rPr>
        <w:t>和原大为石膏矿</w:t>
      </w:r>
      <w:r>
        <w:rPr>
          <w:rFonts w:hint="eastAsia" w:ascii="仿宋_GB2312" w:hAnsi="仿宋" w:eastAsia="仿宋_GB2312"/>
          <w:sz w:val="32"/>
          <w:szCs w:val="32"/>
        </w:rPr>
        <w:t>处理遗留问题费用为15.58万元，已全部用于三家关停企业困难职工</w:t>
      </w:r>
      <w:r>
        <w:rPr>
          <w:rFonts w:hint="eastAsia" w:ascii="仿宋_GB2312" w:hAnsi="仿宋" w:eastAsia="仿宋_GB2312"/>
          <w:sz w:val="32"/>
          <w:szCs w:val="32"/>
          <w:lang w:val="zh-CN"/>
        </w:rPr>
        <w:t>医药费、慰问费等费用和原大为石膏矿</w:t>
      </w:r>
      <w:r>
        <w:rPr>
          <w:rFonts w:hint="eastAsia" w:ascii="仿宋_GB2312" w:hAnsi="仿宋" w:eastAsia="仿宋_GB2312"/>
          <w:sz w:val="32"/>
          <w:szCs w:val="32"/>
        </w:rPr>
        <w:t>处理遗留问题费用</w:t>
      </w:r>
      <w:r>
        <w:rPr>
          <w:rFonts w:hint="eastAsia" w:ascii="仿宋_GB2312" w:hAnsi="仿宋" w:eastAsia="仿宋_GB2312"/>
          <w:sz w:val="32"/>
          <w:szCs w:val="32"/>
          <w:lang w:val="zh-CN"/>
        </w:rPr>
        <w:t>中，</w:t>
      </w:r>
      <w:r>
        <w:rPr>
          <w:rFonts w:hint="eastAsia" w:ascii="仿宋_GB2312" w:hAnsi="仿宋" w:eastAsia="仿宋_GB2312"/>
          <w:sz w:val="32"/>
          <w:szCs w:val="32"/>
        </w:rPr>
        <w:t>剩余21.42万元已返还财政。</w:t>
      </w:r>
    </w:p>
    <w:p>
      <w:pPr>
        <w:ind w:firstLine="643" w:firstLine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（二）项目财务管理情况</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lang w:val="zh-CN"/>
        </w:rPr>
        <w:t>市经信局开设专门科目对项目资金进行统一管理和发放，市财政局对市经信局资金使用情况进行监督管理。</w:t>
      </w:r>
    </w:p>
    <w:p>
      <w:pPr>
        <w:ind w:firstLine="643" w:firstLine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（三）项目组织实施情况</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lang w:val="zh-CN"/>
        </w:rPr>
        <w:t>市财政局按进度拨付到市经信局，再由市经信局按时足额发放给三家关停企业退休职工、留守人员及原大为石膏矿遗留问题处理有关人员。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三、项目绩效情况</w:t>
      </w:r>
    </w:p>
    <w:p>
      <w:pPr>
        <w:ind w:firstLine="643" w:firstLine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1.目标任务量完成情况。</w:t>
      </w:r>
    </w:p>
    <w:p>
      <w:pPr>
        <w:ind w:firstLine="640" w:firstLineChars="200"/>
        <w:rPr>
          <w:rFonts w:ascii="仿宋_GB2312" w:hAnsi="仿宋" w:eastAsia="仿宋_GB2312"/>
          <w:sz w:val="32"/>
          <w:szCs w:val="32"/>
        </w:rPr>
      </w:pPr>
      <w:r>
        <w:rPr>
          <w:rFonts w:hint="eastAsia" w:ascii="仿宋_GB2312" w:hAnsi="仿宋" w:eastAsia="仿宋_GB2312"/>
          <w:sz w:val="32"/>
          <w:szCs w:val="32"/>
        </w:rPr>
        <w:t>2019年高桥瓷厂、高桥煤矿、东风煤矿三家关停企业职工生活补助和原大为石膏矿处理遗留问题费用预算37万元，已发放15.58万元，剩余21.42万元已返还财政。</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2.目标质量完成情况。</w:t>
      </w:r>
    </w:p>
    <w:p>
      <w:pPr>
        <w:ind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zh-CN"/>
        </w:rPr>
        <w:t>按规定，市经信局按时足额支付</w:t>
      </w:r>
      <w:r>
        <w:rPr>
          <w:rFonts w:hint="eastAsia" w:ascii="仿宋_GB2312" w:hAnsi="仿宋" w:eastAsia="仿宋_GB2312"/>
          <w:sz w:val="32"/>
          <w:szCs w:val="32"/>
        </w:rPr>
        <w:t>所有费用。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3.目标进度完成情况。</w:t>
      </w:r>
    </w:p>
    <w:p>
      <w:pPr>
        <w:ind w:firstLine="640" w:firstLineChars="200"/>
        <w:rPr>
          <w:rFonts w:ascii="仿宋_GB2312" w:eastAsia="仿宋_GB2312"/>
          <w:sz w:val="32"/>
          <w:szCs w:val="32"/>
        </w:rPr>
      </w:pPr>
      <w:r>
        <w:rPr>
          <w:rFonts w:hint="eastAsia" w:ascii="仿宋_GB2312" w:eastAsia="仿宋_GB2312"/>
          <w:sz w:val="32"/>
          <w:szCs w:val="32"/>
        </w:rPr>
        <w:t>2019年，市财政已拨付</w:t>
      </w:r>
      <w:r>
        <w:rPr>
          <w:rFonts w:hint="eastAsia" w:ascii="仿宋_GB2312" w:hAnsi="仿宋" w:eastAsia="仿宋_GB2312"/>
          <w:sz w:val="32"/>
          <w:szCs w:val="32"/>
        </w:rPr>
        <w:t>高桥瓷厂、高桥煤矿、东风煤矿3家关停企业职工生活补助和原大为石膏矿处理遗留问题费用37万元，我局收到此款项后，根据需要已发放15.58万元，剩余21.42万元已返还财政。</w:t>
      </w:r>
    </w:p>
    <w:p>
      <w:pPr>
        <w:ind w:firstLine="643" w:firstLine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val="zh-CN"/>
        </w:rPr>
        <w:t>）项目效益情况</w:t>
      </w:r>
    </w:p>
    <w:p>
      <w:pPr>
        <w:ind w:firstLine="640" w:firstLineChars="200"/>
        <w:rPr>
          <w:rFonts w:hint="eastAsia" w:ascii="仿宋_GB2312" w:hAnsi="仿宋" w:eastAsia="仿宋_GB2312"/>
          <w:sz w:val="32"/>
          <w:szCs w:val="32"/>
          <w:lang w:val="zh-CN"/>
        </w:rPr>
      </w:pPr>
      <w:r>
        <w:rPr>
          <w:rFonts w:hint="eastAsia" w:ascii="仿宋_GB2312" w:eastAsia="仿宋_GB2312"/>
          <w:sz w:val="32"/>
          <w:szCs w:val="32"/>
        </w:rPr>
        <w:t xml:space="preserve"> 2019年由市财政拨付</w:t>
      </w:r>
      <w:r>
        <w:rPr>
          <w:rFonts w:hint="eastAsia" w:ascii="仿宋_GB2312" w:hAnsi="仿宋" w:eastAsia="仿宋_GB2312"/>
          <w:sz w:val="32"/>
          <w:szCs w:val="32"/>
        </w:rPr>
        <w:t>高桥瓷厂、高桥煤矿、东风煤矿三家关停企业职工生</w:t>
      </w:r>
      <w:r>
        <w:rPr>
          <w:rFonts w:hint="eastAsia" w:ascii="仿宋_GB2312" w:eastAsia="仿宋_GB2312"/>
          <w:sz w:val="32"/>
          <w:szCs w:val="32"/>
        </w:rPr>
        <w:t>活补助和原大为石膏矿处理遗留问题费用37万元，已按时发放15.58万元，剩余21.42万元已返还财政。该项目实施</w:t>
      </w:r>
      <w:r>
        <w:rPr>
          <w:rFonts w:hint="eastAsia" w:ascii="仿宋_GB2312" w:hAnsi="仿宋" w:eastAsia="仿宋_GB2312"/>
          <w:sz w:val="32"/>
          <w:szCs w:val="32"/>
          <w:lang w:val="zh-CN"/>
        </w:rPr>
        <w:t>妥善解决了困难职工生活困难，改善了民生，化解了社会矛盾，缓解了基层和家庭压力，</w:t>
      </w:r>
      <w:r>
        <w:rPr>
          <w:rFonts w:hint="eastAsia" w:ascii="仿宋_GB2312" w:hAnsi="仿宋" w:eastAsia="仿宋_GB2312"/>
          <w:sz w:val="32"/>
          <w:szCs w:val="32"/>
        </w:rPr>
        <w:t>没有出现到市委市政府上访的情况，</w:t>
      </w:r>
      <w:r>
        <w:rPr>
          <w:rFonts w:hint="eastAsia" w:ascii="仿宋_GB2312" w:hAnsi="仿宋" w:eastAsia="仿宋_GB2312"/>
          <w:sz w:val="32"/>
          <w:szCs w:val="32"/>
          <w:lang w:val="zh-CN"/>
        </w:rPr>
        <w:t>确保了社会稳定。</w:t>
      </w: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lang w:val="zh-CN"/>
        </w:rPr>
        <w:t>问题及建议</w:t>
      </w:r>
    </w:p>
    <w:p>
      <w:pPr>
        <w:numPr>
          <w:ilvl w:val="0"/>
          <w:numId w:val="0"/>
        </w:numPr>
        <w:adjustRightInd w:val="0"/>
        <w:snapToGrid w:val="0"/>
        <w:spacing w:line="560" w:lineRule="exact"/>
        <w:ind w:left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（一）存在的问题</w:t>
      </w:r>
    </w:p>
    <w:p>
      <w:p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无。</w:t>
      </w:r>
    </w:p>
    <w:p>
      <w:pPr>
        <w:adjustRightInd w:val="0"/>
        <w:snapToGrid w:val="0"/>
        <w:spacing w:line="560" w:lineRule="exact"/>
        <w:ind w:firstLine="643" w:firstLine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(二）相关建议</w:t>
      </w:r>
    </w:p>
    <w:p>
      <w:pPr>
        <w:adjustRightInd w:val="0"/>
        <w:snapToGrid w:val="0"/>
        <w:spacing w:line="560" w:lineRule="exact"/>
        <w:ind w:left="420" w:leftChars="200" w:firstLine="320" w:firstLineChars="100"/>
        <w:rPr>
          <w:rFonts w:ascii="仿宋_GB2312" w:hAnsi="仿宋" w:eastAsia="仿宋_GB2312"/>
          <w:sz w:val="32"/>
          <w:szCs w:val="32"/>
        </w:rPr>
      </w:pPr>
      <w:r>
        <w:rPr>
          <w:rFonts w:hint="eastAsia" w:ascii="仿宋_GB2312" w:hAnsi="仿宋" w:eastAsia="仿宋_GB2312"/>
          <w:sz w:val="32"/>
          <w:szCs w:val="32"/>
        </w:rPr>
        <w:t>无。</w:t>
      </w: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53"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1"/>
      <w:bookmarkEnd w:id="53"/>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4"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4"/>
    </w:p>
    <w:p>
      <w:pPr>
        <w:pStyle w:val="4"/>
        <w:rPr>
          <w:rFonts w:ascii="仿宋" w:hAnsi="仿宋" w:eastAsia="仿宋"/>
          <w:color w:val="000000"/>
        </w:rPr>
      </w:pPr>
      <w:bookmarkStart w:id="55"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55"/>
    </w:p>
    <w:p>
      <w:pPr>
        <w:pStyle w:val="4"/>
        <w:rPr>
          <w:rFonts w:ascii="仿宋" w:hAnsi="仿宋" w:eastAsia="仿宋"/>
          <w:color w:val="000000"/>
        </w:rPr>
      </w:pPr>
      <w:bookmarkStart w:id="56"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56"/>
    </w:p>
    <w:p>
      <w:pPr>
        <w:pStyle w:val="4"/>
        <w:rPr>
          <w:rFonts w:ascii="仿宋" w:hAnsi="仿宋" w:eastAsia="仿宋"/>
          <w:b w:val="0"/>
          <w:color w:val="000000"/>
        </w:rPr>
      </w:pPr>
      <w:bookmarkStart w:id="57"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57"/>
    </w:p>
    <w:p>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58"/>
      <w:bookmarkStart w:id="59" w:name="_Toc15396624"/>
    </w:p>
    <w:p>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59"/>
    </w:p>
    <w:p>
      <w:pPr>
        <w:pStyle w:val="4"/>
        <w:rPr>
          <w:rFonts w:ascii="仿宋" w:hAnsi="仿宋" w:eastAsia="仿宋"/>
          <w:color w:val="000000"/>
        </w:rPr>
      </w:pPr>
      <w:bookmarkStart w:id="60"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0"/>
    </w:p>
    <w:p>
      <w:pPr>
        <w:pStyle w:val="4"/>
        <w:rPr>
          <w:rFonts w:ascii="仿宋" w:hAnsi="仿宋" w:eastAsia="仿宋"/>
          <w:color w:val="000000"/>
        </w:rPr>
      </w:pPr>
      <w:bookmarkStart w:id="61"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1"/>
    </w:p>
    <w:p>
      <w:pPr>
        <w:pStyle w:val="4"/>
        <w:rPr>
          <w:rFonts w:ascii="仿宋" w:hAnsi="仿宋" w:eastAsia="仿宋"/>
          <w:color w:val="000000"/>
        </w:rPr>
      </w:pPr>
      <w:bookmarkStart w:id="62"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2"/>
    </w:p>
    <w:p>
      <w:pPr>
        <w:pStyle w:val="4"/>
        <w:rPr>
          <w:rFonts w:ascii="仿宋" w:hAnsi="仿宋" w:eastAsia="仿宋"/>
          <w:color w:val="000000"/>
        </w:rPr>
      </w:pPr>
      <w:bookmarkStart w:id="63"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3"/>
    </w:p>
    <w:p>
      <w:pPr>
        <w:pStyle w:val="4"/>
        <w:rPr>
          <w:rFonts w:ascii="仿宋" w:hAnsi="仿宋" w:eastAsia="仿宋"/>
          <w:color w:val="000000"/>
        </w:rPr>
      </w:pPr>
      <w:bookmarkStart w:id="64"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4"/>
    </w:p>
    <w:p>
      <w:pPr>
        <w:pStyle w:val="4"/>
        <w:rPr>
          <w:rFonts w:ascii="仿宋" w:hAnsi="仿宋" w:eastAsia="仿宋"/>
          <w:color w:val="000000"/>
        </w:rPr>
      </w:pPr>
      <w:bookmarkStart w:id="65"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5"/>
    </w:p>
    <w:p>
      <w:pPr>
        <w:pStyle w:val="4"/>
        <w:rPr>
          <w:rFonts w:ascii="仿宋" w:hAnsi="仿宋" w:eastAsia="仿宋"/>
          <w:color w:val="000000" w:themeColor="text1"/>
        </w:rPr>
      </w:pPr>
      <w:bookmarkStart w:id="66"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6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04B99"/>
    <w:multiLevelType w:val="singleLevel"/>
    <w:tmpl w:val="8D304B99"/>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6D18E77"/>
    <w:multiLevelType w:val="singleLevel"/>
    <w:tmpl w:val="06D18E77"/>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4A91CBC"/>
    <w:multiLevelType w:val="singleLevel"/>
    <w:tmpl w:val="24A91CBC"/>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2F85"/>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2176F2"/>
    <w:rsid w:val="10C055FF"/>
    <w:rsid w:val="15E707D3"/>
    <w:rsid w:val="16BB723D"/>
    <w:rsid w:val="18000159"/>
    <w:rsid w:val="188602F4"/>
    <w:rsid w:val="18A37A44"/>
    <w:rsid w:val="1E0D6036"/>
    <w:rsid w:val="1E34609B"/>
    <w:rsid w:val="1F0F69FF"/>
    <w:rsid w:val="20D146A3"/>
    <w:rsid w:val="210A26BD"/>
    <w:rsid w:val="239D02DA"/>
    <w:rsid w:val="240371BF"/>
    <w:rsid w:val="29FD04D3"/>
    <w:rsid w:val="319F7F4E"/>
    <w:rsid w:val="344A20CB"/>
    <w:rsid w:val="3C55173A"/>
    <w:rsid w:val="3C7817A3"/>
    <w:rsid w:val="3FE039B4"/>
    <w:rsid w:val="41765FAC"/>
    <w:rsid w:val="418F6476"/>
    <w:rsid w:val="4B26042C"/>
    <w:rsid w:val="4EAC3883"/>
    <w:rsid w:val="4ECE2238"/>
    <w:rsid w:val="53384EAF"/>
    <w:rsid w:val="54B71977"/>
    <w:rsid w:val="565064A2"/>
    <w:rsid w:val="56DA0B15"/>
    <w:rsid w:val="58E36246"/>
    <w:rsid w:val="611F7C87"/>
    <w:rsid w:val="62544DF1"/>
    <w:rsid w:val="6646238B"/>
    <w:rsid w:val="66B15712"/>
    <w:rsid w:val="6F943D92"/>
    <w:rsid w:val="72734D90"/>
    <w:rsid w:val="7E006C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styleId="24">
    <w:name w:val="List Paragraph"/>
    <w:basedOn w:val="1"/>
    <w:qFormat/>
    <w:uiPriority w:val="34"/>
    <w:pPr>
      <w:ind w:firstLine="420" w:firstLineChars="200"/>
    </w:pPr>
  </w:style>
  <w:style w:type="character" w:customStyle="1" w:styleId="25">
    <w:name w:val="标题 1 Char"/>
    <w:basedOn w:val="15"/>
    <w:link w:val="3"/>
    <w:qFormat/>
    <w:uiPriority w:val="9"/>
    <w:rPr>
      <w:rFonts w:ascii="Times New Roman" w:hAnsi="Times New Roman"/>
      <w:b/>
      <w:bCs/>
      <w:kern w:val="44"/>
      <w:sz w:val="44"/>
      <w:szCs w:val="44"/>
    </w:rPr>
  </w:style>
  <w:style w:type="character" w:customStyle="1" w:styleId="26">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5"/>
    <w:link w:val="8"/>
    <w:semiHidden/>
    <w:qFormat/>
    <w:uiPriority w:val="99"/>
    <w:rPr>
      <w:rFonts w:ascii="Times New Roman" w:hAnsi="Times New Roman"/>
      <w:kern w:val="2"/>
      <w:sz w:val="18"/>
      <w:szCs w:val="18"/>
    </w:rPr>
  </w:style>
  <w:style w:type="character" w:customStyle="1" w:styleId="29">
    <w:name w:val="标题 3 Char"/>
    <w:basedOn w:val="15"/>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AppData\Roaming\kingsoft\office6\backup\&#26032;&#24314;%20xlsx%20&#24037;&#20316;&#34920;.xlsx.3B75D5EDEB4FB321B95FA42CB65C6853.20201023174851504.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'[新建 XLSX 工作表.xlsx]Sheet1'!$A$2:$A$3</c:f>
              <c:strCache>
                <c:ptCount val="2"/>
                <c:pt idx="0">
                  <c:v>2018年</c:v>
                </c:pt>
                <c:pt idx="1">
                  <c:v>2019年</c:v>
                </c:pt>
              </c:strCache>
            </c:strRef>
          </c:cat>
          <c:val>
            <c:numRef>
              <c:f>'[新建 XLSX 工作表.xlsx]Sheet1'!$B$2:$B$3</c:f>
              <c:numCache>
                <c:formatCode>0.00_ </c:formatCode>
                <c:ptCount val="2"/>
                <c:pt idx="0">
                  <c:v>4490.7</c:v>
                </c:pt>
                <c:pt idx="1">
                  <c:v>8060.8</c:v>
                </c:pt>
              </c:numCache>
            </c:numRef>
          </c:val>
        </c:ser>
        <c:dLbls>
          <c:showLegendKey val="0"/>
          <c:showVal val="1"/>
          <c:showCatName val="0"/>
          <c:showSerName val="0"/>
          <c:showPercent val="0"/>
          <c:showBubbleSize val="0"/>
        </c:dLbls>
        <c:gapWidth val="219"/>
        <c:overlap val="-27"/>
        <c:axId val="772931252"/>
        <c:axId val="509960740"/>
      </c:barChart>
      <c:catAx>
        <c:axId val="7729312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960740"/>
        <c:crosses val="autoZero"/>
        <c:auto val="1"/>
        <c:lblAlgn val="ctr"/>
        <c:lblOffset val="100"/>
        <c:noMultiLvlLbl val="0"/>
      </c:catAx>
      <c:valAx>
        <c:axId val="50996074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9312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51944444444444"/>
          <c:y val="0.019421665947345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a:t>
                    </a:r>
                    <a:r>
                      <a:rPr lang="en-US" altLang="zh-CN"/>
                      <a:t>0.74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29</a:t>
                    </a:r>
                    <a:r>
                      <a:rPr lang="en-US" altLang="zh-CN"/>
                      <a:t>.26</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工作表.xlsx]Sheet1'!$A$37:$A$43</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XLSX 工作表.xlsx]Sheet1'!$B$37:$B$43</c:f>
              <c:numCache>
                <c:formatCode>General</c:formatCode>
                <c:ptCount val="7"/>
                <c:pt idx="0">
                  <c:v>4145.8</c:v>
                </c:pt>
                <c:pt idx="1">
                  <c:v>1714.67</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a:t>
                    </a:r>
                    <a:r>
                      <a:rPr lang="en-US" altLang="zh-CN"/>
                      <a:t>.42</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a:t>
                    </a:r>
                    <a:r>
                      <a:rPr lang="en-US" altLang="zh-CN"/>
                      <a:t>0.58</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工作表.xlsx]Sheet1'!$A$58:$A$62</c:f>
              <c:strCache>
                <c:ptCount val="5"/>
                <c:pt idx="0">
                  <c:v>基本支出</c:v>
                </c:pt>
                <c:pt idx="1">
                  <c:v>项目支出</c:v>
                </c:pt>
                <c:pt idx="2">
                  <c:v>上缴上级支出</c:v>
                </c:pt>
                <c:pt idx="3">
                  <c:v>经营支出</c:v>
                </c:pt>
                <c:pt idx="4">
                  <c:v>对附属单位补助支出</c:v>
                </c:pt>
              </c:strCache>
            </c:strRef>
          </c:cat>
          <c:val>
            <c:numRef>
              <c:f>'[新建 XLSX 工作表.xlsx]Sheet1'!$B$58:$B$62</c:f>
              <c:numCache>
                <c:formatCode>General</c:formatCode>
                <c:ptCount val="5"/>
                <c:pt idx="0">
                  <c:v>587.88</c:v>
                </c:pt>
                <c:pt idx="1">
                  <c:v>5650.47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'[新建 XLSX 工作表.xlsx]Sheet1'!$A$2:$A$3</c:f>
              <c:strCache>
                <c:ptCount val="2"/>
                <c:pt idx="0">
                  <c:v>2018年</c:v>
                </c:pt>
                <c:pt idx="1">
                  <c:v>2019年</c:v>
                </c:pt>
              </c:strCache>
            </c:strRef>
          </c:cat>
          <c:val>
            <c:numRef>
              <c:f>'[新建 XLSX 工作表.xlsx]Sheet1'!$B$2:$B$3</c:f>
              <c:numCache>
                <c:formatCode>0.00_ </c:formatCode>
                <c:ptCount val="2"/>
                <c:pt idx="0">
                  <c:v>4489.49</c:v>
                </c:pt>
                <c:pt idx="1">
                  <c:v>8059.59</c:v>
                </c:pt>
              </c:numCache>
            </c:numRef>
          </c:val>
        </c:ser>
        <c:dLbls>
          <c:showLegendKey val="0"/>
          <c:showVal val="1"/>
          <c:showCatName val="0"/>
          <c:showSerName val="0"/>
          <c:showPercent val="0"/>
          <c:showBubbleSize val="0"/>
        </c:dLbls>
        <c:gapWidth val="219"/>
        <c:overlap val="-27"/>
        <c:axId val="772931252"/>
        <c:axId val="509960740"/>
      </c:barChart>
      <c:catAx>
        <c:axId val="7729312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960740"/>
        <c:crosses val="autoZero"/>
        <c:auto val="1"/>
        <c:lblAlgn val="ctr"/>
        <c:lblOffset val="100"/>
        <c:noMultiLvlLbl val="0"/>
      </c:catAx>
      <c:valAx>
        <c:axId val="50996074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9312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22121212121212"/>
          <c:y val="0.167659184608337"/>
          <c:w val="0.851707988980716"/>
          <c:h val="0.714704535043518"/>
        </c:manualLayout>
      </c:layout>
      <c:barChart>
        <c:barDir val="col"/>
        <c:grouping val="clustered"/>
        <c:varyColors val="0"/>
        <c:ser>
          <c:idx val="0"/>
          <c:order val="0"/>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4507.4</a:t>
                    </a:r>
                    <a:r>
                      <a:rPr lang="en-US" altLang="zh-CN"/>
                      <a:t>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'[新建 XLSX 工作表.xlsx]Sheet1'!$A$2:$A$3</c:f>
              <c:strCache>
                <c:ptCount val="2"/>
                <c:pt idx="0">
                  <c:v>2018年</c:v>
                </c:pt>
                <c:pt idx="1">
                  <c:v>2019年</c:v>
                </c:pt>
              </c:strCache>
            </c:strRef>
          </c:cat>
          <c:val>
            <c:numRef>
              <c:f>'[新建 XLSX 工作表.xlsx]Sheet1'!$B$2:$B$3</c:f>
              <c:numCache>
                <c:formatCode>0.00_ </c:formatCode>
                <c:ptCount val="2"/>
                <c:pt idx="0">
                  <c:v>1833.25</c:v>
                </c:pt>
                <c:pt idx="1">
                  <c:v>4507.41</c:v>
                </c:pt>
              </c:numCache>
            </c:numRef>
          </c:val>
        </c:ser>
        <c:dLbls>
          <c:showLegendKey val="0"/>
          <c:showVal val="1"/>
          <c:showCatName val="0"/>
          <c:showSerName val="0"/>
          <c:showPercent val="0"/>
          <c:showBubbleSize val="0"/>
        </c:dLbls>
        <c:gapWidth val="219"/>
        <c:overlap val="-27"/>
        <c:axId val="772931252"/>
        <c:axId val="509960740"/>
      </c:barChart>
      <c:catAx>
        <c:axId val="7729312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960740"/>
        <c:crosses val="autoZero"/>
        <c:auto val="1"/>
        <c:lblAlgn val="ctr"/>
        <c:lblOffset val="100"/>
        <c:noMultiLvlLbl val="0"/>
      </c:catAx>
      <c:valAx>
        <c:axId val="50996074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9312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a:t>
                    </a:r>
                    <a:r>
                      <a:rPr lang="en-US" altLang="zh-CN"/>
                      <a:t>5.46</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303030303030303"/>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2.86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404040404040404"/>
                  <c:y val="-0.024464831804281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.26</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809427609427609"/>
                      <c:h val="0.0837920489296637"/>
                    </c:manualLayout>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40</a:t>
                    </a:r>
                    <a:r>
                      <a:rPr lang="en-US" altLang="zh-CN"/>
                      <a:t>.42</a:t>
                    </a:r>
                    <a:r>
                      <a:t>%</a:t>
                    </a:r>
                  </a:p>
                </c:rich>
              </c:tx>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工作表.xlsx]Sheet1'!$A$82:$A$86</c:f>
              <c:strCache>
                <c:ptCount val="5"/>
                <c:pt idx="0">
                  <c:v>一般公共服务（类）支出</c:v>
                </c:pt>
                <c:pt idx="1">
                  <c:v>社会保障和就业支出（类）</c:v>
                </c:pt>
                <c:pt idx="2">
                  <c:v>卫生健康支出（类）支出</c:v>
                </c:pt>
                <c:pt idx="3">
                  <c:v>资源勘探信息等支出（类）支出</c:v>
                </c:pt>
                <c:pt idx="4">
                  <c:v>住房保障支出（类）</c:v>
                </c:pt>
              </c:strCache>
            </c:strRef>
          </c:cat>
          <c:val>
            <c:numRef>
              <c:f>'[新建 XLSX 工作表.xlsx]Sheet1'!$B$82:$B$86</c:f>
              <c:numCache>
                <c:formatCode>General</c:formatCode>
                <c:ptCount val="5"/>
                <c:pt idx="0">
                  <c:v>2500</c:v>
                </c:pt>
                <c:pt idx="1">
                  <c:v>128.7</c:v>
                </c:pt>
                <c:pt idx="2">
                  <c:v>11.84</c:v>
                </c:pt>
                <c:pt idx="3">
                  <c:v>1821.99</c:v>
                </c:pt>
                <c:pt idx="4">
                  <c:v>44.88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a:solidFill>
              <a:schemeClr val="accent2"/>
            </a:solidFill>
          </c:spPr>
          <c:explosion val="0"/>
          <c:dPt>
            <c:idx val="0"/>
            <c:bubble3D val="0"/>
            <c:spPr>
              <a:solidFill>
                <a:schemeClr val="accent2"/>
              </a:solidFill>
              <a:ln w="19050">
                <a:solidFill>
                  <a:schemeClr val="lt1"/>
                </a:solidFill>
              </a:ln>
              <a:effectLst/>
            </c:spPr>
          </c:dPt>
          <c:dPt>
            <c:idx val="1"/>
            <c:bubble3D val="0"/>
            <c:spPr>
              <a:solidFill>
                <a:schemeClr val="accent1">
                  <a:lumMod val="75000"/>
                </a:schemeClr>
              </a:solidFill>
              <a:ln w="19050">
                <a:solidFill>
                  <a:schemeClr val="lt1"/>
                </a:solidFill>
              </a:ln>
              <a:effectLst/>
            </c:spPr>
          </c:dPt>
          <c:dPt>
            <c:idx val="2"/>
            <c:bubble3D val="0"/>
            <c:spPr>
              <a:solidFill>
                <a:schemeClr val="accent4"/>
              </a:solidFill>
              <a:ln w="19050">
                <a:solidFill>
                  <a:schemeClr val="lt1"/>
                </a:solidFill>
              </a:ln>
              <a:effectLst/>
            </c:spPr>
          </c:dPt>
          <c:dLbls>
            <c:dLbl>
              <c:idx val="0"/>
              <c:delete val="1"/>
            </c:dLbl>
            <c:dLbl>
              <c:idx val="1"/>
              <c:layout>
                <c:manualLayout>
                  <c:x val="0.0361211521850934"/>
                  <c:y val="-0.02816276655449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76288411260612"/>
                  <c:y val="0.0890602095371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工作表.xlsx.3B75D5EDEB4FB321B95FA42CB65C6853.20201023174851504.et]Sheet1'!$A$106:$A$108</c:f>
              <c:strCache>
                <c:ptCount val="3"/>
                <c:pt idx="0">
                  <c:v>因公出国（境）费支出</c:v>
                </c:pt>
                <c:pt idx="1">
                  <c:v>公务用车购置及运行维护费支出</c:v>
                </c:pt>
                <c:pt idx="2">
                  <c:v>公务接待费支出</c:v>
                </c:pt>
              </c:strCache>
            </c:strRef>
          </c:cat>
          <c:val>
            <c:numRef>
              <c:f>'[新建 xlsx 工作表.xlsx.3B75D5EDEB4FB321B95FA42CB65C6853.20201023174851504.et]Sheet1'!$B$106:$B$108</c:f>
              <c:numCache>
                <c:formatCode>General</c:formatCode>
                <c:ptCount val="3"/>
                <c:pt idx="0">
                  <c:v>0</c:v>
                </c:pt>
                <c:pt idx="1">
                  <c:v>3.94</c:v>
                </c:pt>
                <c:pt idx="2">
                  <c:v>1.26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tpp</cp:lastModifiedBy>
  <cp:lastPrinted>2020-10-27T08:51:00Z</cp:lastPrinted>
  <dcterms:modified xsi:type="dcterms:W3CDTF">2020-10-30T07:49:29Z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