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193"/>
      <w:bookmarkStart w:id="3" w:name="_Toc15396475"/>
      <w:bookmarkStart w:id="4" w:name="_Toc1537742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96476"/>
      <w:bookmarkStart w:id="8" w:name="_Toc15378442"/>
      <w:bookmarkStart w:id="9" w:name="_Toc15377194"/>
      <w:bookmarkStart w:id="10" w:name="_Toc15306268"/>
      <w:bookmarkStart w:id="11" w:name="_Toc15377426"/>
      <w:r>
        <w:rPr>
          <w:rFonts w:hint="eastAsia" w:ascii="方正小标宋简体" w:hAnsi="宋体" w:eastAsia="方正小标宋简体"/>
          <w:color w:val="000000"/>
          <w:sz w:val="72"/>
          <w:szCs w:val="72"/>
          <w:lang w:eastAsia="zh-CN"/>
        </w:rPr>
        <w:t>峨眉山市自然资源局</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5"/>
      </w:pPr>
      <w:r>
        <w:rPr>
          <w:rFonts w:hint="eastAsia"/>
        </w:rPr>
        <w:t>公开时间：2020年</w:t>
      </w:r>
      <w:r>
        <w:rPr>
          <w:rFonts w:hint="eastAsia"/>
          <w:lang w:val="en-US" w:eastAsia="zh-CN"/>
        </w:rPr>
        <w:t>10</w:t>
      </w:r>
      <w:r>
        <w:rPr>
          <w:rFonts w:hint="eastAsia"/>
        </w:rPr>
        <w:t>月</w:t>
      </w:r>
      <w:r>
        <w:rPr>
          <w:rFonts w:hint="eastAsia"/>
          <w:lang w:val="en-US" w:eastAsia="zh-CN"/>
        </w:rPr>
        <w:t>30</w:t>
      </w:r>
      <w:r>
        <w:rPr>
          <w:rFonts w:hint="eastAsia"/>
        </w:rPr>
        <w:t>日</w:t>
      </w:r>
    </w:p>
    <w:p/>
    <w:p>
      <w:pPr>
        <w:pStyle w:val="5"/>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6"/>
        <w:adjustRightInd w:val="0"/>
        <w:snapToGrid w:val="0"/>
        <w:spacing w:line="440" w:lineRule="exact"/>
        <w:jc w:val="left"/>
        <w:rPr>
          <w:rFonts w:ascii="仿宋" w:hAnsi="仿宋" w:eastAsia="仿宋"/>
          <w:sz w:val="24"/>
        </w:rPr>
      </w:pPr>
      <w:r>
        <w:rPr>
          <w:rFonts w:hint="eastAsia"/>
          <w:sz w:val="24"/>
        </w:rPr>
        <w:t>一、基本职能及主要工作</w:t>
      </w:r>
    </w:p>
    <w:p>
      <w:pPr>
        <w:pStyle w:val="6"/>
        <w:adjustRightInd w:val="0"/>
        <w:snapToGrid w:val="0"/>
        <w:spacing w:line="440" w:lineRule="exact"/>
        <w:jc w:val="left"/>
        <w:rPr>
          <w:rFonts w:ascii="仿宋" w:hAnsi="仿宋" w:eastAsia="仿宋" w:cstheme="minorBidi"/>
          <w:sz w:val="24"/>
        </w:rPr>
      </w:pPr>
      <w:r>
        <w:rPr>
          <w:rFonts w:hint="eastAsia"/>
          <w:sz w:val="24"/>
        </w:rPr>
        <w:t>二、机构设置</w:t>
      </w:r>
    </w:p>
    <w:p>
      <w:pPr>
        <w:pStyle w:val="5"/>
        <w:adjustRightInd w:val="0"/>
        <w:snapToGrid w:val="0"/>
        <w:spacing w:before="0" w:line="440" w:lineRule="exact"/>
        <w:jc w:val="left"/>
        <w:rPr>
          <w:sz w:val="24"/>
          <w:szCs w:val="24"/>
        </w:rPr>
      </w:pPr>
      <w:r>
        <w:rPr>
          <w:rFonts w:hint="eastAsia"/>
          <w:sz w:val="24"/>
        </w:rPr>
        <w:t>第二部分度部门决算情况说明</w:t>
      </w:r>
    </w:p>
    <w:p>
      <w:pPr>
        <w:pStyle w:val="6"/>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6"/>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6"/>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6"/>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6"/>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6"/>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0"/>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pPr>
        <w:pStyle w:val="5"/>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5"/>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6"/>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6"/>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5"/>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6"/>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6"/>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11"/>
          <w:rFonts w:ascii="黑体" w:hAnsi="黑体" w:eastAsia="黑体"/>
          <w:b/>
          <w:bCs w:val="0"/>
        </w:rPr>
      </w:pPr>
      <w:r>
        <w:rPr>
          <w:rFonts w:hint="eastAsia" w:ascii="黑体" w:hAnsi="黑体" w:eastAsia="黑体"/>
          <w:b w:val="0"/>
        </w:rPr>
        <w:t xml:space="preserve">第一部分 </w:t>
      </w:r>
      <w:r>
        <w:rPr>
          <w:rStyle w:val="11"/>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12"/>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2"/>
          <w:rFonts w:hint="eastAsia" w:ascii="黑体" w:hAnsi="黑体" w:eastAsia="黑体"/>
          <w:b w:val="0"/>
          <w:bCs w:val="0"/>
        </w:rPr>
        <w:t>本职能及主要工作</w:t>
      </w:r>
      <w:bookmarkEnd w:id="14"/>
      <w:bookmarkEnd w:id="15"/>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（一）主要职能。（职能参照</w:t>
      </w:r>
      <w:r>
        <w:rPr>
          <w:rFonts w:hint="eastAsia" w:ascii="仿宋" w:hAnsi="仿宋" w:eastAsia="仿宋"/>
          <w:bCs/>
          <w:color w:val="000000"/>
          <w:sz w:val="32"/>
          <w:szCs w:val="32"/>
          <w:lang w:eastAsia="zh-CN"/>
        </w:rPr>
        <w:t>市</w:t>
      </w:r>
      <w:r>
        <w:rPr>
          <w:rFonts w:hint="eastAsia" w:ascii="仿宋" w:hAnsi="仿宋" w:eastAsia="仿宋"/>
          <w:bCs/>
          <w:color w:val="000000"/>
          <w:sz w:val="32"/>
          <w:szCs w:val="32"/>
        </w:rPr>
        <w:t>政府批准的三定方案）</w:t>
      </w:r>
      <w:bookmarkEnd w:id="16"/>
      <w:bookmarkEnd w:id="17"/>
    </w:p>
    <w:p>
      <w:pPr>
        <w:ind w:firstLine="640" w:firstLineChars="200"/>
        <w:rPr>
          <w:rFonts w:ascii="仿宋_GB2312" w:eastAsia="仿宋_GB2312"/>
          <w:sz w:val="32"/>
          <w:szCs w:val="32"/>
        </w:rPr>
      </w:pPr>
      <w:r>
        <w:rPr>
          <w:rFonts w:hint="eastAsia" w:ascii="仿宋_GB2312" w:eastAsia="仿宋_GB2312"/>
          <w:sz w:val="32"/>
          <w:szCs w:val="32"/>
        </w:rPr>
        <w:t>1.按照规定杈限，履行全民所有土地、矿产、森林、湿地、水等自然资源资产所有者职责和所有国土空间用途管制职责。拟订全市自然资源和国土空间规划的规范性文件，制定有关政策措施并监督检查执行情况。</w:t>
      </w:r>
    </w:p>
    <w:p>
      <w:pPr>
        <w:ind w:firstLine="640" w:firstLineChars="200"/>
        <w:rPr>
          <w:rFonts w:ascii="仿宋_GB2312" w:eastAsia="仿宋_GB2312"/>
          <w:sz w:val="32"/>
          <w:szCs w:val="32"/>
        </w:rPr>
      </w:pPr>
      <w:r>
        <w:rPr>
          <w:rFonts w:hint="eastAsia" w:ascii="仿宋_GB2312" w:eastAsia="仿宋_GB2312"/>
          <w:sz w:val="32"/>
          <w:szCs w:val="32"/>
        </w:rPr>
        <w:t>2.负责全市自然资源调查监测评价。依照自然资源调查监测评价的指标体系和统计标准，贯彻落实自然资源调查监测评价制度。实施自然资源基础调查、专项调查和监测。负责自然资源调查监测评价成果的监督管理和信息发布。组织开展全市森林湿地、荒漠和陆生野生动植物资源动态监测与评价，推进全市林业数字化建设。</w:t>
      </w:r>
    </w:p>
    <w:p>
      <w:pPr>
        <w:ind w:firstLine="640" w:firstLineChars="200"/>
        <w:rPr>
          <w:rFonts w:ascii="仿宋_GB2312" w:eastAsia="仿宋_GB2312"/>
          <w:sz w:val="32"/>
          <w:szCs w:val="32"/>
        </w:rPr>
      </w:pPr>
      <w:r>
        <w:rPr>
          <w:rFonts w:hint="eastAsia" w:ascii="仿宋_GB2312" w:eastAsia="仿宋_GB2312"/>
          <w:sz w:val="32"/>
          <w:szCs w:val="32"/>
        </w:rPr>
        <w:t>3.负责全市自然资源统一确权登记工作。组织实施各类自然资源和不动产统一确权登记、权籍调查、不动产测绘、争议调处、成果应用的制度、标准、规范。建立健全自然资源和不动产登记信息管理基础平台。负责自然资源和不动产登记资料收集整理、共享、汇交管理等。</w:t>
      </w:r>
    </w:p>
    <w:p>
      <w:pPr>
        <w:ind w:firstLine="640" w:firstLineChars="200"/>
        <w:rPr>
          <w:rFonts w:ascii="仿宋_GB2312" w:eastAsia="仿宋_GB2312"/>
          <w:sz w:val="32"/>
          <w:szCs w:val="32"/>
        </w:rPr>
      </w:pPr>
      <w:r>
        <w:rPr>
          <w:rFonts w:hint="eastAsia" w:ascii="仿宋_GB2312" w:eastAsia="仿宋_GB2312"/>
          <w:sz w:val="32"/>
          <w:szCs w:val="32"/>
        </w:rPr>
        <w:t>4.负责全市自然资源资产有偿使用工作。建立全民所有自然资源资产统计制度，负责全民所有自然资源资产核算。编制全民所有自然资源资产负债表，依照有关标准组织考核。按照规定权限，制定全民所有自然资源资产划拨、出让、租赁、作价出资和土地储备政策，合理配置全民所有自然资源资产。负责自然资源资产价值评估管理，依法收缴相关资产收益。</w:t>
      </w:r>
    </w:p>
    <w:p>
      <w:pPr>
        <w:ind w:firstLine="640" w:firstLineChars="200"/>
        <w:rPr>
          <w:rFonts w:ascii="仿宋_GB2312" w:eastAsia="仿宋_GB2312"/>
          <w:sz w:val="32"/>
          <w:szCs w:val="32"/>
        </w:rPr>
      </w:pPr>
      <w:r>
        <w:rPr>
          <w:rFonts w:hint="eastAsia" w:ascii="仿宋_GB2312" w:eastAsia="仿宋_GB2312"/>
          <w:sz w:val="32"/>
          <w:szCs w:val="32"/>
        </w:rPr>
        <w:t>5.负责自然资源的合理开发利用。贯彻执行自然资源发展规划和战略，组织实施自然资源开发利用地方标准，建立政府公示自然资源价格体系，组织开展自然资源分等定级价格评估，开展自然资源利用评价考核，指导实施节约集约利用。负责自然资源市场监管。组织研究自然资源管理涉及宏观调控、区域协调和城乡统筹的政策措施。</w:t>
      </w:r>
    </w:p>
    <w:p>
      <w:pPr>
        <w:ind w:firstLine="640" w:firstLineChars="200"/>
        <w:rPr>
          <w:rFonts w:ascii="仿宋_GB2312" w:eastAsia="仿宋_GB2312"/>
          <w:sz w:val="32"/>
          <w:szCs w:val="32"/>
        </w:rPr>
      </w:pPr>
      <w:r>
        <w:rPr>
          <w:rFonts w:hint="eastAsia" w:ascii="仿宋_GB2312" w:eastAsia="仿宋_GB2312"/>
          <w:sz w:val="32"/>
          <w:szCs w:val="32"/>
        </w:rPr>
        <w:t>6.负责建立全市空间规划体系并监督实施。推进主体功能区战略和制度，组织编制并监督实施国土空间规划和相关专项规划。开展国土空间开发适宜性评价，建立国土空间规划实施监测、评估和预警体系。组织划定生态保护红线、永久基本农田城镇开发边界等控制线，构建节约资源和保护环境的生产、生活、生态空间布局。建立健全国土空间用途管制制度。承担主体功能区规划、土地利用规划、城乡规划等空间规划“多规合一”工作指导全市村庄规划编制。组织拟订并实施土地等自然资源年度利用计划。负责土地等国土空间用途转用工作。</w:t>
      </w:r>
    </w:p>
    <w:p>
      <w:pPr>
        <w:ind w:firstLine="640" w:firstLineChars="200"/>
        <w:rPr>
          <w:rFonts w:ascii="仿宋_GB2312" w:eastAsia="仿宋_GB2312"/>
          <w:sz w:val="32"/>
          <w:szCs w:val="32"/>
        </w:rPr>
      </w:pPr>
      <w:r>
        <w:rPr>
          <w:rFonts w:hint="eastAsia" w:ascii="仿宋_GB2312" w:eastAsia="仿宋_GB2312"/>
          <w:sz w:val="32"/>
          <w:szCs w:val="32"/>
        </w:rPr>
        <w:t>7.负责统筹国土空间生态修复。牵头组织编制国土空间生态修复规划并组织实施有关生态修复工程。负责开展国土空间综合整治、土地整理复垦、矿山地质环境恢复治理、林业重点生态保护修复工程等工作。牵头建立和实施生态保护补偿制度，制定合理利用社会资金进行生态修复的政策措施。负责造林绿化工作，指导公益林和商品林的培育，指导、监督全民义务植树、乡村绿化工作。指导林业有害生物防治、检疫工作。承担林业应对气候变化的相关工作。</w:t>
      </w:r>
    </w:p>
    <w:p>
      <w:pPr>
        <w:ind w:firstLine="640" w:firstLineChars="200"/>
        <w:rPr>
          <w:rFonts w:ascii="仿宋_GB2312" w:eastAsia="仿宋_GB2312"/>
          <w:sz w:val="32"/>
          <w:szCs w:val="32"/>
        </w:rPr>
      </w:pPr>
      <w:r>
        <w:rPr>
          <w:rFonts w:hint="eastAsia" w:ascii="仿宋_GB2312" w:eastAsia="仿宋_GB2312"/>
          <w:sz w:val="32"/>
          <w:szCs w:val="32"/>
        </w:rPr>
        <w:t>8.负责组织实施最严格的耕地保护制度。牵头实施全市耕地保护政策，负责耕地数量、质量、生态保护。组织实施耕地保护责任目标考核和永久基本农田特殊保护。落实耕地占补平衡制度，监督占用耕地补偿制度执行情况。负责土地征收征用管理。</w:t>
      </w:r>
    </w:p>
    <w:p>
      <w:pPr>
        <w:ind w:firstLine="640" w:firstLineChars="200"/>
        <w:rPr>
          <w:rFonts w:ascii="仿宋_GB2312" w:eastAsia="仿宋_GB2312"/>
          <w:sz w:val="32"/>
          <w:szCs w:val="32"/>
        </w:rPr>
      </w:pPr>
      <w:r>
        <w:rPr>
          <w:rFonts w:hint="eastAsia" w:ascii="仿宋_GB2312" w:eastAsia="仿宋_GB2312"/>
          <w:sz w:val="32"/>
          <w:szCs w:val="32"/>
        </w:rPr>
        <w:t>9.负责全市地质勘查管理和地质工作。拟订全市地质勘查规划并监督检査执行情况。管理本级地质勘查项目。组织实施重大地质矿产勘查专项。负责地质灾害预防和治理，监督管理地下水过量开采及引发的地面沉降等地质问题。负责古生物化石的监督管理。</w:t>
      </w:r>
    </w:p>
    <w:p>
      <w:pPr>
        <w:ind w:firstLine="640" w:firstLineChars="200"/>
        <w:rPr>
          <w:rFonts w:ascii="仿宋_GB2312" w:eastAsia="仿宋_GB2312"/>
          <w:sz w:val="32"/>
          <w:szCs w:val="32"/>
        </w:rPr>
      </w:pPr>
      <w:r>
        <w:rPr>
          <w:rFonts w:hint="eastAsia" w:ascii="仿宋_GB2312" w:eastAsia="仿宋_GB2312"/>
          <w:sz w:val="32"/>
          <w:szCs w:val="32"/>
        </w:rPr>
        <w:t>10.负责落实综合防灾减灾规划相关要求，组织编制全市地质灾害防治规划、森林火灾防治规划并指导实施。组织、指导协调和监督地质灾害调查评价及隐患的普查、详查、排查。组织指导开展群测群防、专业监测和预报预警等工作，组织、指导开展地质灾害工程治理工作。承担地质灾害应急救援的技术保障工作。指导开展防火巡护、火源管理、防火设施建设等工作。负责森林火情监测预警、火灾预防工作，发送森林火险信息。组织指导国有林场林区开展宣传教育、监测预警、督促检查等防火工作。</w:t>
      </w:r>
    </w:p>
    <w:p>
      <w:pPr>
        <w:ind w:firstLine="640" w:firstLineChars="200"/>
        <w:rPr>
          <w:rFonts w:ascii="仿宋_GB2312" w:eastAsia="仿宋_GB2312"/>
          <w:sz w:val="32"/>
          <w:szCs w:val="32"/>
        </w:rPr>
      </w:pPr>
      <w:r>
        <w:rPr>
          <w:rFonts w:hint="eastAsia" w:ascii="仿宋_GB2312" w:eastAsia="仿宋_GB2312"/>
          <w:sz w:val="32"/>
          <w:szCs w:val="32"/>
        </w:rPr>
        <w:t>11.负责全市矿产资源管理工作。负责矿产资源储量管理、矿业权管理。协调指导压覆矿产资源报批。会同有关部门承担保护性开采的特定矿种、优势矿产的调控及相关管理工作。监督指导矿产资源合理利用和保护。</w:t>
      </w:r>
    </w:p>
    <w:p>
      <w:pPr>
        <w:ind w:firstLine="640" w:firstLineChars="200"/>
        <w:rPr>
          <w:rFonts w:ascii="仿宋_GB2312" w:eastAsia="仿宋_GB2312"/>
          <w:sz w:val="32"/>
          <w:szCs w:val="32"/>
        </w:rPr>
      </w:pPr>
      <w:r>
        <w:rPr>
          <w:rFonts w:hint="eastAsia" w:ascii="仿宋_GB2312" w:eastAsia="仿宋_GB2312"/>
          <w:sz w:val="32"/>
          <w:szCs w:val="32"/>
        </w:rPr>
        <w:t>12.负责测绘地理信息管理工作。负责基础测绘和测行业管理。负责测绘资质资格、质量、信用管理，监督管理地理信息安全和市场秩序。负责地图管理、地理信息公共服务工作。负责测量标志保护。承担全市地理空间数据汇集、共享工作。负责全市航空航天遥感影像数据的统一获取、处理、提供。</w:t>
      </w:r>
    </w:p>
    <w:p>
      <w:pPr>
        <w:ind w:firstLine="640" w:firstLineChars="200"/>
        <w:rPr>
          <w:rFonts w:ascii="仿宋_GB2312" w:eastAsia="仿宋_GB2312"/>
          <w:sz w:val="32"/>
          <w:szCs w:val="32"/>
        </w:rPr>
      </w:pPr>
      <w:r>
        <w:rPr>
          <w:rFonts w:hint="eastAsia" w:ascii="仿宋_GB2312" w:eastAsia="仿宋_GB2312"/>
          <w:sz w:val="32"/>
          <w:szCs w:val="32"/>
        </w:rPr>
        <w:t>13.推动全市自然资源领域科技发展和对外合作。制定并实施全市自然资源领域科技创新发展和人才培养规划、计划组织实施重大科技专项及创新能力建设，推进自然资源信息化和信息资料的公共服务。组织开展全市自然资源系统对外交流合作。承担湿地、防治荒漠化、濒危野生动植物等国际公约履约有关工作。</w:t>
      </w:r>
    </w:p>
    <w:p>
      <w:pPr>
        <w:ind w:firstLine="640" w:firstLineChars="200"/>
        <w:rPr>
          <w:rFonts w:ascii="仿宋_GB2312" w:eastAsia="仿宋_GB2312"/>
          <w:sz w:val="32"/>
          <w:szCs w:val="32"/>
        </w:rPr>
      </w:pPr>
      <w:r>
        <w:rPr>
          <w:rFonts w:hint="eastAsia" w:ascii="仿宋_GB2312" w:eastAsia="仿宋_GB2312"/>
          <w:sz w:val="32"/>
          <w:szCs w:val="32"/>
        </w:rPr>
        <w:t>14.配合国家、省、乐山市对全市落实党中央、国务院和省委省政府、乐山市委市政府关于自然资源和国土空间规划的重大方针政策、决策部署及法律法规执行情况进行督察。协调查处全市自然资源开发利用、国土空间规划等领域重大违法案件。</w:t>
      </w:r>
    </w:p>
    <w:p>
      <w:pPr>
        <w:ind w:firstLine="640" w:firstLineChars="200"/>
        <w:rPr>
          <w:rFonts w:ascii="仿宋_GB2312" w:eastAsia="仿宋_GB2312"/>
          <w:sz w:val="32"/>
          <w:szCs w:val="32"/>
        </w:rPr>
      </w:pPr>
      <w:r>
        <w:rPr>
          <w:rFonts w:hint="eastAsia" w:ascii="仿宋_GB2312" w:eastAsia="仿宋_GB2312"/>
          <w:sz w:val="32"/>
          <w:szCs w:val="32"/>
        </w:rPr>
        <w:t>15.负责全市森林、湿地资源的监督管理。组织编制并监督执行全市森林采伐限额。负责林地管理，拟订林地保护利用规划并组织实施，组织实施公益林划定和管理工作，管理国有森林资源，承担林地征用、占用的申报和国有森林资源资产产权变动的审核报批工作。负责湿地生态保护修复工作，拟订全市湿地保护规划，监督管理湿地的开发利用。</w:t>
      </w:r>
    </w:p>
    <w:p>
      <w:pPr>
        <w:ind w:firstLine="640" w:firstLineChars="200"/>
        <w:rPr>
          <w:rFonts w:ascii="仿宋_GB2312" w:eastAsia="仿宋_GB2312"/>
          <w:sz w:val="32"/>
          <w:szCs w:val="32"/>
        </w:rPr>
      </w:pPr>
      <w:r>
        <w:rPr>
          <w:rFonts w:hint="eastAsia" w:ascii="仿宋_GB2312" w:eastAsia="仿宋_GB2312"/>
          <w:sz w:val="32"/>
          <w:szCs w:val="32"/>
        </w:rPr>
        <w:t>16.负责监督管理全市荒漠化防治工作。组织开展荒漠调查，组织拟订防沙治沙、石漠化防治及沙化土地封禁保护区建设规划并监督实施，监督管理沙化土地的开发利用，组织沙尘灾害预测预报和应急处置。</w:t>
      </w:r>
    </w:p>
    <w:p>
      <w:pPr>
        <w:ind w:firstLine="640" w:firstLineChars="200"/>
        <w:rPr>
          <w:rFonts w:ascii="仿宋_GB2312" w:eastAsia="仿宋_GB2312"/>
          <w:sz w:val="32"/>
          <w:szCs w:val="32"/>
        </w:rPr>
      </w:pPr>
      <w:r>
        <w:rPr>
          <w:rFonts w:hint="eastAsia" w:ascii="仿宋_GB2312" w:eastAsia="仿宋_GB2312"/>
          <w:sz w:val="32"/>
          <w:szCs w:val="32"/>
        </w:rPr>
        <w:t>17.负责全市陆生野生动植物资源监督管理。组织开展陆生野生动植物资源调查，指导陆生野生动植物的救护繁育、栖息地恢复发展、疫源疫病监测，监督管理陆生野生动植物猎捕或釆集、驯养繁殖或培植、经营利用，按分工监督管理野生动植物进出口。</w:t>
      </w:r>
    </w:p>
    <w:p>
      <w:pPr>
        <w:ind w:firstLine="640" w:firstLineChars="200"/>
        <w:rPr>
          <w:rFonts w:ascii="仿宋_GB2312" w:eastAsia="仿宋_GB2312"/>
          <w:sz w:val="32"/>
          <w:szCs w:val="32"/>
        </w:rPr>
      </w:pPr>
      <w:r>
        <w:rPr>
          <w:rFonts w:hint="eastAsia" w:ascii="仿宋_GB2312" w:eastAsia="仿宋_GB2312"/>
          <w:sz w:val="32"/>
          <w:szCs w:val="32"/>
        </w:rPr>
        <w:t>18.负责监督管理全市各类自然保护地。拟订各类自然保护地规划。负责国家公园申报设立、规划、建设和特许经营等工作，负责本级政府直接行使和代理行使全民所有权的国家公园等自然保护地的自然资源资产管理和国土空间用途管制。提出新建、调整各类自然保护地的审核建议并按程序报批。负责组织自然遗产的申报和监督管理。负责生物多样性保护相关工作。</w:t>
      </w:r>
    </w:p>
    <w:p>
      <w:pPr>
        <w:ind w:firstLine="640" w:firstLineChars="200"/>
        <w:rPr>
          <w:rFonts w:ascii="仿宋_GB2312" w:eastAsia="仿宋_GB2312"/>
          <w:sz w:val="32"/>
          <w:szCs w:val="32"/>
        </w:rPr>
      </w:pPr>
      <w:r>
        <w:rPr>
          <w:rFonts w:hint="eastAsia" w:ascii="仿宋_GB2312" w:eastAsia="仿宋_GB2312"/>
          <w:sz w:val="32"/>
          <w:szCs w:val="32"/>
        </w:rPr>
        <w:t>19.负责推进全市林业改革相关工作。拟订集体林权制国有林区、国有林场等重大改革意见并监督实施。拟订农村林业发展、维护林业经营者合法权益的政策措施。组织指导林地、林权管理，指导农村林地承包经营工作，监督林杈纠纷调处和林地承包合同纠纷仲裁。开展退耕还林，负责天然林保护工作。</w:t>
      </w:r>
    </w:p>
    <w:p>
      <w:pPr>
        <w:ind w:firstLine="640" w:firstLineChars="200"/>
        <w:rPr>
          <w:rFonts w:ascii="仿宋_GB2312" w:eastAsia="仿宋_GB2312"/>
          <w:sz w:val="32"/>
          <w:szCs w:val="32"/>
        </w:rPr>
      </w:pPr>
      <w:r>
        <w:rPr>
          <w:rFonts w:hint="eastAsia" w:ascii="仿宋_GB2312" w:eastAsia="仿宋_GB2312"/>
          <w:sz w:val="32"/>
          <w:szCs w:val="32"/>
        </w:rPr>
        <w:t>20.拟订全市林业资源优化配置及木材利用政策，组织指导林产品质量监督，指导山区林业综合开发和生态扶贫相关工作，推进全市林竹产业带和产业基地建设。指导林业现代园区建设、花卉、特色经济林、林下经济、森林康养和生态旅游产业发展。推进林业绿色产业发展。</w:t>
      </w:r>
    </w:p>
    <w:p>
      <w:pPr>
        <w:ind w:firstLine="640" w:firstLineChars="200"/>
        <w:rPr>
          <w:rFonts w:ascii="仿宋_GB2312" w:eastAsia="仿宋_GB2312"/>
          <w:sz w:val="32"/>
          <w:szCs w:val="32"/>
        </w:rPr>
      </w:pPr>
      <w:r>
        <w:rPr>
          <w:rFonts w:hint="eastAsia" w:ascii="仿宋_GB2312" w:eastAsia="仿宋_GB2312"/>
          <w:sz w:val="32"/>
          <w:szCs w:val="32"/>
        </w:rPr>
        <w:t>21.监督管理全市国有林场基本建设和发展，组织林木种质资源普查，组织建立种质资源库，负责良种选育推广，管理林木种苗经营行为，监管林木种苗质量。监督管理林业生物种质资源、转基因生物安全、植物新品种保护。</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监督管理全市林业项目资金和国有资产，提出林业各类预算内投资、市级以上财政性资金安排建议，按本级政府规定权限，核报、核准规划内和年度计划内投资项目。参与拟订全市林业经济调节政策，组织实施林业生态补偿工作。</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.负责职责范围内的安全生产和职业健康、生态环境保护、审批服务便民化等工作。</w:t>
      </w:r>
    </w:p>
    <w:p>
      <w:pPr>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.完成市委、市政府交办的其他工作。</w:t>
      </w:r>
    </w:p>
    <w:p>
      <w:pPr>
        <w:pStyle w:val="4"/>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540" w:lineRule="exact"/>
        <w:ind w:firstLine="643" w:firstLineChars="200"/>
        <w:rPr>
          <w:rFonts w:hint="eastAsia" w:ascii="楷体_GB2312" w:hAnsi="黑体" w:eastAsia="楷体_GB2312" w:cs="仿宋_GB2312"/>
          <w:bCs/>
          <w:sz w:val="32"/>
          <w:szCs w:val="32"/>
        </w:rPr>
      </w:pPr>
      <w:r>
        <w:rPr>
          <w:rFonts w:hint="eastAsia" w:ascii="楷体_GB2312" w:hAnsi="黑体" w:eastAsia="楷体_GB2312" w:cs="黑体"/>
          <w:b/>
          <w:bCs/>
          <w:sz w:val="32"/>
          <w:szCs w:val="32"/>
          <w:lang w:val="en-US" w:eastAsia="zh-CN"/>
        </w:rPr>
        <w:t>1、</w:t>
      </w:r>
      <w:r>
        <w:rPr>
          <w:rFonts w:hint="eastAsia" w:ascii="楷体_GB2312" w:hAnsi="黑体" w:eastAsia="楷体_GB2312" w:cs="黑体"/>
          <w:b/>
          <w:bCs/>
          <w:sz w:val="32"/>
          <w:szCs w:val="32"/>
        </w:rPr>
        <w:t>严格落实耕地、林地保护制度</w:t>
      </w:r>
      <w:r>
        <w:rPr>
          <w:rFonts w:hint="eastAsia" w:ascii="楷体_GB2312" w:hAnsi="黑体" w:eastAsia="楷体_GB2312" w:cs="黑体"/>
          <w:b/>
          <w:bCs/>
          <w:sz w:val="32"/>
          <w:szCs w:val="32"/>
          <w:lang w:eastAsia="zh-CN"/>
        </w:rPr>
        <w:t>，完成目标任务。</w:t>
      </w:r>
    </w:p>
    <w:p>
      <w:pPr>
        <w:adjustRightInd w:val="0"/>
        <w:snapToGrid w:val="0"/>
        <w:spacing w:line="540" w:lineRule="exact"/>
        <w:ind w:firstLine="643" w:firstLineChars="200"/>
        <w:rPr>
          <w:rFonts w:hint="eastAsia" w:ascii="楷体_GB2312" w:hAnsi="黑体" w:eastAsia="楷体_GB2312" w:cs="仿宋_GB2312"/>
          <w:b/>
          <w:bCs/>
          <w:sz w:val="32"/>
          <w:szCs w:val="32"/>
        </w:rPr>
      </w:pPr>
      <w:r>
        <w:rPr>
          <w:rFonts w:hint="eastAsia" w:ascii="楷体_GB2312" w:hAnsi="黑体" w:eastAsia="楷体_GB2312" w:cs="仿宋_GB2312"/>
          <w:b/>
          <w:bCs/>
          <w:sz w:val="32"/>
          <w:szCs w:val="32"/>
          <w:lang w:val="en-US" w:eastAsia="zh-CN"/>
        </w:rPr>
        <w:t>2、</w:t>
      </w:r>
      <w:r>
        <w:rPr>
          <w:rFonts w:hint="eastAsia" w:ascii="楷体_GB2312" w:hAnsi="黑体" w:eastAsia="楷体_GB2312" w:cs="仿宋_GB2312"/>
          <w:b/>
          <w:bCs/>
          <w:sz w:val="32"/>
          <w:szCs w:val="32"/>
        </w:rPr>
        <w:t>开展城市总规报批工作</w:t>
      </w:r>
    </w:p>
    <w:p>
      <w:pPr>
        <w:spacing w:line="540" w:lineRule="exact"/>
        <w:ind w:firstLine="675" w:firstLineChars="210"/>
        <w:rPr>
          <w:rFonts w:ascii="仿宋_GB2312" w:eastAsia="仿宋_GB2312"/>
          <w:sz w:val="32"/>
          <w:szCs w:val="32"/>
        </w:rPr>
      </w:pPr>
      <w:r>
        <w:rPr>
          <w:rFonts w:hint="eastAsia" w:ascii="楷体_GB2312" w:hAnsi="黑体" w:eastAsia="楷体_GB2312" w:cs="仿宋_GB2312"/>
          <w:b/>
          <w:bCs/>
          <w:sz w:val="32"/>
          <w:szCs w:val="32"/>
          <w:lang w:val="en-US" w:eastAsia="zh-CN"/>
        </w:rPr>
        <w:t>3、</w:t>
      </w:r>
      <w:r>
        <w:rPr>
          <w:rFonts w:hint="eastAsia" w:ascii="楷体_GB2312" w:hAnsi="黑体" w:eastAsia="楷体_GB2312" w:cs="仿宋_GB2312"/>
          <w:b/>
          <w:bCs/>
          <w:sz w:val="32"/>
          <w:szCs w:val="32"/>
        </w:rPr>
        <w:t>全力做好用地保障工作</w:t>
      </w:r>
      <w:r>
        <w:rPr>
          <w:rFonts w:hint="eastAsia" w:ascii="楷体_GB2312" w:hAnsi="黑体" w:eastAsia="楷体_GB2312" w:cs="仿宋_GB2312"/>
          <w:b/>
          <w:bCs/>
          <w:sz w:val="32"/>
          <w:szCs w:val="32"/>
          <w:lang w:eastAsia="zh-CN"/>
        </w:rPr>
        <w:t>。</w:t>
      </w:r>
    </w:p>
    <w:p>
      <w:pPr>
        <w:spacing w:line="540" w:lineRule="exact"/>
        <w:ind w:firstLine="643" w:firstLineChars="200"/>
        <w:rPr>
          <w:rFonts w:hint="eastAsia" w:ascii="楷体" w:hAnsi="楷体" w:eastAsia="楷体" w:cs="仿宋_GB2312"/>
          <w:b/>
          <w:bCs/>
          <w:sz w:val="32"/>
          <w:szCs w:val="32"/>
        </w:rPr>
      </w:pPr>
      <w:r>
        <w:rPr>
          <w:rFonts w:hint="eastAsia" w:ascii="楷体" w:hAnsi="楷体" w:eastAsia="楷体" w:cs="仿宋_GB2312"/>
          <w:b/>
          <w:bCs/>
          <w:sz w:val="32"/>
          <w:szCs w:val="32"/>
          <w:lang w:val="en-US" w:eastAsia="zh-CN"/>
        </w:rPr>
        <w:t>5、</w:t>
      </w:r>
      <w:r>
        <w:rPr>
          <w:rFonts w:hint="eastAsia" w:ascii="楷体" w:hAnsi="楷体" w:eastAsia="楷体" w:cs="仿宋_GB2312"/>
          <w:b/>
          <w:bCs/>
          <w:sz w:val="32"/>
          <w:szCs w:val="32"/>
        </w:rPr>
        <w:t>依法依规合理利用自然资源</w:t>
      </w:r>
    </w:p>
    <w:p>
      <w:pPr>
        <w:adjustRightInd w:val="0"/>
        <w:snapToGrid w:val="0"/>
        <w:spacing w:line="540" w:lineRule="exact"/>
        <w:ind w:firstLine="643" w:firstLineChars="200"/>
        <w:rPr>
          <w:rFonts w:hint="eastAsia" w:ascii="楷体_GB2312" w:hAnsi="楷体" w:eastAsia="楷体_GB2312" w:cs="仿宋_GB2312"/>
          <w:b/>
          <w:bCs/>
          <w:sz w:val="32"/>
          <w:szCs w:val="32"/>
        </w:rPr>
      </w:pPr>
      <w:r>
        <w:rPr>
          <w:rFonts w:hint="eastAsia" w:ascii="楷体_GB2312" w:hAnsi="楷体" w:eastAsia="楷体_GB2312" w:cs="仿宋_GB2312"/>
          <w:b/>
          <w:bCs/>
          <w:sz w:val="32"/>
          <w:szCs w:val="32"/>
          <w:lang w:val="en-US" w:eastAsia="zh-CN"/>
        </w:rPr>
        <w:t>6、</w:t>
      </w:r>
      <w:r>
        <w:rPr>
          <w:rFonts w:hint="eastAsia" w:ascii="楷体_GB2312" w:hAnsi="楷体" w:eastAsia="楷体_GB2312" w:cs="仿宋_GB2312"/>
          <w:b/>
          <w:bCs/>
          <w:sz w:val="32"/>
          <w:szCs w:val="32"/>
        </w:rPr>
        <w:t>加强地籍科学规范化管理</w:t>
      </w:r>
    </w:p>
    <w:p>
      <w:pPr>
        <w:adjustRightInd w:val="0"/>
        <w:snapToGrid w:val="0"/>
        <w:spacing w:line="540" w:lineRule="exact"/>
        <w:ind w:firstLine="643" w:firstLineChars="200"/>
        <w:rPr>
          <w:rFonts w:hint="eastAsia" w:ascii="楷体_GB2312" w:hAnsi="黑体" w:eastAsia="楷体_GB2312" w:cs="仿宋_GB2312"/>
          <w:b/>
          <w:bCs/>
          <w:sz w:val="32"/>
          <w:szCs w:val="32"/>
          <w:lang w:eastAsia="zh-CN"/>
        </w:rPr>
      </w:pPr>
      <w:r>
        <w:rPr>
          <w:rFonts w:hint="eastAsia" w:ascii="楷体_GB2312" w:hAnsi="黑体" w:eastAsia="楷体_GB2312" w:cs="仿宋_GB2312"/>
          <w:b/>
          <w:bCs/>
          <w:sz w:val="32"/>
          <w:szCs w:val="32"/>
          <w:lang w:val="en-US" w:eastAsia="zh-CN"/>
        </w:rPr>
        <w:t>7、</w:t>
      </w:r>
      <w:r>
        <w:rPr>
          <w:rFonts w:hint="eastAsia" w:ascii="楷体_GB2312" w:hAnsi="黑体" w:eastAsia="楷体_GB2312" w:cs="仿宋_GB2312"/>
          <w:b/>
          <w:bCs/>
          <w:sz w:val="32"/>
          <w:szCs w:val="32"/>
        </w:rPr>
        <w:t>提高自然灾害防治水平</w:t>
      </w:r>
      <w:r>
        <w:rPr>
          <w:rFonts w:hint="eastAsia" w:ascii="楷体_GB2312" w:hAnsi="黑体" w:eastAsia="楷体_GB2312" w:cs="仿宋_GB2312"/>
          <w:b/>
          <w:bCs/>
          <w:sz w:val="32"/>
          <w:szCs w:val="32"/>
          <w:lang w:eastAsia="zh-CN"/>
        </w:rPr>
        <w:t>。</w:t>
      </w:r>
    </w:p>
    <w:p>
      <w:pPr>
        <w:adjustRightInd w:val="0"/>
        <w:snapToGrid w:val="0"/>
        <w:spacing w:line="540" w:lineRule="exact"/>
        <w:ind w:firstLine="643" w:firstLineChars="200"/>
      </w:pPr>
      <w:r>
        <w:rPr>
          <w:rFonts w:hint="eastAsia" w:ascii="楷体_GB2312" w:hAnsi="黑体" w:eastAsia="楷体_GB2312" w:cs="仿宋_GB2312"/>
          <w:b/>
          <w:bCs/>
          <w:sz w:val="32"/>
          <w:szCs w:val="32"/>
          <w:lang w:val="en-US" w:eastAsia="zh-CN"/>
        </w:rPr>
        <w:t>8、</w:t>
      </w:r>
      <w:r>
        <w:rPr>
          <w:rFonts w:hint="eastAsia" w:ascii="楷体_GB2312" w:hAnsi="黑体" w:eastAsia="楷体_GB2312" w:cs="仿宋_GB2312"/>
          <w:b/>
          <w:bCs/>
          <w:sz w:val="32"/>
          <w:szCs w:val="32"/>
        </w:rPr>
        <w:t>抓好执法监察信访工作</w:t>
      </w:r>
      <w:r>
        <w:rPr>
          <w:rFonts w:hint="eastAsia" w:ascii="楷体_GB2312" w:hAnsi="黑体" w:eastAsia="楷体_GB2312" w:cs="仿宋_GB2312"/>
          <w:b/>
          <w:bCs/>
          <w:sz w:val="32"/>
          <w:szCs w:val="32"/>
          <w:lang w:eastAsia="zh-CN"/>
        </w:rPr>
        <w:t>。</w:t>
      </w:r>
    </w:p>
    <w:p>
      <w:pPr>
        <w:spacing w:line="540" w:lineRule="exact"/>
        <w:ind w:firstLine="630" w:firstLineChars="196"/>
        <w:rPr>
          <w:rFonts w:hint="eastAsia" w:ascii="楷体_GB2312" w:hAnsi="黑体" w:eastAsia="楷体_GB2312" w:cs="仿宋_GB2312"/>
          <w:b/>
          <w:bCs/>
          <w:sz w:val="32"/>
          <w:szCs w:val="32"/>
        </w:rPr>
      </w:pPr>
      <w:r>
        <w:rPr>
          <w:rFonts w:hint="eastAsia" w:ascii="楷体_GB2312" w:hAnsi="黑体" w:eastAsia="楷体_GB2312" w:cs="仿宋_GB2312"/>
          <w:b/>
          <w:bCs/>
          <w:sz w:val="32"/>
          <w:szCs w:val="32"/>
          <w:lang w:val="en-US" w:eastAsia="zh-CN"/>
        </w:rPr>
        <w:t>9、</w:t>
      </w:r>
      <w:r>
        <w:rPr>
          <w:rFonts w:hint="eastAsia" w:ascii="楷体_GB2312" w:hAnsi="黑体" w:eastAsia="楷体_GB2312" w:cs="仿宋_GB2312"/>
          <w:b/>
          <w:bCs/>
          <w:sz w:val="32"/>
          <w:szCs w:val="32"/>
        </w:rPr>
        <w:t>依法进行矿产资源开发、利用与保护的监督管理</w:t>
      </w:r>
    </w:p>
    <w:p>
      <w:pPr>
        <w:adjustRightInd w:val="0"/>
        <w:snapToGrid w:val="0"/>
        <w:spacing w:line="540" w:lineRule="exact"/>
        <w:ind w:firstLine="643" w:firstLineChars="200"/>
        <w:rPr>
          <w:rFonts w:hint="eastAsia" w:ascii="楷体_GB2312" w:hAnsi="黑体" w:eastAsia="楷体_GB2312" w:cs="仿宋_GB2312"/>
          <w:b/>
          <w:bCs/>
          <w:sz w:val="32"/>
          <w:szCs w:val="32"/>
        </w:rPr>
      </w:pPr>
      <w:r>
        <w:rPr>
          <w:rFonts w:hint="eastAsia" w:ascii="楷体_GB2312" w:hAnsi="黑体" w:eastAsia="楷体_GB2312" w:cs="仿宋_GB2312"/>
          <w:b/>
          <w:bCs/>
          <w:sz w:val="32"/>
          <w:szCs w:val="32"/>
          <w:lang w:val="en-US" w:eastAsia="zh-CN"/>
        </w:rPr>
        <w:t>10、</w:t>
      </w:r>
      <w:r>
        <w:rPr>
          <w:rFonts w:hint="eastAsia" w:ascii="楷体_GB2312" w:hAnsi="黑体" w:eastAsia="楷体_GB2312" w:cs="仿宋_GB2312"/>
          <w:b/>
          <w:bCs/>
          <w:sz w:val="32"/>
          <w:szCs w:val="32"/>
        </w:rPr>
        <w:t xml:space="preserve">大力实施“绿秀峨眉”行动 </w:t>
      </w:r>
    </w:p>
    <w:p>
      <w:pPr>
        <w:adjustRightInd w:val="0"/>
        <w:snapToGrid w:val="0"/>
        <w:spacing w:line="54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11、</w:t>
      </w:r>
      <w:r>
        <w:rPr>
          <w:rFonts w:hint="eastAsia" w:ascii="楷体" w:hAnsi="楷体" w:eastAsia="楷体" w:cs="楷体"/>
          <w:b/>
          <w:bCs/>
          <w:sz w:val="32"/>
          <w:szCs w:val="32"/>
        </w:rPr>
        <w:t>积极参与做好景区违建农房整治工作</w:t>
      </w:r>
    </w:p>
    <w:p>
      <w:pPr>
        <w:pStyle w:val="3"/>
        <w:rPr>
          <w:rStyle w:val="12"/>
          <w:b w:val="0"/>
          <w:bCs w:val="0"/>
        </w:rPr>
      </w:pPr>
      <w:bookmarkStart w:id="20" w:name="_Toc15377200"/>
      <w:bookmarkStart w:id="21" w:name="_Toc15396601"/>
      <w:r>
        <w:rPr>
          <w:rFonts w:hint="eastAsia" w:ascii="黑体" w:eastAsia="黑体"/>
          <w:b w:val="0"/>
          <w:color w:val="000000"/>
        </w:rPr>
        <w:t>二、</w:t>
      </w:r>
      <w:r>
        <w:rPr>
          <w:rFonts w:hint="eastAsia" w:ascii="黑体" w:hAnsi="黑体" w:eastAsia="黑体"/>
          <w:b w:val="0"/>
          <w:color w:val="000000"/>
        </w:rPr>
        <w:t>机</w:t>
      </w:r>
      <w:r>
        <w:rPr>
          <w:rStyle w:val="12"/>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lang w:eastAsia="zh-CN"/>
        </w:rPr>
        <w:t>峨眉山市自然资源局属于行政单位，</w:t>
      </w:r>
      <w:r>
        <w:rPr>
          <w:rFonts w:hint="eastAsia" w:ascii="仿宋" w:hAnsi="仿宋" w:eastAsia="仿宋"/>
          <w:sz w:val="32"/>
          <w:szCs w:val="32"/>
        </w:rPr>
        <w:t>下属二级单位</w:t>
      </w:r>
      <w:r>
        <w:rPr>
          <w:rFonts w:hint="eastAsia" w:ascii="仿宋" w:hAnsi="仿宋" w:eastAsia="仿宋"/>
          <w:sz w:val="32"/>
          <w:szCs w:val="32"/>
          <w:lang w:val="en-US" w:eastAsia="zh-CN"/>
        </w:rPr>
        <w:t>12</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11</w:t>
      </w:r>
      <w:r>
        <w:rPr>
          <w:rFonts w:hint="eastAsia" w:ascii="仿宋" w:hAnsi="仿宋" w:eastAsia="仿宋"/>
          <w:sz w:val="32"/>
          <w:szCs w:val="32"/>
        </w:rPr>
        <w:t>个。</w:t>
      </w:r>
    </w:p>
    <w:p>
      <w:pPr>
        <w:pStyle w:val="4"/>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自然资源局</w:t>
      </w:r>
      <w:r>
        <w:rPr>
          <w:rFonts w:hint="eastAsia" w:ascii="仿宋" w:hAnsi="仿宋" w:eastAsia="仿宋"/>
          <w:color w:val="000000"/>
          <w:sz w:val="32"/>
          <w:szCs w:val="32"/>
        </w:rPr>
        <w:t>2019年度部门决算编制范围的二级预算单位包括：</w:t>
      </w:r>
    </w:p>
    <w:p>
      <w:pPr>
        <w:pStyle w:val="4"/>
        <w:numPr>
          <w:ilvl w:val="0"/>
          <w:numId w:val="0"/>
        </w:numPr>
        <w:adjustRightInd w:val="0"/>
        <w:snapToGrid w:val="0"/>
        <w:spacing w:before="93" w:line="600" w:lineRule="exact"/>
        <w:ind w:left="672" w:leftChars="0"/>
        <w:outlineLvl w:val="2"/>
        <w:rPr>
          <w:rFonts w:ascii="仿宋" w:hAnsi="仿宋" w:eastAsia="仿宋"/>
          <w:color w:val="000000"/>
          <w:sz w:val="32"/>
          <w:szCs w:val="32"/>
        </w:rPr>
      </w:pPr>
      <w:bookmarkStart w:id="22" w:name="_Toc15377433"/>
      <w:bookmarkStart w:id="23" w:name="_Toc15306276"/>
      <w:bookmarkStart w:id="24" w:name="_Toc15377202"/>
      <w:bookmarkStart w:id="25" w:name="_Toc15378449"/>
      <w:r>
        <w:rPr>
          <w:rFonts w:hint="eastAsia" w:ascii="仿宋" w:hAnsi="仿宋" w:eastAsia="仿宋"/>
          <w:color w:val="000000"/>
          <w:sz w:val="32"/>
          <w:szCs w:val="32"/>
          <w:lang w:val="en-US" w:eastAsia="zh-CN"/>
        </w:rPr>
        <w:t>1、</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国土资源执法监察大队</w:t>
      </w:r>
      <w:bookmarkEnd w:id="22"/>
      <w:bookmarkEnd w:id="23"/>
      <w:bookmarkEnd w:id="24"/>
      <w:bookmarkEnd w:id="25"/>
    </w:p>
    <w:p>
      <w:pPr>
        <w:pStyle w:val="4"/>
        <w:adjustRightInd w:val="0"/>
        <w:snapToGrid w:val="0"/>
        <w:spacing w:before="93"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符溪国土资源所</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3、</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峨山国土资源所</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4、</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九里国土资源所</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5、</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双福国土资源所</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6、</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龙池国土资源所</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7、</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黄湾国土资源所</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lang w:eastAsia="zh-CN"/>
        </w:rPr>
        <w:t>峨眉山市</w:t>
      </w:r>
      <w:r>
        <w:rPr>
          <w:rFonts w:hint="eastAsia" w:ascii="仿宋_GB2312" w:hAnsi="仿宋" w:eastAsia="仿宋_GB2312"/>
          <w:sz w:val="32"/>
          <w:szCs w:val="32"/>
        </w:rPr>
        <w:t>地质环境监测站</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lang w:eastAsia="zh-CN"/>
        </w:rPr>
        <w:t>峨眉山市</w:t>
      </w:r>
      <w:r>
        <w:rPr>
          <w:rFonts w:hint="eastAsia" w:ascii="仿宋_GB2312" w:hAnsi="仿宋" w:eastAsia="仿宋_GB2312"/>
          <w:sz w:val="32"/>
          <w:szCs w:val="32"/>
          <w:lang w:val="en-US" w:eastAsia="zh-CN"/>
        </w:rPr>
        <w:t>林业科技服务站</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lang w:eastAsia="zh-CN"/>
        </w:rPr>
        <w:t>峨眉山市</w:t>
      </w:r>
      <w:r>
        <w:rPr>
          <w:rFonts w:hint="eastAsia" w:ascii="仿宋_GB2312" w:hAnsi="仿宋" w:eastAsia="仿宋_GB2312"/>
          <w:sz w:val="32"/>
          <w:szCs w:val="32"/>
          <w:lang w:val="en-US" w:eastAsia="zh-CN"/>
        </w:rPr>
        <w:t>护林防火监测站</w:t>
      </w:r>
    </w:p>
    <w:p>
      <w:pPr>
        <w:pStyle w:val="4"/>
        <w:adjustRightInd w:val="0"/>
        <w:snapToGrid w:val="0"/>
        <w:spacing w:before="93" w:line="600" w:lineRule="exact"/>
        <w:ind w:firstLine="64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lang w:eastAsia="zh-CN"/>
        </w:rPr>
        <w:t>峨眉山市</w:t>
      </w:r>
      <w:r>
        <w:rPr>
          <w:rFonts w:hint="eastAsia" w:ascii="仿宋_GB2312" w:hAnsi="仿宋" w:eastAsia="仿宋_GB2312"/>
          <w:sz w:val="32"/>
          <w:szCs w:val="32"/>
          <w:lang w:val="en-US" w:eastAsia="zh-CN"/>
        </w:rPr>
        <w:t>木材检查站</w:t>
      </w:r>
    </w:p>
    <w:p>
      <w:pPr>
        <w:pStyle w:val="4"/>
        <w:adjustRightInd w:val="0"/>
        <w:snapToGrid w:val="0"/>
        <w:spacing w:before="93" w:line="600" w:lineRule="exact"/>
        <w:ind w:firstLine="640"/>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12、</w:t>
      </w:r>
      <w:r>
        <w:rPr>
          <w:rFonts w:hint="eastAsia" w:ascii="仿宋" w:hAnsi="仿宋" w:eastAsia="仿宋"/>
          <w:color w:val="000000"/>
          <w:sz w:val="32"/>
          <w:szCs w:val="32"/>
          <w:lang w:eastAsia="zh-CN"/>
        </w:rPr>
        <w:t>峨眉山市</w:t>
      </w:r>
      <w:r>
        <w:rPr>
          <w:rFonts w:hint="eastAsia" w:ascii="仿宋_GB2312" w:hAnsi="仿宋" w:eastAsia="仿宋_GB2312"/>
          <w:sz w:val="32"/>
          <w:szCs w:val="32"/>
          <w:lang w:val="en-US" w:eastAsia="zh-CN"/>
        </w:rPr>
        <w:t>森林资源</w:t>
      </w:r>
      <w:r>
        <w:rPr>
          <w:rFonts w:hint="eastAsia" w:hAnsi="仿宋"/>
          <w:sz w:val="32"/>
          <w:szCs w:val="32"/>
          <w:lang w:val="en-US" w:eastAsia="zh-CN"/>
        </w:rPr>
        <w:t>服务</w:t>
      </w:r>
      <w:r>
        <w:rPr>
          <w:rFonts w:hint="eastAsia" w:ascii="仿宋_GB2312" w:hAnsi="仿宋" w:eastAsia="仿宋_GB2312"/>
          <w:sz w:val="32"/>
          <w:szCs w:val="32"/>
          <w:lang w:val="en-US" w:eastAsia="zh-CN"/>
        </w:rPr>
        <w:t>站</w:t>
      </w:r>
    </w:p>
    <w:p>
      <w:pPr>
        <w:pStyle w:val="4"/>
        <w:adjustRightInd w:val="0"/>
        <w:snapToGrid w:val="0"/>
        <w:spacing w:before="93" w:line="600" w:lineRule="exact"/>
        <w:ind w:firstLine="1120" w:firstLineChars="350"/>
        <w:rPr>
          <w:rFonts w:hint="eastAsia" w:ascii="仿宋" w:hAnsi="仿宋" w:eastAsia="仿宋"/>
          <w:color w:val="000000"/>
          <w:sz w:val="32"/>
          <w:szCs w:val="32"/>
        </w:rPr>
      </w:pPr>
    </w:p>
    <w:p>
      <w:pPr>
        <w:pStyle w:val="4"/>
        <w:adjustRightInd w:val="0"/>
        <w:snapToGrid w:val="0"/>
        <w:spacing w:before="93" w:line="600" w:lineRule="exact"/>
        <w:ind w:firstLine="1120" w:firstLineChars="350"/>
        <w:rPr>
          <w:rFonts w:hint="eastAsia" w:ascii="仿宋" w:hAnsi="仿宋" w:eastAsia="仿宋"/>
          <w:color w:val="000000"/>
          <w:sz w:val="32"/>
          <w:szCs w:val="32"/>
        </w:rPr>
      </w:pPr>
    </w:p>
    <w:p>
      <w:pPr>
        <w:pStyle w:val="4"/>
        <w:adjustRightInd w:val="0"/>
        <w:snapToGrid w:val="0"/>
        <w:spacing w:before="93" w:line="600" w:lineRule="exact"/>
        <w:ind w:firstLine="1120" w:firstLineChars="350"/>
        <w:rPr>
          <w:rFonts w:hint="eastAsia" w:ascii="仿宋" w:hAnsi="仿宋" w:eastAsia="仿宋"/>
          <w:color w:val="000000"/>
          <w:sz w:val="32"/>
          <w:szCs w:val="32"/>
        </w:rPr>
      </w:pPr>
    </w:p>
    <w:p>
      <w:pPr>
        <w:pStyle w:val="4"/>
        <w:adjustRightInd w:val="0"/>
        <w:snapToGrid w:val="0"/>
        <w:spacing w:before="93" w:line="600" w:lineRule="exact"/>
        <w:ind w:firstLine="1120" w:firstLineChars="350"/>
        <w:rPr>
          <w:rFonts w:hint="eastAsia"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11"/>
          <w:rFonts w:ascii="黑体" w:hAnsi="黑体" w:eastAsia="黑体"/>
          <w:b w:val="0"/>
          <w:bCs w:val="0"/>
        </w:rPr>
      </w:pPr>
      <w:bookmarkStart w:id="26" w:name="_Toc15377204"/>
      <w:bookmarkStart w:id="27"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11"/>
          <w:rFonts w:hint="eastAsia" w:ascii="黑体" w:hAnsi="黑体" w:eastAsia="黑体"/>
          <w:b w:val="0"/>
          <w:bCs w:val="0"/>
        </w:rPr>
        <w:t>2019年度部门决算情况说明</w:t>
      </w:r>
      <w:bookmarkEnd w:id="26"/>
      <w:bookmarkEnd w:id="27"/>
    </w:p>
    <w:p/>
    <w:p>
      <w:pPr>
        <w:pStyle w:val="13"/>
        <w:numPr>
          <w:ilvl w:val="0"/>
          <w:numId w:val="1"/>
        </w:numPr>
        <w:spacing w:line="600" w:lineRule="exact"/>
        <w:ind w:firstLineChars="0"/>
        <w:outlineLvl w:val="1"/>
        <w:rPr>
          <w:rStyle w:val="12"/>
          <w:rFonts w:ascii="黑体" w:hAnsi="黑体" w:eastAsia="黑体"/>
          <w:b w:val="0"/>
        </w:rPr>
      </w:pPr>
      <w:bookmarkStart w:id="28" w:name="_Toc15377205"/>
      <w:bookmarkStart w:id="29" w:name="_Toc15396603"/>
      <w:r>
        <w:rPr>
          <w:rFonts w:hint="eastAsia" w:ascii="黑体" w:hAnsi="黑体" w:eastAsia="黑体"/>
          <w:color w:val="000000"/>
          <w:sz w:val="32"/>
          <w:szCs w:val="32"/>
        </w:rPr>
        <w:t>收</w:t>
      </w:r>
      <w:r>
        <w:rPr>
          <w:rStyle w:val="12"/>
          <w:rFonts w:hint="eastAsia" w:ascii="黑体" w:hAnsi="黑体" w:eastAsia="黑体"/>
          <w:b w:val="0"/>
        </w:rPr>
        <w:t>入支出决算总体情况说明</w:t>
      </w:r>
      <w:bookmarkEnd w:id="28"/>
      <w:bookmarkEnd w:id="29"/>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2019年度收、支总计19439.32万元。与2018年相比，收、支总计各增加</w:t>
      </w:r>
      <w:r>
        <w:rPr>
          <w:rFonts w:hint="eastAsia" w:ascii="仿宋" w:hAnsi="仿宋" w:eastAsia="仿宋"/>
          <w:color w:val="000000"/>
          <w:sz w:val="32"/>
          <w:szCs w:val="32"/>
          <w:lang w:val="en-US" w:eastAsia="zh-CN"/>
        </w:rPr>
        <w:t>14315.61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279</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一是因征拆拨款增加</w:t>
      </w:r>
      <w:r>
        <w:rPr>
          <w:rFonts w:hint="eastAsia" w:ascii="仿宋" w:hAnsi="仿宋" w:eastAsia="仿宋"/>
          <w:color w:val="000000"/>
          <w:sz w:val="32"/>
          <w:szCs w:val="32"/>
        </w:rPr>
        <w:t>9182.33</w:t>
      </w:r>
      <w:r>
        <w:rPr>
          <w:rFonts w:hint="eastAsia" w:ascii="仿宋" w:hAnsi="仿宋" w:eastAsia="仿宋"/>
          <w:color w:val="000000"/>
          <w:sz w:val="32"/>
          <w:szCs w:val="32"/>
          <w:lang w:eastAsia="zh-CN"/>
        </w:rPr>
        <w:t>万元，二是因机构改革和职能调整增加拨款</w:t>
      </w:r>
      <w:r>
        <w:rPr>
          <w:rFonts w:hint="eastAsia" w:ascii="仿宋" w:hAnsi="仿宋" w:eastAsia="仿宋"/>
          <w:color w:val="000000"/>
          <w:sz w:val="32"/>
          <w:szCs w:val="32"/>
          <w:lang w:val="en-US" w:eastAsia="zh-CN"/>
        </w:rPr>
        <w:t>2160.41万元，</w:t>
      </w:r>
      <w:r>
        <w:rPr>
          <w:rFonts w:hint="eastAsia" w:ascii="仿宋" w:hAnsi="仿宋" w:eastAsia="仿宋"/>
          <w:color w:val="000000"/>
          <w:sz w:val="32"/>
          <w:szCs w:val="32"/>
          <w:lang w:eastAsia="zh-CN"/>
        </w:rPr>
        <w:t>三是年初结转增加2972.87万元。</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13"/>
        <w:numPr>
          <w:ilvl w:val="0"/>
          <w:numId w:val="1"/>
        </w:numPr>
        <w:spacing w:line="600" w:lineRule="exact"/>
        <w:ind w:firstLineChars="0"/>
        <w:outlineLvl w:val="1"/>
        <w:rPr>
          <w:rStyle w:val="12"/>
          <w:rFonts w:ascii="黑体" w:hAnsi="黑体" w:eastAsia="黑体"/>
          <w:b w:val="0"/>
        </w:rPr>
      </w:pPr>
      <w:bookmarkStart w:id="30" w:name="_Toc15377206"/>
      <w:bookmarkStart w:id="31" w:name="_Toc15396604"/>
      <w:r>
        <w:rPr>
          <w:rFonts w:hint="eastAsia" w:ascii="黑体" w:hAnsi="黑体" w:eastAsia="黑体"/>
          <w:color w:val="000000"/>
          <w:sz w:val="32"/>
          <w:szCs w:val="32"/>
        </w:rPr>
        <w:t>收</w:t>
      </w:r>
      <w:r>
        <w:rPr>
          <w:rStyle w:val="12"/>
          <w:rFonts w:hint="eastAsia" w:ascii="黑体" w:hAnsi="黑体" w:eastAsia="黑体"/>
          <w:b w:val="0"/>
        </w:rPr>
        <w:t>入决算情况说明</w:t>
      </w:r>
      <w:bookmarkEnd w:id="30"/>
      <w:bookmarkEnd w:id="31"/>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9年本年收入合计16174.1万元，其中：一般公共预算财政拨款收入3,546.31万元，占</w:t>
      </w:r>
      <w:r>
        <w:rPr>
          <w:rFonts w:hint="eastAsia" w:ascii="仿宋" w:hAnsi="仿宋" w:eastAsia="仿宋"/>
          <w:color w:val="000000"/>
          <w:sz w:val="32"/>
          <w:szCs w:val="32"/>
          <w:lang w:val="en-US" w:eastAsia="zh-CN"/>
        </w:rPr>
        <w:t>22</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；政府性基金预算财政拨款收入12,627.79万元，占</w:t>
      </w:r>
      <w:r>
        <w:rPr>
          <w:rFonts w:hint="eastAsia" w:ascii="仿宋" w:hAnsi="仿宋" w:eastAsia="仿宋"/>
          <w:color w:val="000000"/>
          <w:sz w:val="32"/>
          <w:szCs w:val="32"/>
          <w:lang w:val="en-US" w:eastAsia="zh-CN"/>
        </w:rPr>
        <w:t>78</w:t>
      </w:r>
      <w:r>
        <w:rPr>
          <w:rFonts w:ascii="仿宋" w:hAnsi="仿宋" w:eastAsia="仿宋"/>
          <w:color w:val="000000"/>
          <w:sz w:val="32"/>
          <w:szCs w:val="32"/>
        </w:rPr>
        <w:t>%</w:t>
      </w:r>
      <w:r>
        <w:rPr>
          <w:rFonts w:hint="eastAsia" w:ascii="仿宋" w:hAnsi="仿宋" w:eastAsia="仿宋"/>
          <w:color w:val="000000"/>
          <w:sz w:val="32"/>
          <w:szCs w:val="32"/>
        </w:rPr>
        <w:t>。</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13"/>
        <w:numPr>
          <w:ilvl w:val="0"/>
          <w:numId w:val="1"/>
        </w:numPr>
        <w:spacing w:line="600" w:lineRule="exact"/>
        <w:ind w:firstLineChars="0"/>
        <w:outlineLvl w:val="1"/>
        <w:rPr>
          <w:rStyle w:val="12"/>
          <w:rFonts w:ascii="黑体" w:hAnsi="黑体" w:eastAsia="黑体"/>
          <w:b w:val="0"/>
        </w:rPr>
      </w:pPr>
      <w:bookmarkStart w:id="32" w:name="_Toc15377207"/>
      <w:bookmarkStart w:id="33" w:name="_Toc15396605"/>
      <w:r>
        <w:rPr>
          <w:rFonts w:hint="eastAsia" w:ascii="黑体" w:hAnsi="黑体" w:eastAsia="黑体"/>
          <w:color w:val="000000"/>
          <w:sz w:val="32"/>
          <w:szCs w:val="32"/>
        </w:rPr>
        <w:t>支</w:t>
      </w:r>
      <w:r>
        <w:rPr>
          <w:rStyle w:val="12"/>
          <w:rFonts w:hint="eastAsia" w:ascii="黑体" w:hAnsi="黑体" w:eastAsia="黑体"/>
          <w:b w:val="0"/>
        </w:rPr>
        <w:t>出决算情况说明</w:t>
      </w:r>
      <w:bookmarkEnd w:id="32"/>
      <w:bookmarkEnd w:id="33"/>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9年本年支出合计16499.99万元，其中：基本支出1245.64万元，占</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；项目支出15254.35万元，占</w:t>
      </w:r>
      <w:r>
        <w:rPr>
          <w:rFonts w:hint="eastAsia" w:ascii="仿宋" w:hAnsi="仿宋" w:eastAsia="仿宋"/>
          <w:color w:val="000000"/>
          <w:sz w:val="32"/>
          <w:szCs w:val="32"/>
          <w:lang w:val="en-US" w:eastAsia="zh-CN"/>
        </w:rPr>
        <w:t>92</w:t>
      </w:r>
      <w:r>
        <w:rPr>
          <w:rFonts w:ascii="仿宋" w:hAnsi="仿宋" w:eastAsia="仿宋"/>
          <w:color w:val="000000"/>
          <w:sz w:val="32"/>
          <w:szCs w:val="32"/>
        </w:rPr>
        <w:t>%</w:t>
      </w:r>
      <w:r>
        <w:rPr>
          <w:rFonts w:hint="eastAsia" w:ascii="仿宋" w:hAnsi="仿宋" w:eastAsia="仿宋"/>
          <w:color w:val="000000"/>
          <w:sz w:val="32"/>
          <w:szCs w:val="32"/>
        </w:rPr>
        <w:t>。</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outlineLvl w:val="1"/>
        <w:rPr>
          <w:rStyle w:val="12"/>
          <w:rFonts w:ascii="黑体" w:hAnsi="黑体" w:eastAsia="黑体"/>
          <w:b w:val="0"/>
        </w:rPr>
      </w:pPr>
      <w:bookmarkStart w:id="34" w:name="_Toc15396606"/>
      <w:bookmarkStart w:id="35" w:name="_Toc15377208"/>
      <w:r>
        <w:rPr>
          <w:rFonts w:hint="eastAsia" w:ascii="黑体" w:hAnsi="黑体" w:eastAsia="黑体"/>
          <w:color w:val="000000"/>
          <w:sz w:val="32"/>
          <w:szCs w:val="32"/>
        </w:rPr>
        <w:t>四、财</w:t>
      </w:r>
      <w:r>
        <w:rPr>
          <w:rStyle w:val="12"/>
          <w:rFonts w:hint="eastAsia" w:ascii="黑体" w:hAnsi="黑体" w:eastAsia="黑体"/>
          <w:b w:val="0"/>
        </w:rPr>
        <w:t>政拨款收入支出决算总体情况说明</w:t>
      </w:r>
      <w:bookmarkEnd w:id="34"/>
      <w:bookmarkEnd w:id="3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收、支总计19439.32万元。与2018年相比，</w:t>
      </w:r>
      <w:r>
        <w:rPr>
          <w:rFonts w:hint="eastAsia" w:ascii="仿宋" w:hAnsi="仿宋" w:eastAsia="仿宋"/>
          <w:color w:val="000000"/>
          <w:sz w:val="32"/>
          <w:szCs w:val="32"/>
          <w:lang w:eastAsia="zh-CN"/>
        </w:rPr>
        <w:t>财政拨款</w:t>
      </w:r>
      <w:r>
        <w:rPr>
          <w:rFonts w:hint="eastAsia" w:ascii="仿宋" w:hAnsi="仿宋" w:eastAsia="仿宋"/>
          <w:color w:val="000000"/>
          <w:sz w:val="32"/>
          <w:szCs w:val="32"/>
        </w:rPr>
        <w:t>收、支总计各增加</w:t>
      </w:r>
      <w:r>
        <w:rPr>
          <w:rFonts w:hint="eastAsia" w:ascii="仿宋" w:hAnsi="仿宋" w:eastAsia="仿宋"/>
          <w:color w:val="000000"/>
          <w:sz w:val="32"/>
          <w:szCs w:val="32"/>
          <w:lang w:val="en-US" w:eastAsia="zh-CN"/>
        </w:rPr>
        <w:t>14315.61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279</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一是因征拆拨款增加</w:t>
      </w:r>
      <w:r>
        <w:rPr>
          <w:rFonts w:hint="eastAsia" w:ascii="仿宋" w:hAnsi="仿宋" w:eastAsia="仿宋"/>
          <w:color w:val="000000"/>
          <w:sz w:val="32"/>
          <w:szCs w:val="32"/>
        </w:rPr>
        <w:t>9182.33</w:t>
      </w:r>
      <w:r>
        <w:rPr>
          <w:rFonts w:hint="eastAsia" w:ascii="仿宋" w:hAnsi="仿宋" w:eastAsia="仿宋"/>
          <w:color w:val="000000"/>
          <w:sz w:val="32"/>
          <w:szCs w:val="32"/>
          <w:lang w:eastAsia="zh-CN"/>
        </w:rPr>
        <w:t>万元，二是因机构改革和职能调整增加拨款</w:t>
      </w:r>
      <w:r>
        <w:rPr>
          <w:rFonts w:hint="eastAsia" w:ascii="仿宋" w:hAnsi="仿宋" w:eastAsia="仿宋"/>
          <w:color w:val="000000"/>
          <w:sz w:val="32"/>
          <w:szCs w:val="32"/>
          <w:lang w:val="en-US" w:eastAsia="zh-CN"/>
        </w:rPr>
        <w:t>2160.41万元，</w:t>
      </w:r>
      <w:r>
        <w:rPr>
          <w:rFonts w:hint="eastAsia" w:ascii="仿宋" w:hAnsi="仿宋" w:eastAsia="仿宋"/>
          <w:color w:val="000000"/>
          <w:sz w:val="32"/>
          <w:szCs w:val="32"/>
          <w:lang w:eastAsia="zh-CN"/>
        </w:rPr>
        <w:t>三是年初结转增加2972.87万元。</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outlineLvl w:val="1"/>
        <w:rPr>
          <w:rStyle w:val="12"/>
          <w:rFonts w:ascii="黑体" w:hAnsi="黑体" w:eastAsia="黑体"/>
          <w:b w:val="0"/>
        </w:rPr>
      </w:pPr>
      <w:bookmarkStart w:id="36" w:name="_Toc15396607"/>
      <w:bookmarkStart w:id="3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2"/>
          <w:rFonts w:hint="eastAsia" w:ascii="黑体" w:hAnsi="黑体" w:eastAsia="黑体"/>
          <w:b w:val="0"/>
        </w:rPr>
        <w:t>般公共预算财政拨款支出决算情况说明</w:t>
      </w:r>
      <w:bookmarkEnd w:id="36"/>
      <w:bookmarkEnd w:id="37"/>
    </w:p>
    <w:p>
      <w:pPr>
        <w:spacing w:line="600" w:lineRule="exact"/>
        <w:ind w:firstLine="643" w:firstLineChars="200"/>
        <w:outlineLvl w:val="2"/>
        <w:rPr>
          <w:rFonts w:ascii="仿宋" w:hAnsi="仿宋" w:eastAsia="仿宋"/>
          <w:b/>
          <w:color w:val="000000"/>
          <w:sz w:val="32"/>
          <w:szCs w:val="32"/>
        </w:rPr>
      </w:pPr>
      <w:bookmarkStart w:id="38" w:name="_Toc15377210"/>
      <w:r>
        <w:rPr>
          <w:rFonts w:hint="eastAsia" w:ascii="仿宋" w:hAnsi="仿宋" w:eastAsia="仿宋"/>
          <w:b/>
          <w:color w:val="000000"/>
          <w:sz w:val="32"/>
          <w:szCs w:val="32"/>
        </w:rPr>
        <w:t>（一）一般公共预算财政拨款支出决算总体情况</w:t>
      </w:r>
      <w:bookmarkEnd w:id="3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9年一般公共预算财政拨款支出3346.88万元，占本年支出合计的</w:t>
      </w:r>
      <w:r>
        <w:rPr>
          <w:rFonts w:hint="eastAsia" w:ascii="仿宋" w:hAnsi="仿宋" w:eastAsia="仿宋"/>
          <w:color w:val="000000"/>
          <w:sz w:val="32"/>
          <w:szCs w:val="32"/>
          <w:lang w:val="en-US" w:eastAsia="zh-CN"/>
        </w:rPr>
        <w:t>20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8年相比，一般公共预算财政拨款增加2030.39万元，增长</w:t>
      </w:r>
      <w:r>
        <w:rPr>
          <w:rFonts w:hint="eastAsia" w:ascii="仿宋" w:hAnsi="仿宋" w:eastAsia="仿宋"/>
          <w:color w:val="000000"/>
          <w:sz w:val="32"/>
          <w:szCs w:val="32"/>
          <w:lang w:val="en-US" w:eastAsia="zh-CN"/>
        </w:rPr>
        <w:t>154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机构改革和职能调整增加人员和职责增加了相关的经费支出。</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3" w:firstLineChars="200"/>
        <w:outlineLvl w:val="2"/>
        <w:rPr>
          <w:rFonts w:ascii="仿宋" w:hAnsi="仿宋" w:eastAsia="仿宋"/>
          <w:b/>
          <w:color w:val="000000"/>
          <w:sz w:val="32"/>
          <w:szCs w:val="32"/>
        </w:rPr>
      </w:pPr>
      <w:bookmarkStart w:id="39" w:name="_Toc15377211"/>
      <w:r>
        <w:rPr>
          <w:rFonts w:hint="eastAsia" w:ascii="仿宋" w:hAnsi="仿宋" w:eastAsia="仿宋"/>
          <w:b/>
          <w:color w:val="000000"/>
          <w:sz w:val="32"/>
          <w:szCs w:val="32"/>
        </w:rPr>
        <w:t>（二）一般公共预算财政拨款支出决算结构情况</w:t>
      </w:r>
      <w:bookmarkEnd w:id="39"/>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rPr>
        <w:t>3346.88</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支出11.8万元，占</w:t>
      </w:r>
      <w:r>
        <w:rPr>
          <w:rFonts w:hint="eastAsia" w:ascii="仿宋" w:hAnsi="仿宋" w:eastAsia="仿宋"/>
          <w:color w:val="000000" w:themeColor="text1"/>
          <w:sz w:val="32"/>
          <w:szCs w:val="32"/>
          <w:lang w:val="en-US" w:eastAsia="zh-CN"/>
          <w14:textFill>
            <w14:solidFill>
              <w14:schemeClr w14:val="tx1"/>
            </w14:solidFill>
          </w14:textFill>
        </w:rPr>
        <w:t>0.35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支出118.97万元，占</w:t>
      </w:r>
      <w:r>
        <w:rPr>
          <w:rFonts w:hint="eastAsia" w:ascii="仿宋" w:hAnsi="仿宋" w:eastAsia="仿宋"/>
          <w:color w:val="000000" w:themeColor="text1"/>
          <w:sz w:val="32"/>
          <w:szCs w:val="32"/>
          <w:lang w:val="en-US" w:eastAsia="zh-CN"/>
          <w14:textFill>
            <w14:solidFill>
              <w14:schemeClr w14:val="tx1"/>
            </w14:solidFill>
          </w14:textFill>
        </w:rPr>
        <w:t>3.55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14:textFill>
            <w14:solidFill>
              <w14:schemeClr w14:val="tx1"/>
            </w14:solidFill>
          </w14:textFill>
        </w:rPr>
        <w:t>28.99万元，占</w:t>
      </w:r>
      <w:r>
        <w:rPr>
          <w:rFonts w:hint="eastAsia" w:ascii="仿宋" w:hAnsi="仿宋" w:eastAsia="仿宋"/>
          <w:color w:val="000000" w:themeColor="text1"/>
          <w:sz w:val="32"/>
          <w:szCs w:val="32"/>
          <w:lang w:val="en-US" w:eastAsia="zh-CN"/>
          <w14:textFill>
            <w14:solidFill>
              <w14:schemeClr w14:val="tx1"/>
            </w14:solidFill>
          </w14:textFill>
        </w:rPr>
        <w:t>0.87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节能环保支出1142.29万元，占</w:t>
      </w:r>
      <w:r>
        <w:rPr>
          <w:rFonts w:hint="eastAsia" w:ascii="仿宋" w:hAnsi="仿宋" w:eastAsia="仿宋"/>
          <w:color w:val="000000" w:themeColor="text1"/>
          <w:sz w:val="32"/>
          <w:szCs w:val="32"/>
          <w:lang w:val="en-US" w:eastAsia="zh-CN"/>
          <w14:textFill>
            <w14:solidFill>
              <w14:schemeClr w14:val="tx1"/>
            </w14:solidFill>
          </w14:textFill>
        </w:rPr>
        <w:t>34.13%</w:t>
      </w:r>
      <w:r>
        <w:rPr>
          <w:rFonts w:hint="eastAsia" w:ascii="仿宋" w:hAnsi="仿宋" w:eastAsia="仿宋"/>
          <w:color w:val="000000" w:themeColor="text1"/>
          <w:sz w:val="32"/>
          <w:szCs w:val="32"/>
          <w:lang w:eastAsia="zh-CN"/>
          <w14:textFill>
            <w14:solidFill>
              <w14:schemeClr w14:val="tx1"/>
            </w14:solidFill>
          </w14:textFill>
        </w:rPr>
        <w:t>；农林水支出867.53万元，占</w:t>
      </w:r>
      <w:r>
        <w:rPr>
          <w:rFonts w:hint="eastAsia" w:ascii="仿宋" w:hAnsi="仿宋" w:eastAsia="仿宋"/>
          <w:color w:val="000000" w:themeColor="text1"/>
          <w:sz w:val="32"/>
          <w:szCs w:val="32"/>
          <w:lang w:val="en-US" w:eastAsia="zh-CN"/>
          <w14:textFill>
            <w14:solidFill>
              <w14:schemeClr w14:val="tx1"/>
            </w14:solidFill>
          </w14:textFill>
        </w:rPr>
        <w:t>25.92%；自然资源海洋气象等支出725.9万元，占21.69%；</w:t>
      </w:r>
      <w:r>
        <w:rPr>
          <w:rFonts w:hint="eastAsia" w:ascii="仿宋" w:hAnsi="仿宋" w:eastAsia="仿宋"/>
          <w:color w:val="000000" w:themeColor="text1"/>
          <w:sz w:val="32"/>
          <w:szCs w:val="32"/>
          <w14:textFill>
            <w14:solidFill>
              <w14:schemeClr w14:val="tx1"/>
            </w14:solidFill>
          </w14:textFill>
        </w:rPr>
        <w:t>住房保障支出97.48万元，占</w:t>
      </w:r>
      <w:r>
        <w:rPr>
          <w:rFonts w:hint="eastAsia" w:ascii="仿宋" w:hAnsi="仿宋" w:eastAsia="仿宋"/>
          <w:color w:val="000000" w:themeColor="text1"/>
          <w:sz w:val="32"/>
          <w:szCs w:val="32"/>
          <w:lang w:val="en-US" w:eastAsia="zh-CN"/>
          <w14:textFill>
            <w14:solidFill>
              <w14:schemeClr w14:val="tx1"/>
            </w14:solidFill>
          </w14:textFill>
        </w:rPr>
        <w:t>2.91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；灾害防治及应急管理支出353.92</w:t>
      </w:r>
      <w:r>
        <w:rPr>
          <w:rFonts w:hint="eastAsia" w:ascii="仿宋" w:hAnsi="仿宋" w:eastAsia="仿宋"/>
          <w:color w:val="000000" w:themeColor="text1"/>
          <w:sz w:val="32"/>
          <w:szCs w:val="32"/>
          <w:lang w:eastAsia="zh-CN"/>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10.58 %</w:t>
      </w:r>
      <w:r>
        <w:rPr>
          <w:rFonts w:hint="eastAsia" w:ascii="仿宋" w:hAnsi="仿宋" w:eastAsia="仿宋"/>
          <w:color w:val="000000" w:themeColor="text1"/>
          <w:sz w:val="32"/>
          <w:szCs w:val="32"/>
          <w14:textFill>
            <w14:solidFill>
              <w14:schemeClr w14:val="tx1"/>
            </w14:solidFill>
          </w14:textFill>
        </w:rPr>
        <w:t>。</w:t>
      </w:r>
    </w:p>
    <w:p>
      <w:pPr>
        <w:rPr>
          <w:rFonts w:hint="eastAsia" w:eastAsia="宋体"/>
          <w:lang w:eastAsia="zh-CN"/>
        </w:rPr>
      </w:pPr>
      <w:r>
        <w:rPr>
          <w:rFonts w:hint="eastAsia" w:eastAsia="宋体"/>
          <w:lang w:eastAsia="zh-CN"/>
        </w:rPr>
        <w:drawing>
          <wp:inline distT="0" distB="0" distL="114300" distR="114300">
            <wp:extent cx="5080000" cy="4343400"/>
            <wp:effectExtent l="4445" t="4445" r="20955"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3" w:firstLineChars="200"/>
        <w:outlineLvl w:val="2"/>
        <w:rPr>
          <w:rFonts w:ascii="仿宋" w:hAnsi="仿宋" w:eastAsia="仿宋"/>
          <w:b/>
          <w:color w:val="000000"/>
          <w:sz w:val="32"/>
          <w:szCs w:val="32"/>
        </w:rPr>
      </w:pPr>
      <w:bookmarkStart w:id="40" w:name="_Toc15377212"/>
      <w:r>
        <w:rPr>
          <w:rFonts w:hint="eastAsia" w:ascii="仿宋" w:hAnsi="仿宋" w:eastAsia="仿宋"/>
          <w:b/>
          <w:color w:val="000000"/>
          <w:sz w:val="32"/>
          <w:szCs w:val="32"/>
        </w:rPr>
        <w:t>（三）一般公共预算财政拨款支出决算具体情况</w:t>
      </w:r>
      <w:bookmarkEnd w:id="40"/>
    </w:p>
    <w:p>
      <w:pPr>
        <w:spacing w:line="600" w:lineRule="exact"/>
        <w:ind w:firstLine="643" w:firstLineChars="200"/>
        <w:outlineLvl w:val="2"/>
        <w:rPr>
          <w:rFonts w:ascii="仿宋" w:hAnsi="仿宋" w:eastAsia="仿宋"/>
          <w:color w:val="FF0000"/>
          <w:sz w:val="32"/>
          <w:szCs w:val="32"/>
        </w:rPr>
      </w:pPr>
      <w:bookmarkStart w:id="41" w:name="_Toc15377444"/>
      <w:bookmarkStart w:id="42" w:name="_Toc15377213"/>
      <w:bookmarkStart w:id="43" w:name="_Toc15378460"/>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3346.88</w:t>
      </w:r>
      <w:r>
        <w:rPr>
          <w:rFonts w:hint="eastAsia" w:ascii="仿宋" w:hAnsi="仿宋" w:eastAsia="仿宋"/>
          <w:color w:val="000000" w:themeColor="text1"/>
          <w:sz w:val="32"/>
          <w:szCs w:val="32"/>
          <w14:textFill>
            <w14:solidFill>
              <w14:schemeClr w14:val="tx1"/>
            </w14:solidFill>
          </w14:textFill>
        </w:rPr>
        <w:t>，</w:t>
      </w:r>
      <w:r>
        <w:rPr>
          <w:rStyle w:val="9"/>
          <w:rFonts w:hint="eastAsia" w:ascii="仿宋" w:hAnsi="仿宋" w:eastAsia="仿宋"/>
          <w:bCs/>
          <w:color w:val="000000" w:themeColor="text1"/>
          <w:sz w:val="32"/>
          <w:szCs w:val="32"/>
          <w14:textFill>
            <w14:solidFill>
              <w14:schemeClr w14:val="tx1"/>
            </w14:solidFill>
          </w14:textFill>
        </w:rPr>
        <w:t>完成</w:t>
      </w:r>
      <w:r>
        <w:rPr>
          <w:rStyle w:val="9"/>
          <w:rFonts w:hint="eastAsia" w:ascii="仿宋" w:hAnsi="仿宋" w:eastAsia="仿宋"/>
          <w:bCs/>
          <w:color w:val="000000"/>
          <w:sz w:val="32"/>
          <w:szCs w:val="32"/>
        </w:rPr>
        <w:t>预算</w:t>
      </w:r>
      <w:r>
        <w:rPr>
          <w:rStyle w:val="9"/>
          <w:rFonts w:hint="eastAsia" w:ascii="仿宋" w:hAnsi="仿宋" w:eastAsia="仿宋"/>
          <w:bCs/>
          <w:color w:val="000000"/>
          <w:sz w:val="32"/>
          <w:szCs w:val="32"/>
          <w:lang w:val="en-US" w:eastAsia="zh-CN"/>
        </w:rPr>
        <w:t>94.38</w:t>
      </w:r>
      <w:r>
        <w:rPr>
          <w:rStyle w:val="9"/>
          <w:rFonts w:ascii="仿宋" w:hAnsi="仿宋" w:eastAsia="仿宋"/>
          <w:bCs/>
          <w:color w:val="000000"/>
          <w:sz w:val="32"/>
          <w:szCs w:val="32"/>
        </w:rPr>
        <w:t>%</w:t>
      </w:r>
      <w:r>
        <w:rPr>
          <w:rStyle w:val="9"/>
          <w:rFonts w:hint="eastAsia" w:ascii="仿宋" w:hAnsi="仿宋" w:eastAsia="仿宋"/>
          <w:bCs/>
          <w:color w:val="000000"/>
          <w:sz w:val="32"/>
          <w:szCs w:val="32"/>
        </w:rPr>
        <w:t>。其中：</w:t>
      </w:r>
      <w:bookmarkEnd w:id="41"/>
      <w:bookmarkEnd w:id="42"/>
      <w:bookmarkEnd w:id="43"/>
    </w:p>
    <w:p>
      <w:pPr>
        <w:spacing w:line="600" w:lineRule="exact"/>
        <w:ind w:firstLine="643" w:firstLineChars="200"/>
        <w:rPr>
          <w:rFonts w:ascii="仿宋" w:hAnsi="仿宋" w:eastAsia="仿宋"/>
          <w:b/>
          <w:color w:val="000000"/>
          <w:sz w:val="32"/>
          <w:szCs w:val="32"/>
        </w:rPr>
      </w:pPr>
      <w:r>
        <w:rPr>
          <w:rStyle w:val="9"/>
          <w:rFonts w:ascii="仿宋" w:hAnsi="仿宋" w:eastAsia="仿宋"/>
          <w:bCs/>
          <w:color w:val="000000"/>
          <w:sz w:val="32"/>
          <w:szCs w:val="32"/>
        </w:rPr>
        <w:t>1.</w:t>
      </w:r>
      <w:r>
        <w:rPr>
          <w:rStyle w:val="9"/>
          <w:rFonts w:hint="eastAsia" w:ascii="仿宋" w:hAnsi="仿宋" w:eastAsia="仿宋"/>
          <w:bCs/>
          <w:color w:val="000000"/>
          <w:sz w:val="30"/>
          <w:szCs w:val="30"/>
        </w:rPr>
        <w:t>一般公共服务（类）政府办公厅（室）及相关机构事务（款）信访事务（项）</w:t>
      </w:r>
      <w:r>
        <w:rPr>
          <w:rStyle w:val="9"/>
          <w:rFonts w:ascii="仿宋" w:hAnsi="仿宋" w:eastAsia="仿宋"/>
          <w:bCs/>
          <w:color w:val="000000"/>
          <w:sz w:val="30"/>
          <w:szCs w:val="30"/>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11.8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ascii="仿宋" w:hAnsi="仿宋" w:eastAsia="仿宋"/>
          <w:bCs/>
          <w:color w:val="000000"/>
          <w:sz w:val="32"/>
          <w:szCs w:val="32"/>
        </w:rPr>
        <w:t>2.</w:t>
      </w:r>
      <w:r>
        <w:rPr>
          <w:rStyle w:val="9"/>
          <w:rFonts w:hint="eastAsia" w:ascii="仿宋" w:hAnsi="仿宋" w:eastAsia="仿宋"/>
          <w:bCs/>
          <w:color w:val="000000"/>
          <w:sz w:val="30"/>
          <w:szCs w:val="30"/>
        </w:rPr>
        <w:t>社会保障和就业（类）行政事业单位离退休（款）机关事业单位基本养老保险缴费支出（项）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78.75</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99.48</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年内人员减少</w:t>
      </w:r>
      <w:r>
        <w:rPr>
          <w:rStyle w:val="9"/>
          <w:rFonts w:hint="eastAsia" w:ascii="仿宋" w:hAnsi="仿宋" w:eastAsia="仿宋"/>
          <w:b w:val="0"/>
          <w:bCs/>
          <w:color w:val="000000"/>
          <w:sz w:val="32"/>
          <w:szCs w:val="32"/>
        </w:rPr>
        <w:t>。</w:t>
      </w:r>
    </w:p>
    <w:p>
      <w:pPr>
        <w:spacing w:line="600" w:lineRule="exact"/>
        <w:ind w:firstLine="640" w:firstLineChars="200"/>
        <w:rPr>
          <w:rStyle w:val="9"/>
          <w:rFonts w:hint="eastAsia" w:ascii="仿宋" w:hAnsi="仿宋" w:eastAsia="仿宋"/>
          <w:b w:val="0"/>
          <w:bCs/>
          <w:color w:val="000000"/>
          <w:sz w:val="32"/>
          <w:szCs w:val="32"/>
        </w:rPr>
      </w:pPr>
      <w:r>
        <w:rPr>
          <w:rStyle w:val="9"/>
          <w:rFonts w:hint="eastAsia" w:ascii="仿宋" w:hAnsi="仿宋" w:eastAsia="仿宋"/>
          <w:b w:val="0"/>
          <w:bCs/>
          <w:color w:val="000000"/>
          <w:sz w:val="32"/>
          <w:szCs w:val="32"/>
          <w:lang w:val="en-US" w:eastAsia="zh-CN"/>
        </w:rPr>
        <w:t>3.</w:t>
      </w:r>
      <w:r>
        <w:rPr>
          <w:rStyle w:val="9"/>
          <w:rFonts w:hint="eastAsia" w:ascii="仿宋" w:hAnsi="仿宋" w:eastAsia="仿宋"/>
          <w:bCs/>
          <w:color w:val="000000"/>
          <w:sz w:val="30"/>
          <w:szCs w:val="30"/>
        </w:rPr>
        <w:t>社会保障和就业（类）行政事业单位离退休（款）机关事业单位职业年金缴费支出（项）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38.14</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97.77</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人员减少</w:t>
      </w:r>
      <w:r>
        <w:rPr>
          <w:rStyle w:val="9"/>
          <w:rFonts w:hint="eastAsia" w:ascii="仿宋" w:hAnsi="仿宋" w:eastAsia="仿宋"/>
          <w:b w:val="0"/>
          <w:bCs/>
          <w:color w:val="000000"/>
          <w:sz w:val="32"/>
          <w:szCs w:val="32"/>
        </w:rPr>
        <w:t>。</w:t>
      </w:r>
    </w:p>
    <w:p>
      <w:pPr>
        <w:spacing w:line="600" w:lineRule="exact"/>
        <w:ind w:firstLine="640" w:firstLineChars="200"/>
        <w:rPr>
          <w:rStyle w:val="9"/>
          <w:rFonts w:hint="eastAsia" w:ascii="仿宋" w:hAnsi="仿宋" w:eastAsia="仿宋"/>
          <w:b w:val="0"/>
          <w:bCs/>
          <w:color w:val="000000"/>
          <w:sz w:val="32"/>
          <w:szCs w:val="32"/>
          <w:lang w:eastAsia="zh-CN"/>
        </w:rPr>
      </w:pP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4.</w:t>
      </w:r>
      <w:r>
        <w:rPr>
          <w:rStyle w:val="9"/>
          <w:rFonts w:hint="eastAsia" w:ascii="仿宋" w:hAnsi="仿宋" w:eastAsia="仿宋"/>
          <w:bCs/>
          <w:color w:val="000000"/>
          <w:sz w:val="30"/>
          <w:szCs w:val="30"/>
        </w:rPr>
        <w:t>社会保障和就业（类）</w:t>
      </w:r>
      <w:r>
        <w:rPr>
          <w:rStyle w:val="9"/>
          <w:rFonts w:hint="eastAsia" w:ascii="仿宋" w:hAnsi="仿宋" w:eastAsia="仿宋"/>
          <w:bCs/>
          <w:color w:val="000000"/>
          <w:sz w:val="30"/>
          <w:szCs w:val="30"/>
          <w:lang w:eastAsia="zh-CN"/>
        </w:rPr>
        <w:t>抚恤</w:t>
      </w:r>
      <w:r>
        <w:rPr>
          <w:rStyle w:val="9"/>
          <w:rFonts w:hint="eastAsia" w:ascii="仿宋" w:hAnsi="仿宋" w:eastAsia="仿宋"/>
          <w:bCs/>
          <w:color w:val="000000"/>
          <w:sz w:val="30"/>
          <w:szCs w:val="30"/>
        </w:rPr>
        <w:t>（款）其他优抚支出（项）</w:t>
      </w:r>
      <w:r>
        <w:rPr>
          <w:rStyle w:val="9"/>
          <w:rFonts w:ascii="仿宋" w:hAnsi="仿宋" w:eastAsia="仿宋"/>
          <w:bCs/>
          <w:color w:val="000000"/>
          <w:sz w:val="30"/>
          <w:szCs w:val="30"/>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2.08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0" w:firstLineChars="200"/>
        <w:rPr>
          <w:rStyle w:val="9"/>
          <w:rFonts w:hint="eastAsia" w:ascii="仿宋" w:hAnsi="仿宋" w:eastAsia="仿宋"/>
          <w:b w:val="0"/>
          <w:bCs/>
          <w:color w:val="000000"/>
          <w:sz w:val="32"/>
          <w:szCs w:val="32"/>
        </w:rPr>
      </w:pPr>
      <w:r>
        <w:rPr>
          <w:rStyle w:val="9"/>
          <w:rFonts w:hint="eastAsia" w:ascii="仿宋" w:hAnsi="仿宋" w:eastAsia="仿宋"/>
          <w:b w:val="0"/>
          <w:bCs/>
          <w:color w:val="000000"/>
          <w:sz w:val="32"/>
          <w:szCs w:val="32"/>
          <w:lang w:val="en-US" w:eastAsia="zh-CN"/>
        </w:rPr>
        <w:t>5.</w:t>
      </w:r>
      <w:r>
        <w:rPr>
          <w:rStyle w:val="9"/>
          <w:rFonts w:hint="eastAsia" w:ascii="仿宋" w:hAnsi="仿宋" w:eastAsia="仿宋"/>
          <w:bCs/>
          <w:color w:val="000000"/>
          <w:sz w:val="32"/>
          <w:szCs w:val="32"/>
        </w:rPr>
        <w:t>卫生健康支出（类）行政事业单位医疗（款）行政单位医疗（项）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23.76</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Style w:val="9"/>
          <w:rFonts w:hint="eastAsia" w:ascii="仿宋" w:hAnsi="仿宋" w:eastAsia="仿宋"/>
          <w:bCs/>
          <w:color w:val="000000"/>
          <w:sz w:val="32"/>
          <w:szCs w:val="32"/>
        </w:rPr>
        <w:t>（类）行政事业单位医疗（款）</w:t>
      </w:r>
      <w:r>
        <w:rPr>
          <w:rStyle w:val="9"/>
          <w:rFonts w:hint="eastAsia" w:ascii="仿宋" w:hAnsi="仿宋" w:eastAsia="仿宋"/>
          <w:bCs/>
          <w:color w:val="000000"/>
          <w:sz w:val="32"/>
          <w:szCs w:val="32"/>
          <w:lang w:eastAsia="zh-CN"/>
        </w:rPr>
        <w:t>事业</w:t>
      </w:r>
      <w:r>
        <w:rPr>
          <w:rStyle w:val="9"/>
          <w:rFonts w:hint="eastAsia" w:ascii="仿宋" w:hAnsi="仿宋" w:eastAsia="仿宋"/>
          <w:bCs/>
          <w:color w:val="000000"/>
          <w:sz w:val="32"/>
          <w:szCs w:val="32"/>
        </w:rPr>
        <w:t>单位医疗（项）</w:t>
      </w:r>
      <w:r>
        <w:rPr>
          <w:rStyle w:val="9"/>
          <w:rFonts w:ascii="仿宋" w:hAnsi="仿宋" w:eastAsia="仿宋"/>
          <w:bCs/>
          <w:color w:val="000000"/>
          <w:sz w:val="32"/>
          <w:szCs w:val="32"/>
        </w:rPr>
        <w:t>:</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5.23</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0" w:firstLineChars="200"/>
        <w:rPr>
          <w:rStyle w:val="9"/>
          <w:rFonts w:hint="eastAsia" w:ascii="仿宋" w:hAnsi="仿宋" w:eastAsia="仿宋"/>
          <w:b w:val="0"/>
          <w:bCs/>
          <w:color w:val="000000"/>
          <w:sz w:val="32"/>
          <w:szCs w:val="32"/>
        </w:rPr>
      </w:pPr>
      <w:r>
        <w:rPr>
          <w:rStyle w:val="9"/>
          <w:rFonts w:hint="eastAsia" w:ascii="仿宋" w:hAnsi="仿宋" w:eastAsia="仿宋"/>
          <w:b w:val="0"/>
          <w:bCs/>
          <w:color w:val="000000"/>
          <w:sz w:val="32"/>
          <w:szCs w:val="32"/>
          <w:lang w:val="en-US" w:eastAsia="zh-CN"/>
        </w:rPr>
        <w:t>7.</w:t>
      </w:r>
      <w:r>
        <w:rPr>
          <w:rStyle w:val="9"/>
          <w:rFonts w:hint="eastAsia" w:ascii="仿宋" w:hAnsi="仿宋" w:eastAsia="仿宋"/>
          <w:bCs/>
          <w:color w:val="000000"/>
          <w:sz w:val="32"/>
          <w:szCs w:val="32"/>
        </w:rPr>
        <w:t>节能环保支出（类）退耕还林（款） 退耕现金</w:t>
      </w:r>
      <w:r>
        <w:rPr>
          <w:rStyle w:val="9"/>
          <w:rFonts w:hint="eastAsia" w:ascii="仿宋" w:hAnsi="仿宋" w:eastAsia="仿宋"/>
          <w:bCs/>
          <w:color w:val="000000"/>
          <w:sz w:val="32"/>
          <w:szCs w:val="32"/>
          <w:lang w:eastAsia="zh-CN"/>
        </w:rPr>
        <w:t>（</w:t>
      </w:r>
      <w:r>
        <w:rPr>
          <w:rStyle w:val="9"/>
          <w:rFonts w:hint="eastAsia" w:ascii="仿宋" w:hAnsi="仿宋" w:eastAsia="仿宋"/>
          <w:bCs/>
          <w:color w:val="000000"/>
          <w:sz w:val="32"/>
          <w:szCs w:val="32"/>
        </w:rPr>
        <w:t>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1142.29</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93.82</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新一轮退耕还林因整改存在验收中尚未兑现补助</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8.</w:t>
      </w:r>
      <w:r>
        <w:rPr>
          <w:rStyle w:val="9"/>
          <w:rFonts w:hint="eastAsia" w:ascii="仿宋" w:hAnsi="仿宋" w:eastAsia="仿宋"/>
          <w:bCs/>
          <w:color w:val="000000"/>
          <w:sz w:val="32"/>
          <w:szCs w:val="32"/>
        </w:rPr>
        <w:t>城乡社区支出（类）国有土地使用权出让收入及对应专项债务收入安排的支出（款） 征地和拆迁补偿支出（项）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1559.37</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9.</w:t>
      </w:r>
      <w:r>
        <w:rPr>
          <w:rStyle w:val="9"/>
          <w:rFonts w:hint="eastAsia" w:ascii="仿宋" w:hAnsi="仿宋" w:eastAsia="仿宋"/>
          <w:bCs/>
          <w:color w:val="000000"/>
          <w:sz w:val="32"/>
          <w:szCs w:val="32"/>
        </w:rPr>
        <w:t>城乡社区支出（类）国有土地使用权出让收入及对应专项债务收入安排的支出（款） 土地开发支出（项）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911.28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93.44</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w:t>
      </w:r>
      <w:r>
        <w:rPr>
          <w:rStyle w:val="9"/>
          <w:rFonts w:hint="eastAsia" w:ascii="仿宋" w:hAnsi="仿宋" w:eastAsia="仿宋"/>
          <w:b w:val="0"/>
          <w:bCs/>
          <w:color w:val="000000"/>
          <w:sz w:val="32"/>
          <w:szCs w:val="32"/>
          <w:lang w:eastAsia="zh-CN"/>
        </w:rPr>
        <w:t>是个别项目尚未兑现补助</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10.</w:t>
      </w:r>
      <w:r>
        <w:rPr>
          <w:rStyle w:val="9"/>
          <w:rFonts w:hint="eastAsia" w:ascii="仿宋" w:hAnsi="仿宋" w:eastAsia="仿宋"/>
          <w:bCs/>
          <w:color w:val="000000"/>
          <w:sz w:val="32"/>
          <w:szCs w:val="32"/>
        </w:rPr>
        <w:t>城乡社区支出（类）国有土地使用权出让收入及对应专项债务收入安排的支出（款） 城市建设支出（项）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53</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11.</w:t>
      </w:r>
      <w:r>
        <w:rPr>
          <w:rStyle w:val="9"/>
          <w:rFonts w:hint="eastAsia" w:ascii="仿宋" w:hAnsi="仿宋" w:eastAsia="仿宋"/>
          <w:bCs/>
          <w:color w:val="000000"/>
          <w:sz w:val="32"/>
          <w:szCs w:val="32"/>
        </w:rPr>
        <w:t>城乡社区支出（类）国有土地使用权出让收入及对应专项债务收入安排的支出（款）补助被征地农民支出（项）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9196.58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12.</w:t>
      </w:r>
      <w:r>
        <w:rPr>
          <w:rStyle w:val="9"/>
          <w:rFonts w:hint="eastAsia" w:ascii="仿宋" w:hAnsi="仿宋" w:eastAsia="仿宋"/>
          <w:bCs/>
          <w:color w:val="000000"/>
          <w:sz w:val="32"/>
          <w:szCs w:val="32"/>
        </w:rPr>
        <w:t>城乡社区支出（类）国有土地使用权出让收入及对应专项债务收入安排的支出（款）土地出让业务支出（项）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496.8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13.</w:t>
      </w:r>
      <w:r>
        <w:rPr>
          <w:rStyle w:val="9"/>
          <w:rFonts w:hint="eastAsia" w:ascii="仿宋" w:hAnsi="仿宋" w:eastAsia="仿宋"/>
          <w:bCs/>
          <w:color w:val="000000"/>
          <w:sz w:val="32"/>
          <w:szCs w:val="32"/>
        </w:rPr>
        <w:t>城乡社区支出（类）国有土地使用权出让收入及对应专项债务收入安排的支出（款）其他国有土地使用权出让收入安排的支出（项）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926.28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98.6</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w:t>
      </w:r>
      <w:r>
        <w:rPr>
          <w:rStyle w:val="9"/>
          <w:rFonts w:hint="eastAsia" w:ascii="仿宋" w:hAnsi="仿宋" w:eastAsia="仿宋"/>
          <w:b w:val="0"/>
          <w:bCs/>
          <w:color w:val="000000"/>
          <w:sz w:val="32"/>
          <w:szCs w:val="32"/>
          <w:lang w:eastAsia="zh-CN"/>
        </w:rPr>
        <w:t>是个别项目尾款尚未支付</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14.</w:t>
      </w:r>
      <w:r>
        <w:rPr>
          <w:rStyle w:val="9"/>
          <w:rFonts w:hint="eastAsia" w:ascii="仿宋" w:hAnsi="仿宋" w:eastAsia="仿宋"/>
          <w:bCs/>
          <w:color w:val="000000"/>
          <w:sz w:val="32"/>
          <w:szCs w:val="32"/>
        </w:rPr>
        <w:t>城乡社区支出（类）国有土地收益基金及对应专项债务收入安排的支出（款） 土地开发支出（项）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9.8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15.</w:t>
      </w:r>
      <w:r>
        <w:rPr>
          <w:rStyle w:val="9"/>
          <w:rFonts w:hint="eastAsia" w:ascii="仿宋" w:hAnsi="仿宋" w:eastAsia="仿宋"/>
          <w:bCs/>
          <w:color w:val="000000"/>
          <w:sz w:val="32"/>
          <w:szCs w:val="32"/>
        </w:rPr>
        <w:t>农林水支出（类）林业和草原（款）行政运行（项）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208.03</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16.</w:t>
      </w:r>
      <w:r>
        <w:rPr>
          <w:rStyle w:val="9"/>
          <w:rFonts w:hint="eastAsia" w:ascii="仿宋" w:hAnsi="仿宋" w:eastAsia="仿宋"/>
          <w:bCs/>
          <w:color w:val="000000"/>
          <w:sz w:val="32"/>
          <w:szCs w:val="32"/>
        </w:rPr>
        <w:t>农林水支出（类）林业和草原（款）</w:t>
      </w:r>
      <w:r>
        <w:rPr>
          <w:rStyle w:val="9"/>
          <w:rFonts w:hint="eastAsia" w:ascii="仿宋" w:hAnsi="仿宋" w:eastAsia="仿宋"/>
          <w:bCs/>
          <w:color w:val="000000"/>
          <w:sz w:val="32"/>
          <w:szCs w:val="32"/>
          <w:lang w:eastAsia="zh-CN"/>
        </w:rPr>
        <w:t>事业</w:t>
      </w:r>
      <w:r>
        <w:rPr>
          <w:rStyle w:val="9"/>
          <w:rFonts w:hint="eastAsia" w:ascii="仿宋" w:hAnsi="仿宋" w:eastAsia="仿宋"/>
          <w:bCs/>
          <w:color w:val="000000"/>
          <w:sz w:val="32"/>
          <w:szCs w:val="32"/>
        </w:rPr>
        <w:t>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153.42</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17.</w:t>
      </w:r>
      <w:r>
        <w:rPr>
          <w:rStyle w:val="9"/>
          <w:rFonts w:hint="eastAsia" w:ascii="仿宋" w:hAnsi="仿宋" w:eastAsia="仿宋"/>
          <w:bCs/>
          <w:color w:val="000000"/>
          <w:sz w:val="32"/>
          <w:szCs w:val="32"/>
        </w:rPr>
        <w:t>农林水支出（类）林业和草原（款） 森林培育（项）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161.33</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11.47</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森林精准提升项目正在验收中尚未兑现补助</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18.</w:t>
      </w:r>
      <w:r>
        <w:rPr>
          <w:rStyle w:val="9"/>
          <w:rFonts w:hint="eastAsia" w:ascii="仿宋" w:hAnsi="仿宋" w:eastAsia="仿宋"/>
          <w:bCs/>
          <w:color w:val="000000"/>
          <w:sz w:val="32"/>
          <w:szCs w:val="32"/>
        </w:rPr>
        <w:t>农林水支出（类）林业和草原（款） 森林生态效益补偿（项）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201.24</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87.34</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公共管护累计结转</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19.</w:t>
      </w:r>
      <w:r>
        <w:rPr>
          <w:rStyle w:val="9"/>
          <w:rFonts w:hint="eastAsia" w:ascii="仿宋" w:hAnsi="仿宋" w:eastAsia="仿宋"/>
          <w:bCs/>
          <w:color w:val="000000"/>
          <w:sz w:val="32"/>
          <w:szCs w:val="32"/>
        </w:rPr>
        <w:t>农林水支出（类）林业和草原（款）防灾减灾（项）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22.01</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81.49</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防火设备尚未购置</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20.</w:t>
      </w:r>
      <w:r>
        <w:rPr>
          <w:rStyle w:val="9"/>
          <w:rFonts w:hint="eastAsia" w:ascii="仿宋" w:hAnsi="仿宋" w:eastAsia="仿宋"/>
          <w:bCs/>
          <w:color w:val="000000"/>
          <w:sz w:val="32"/>
          <w:szCs w:val="32"/>
        </w:rPr>
        <w:t>农林水支出（类）林业和草原（款）其他林业和草原支出（项）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106.39</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10.37</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森林精准提升项目正在验收中尚未兑现补助</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21.</w:t>
      </w:r>
      <w:r>
        <w:rPr>
          <w:rStyle w:val="9"/>
          <w:rFonts w:hint="eastAsia" w:ascii="仿宋" w:hAnsi="仿宋" w:eastAsia="仿宋"/>
          <w:bCs/>
          <w:color w:val="000000"/>
          <w:sz w:val="32"/>
          <w:szCs w:val="32"/>
        </w:rPr>
        <w:t>农林水支出（类）</w:t>
      </w:r>
      <w:r>
        <w:rPr>
          <w:rStyle w:val="9"/>
          <w:rFonts w:hint="eastAsia" w:ascii="仿宋" w:hAnsi="仿宋" w:eastAsia="仿宋"/>
          <w:bCs/>
          <w:color w:val="000000"/>
          <w:sz w:val="32"/>
          <w:szCs w:val="32"/>
          <w:lang w:eastAsia="zh-CN"/>
        </w:rPr>
        <w:t>扶贫</w:t>
      </w:r>
      <w:r>
        <w:rPr>
          <w:rStyle w:val="9"/>
          <w:rFonts w:hint="eastAsia" w:ascii="仿宋" w:hAnsi="仿宋" w:eastAsia="仿宋"/>
          <w:bCs/>
          <w:color w:val="000000"/>
          <w:sz w:val="32"/>
          <w:szCs w:val="32"/>
        </w:rPr>
        <w:t>（款） 其他扶贫支出（项）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4.61</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22.</w:t>
      </w:r>
      <w:r>
        <w:rPr>
          <w:rStyle w:val="9"/>
          <w:rFonts w:hint="eastAsia" w:ascii="仿宋" w:hAnsi="仿宋" w:eastAsia="仿宋"/>
          <w:bCs/>
          <w:color w:val="000000"/>
          <w:sz w:val="32"/>
          <w:szCs w:val="32"/>
        </w:rPr>
        <w:t>农林水支出（类）</w:t>
      </w:r>
      <w:r>
        <w:rPr>
          <w:rStyle w:val="9"/>
          <w:rFonts w:hint="eastAsia" w:ascii="仿宋" w:hAnsi="仿宋" w:eastAsia="仿宋"/>
          <w:bCs/>
          <w:color w:val="000000"/>
          <w:sz w:val="32"/>
          <w:szCs w:val="32"/>
          <w:lang w:eastAsia="zh-CN"/>
        </w:rPr>
        <w:t>扶贫</w:t>
      </w:r>
      <w:r>
        <w:rPr>
          <w:rStyle w:val="9"/>
          <w:rFonts w:hint="eastAsia" w:ascii="仿宋" w:hAnsi="仿宋" w:eastAsia="仿宋"/>
          <w:bCs/>
          <w:color w:val="000000"/>
          <w:sz w:val="32"/>
          <w:szCs w:val="32"/>
        </w:rPr>
        <w:t>（款） 其他扶贫支出（项）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10.5</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23.</w:t>
      </w:r>
      <w:r>
        <w:rPr>
          <w:rStyle w:val="9"/>
          <w:rFonts w:hint="eastAsia" w:ascii="仿宋" w:hAnsi="仿宋" w:eastAsia="仿宋"/>
          <w:bCs/>
          <w:color w:val="000000"/>
          <w:sz w:val="32"/>
          <w:szCs w:val="32"/>
        </w:rPr>
        <w:t>自然资源海洋气象等支出（类）自然资源事务（款）行政运行（项）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438.57</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24.</w:t>
      </w:r>
      <w:r>
        <w:rPr>
          <w:rStyle w:val="9"/>
          <w:rFonts w:hint="eastAsia" w:ascii="仿宋" w:hAnsi="仿宋" w:eastAsia="仿宋"/>
          <w:bCs/>
          <w:color w:val="000000"/>
          <w:sz w:val="32"/>
          <w:szCs w:val="32"/>
        </w:rPr>
        <w:t>自然资源海洋气象等支出（类）自然资源事务（款） 一般行政管理事务（项）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57.14</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25.</w:t>
      </w:r>
      <w:r>
        <w:rPr>
          <w:rStyle w:val="9"/>
          <w:rFonts w:hint="eastAsia" w:ascii="仿宋" w:hAnsi="仿宋" w:eastAsia="仿宋"/>
          <w:bCs/>
          <w:color w:val="000000"/>
          <w:sz w:val="32"/>
          <w:szCs w:val="32"/>
        </w:rPr>
        <w:t>自然资源海洋气象等支出（类）自然资源事务（款） 土地资源利用与保护（项）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18.2</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26.</w:t>
      </w:r>
      <w:r>
        <w:rPr>
          <w:rStyle w:val="9"/>
          <w:rFonts w:hint="eastAsia" w:ascii="仿宋" w:hAnsi="仿宋" w:eastAsia="仿宋"/>
          <w:bCs/>
          <w:color w:val="000000"/>
          <w:sz w:val="32"/>
          <w:szCs w:val="32"/>
        </w:rPr>
        <w:t>自然资源海洋气象等支出（类）自然资源事务（款） 地质矿产资源利用与保护（项）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3.6</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27.</w:t>
      </w:r>
      <w:r>
        <w:rPr>
          <w:rStyle w:val="9"/>
          <w:rFonts w:hint="eastAsia" w:ascii="仿宋" w:hAnsi="仿宋" w:eastAsia="仿宋"/>
          <w:bCs/>
          <w:color w:val="000000"/>
          <w:sz w:val="32"/>
          <w:szCs w:val="32"/>
        </w:rPr>
        <w:t>自然资源海洋气象等支出（类）自然资源事务（款）   事业运行（项）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200.18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28.</w:t>
      </w:r>
      <w:r>
        <w:rPr>
          <w:rStyle w:val="9"/>
          <w:rFonts w:hint="eastAsia" w:ascii="仿宋" w:hAnsi="仿宋" w:eastAsia="仿宋"/>
          <w:bCs/>
          <w:color w:val="000000"/>
          <w:sz w:val="32"/>
          <w:szCs w:val="32"/>
        </w:rPr>
        <w:t>自然资源海洋气象等支出（类）自然资源事务（款）   其他自然资源事务支出（项）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5.21</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29.</w:t>
      </w:r>
      <w:r>
        <w:rPr>
          <w:rStyle w:val="9"/>
          <w:rFonts w:hint="eastAsia" w:ascii="仿宋" w:hAnsi="仿宋" w:eastAsia="仿宋"/>
          <w:bCs/>
          <w:color w:val="000000"/>
          <w:sz w:val="32"/>
          <w:szCs w:val="32"/>
        </w:rPr>
        <w:t>自然资源海洋气象等支出（类）</w:t>
      </w:r>
      <w:r>
        <w:rPr>
          <w:rStyle w:val="9"/>
          <w:rFonts w:hint="eastAsia" w:ascii="仿宋" w:hAnsi="仿宋" w:eastAsia="仿宋"/>
          <w:bCs/>
          <w:color w:val="000000"/>
          <w:sz w:val="32"/>
          <w:szCs w:val="32"/>
          <w:lang w:eastAsia="zh-CN"/>
        </w:rPr>
        <w:t>其他自然资源海洋气象等支出</w:t>
      </w:r>
      <w:r>
        <w:rPr>
          <w:rStyle w:val="9"/>
          <w:rFonts w:hint="eastAsia" w:ascii="仿宋" w:hAnsi="仿宋" w:eastAsia="仿宋"/>
          <w:bCs/>
          <w:color w:val="000000"/>
          <w:sz w:val="32"/>
          <w:szCs w:val="32"/>
        </w:rPr>
        <w:t>（款）其他自然资源海洋气象等支出（项）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3</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30.</w:t>
      </w:r>
      <w:r>
        <w:rPr>
          <w:rStyle w:val="9"/>
          <w:rFonts w:hint="eastAsia" w:ascii="仿宋" w:hAnsi="仿宋" w:eastAsia="仿宋"/>
          <w:bCs/>
          <w:color w:val="000000"/>
          <w:sz w:val="32"/>
          <w:szCs w:val="32"/>
        </w:rPr>
        <w:t>住房保障支出（类）住房改革支出（款）住房公积金（项）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97.48</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100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3" w:firstLineChars="200"/>
        <w:rPr>
          <w:rStyle w:val="9"/>
          <w:rFonts w:hint="eastAsia" w:ascii="仿宋" w:hAnsi="仿宋" w:eastAsia="仿宋"/>
          <w:b w:val="0"/>
          <w:bCs/>
          <w:color w:val="000000"/>
          <w:sz w:val="32"/>
          <w:szCs w:val="32"/>
        </w:rPr>
      </w:pPr>
      <w:r>
        <w:rPr>
          <w:rStyle w:val="9"/>
          <w:rFonts w:hint="eastAsia" w:ascii="仿宋" w:hAnsi="仿宋" w:eastAsia="仿宋"/>
          <w:bCs/>
          <w:color w:val="000000"/>
          <w:sz w:val="32"/>
          <w:szCs w:val="32"/>
          <w:lang w:val="en-US" w:eastAsia="zh-CN"/>
        </w:rPr>
        <w:t>31.</w:t>
      </w:r>
      <w:r>
        <w:rPr>
          <w:rStyle w:val="9"/>
          <w:rFonts w:hint="eastAsia" w:ascii="仿宋" w:hAnsi="仿宋" w:eastAsia="仿宋"/>
          <w:bCs/>
          <w:color w:val="000000"/>
          <w:sz w:val="32"/>
          <w:szCs w:val="32"/>
        </w:rPr>
        <w:t>灾害防治及应急管理支出（类）自然灾害防治（款）地质灾害防治（项）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rPr>
        <w:t>支出决算为</w:t>
      </w:r>
      <w:r>
        <w:rPr>
          <w:rStyle w:val="9"/>
          <w:rFonts w:hint="eastAsia" w:ascii="仿宋" w:hAnsi="仿宋" w:eastAsia="仿宋"/>
          <w:b w:val="0"/>
          <w:bCs/>
          <w:color w:val="000000"/>
          <w:sz w:val="32"/>
          <w:szCs w:val="32"/>
          <w:lang w:val="en-US" w:eastAsia="zh-CN"/>
        </w:rPr>
        <w:t>353.91</w:t>
      </w:r>
      <w:r>
        <w:rPr>
          <w:rStyle w:val="9"/>
          <w:rFonts w:hint="eastAsia" w:ascii="仿宋" w:hAnsi="仿宋" w:eastAsia="仿宋"/>
          <w:b w:val="0"/>
          <w:bCs/>
          <w:color w:val="000000"/>
          <w:sz w:val="32"/>
          <w:szCs w:val="32"/>
        </w:rPr>
        <w:t>万元，完成预算</w:t>
      </w:r>
      <w:r>
        <w:rPr>
          <w:rStyle w:val="9"/>
          <w:rFonts w:hint="eastAsia" w:ascii="仿宋" w:hAnsi="仿宋" w:eastAsia="仿宋"/>
          <w:b w:val="0"/>
          <w:bCs/>
          <w:color w:val="000000"/>
          <w:sz w:val="32"/>
          <w:szCs w:val="32"/>
          <w:lang w:val="en-US" w:eastAsia="zh-CN"/>
        </w:rPr>
        <w:t>37.62</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，决算数小于预算数的主要原因是</w:t>
      </w:r>
      <w:r>
        <w:rPr>
          <w:rStyle w:val="9"/>
          <w:rFonts w:hint="eastAsia" w:ascii="仿宋" w:hAnsi="仿宋" w:eastAsia="仿宋"/>
          <w:b w:val="0"/>
          <w:bCs/>
          <w:color w:val="000000"/>
          <w:sz w:val="32"/>
          <w:szCs w:val="32"/>
          <w:lang w:eastAsia="zh-CN"/>
        </w:rPr>
        <w:t>地质灾害治理项目正在验收中尚未付款</w:t>
      </w:r>
      <w:r>
        <w:rPr>
          <w:rStyle w:val="9"/>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12"/>
        </w:rPr>
      </w:pPr>
      <w:bookmarkStart w:id="44" w:name="_Toc15396608"/>
      <w:bookmarkStart w:id="45"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2"/>
          <w:rFonts w:hint="eastAsia" w:ascii="黑体" w:hAnsi="黑体" w:eastAsia="黑体"/>
          <w:b w:val="0"/>
        </w:rPr>
        <w:t>般公共预算财政拨款基本支出决算情况说明</w:t>
      </w:r>
      <w:bookmarkEnd w:id="44"/>
      <w:bookmarkEnd w:id="45"/>
      <w:r>
        <w:rPr>
          <w:rStyle w:val="12"/>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1245.64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1096.19</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149.45</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12"/>
          <w:rFonts w:ascii="黑体" w:hAnsi="黑体" w:eastAsia="黑体"/>
          <w:b w:val="0"/>
        </w:rPr>
      </w:pPr>
      <w:bookmarkStart w:id="46" w:name="_Toc15377215"/>
      <w:bookmarkStart w:id="47" w:name="_Toc15396609"/>
      <w:r>
        <w:rPr>
          <w:rFonts w:hint="eastAsia" w:ascii="黑体" w:eastAsia="黑体"/>
          <w:color w:val="000000"/>
          <w:sz w:val="32"/>
          <w:szCs w:val="32"/>
        </w:rPr>
        <w:t>七、</w:t>
      </w:r>
      <w:r>
        <w:rPr>
          <w:rStyle w:val="12"/>
          <w:rFonts w:hint="eastAsia" w:ascii="黑体" w:hAnsi="黑体" w:eastAsia="黑体"/>
        </w:rPr>
        <w:t>“</w:t>
      </w:r>
      <w:r>
        <w:rPr>
          <w:rStyle w:val="12"/>
          <w:rFonts w:hint="eastAsia" w:ascii="黑体" w:hAnsi="黑体" w:eastAsia="黑体"/>
          <w:b w:val="0"/>
        </w:rPr>
        <w:t>三公”经费财政拨款支出决算情况说明</w:t>
      </w:r>
      <w:bookmarkEnd w:id="46"/>
      <w:bookmarkEnd w:id="47"/>
    </w:p>
    <w:p>
      <w:pPr>
        <w:spacing w:line="600" w:lineRule="exact"/>
        <w:ind w:firstLine="640"/>
        <w:outlineLvl w:val="2"/>
        <w:rPr>
          <w:rFonts w:ascii="仿宋" w:hAnsi="仿宋" w:eastAsia="仿宋"/>
          <w:b/>
          <w:color w:val="000000"/>
          <w:sz w:val="32"/>
          <w:szCs w:val="32"/>
        </w:rPr>
      </w:pPr>
      <w:bookmarkStart w:id="48" w:name="_Toc15377216"/>
      <w:r>
        <w:rPr>
          <w:rFonts w:hint="eastAsia" w:ascii="仿宋" w:hAnsi="仿宋" w:eastAsia="仿宋"/>
          <w:b/>
          <w:color w:val="000000"/>
          <w:sz w:val="32"/>
          <w:szCs w:val="32"/>
        </w:rPr>
        <w:t>（一）“三公”经费财政拨款支出决算总体情况说明</w:t>
      </w:r>
      <w:bookmarkEnd w:id="48"/>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22.96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45.92</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eastAsia="zh-CN"/>
        </w:rPr>
        <w:t>坚持执行上级相关规定励行节约</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9" w:name="_Toc15377217"/>
      <w:r>
        <w:rPr>
          <w:rFonts w:hint="eastAsia" w:ascii="仿宋" w:hAnsi="仿宋" w:eastAsia="仿宋"/>
          <w:b/>
          <w:color w:val="000000"/>
          <w:sz w:val="32"/>
          <w:szCs w:val="32"/>
        </w:rPr>
        <w:t>（二）“三公”经费财政拨款支出决算具体情况说明</w:t>
      </w:r>
      <w:bookmarkEnd w:id="49"/>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22.17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97</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0.79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w:t>
      </w:r>
      <w:r>
        <w:rPr>
          <w:rFonts w:ascii="仿宋" w:hAnsi="仿宋" w:eastAsia="仿宋"/>
          <w:color w:val="000000"/>
          <w:sz w:val="32"/>
          <w:szCs w:val="32"/>
        </w:rPr>
        <w:t>%</w:t>
      </w:r>
      <w:r>
        <w:rPr>
          <w:rFonts w:hint="eastAsia" w:ascii="仿宋" w:hAnsi="仿宋" w:eastAsia="仿宋"/>
          <w:color w:val="000000"/>
          <w:sz w:val="32"/>
          <w:szCs w:val="32"/>
        </w:rPr>
        <w:t>。具体情况如下：</w:t>
      </w:r>
    </w:p>
    <w:p>
      <w:pPr>
        <w:rPr>
          <w:rFonts w:hint="eastAsia" w:eastAsia="宋体"/>
          <w:lang w:eastAsia="zh-CN"/>
        </w:rPr>
      </w:pPr>
      <w:r>
        <w:rPr>
          <w:rFonts w:hint="eastAsia" w:eastAsia="宋体"/>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hint="eastAsia" w:eastAsia="宋体"/>
          <w:lang w:eastAsia="zh-CN"/>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9"/>
          <w:rFonts w:hint="eastAsia" w:ascii="仿宋" w:hAnsi="仿宋" w:eastAsia="仿宋"/>
          <w:b w:val="0"/>
          <w:bCs/>
          <w:color w:val="000000"/>
          <w:sz w:val="32"/>
          <w:szCs w:val="32"/>
        </w:rPr>
        <w:t>完成预算</w:t>
      </w:r>
      <w:r>
        <w:rPr>
          <w:rStyle w:val="9"/>
          <w:rFonts w:hint="eastAsia" w:ascii="仿宋" w:hAnsi="仿宋" w:eastAsia="仿宋"/>
          <w:b w:val="0"/>
          <w:bCs/>
          <w:color w:val="000000"/>
          <w:sz w:val="32"/>
          <w:szCs w:val="32"/>
          <w:lang w:val="en-US" w:eastAsia="zh-CN"/>
        </w:rPr>
        <w:t>0</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p>
    <w:p>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22.17</w:t>
      </w:r>
      <w:r>
        <w:rPr>
          <w:rFonts w:hint="eastAsia" w:ascii="仿宋_GB2312" w:eastAsia="仿宋_GB2312"/>
          <w:color w:val="000000"/>
          <w:sz w:val="32"/>
          <w:szCs w:val="32"/>
        </w:rPr>
        <w:t>万元,</w:t>
      </w:r>
      <w:r>
        <w:rPr>
          <w:rStyle w:val="9"/>
          <w:rFonts w:hint="eastAsia" w:ascii="仿宋" w:hAnsi="仿宋" w:eastAsia="仿宋"/>
          <w:b w:val="0"/>
          <w:bCs/>
          <w:color w:val="000000"/>
          <w:sz w:val="32"/>
          <w:szCs w:val="32"/>
        </w:rPr>
        <w:t>完成预算</w:t>
      </w:r>
      <w:r>
        <w:rPr>
          <w:rStyle w:val="9"/>
          <w:rFonts w:hint="eastAsia" w:ascii="仿宋" w:hAnsi="仿宋" w:eastAsia="仿宋"/>
          <w:b w:val="0"/>
          <w:bCs/>
          <w:color w:val="000000"/>
          <w:sz w:val="32"/>
          <w:szCs w:val="32"/>
          <w:lang w:val="en-US" w:eastAsia="zh-CN"/>
        </w:rPr>
        <w:t>51.55</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12.61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36</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励行节约。</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22.17</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自然资源管理</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0.79</w:t>
      </w:r>
      <w:r>
        <w:rPr>
          <w:rFonts w:hint="eastAsia" w:ascii="仿宋_GB2312" w:eastAsia="仿宋_GB2312"/>
          <w:color w:val="000000"/>
          <w:sz w:val="32"/>
          <w:szCs w:val="32"/>
        </w:rPr>
        <w:t>万元，</w:t>
      </w:r>
      <w:r>
        <w:rPr>
          <w:rStyle w:val="9"/>
          <w:rFonts w:hint="eastAsia" w:ascii="仿宋" w:hAnsi="仿宋" w:eastAsia="仿宋"/>
          <w:b w:val="0"/>
          <w:bCs/>
          <w:color w:val="000000"/>
          <w:sz w:val="32"/>
          <w:szCs w:val="32"/>
        </w:rPr>
        <w:t>完成预算</w:t>
      </w:r>
      <w:r>
        <w:rPr>
          <w:rStyle w:val="9"/>
          <w:rFonts w:hint="eastAsia" w:ascii="仿宋" w:hAnsi="仿宋" w:eastAsia="仿宋"/>
          <w:b w:val="0"/>
          <w:bCs/>
          <w:color w:val="000000"/>
          <w:sz w:val="32"/>
          <w:szCs w:val="32"/>
          <w:lang w:val="en-US" w:eastAsia="zh-CN"/>
        </w:rPr>
        <w:t>11</w:t>
      </w:r>
      <w:r>
        <w:rPr>
          <w:rStyle w:val="9"/>
          <w:rFonts w:ascii="仿宋" w:hAnsi="仿宋" w:eastAsia="仿宋"/>
          <w:b w:val="0"/>
          <w:bCs/>
          <w:color w:val="000000"/>
          <w:sz w:val="32"/>
          <w:szCs w:val="32"/>
        </w:rPr>
        <w:t>%</w:t>
      </w:r>
      <w:r>
        <w:rPr>
          <w:rStyle w:val="9"/>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0.84</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51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励行节约和上级检查接待减少</w:t>
      </w:r>
      <w:r>
        <w:rPr>
          <w:rFonts w:hint="eastAsia" w:ascii="仿宋_GB2312" w:eastAsia="仿宋_GB2312"/>
          <w:color w:val="000000"/>
          <w:sz w:val="32"/>
          <w:szCs w:val="32"/>
        </w:rPr>
        <w:t>：</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0.79</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自然资源管理</w:t>
      </w:r>
      <w:r>
        <w:rPr>
          <w:rFonts w:hint="eastAsia" w:ascii="仿宋_GB2312" w:eastAsia="仿宋_GB2312"/>
          <w:color w:val="000000"/>
          <w:sz w:val="32"/>
          <w:szCs w:val="32"/>
        </w:rPr>
        <w:t>执行公务、开展业务活动开支的交通费、住宿费、用餐费等。国内公务接待</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144</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0.79</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接待省、市自然资源检查</w:t>
      </w:r>
      <w:r>
        <w:rPr>
          <w:rFonts w:hint="eastAsia" w:ascii="仿宋_GB2312" w:eastAsia="仿宋_GB2312"/>
          <w:color w:val="000000"/>
          <w:sz w:val="32"/>
          <w:szCs w:val="32"/>
        </w:rPr>
        <w:t>。</w:t>
      </w:r>
    </w:p>
    <w:p>
      <w:pPr>
        <w:spacing w:line="600" w:lineRule="exact"/>
        <w:ind w:firstLine="643"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outlineLvl w:val="1"/>
        <w:rPr>
          <w:rFonts w:ascii="黑体" w:eastAsia="黑体"/>
          <w:color w:val="000000"/>
          <w:sz w:val="32"/>
          <w:szCs w:val="32"/>
        </w:rPr>
      </w:pPr>
      <w:bookmarkStart w:id="50" w:name="_Toc15396610"/>
      <w:bookmarkStart w:id="51" w:name="_Toc15377218"/>
    </w:p>
    <w:p>
      <w:pPr>
        <w:spacing w:line="600" w:lineRule="exact"/>
        <w:ind w:firstLine="640"/>
        <w:outlineLvl w:val="1"/>
        <w:rPr>
          <w:rStyle w:val="12"/>
          <w:rFonts w:ascii="黑体" w:hAnsi="黑体" w:eastAsia="黑体"/>
        </w:rPr>
      </w:pPr>
      <w:r>
        <w:rPr>
          <w:rFonts w:hint="eastAsia" w:ascii="黑体" w:eastAsia="黑体"/>
          <w:color w:val="000000"/>
          <w:sz w:val="32"/>
          <w:szCs w:val="32"/>
        </w:rPr>
        <w:t>八、</w:t>
      </w:r>
      <w:r>
        <w:rPr>
          <w:rStyle w:val="12"/>
          <w:rFonts w:hint="eastAsia" w:ascii="黑体" w:hAnsi="黑体" w:eastAsia="黑体"/>
          <w:b w:val="0"/>
        </w:rPr>
        <w:t>政府性基金预算支出决算情况说明</w:t>
      </w:r>
      <w:bookmarkEnd w:id="50"/>
      <w:bookmarkEnd w:id="5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9年政府性基金预算拨款支出13153.11万元。</w:t>
      </w:r>
    </w:p>
    <w:p>
      <w:pPr>
        <w:numPr>
          <w:ilvl w:val="0"/>
          <w:numId w:val="2"/>
        </w:numPr>
        <w:spacing w:line="600" w:lineRule="exact"/>
        <w:ind w:firstLine="640"/>
        <w:outlineLvl w:val="1"/>
        <w:rPr>
          <w:rStyle w:val="12"/>
          <w:rFonts w:ascii="黑体" w:hAnsi="黑体" w:eastAsia="黑体"/>
          <w:b w:val="0"/>
        </w:rPr>
      </w:pPr>
      <w:bookmarkStart w:id="52" w:name="_Toc15396611"/>
      <w:bookmarkStart w:id="53" w:name="_Toc15377219"/>
      <w:r>
        <w:rPr>
          <w:rStyle w:val="12"/>
          <w:rFonts w:hint="eastAsia" w:ascii="黑体" w:hAnsi="黑体" w:eastAsia="黑体"/>
          <w:b w:val="0"/>
        </w:rPr>
        <w:t>国有资本经营预算支出决算情况说明</w:t>
      </w:r>
      <w:bookmarkEnd w:id="52"/>
      <w:bookmarkEnd w:id="53"/>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12"/>
          <w:rFonts w:ascii="黑体" w:hAnsi="黑体" w:eastAsia="黑体"/>
        </w:rPr>
      </w:pPr>
      <w:bookmarkStart w:id="54" w:name="_Toc15396612"/>
      <w:bookmarkStart w:id="55" w:name="_Toc15377221"/>
      <w:r>
        <w:rPr>
          <w:rFonts w:hint="eastAsia" w:ascii="黑体" w:hAnsi="黑体" w:eastAsia="黑体"/>
          <w:color w:val="000000"/>
          <w:sz w:val="32"/>
          <w:szCs w:val="32"/>
        </w:rPr>
        <w:t>十</w:t>
      </w:r>
      <w:r>
        <w:rPr>
          <w:rStyle w:val="12"/>
          <w:rFonts w:hint="eastAsia" w:ascii="黑体" w:hAnsi="黑体" w:eastAsia="黑体"/>
        </w:rPr>
        <w:t>、</w:t>
      </w:r>
      <w:r>
        <w:rPr>
          <w:rStyle w:val="12"/>
          <w:rFonts w:hint="eastAsia" w:ascii="黑体" w:hAnsi="黑体" w:eastAsia="黑体"/>
          <w:b w:val="0"/>
        </w:rPr>
        <w:t>其他重要事项的情况说明</w:t>
      </w:r>
      <w:bookmarkEnd w:id="54"/>
      <w:bookmarkEnd w:id="55"/>
    </w:p>
    <w:p>
      <w:pPr>
        <w:spacing w:line="600" w:lineRule="exact"/>
        <w:ind w:firstLine="643" w:firstLineChars="200"/>
        <w:outlineLvl w:val="2"/>
        <w:rPr>
          <w:rFonts w:ascii="仿宋" w:hAnsi="仿宋" w:eastAsia="仿宋"/>
          <w:color w:val="000000"/>
          <w:sz w:val="32"/>
          <w:szCs w:val="32"/>
        </w:rPr>
      </w:pPr>
      <w:bookmarkStart w:id="56" w:name="_Toc15377222"/>
      <w:r>
        <w:rPr>
          <w:rFonts w:hint="eastAsia" w:ascii="仿宋" w:hAnsi="仿宋" w:eastAsia="仿宋"/>
          <w:b/>
          <w:color w:val="000000"/>
          <w:sz w:val="32"/>
          <w:szCs w:val="32"/>
        </w:rPr>
        <w:t>（一）机关运行经费支出情况</w:t>
      </w:r>
      <w:bookmarkEnd w:id="56"/>
    </w:p>
    <w:p>
      <w:pPr>
        <w:spacing w:line="600" w:lineRule="exact"/>
        <w:ind w:firstLine="640" w:firstLineChars="200"/>
        <w:rPr>
          <w:rFonts w:hint="default" w:ascii="仿宋_GB2312" w:eastAsia="仿宋_GB2312"/>
          <w:color w:val="000000" w:themeColor="text1"/>
          <w:sz w:val="32"/>
          <w:szCs w:val="32"/>
          <w:lang w:val="en-US"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峨眉山市自然资源局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149.46</w:t>
      </w:r>
      <w:r>
        <w:rPr>
          <w:rFonts w:hint="eastAsia" w:ascii="仿宋_GB2312" w:eastAsia="仿宋_GB2312"/>
          <w:color w:val="000000"/>
          <w:sz w:val="32"/>
          <w:szCs w:val="32"/>
        </w:rPr>
        <w:t>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36.61</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32</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因机构改革人员增加和职能调整。</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7" w:name="_Toc15377223"/>
      <w:r>
        <w:rPr>
          <w:rFonts w:hint="eastAsia" w:ascii="仿宋" w:hAnsi="仿宋" w:eastAsia="仿宋"/>
          <w:b/>
          <w:color w:val="000000"/>
          <w:sz w:val="32"/>
          <w:szCs w:val="32"/>
        </w:rPr>
        <w:t>（二）政府采购支出情况</w:t>
      </w:r>
      <w:bookmarkEnd w:id="57"/>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峨眉山市自然资源局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8" w:name="_Toc15377224"/>
      <w:r>
        <w:rPr>
          <w:rFonts w:hint="eastAsia" w:ascii="仿宋" w:hAnsi="仿宋" w:eastAsia="仿宋"/>
          <w:b/>
          <w:color w:val="000000"/>
          <w:sz w:val="32"/>
          <w:szCs w:val="32"/>
        </w:rPr>
        <w:t>（三）国有资产占有使用情况</w:t>
      </w:r>
      <w:bookmarkEnd w:id="58"/>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highlight w:val="none"/>
        </w:rPr>
        <w:t>截至</w:t>
      </w:r>
      <w:r>
        <w:rPr>
          <w:rFonts w:ascii="仿宋_GB2312" w:eastAsia="仿宋_GB2312"/>
          <w:color w:val="000000"/>
          <w:sz w:val="32"/>
          <w:szCs w:val="32"/>
          <w:highlight w:val="none"/>
        </w:rPr>
        <w:t>201</w:t>
      </w:r>
      <w:r>
        <w:rPr>
          <w:rFonts w:hint="eastAsia" w:ascii="仿宋_GB2312" w:eastAsia="仿宋_GB2312"/>
          <w:color w:val="000000"/>
          <w:sz w:val="32"/>
          <w:szCs w:val="32"/>
          <w:highlight w:val="none"/>
        </w:rPr>
        <w:t>9年</w:t>
      </w:r>
      <w:r>
        <w:rPr>
          <w:rFonts w:ascii="仿宋_GB2312" w:eastAsia="仿宋_GB2312"/>
          <w:color w:val="000000"/>
          <w:sz w:val="32"/>
          <w:szCs w:val="32"/>
          <w:highlight w:val="none"/>
        </w:rPr>
        <w:t>12</w:t>
      </w:r>
      <w:r>
        <w:rPr>
          <w:rFonts w:hint="eastAsia" w:ascii="仿宋_GB2312" w:eastAsia="仿宋_GB2312"/>
          <w:color w:val="000000"/>
          <w:sz w:val="32"/>
          <w:szCs w:val="32"/>
          <w:highlight w:val="none"/>
        </w:rPr>
        <w:t>月</w:t>
      </w:r>
      <w:r>
        <w:rPr>
          <w:rFonts w:ascii="仿宋_GB2312" w:eastAsia="仿宋_GB2312"/>
          <w:color w:val="000000"/>
          <w:sz w:val="32"/>
          <w:szCs w:val="32"/>
          <w:highlight w:val="none"/>
        </w:rPr>
        <w:t>31</w:t>
      </w:r>
      <w:r>
        <w:rPr>
          <w:rFonts w:hint="eastAsia" w:ascii="仿宋_GB2312" w:eastAsia="仿宋_GB2312"/>
          <w:color w:val="000000"/>
          <w:sz w:val="32"/>
          <w:szCs w:val="32"/>
          <w:highlight w:val="none"/>
        </w:rPr>
        <w:t>日，</w:t>
      </w:r>
      <w:r>
        <w:rPr>
          <w:rFonts w:hint="eastAsia" w:ascii="仿宋_GB2312" w:eastAsia="仿宋_GB2312"/>
          <w:color w:val="000000"/>
          <w:sz w:val="32"/>
          <w:szCs w:val="32"/>
          <w:highlight w:val="none"/>
          <w:lang w:eastAsia="zh-CN"/>
        </w:rPr>
        <w:t>峨眉山市自然资源局</w:t>
      </w:r>
      <w:r>
        <w:rPr>
          <w:rFonts w:hint="eastAsia" w:ascii="仿宋_GB2312" w:eastAsia="仿宋_GB2312"/>
          <w:color w:val="000000"/>
          <w:sz w:val="32"/>
          <w:szCs w:val="32"/>
          <w:highlight w:val="none"/>
        </w:rPr>
        <w:t>共有车辆</w:t>
      </w:r>
      <w:r>
        <w:rPr>
          <w:rFonts w:hint="eastAsia" w:ascii="仿宋_GB2312" w:eastAsia="仿宋_GB2312"/>
          <w:color w:val="000000"/>
          <w:sz w:val="32"/>
          <w:szCs w:val="32"/>
          <w:highlight w:val="none"/>
          <w:lang w:val="en-US" w:eastAsia="zh-CN"/>
        </w:rPr>
        <w:t>7</w:t>
      </w:r>
      <w:r>
        <w:rPr>
          <w:rFonts w:hint="eastAsia" w:ascii="仿宋_GB2312" w:eastAsia="仿宋_GB2312"/>
          <w:color w:val="000000"/>
          <w:sz w:val="32"/>
          <w:szCs w:val="32"/>
          <w:highlight w:val="none"/>
        </w:rPr>
        <w:t>辆，其中：主要领导干部用车</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辆、机要通信用车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辆、应急保障用车</w:t>
      </w: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执法执勤车</w:t>
      </w:r>
      <w:r>
        <w:rPr>
          <w:rFonts w:hint="eastAsia" w:ascii="仿宋_GB2312" w:eastAsia="仿宋_GB2312"/>
          <w:color w:val="000000"/>
          <w:sz w:val="32"/>
          <w:szCs w:val="32"/>
          <w:highlight w:val="none"/>
          <w:lang w:val="en-US" w:eastAsia="zh-CN"/>
        </w:rPr>
        <w:t>1辆、</w:t>
      </w:r>
      <w:r>
        <w:rPr>
          <w:rFonts w:hint="eastAsia" w:ascii="仿宋_GB2312" w:eastAsia="仿宋_GB2312"/>
          <w:color w:val="000000"/>
          <w:sz w:val="32"/>
          <w:szCs w:val="32"/>
          <w:highlight w:val="none"/>
        </w:rPr>
        <w:t>其他用车</w:t>
      </w:r>
      <w:r>
        <w:rPr>
          <w:rFonts w:hint="eastAsia" w:ascii="仿宋_GB2312" w:eastAsia="仿宋_GB2312"/>
          <w:color w:val="000000"/>
          <w:sz w:val="32"/>
          <w:szCs w:val="32"/>
          <w:highlight w:val="none"/>
          <w:lang w:val="en-US" w:eastAsia="zh-CN"/>
        </w:rPr>
        <w:t>4</w:t>
      </w:r>
      <w:r>
        <w:rPr>
          <w:rFonts w:hint="eastAsia" w:ascii="仿宋_GB2312" w:eastAsia="仿宋_GB2312"/>
          <w:color w:val="000000"/>
          <w:sz w:val="32"/>
          <w:szCs w:val="32"/>
          <w:highlight w:val="none"/>
        </w:rPr>
        <w:t>辆</w:t>
      </w:r>
      <w:r>
        <w:rPr>
          <w:rFonts w:hint="eastAsia" w:ascii="仿宋_GB2312" w:eastAsia="仿宋_GB2312"/>
          <w:color w:val="000000"/>
          <w:sz w:val="32"/>
          <w:szCs w:val="32"/>
          <w:highlight w:val="none"/>
          <w:lang w:eastAsia="zh-CN"/>
        </w:rPr>
        <w:t>。</w:t>
      </w:r>
      <w:r>
        <w:rPr>
          <w:rFonts w:hint="eastAsia" w:ascii="仿宋_GB2312" w:eastAsia="仿宋_GB2312"/>
          <w:color w:val="000000" w:themeColor="text1"/>
          <w:sz w:val="32"/>
          <w:szCs w:val="32"/>
          <w:highlight w:val="none"/>
          <w14:textFill>
            <w14:solidFill>
              <w14:schemeClr w14:val="tx1"/>
            </w14:solidFill>
          </w14:textFill>
        </w:rPr>
        <w:t>其他用车主要是用于</w:t>
      </w:r>
      <w:r>
        <w:rPr>
          <w:rFonts w:hint="eastAsia" w:ascii="仿宋_GB2312" w:eastAsia="仿宋_GB2312"/>
          <w:color w:val="000000" w:themeColor="text1"/>
          <w:sz w:val="32"/>
          <w:szCs w:val="32"/>
          <w:highlight w:val="none"/>
          <w:lang w:eastAsia="zh-CN"/>
          <w14:textFill>
            <w14:solidFill>
              <w14:schemeClr w14:val="tx1"/>
            </w14:solidFill>
          </w14:textFill>
        </w:rPr>
        <w:t>处理自然资源灾害管理。</w:t>
      </w:r>
      <w:r>
        <w:rPr>
          <w:rFonts w:hint="eastAsia" w:ascii="仿宋_GB2312" w:eastAsia="仿宋_GB2312"/>
          <w:color w:val="000000" w:themeColor="text1"/>
          <w:sz w:val="32"/>
          <w:szCs w:val="32"/>
          <w:highlight w:val="none"/>
          <w14:textFill>
            <w14:solidFill>
              <w14:schemeClr w14:val="tx1"/>
            </w14:solidFill>
          </w14:textFill>
        </w:rPr>
        <w:t>单价</w:t>
      </w:r>
      <w:r>
        <w:rPr>
          <w:rFonts w:ascii="仿宋_GB2312" w:eastAsia="仿宋_GB2312"/>
          <w:color w:val="000000" w:themeColor="text1"/>
          <w:sz w:val="32"/>
          <w:szCs w:val="32"/>
          <w:highlight w:val="none"/>
          <w14:textFill>
            <w14:solidFill>
              <w14:schemeClr w14:val="tx1"/>
            </w14:solidFill>
          </w14:textFill>
        </w:rPr>
        <w:t>50</w:t>
      </w:r>
      <w:r>
        <w:rPr>
          <w:rFonts w:hint="eastAsia" w:ascii="仿宋_GB2312" w:eastAsia="仿宋_GB2312"/>
          <w:color w:val="000000" w:themeColor="text1"/>
          <w:sz w:val="32"/>
          <w:szCs w:val="32"/>
          <w:highlight w:val="none"/>
          <w14:textFill>
            <w14:solidFill>
              <w14:schemeClr w14:val="tx1"/>
            </w14:solidFill>
          </w14:textFill>
        </w:rPr>
        <w:t>万元以上通用设备</w:t>
      </w:r>
      <w:r>
        <w:rPr>
          <w:rFonts w:hint="eastAsia" w:ascii="仿宋_GB2312" w:eastAsia="仿宋_GB2312"/>
          <w:color w:val="000000" w:themeColor="text1"/>
          <w:sz w:val="32"/>
          <w:szCs w:val="32"/>
          <w:highlight w:val="none"/>
          <w:lang w:val="en-US" w:eastAsia="zh-CN"/>
          <w14:textFill>
            <w14:solidFill>
              <w14:schemeClr w14:val="tx1"/>
            </w14:solidFill>
          </w14:textFill>
        </w:rPr>
        <w:t>0</w:t>
      </w:r>
      <w:r>
        <w:rPr>
          <w:rFonts w:hint="eastAsia" w:ascii="仿宋_GB2312" w:eastAsia="仿宋_GB2312"/>
          <w:color w:val="000000" w:themeColor="text1"/>
          <w:sz w:val="32"/>
          <w:szCs w:val="32"/>
          <w:highlight w:val="none"/>
          <w14:textFill>
            <w14:solidFill>
              <w14:schemeClr w14:val="tx1"/>
            </w14:solidFill>
          </w14:textFill>
        </w:rPr>
        <w:t>台（套），单价</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sz w:val="32"/>
          <w:szCs w:val="32"/>
          <w:highlight w:val="none"/>
        </w:rPr>
        <w:t>万元以上专用设备</w:t>
      </w:r>
      <w:r>
        <w:rPr>
          <w:rFonts w:hint="eastAsia" w:ascii="仿宋_GB2312" w:eastAsia="仿宋_GB2312"/>
          <w:color w:val="000000"/>
          <w:sz w:val="32"/>
          <w:szCs w:val="32"/>
          <w:highlight w:val="none"/>
          <w:lang w:val="en-US" w:eastAsia="zh-CN"/>
        </w:rPr>
        <w:t>0</w:t>
      </w:r>
      <w:r>
        <w:rPr>
          <w:rFonts w:hint="eastAsia" w:ascii="仿宋_GB2312" w:eastAsia="仿宋_GB2312"/>
          <w:color w:val="000000"/>
          <w:sz w:val="32"/>
          <w:szCs w:val="32"/>
          <w:highlight w:val="none"/>
        </w:rPr>
        <w:t>台（套</w:t>
      </w:r>
      <w:r>
        <w:rPr>
          <w:rFonts w:hint="eastAsia" w:ascii="仿宋_GB2312" w:eastAsia="仿宋_GB2312"/>
          <w:color w:val="000000"/>
          <w:sz w:val="32"/>
          <w:szCs w:val="32"/>
        </w:rPr>
        <w:t>）。</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地质灾害综合防治体系建设、第三次全国土地调查、峨眉山市农村宅基地使用权确权登记等</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w:t>
      </w:r>
      <w:r>
        <w:rPr>
          <w:rFonts w:hint="eastAsia" w:ascii="仿宋" w:hAnsi="仿宋" w:eastAsia="仿宋" w:cs="仿宋"/>
          <w:color w:val="000000"/>
          <w:kern w:val="0"/>
          <w:sz w:val="32"/>
          <w:szCs w:val="32"/>
          <w:shd w:val="clear" w:color="auto" w:fill="FFFFFF"/>
          <w:lang w:val="zh-CN"/>
        </w:rPr>
        <w:t>全年执行进度同项目特点相关，各项目不完全一致，确保都达到预期目的，项目实施均达到了预期的经济、生态、社会效益</w:t>
      </w:r>
      <w:r>
        <w:rPr>
          <w:rFonts w:hint="eastAsia" w:ascii="仿宋_GB2312" w:hAnsi="仿宋_GB2312" w:eastAsia="仿宋_GB2312" w:cs="仿宋_GB2312"/>
          <w:sz w:val="32"/>
          <w:szCs w:val="32"/>
        </w:rPr>
        <w:t>。本部门还自行组织了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个项目支出绩效评价，从评价情况来看</w:t>
      </w:r>
      <w:r>
        <w:rPr>
          <w:rFonts w:hint="eastAsia" w:ascii="仿宋" w:hAnsi="仿宋" w:eastAsia="仿宋" w:cs="仿宋"/>
          <w:color w:val="000000"/>
          <w:kern w:val="0"/>
          <w:sz w:val="32"/>
          <w:szCs w:val="32"/>
          <w:shd w:val="clear" w:color="auto" w:fill="FFFFFF"/>
          <w:lang w:val="zh-CN"/>
        </w:rPr>
        <w:t>实施均达到了预期的经济、生态、社会效益。</w:t>
      </w:r>
    </w:p>
    <w:p>
      <w:pPr>
        <w:numPr>
          <w:ilvl w:val="0"/>
          <w:numId w:val="3"/>
        </w:num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峨眉山市城镇地籍修补测</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法律顾问</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调规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、“峨眉山市城市建设用地节约集约利用评价工作”、“第三次全国土地调查”</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个项目绩效目标实际完成情况。</w:t>
      </w:r>
    </w:p>
    <w:p>
      <w:pPr>
        <w:numPr>
          <w:ilvl w:val="0"/>
          <w:numId w:val="4"/>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峨眉山市城镇地籍修补测</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，对我市中心城区</w:t>
      </w:r>
      <w:r>
        <w:rPr>
          <w:rFonts w:hint="eastAsia" w:ascii="仿宋_GB2312" w:hAnsi="仿宋_GB2312" w:eastAsia="仿宋_GB2312" w:cs="仿宋_GB2312"/>
          <w:sz w:val="32"/>
          <w:szCs w:val="32"/>
          <w:lang w:val="en-US" w:eastAsia="zh-CN"/>
        </w:rPr>
        <w:t>30平方公里范围内的城镇地籍现状按1：500的比例尺进行补充测量。</w:t>
      </w:r>
    </w:p>
    <w:tbl>
      <w:tblPr>
        <w:tblStyle w:val="7"/>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峨眉山市城镇地籍修补测</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峨眉山市自然资源局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20.6</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我市中心城区</w:t>
            </w:r>
            <w:r>
              <w:rPr>
                <w:rFonts w:hint="eastAsia" w:ascii="仿宋_GB2312" w:hAnsi="仿宋_GB2312" w:eastAsia="仿宋_GB2312" w:cs="仿宋_GB2312"/>
                <w:sz w:val="32"/>
                <w:szCs w:val="32"/>
                <w:lang w:val="en-US" w:eastAsia="zh-CN"/>
              </w:rPr>
              <w:t>30平方公里范围内的城镇地籍现状按1：500的比例尺进行补充测量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完成我市中心城区</w:t>
            </w:r>
            <w:r>
              <w:rPr>
                <w:rFonts w:hint="eastAsia" w:ascii="仿宋_GB2312" w:hAnsi="仿宋_GB2312" w:eastAsia="仿宋_GB2312" w:cs="仿宋_GB2312"/>
                <w:sz w:val="32"/>
                <w:szCs w:val="32"/>
                <w:lang w:val="en-US" w:eastAsia="zh-CN"/>
              </w:rPr>
              <w:t>30平方公里范围内的城镇地籍现状按1：500的比例尺进行补充测量</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测量面积</w:t>
            </w:r>
            <w:r>
              <w:rPr>
                <w:rFonts w:hint="eastAsia" w:ascii="宋体" w:hAnsi="宋体" w:cs="宋体"/>
                <w:color w:val="000000"/>
                <w:sz w:val="24"/>
                <w:lang w:val="en-US" w:eastAsia="zh-CN"/>
              </w:rPr>
              <w:t>30平方公里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测量面积</w:t>
            </w:r>
            <w:r>
              <w:rPr>
                <w:rFonts w:hint="eastAsia" w:ascii="宋体" w:hAnsi="宋体" w:cs="宋体"/>
                <w:color w:val="000000"/>
                <w:sz w:val="24"/>
                <w:lang w:val="en-US" w:eastAsia="zh-CN"/>
              </w:rPr>
              <w:t>30平方公</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测量精度合格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经专家评审质量合格</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当年完成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当年已完成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numPr>
          <w:ilvl w:val="0"/>
          <w:numId w:val="0"/>
        </w:numPr>
        <w:spacing w:line="580" w:lineRule="exact"/>
        <w:rPr>
          <w:rFonts w:hint="eastAsia" w:ascii="仿宋_GB2312" w:hAnsi="仿宋_GB2312" w:eastAsia="仿宋_GB2312" w:cs="仿宋_GB2312"/>
          <w:sz w:val="32"/>
          <w:szCs w:val="32"/>
          <w:lang w:eastAsia="zh-CN"/>
        </w:rPr>
      </w:pPr>
    </w:p>
    <w:p>
      <w:pPr>
        <w:numPr>
          <w:ilvl w:val="0"/>
          <w:numId w:val="4"/>
        </w:numPr>
        <w:spacing w:line="58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法律顾问</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10.7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89</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我局合同签订合法、合规，司法案件有序处理。</w:t>
      </w:r>
    </w:p>
    <w:tbl>
      <w:tblPr>
        <w:tblStyle w:val="7"/>
        <w:tblpPr w:leftFromText="180" w:rightFromText="180" w:vertAnchor="text" w:horzAnchor="page" w:tblpX="1949" w:tblpY="18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法律顾问</w:t>
            </w:r>
            <w:r>
              <w:rPr>
                <w:rFonts w:hint="eastAsia" w:ascii="仿宋_GB2312" w:hAnsi="仿宋_GB2312" w:eastAsia="仿宋_GB2312" w:cs="仿宋_GB2312"/>
                <w:sz w:val="32"/>
                <w:szCs w:val="32"/>
              </w:rPr>
              <w:t>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峨眉山市自然资源局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合同签订合法、合规，司法案件有序处理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所有重要合同签订均通过法律顾问进行法律符合性检查，确保了合同签订合法、合规，对司法案件法律顾问参与进行，保证了有序处理</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提供法律咨询服务</w:t>
            </w:r>
            <w:r>
              <w:rPr>
                <w:rFonts w:hint="eastAsia" w:ascii="宋体" w:hAnsi="宋体" w:cs="宋体"/>
                <w:color w:val="000000"/>
                <w:sz w:val="24"/>
                <w:lang w:val="en-US" w:eastAsia="zh-CN"/>
              </w:rPr>
              <w:t>20次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提供法律咨询服务</w:t>
            </w:r>
            <w:r>
              <w:rPr>
                <w:rFonts w:hint="eastAsia" w:ascii="宋体" w:hAnsi="宋体" w:cs="宋体"/>
                <w:color w:val="000000"/>
                <w:sz w:val="24"/>
                <w:lang w:val="en-US" w:eastAsia="zh-CN"/>
              </w:rPr>
              <w:t>22次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重要合同和其他重要事务没有法律漏洞</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经法律顾问咨询的法律事务包括重要合同没有法律漏洞</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提出咨询事项后三日内响应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提出咨询事项后均在二日内响应并及时完成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numPr>
          <w:ilvl w:val="0"/>
          <w:numId w:val="0"/>
        </w:numPr>
        <w:spacing w:line="580" w:lineRule="exact"/>
        <w:ind w:leftChars="200"/>
        <w:rPr>
          <w:rFonts w:hint="eastAsia" w:ascii="仿宋_GB2312" w:hAnsi="仿宋_GB2312" w:eastAsia="仿宋_GB2312" w:cs="仿宋_GB2312"/>
          <w:sz w:val="32"/>
          <w:szCs w:val="32"/>
          <w:lang w:eastAsia="zh-CN"/>
        </w:rPr>
      </w:pPr>
    </w:p>
    <w:p>
      <w:pPr>
        <w:numPr>
          <w:ilvl w:val="0"/>
          <w:numId w:val="4"/>
        </w:numPr>
        <w:spacing w:line="58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调规</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49</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完成每年两次土地利用总体规划调整。</w:t>
      </w:r>
    </w:p>
    <w:tbl>
      <w:tblPr>
        <w:tblStyle w:val="7"/>
        <w:tblpPr w:leftFromText="180" w:rightFromText="180" w:vertAnchor="text" w:horzAnchor="page" w:tblpX="1805" w:tblpY="183"/>
        <w:tblOverlap w:val="never"/>
        <w:tblW w:w="10104" w:type="dxa"/>
        <w:jc w:val="center"/>
        <w:tblLayout w:type="fixed"/>
        <w:tblCellMar>
          <w:top w:w="0" w:type="dxa"/>
          <w:left w:w="0" w:type="dxa"/>
          <w:bottom w:w="0" w:type="dxa"/>
          <w:right w:w="0" w:type="dxa"/>
        </w:tblCellMar>
      </w:tblPr>
      <w:tblGrid>
        <w:gridCol w:w="534"/>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10104"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土地利用总体规划调整</w:t>
            </w:r>
          </w:p>
        </w:tc>
      </w:tr>
      <w:tr>
        <w:tblPrEx>
          <w:tblCellMar>
            <w:top w:w="0" w:type="dxa"/>
            <w:left w:w="0" w:type="dxa"/>
            <w:bottom w:w="0" w:type="dxa"/>
            <w:right w:w="0" w:type="dxa"/>
          </w:tblCellMar>
        </w:tblPrEx>
        <w:trPr>
          <w:trHeight w:val="276" w:hRule="atLeast"/>
          <w:jc w:val="center"/>
        </w:trPr>
        <w:tc>
          <w:tcPr>
            <w:tcW w:w="29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峨眉山市自然资源局</w:t>
            </w:r>
          </w:p>
        </w:tc>
      </w:tr>
      <w:tr>
        <w:tblPrEx>
          <w:tblCellMar>
            <w:top w:w="0" w:type="dxa"/>
            <w:left w:w="0" w:type="dxa"/>
            <w:bottom w:w="0" w:type="dxa"/>
            <w:right w:w="0" w:type="dxa"/>
          </w:tblCellMar>
        </w:tblPrEx>
        <w:trPr>
          <w:trHeight w:val="276"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w:t>
            </w:r>
          </w:p>
        </w:tc>
      </w:tr>
      <w:tr>
        <w:tblPrEx>
          <w:tblCellMar>
            <w:top w:w="0" w:type="dxa"/>
            <w:left w:w="0" w:type="dxa"/>
            <w:bottom w:w="0" w:type="dxa"/>
            <w:right w:w="0" w:type="dxa"/>
          </w:tblCellMar>
        </w:tblPrEx>
        <w:trPr>
          <w:trHeight w:val="276"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w:t>
            </w:r>
          </w:p>
        </w:tc>
      </w:tr>
      <w:tr>
        <w:tblPrEx>
          <w:tblCellMar>
            <w:top w:w="0" w:type="dxa"/>
            <w:left w:w="0" w:type="dxa"/>
            <w:bottom w:w="0" w:type="dxa"/>
            <w:right w:w="0" w:type="dxa"/>
          </w:tblCellMar>
        </w:tblPrEx>
        <w:trPr>
          <w:trHeight w:val="1511"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53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53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每年进行二次土地利用总体规划调整</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实际进行了二次土地利用总体规划调整</w:t>
            </w:r>
          </w:p>
        </w:tc>
      </w:tr>
      <w:tr>
        <w:tblPrEx>
          <w:tblCellMar>
            <w:top w:w="0" w:type="dxa"/>
            <w:left w:w="0" w:type="dxa"/>
            <w:bottom w:w="0" w:type="dxa"/>
            <w:right w:w="0" w:type="dxa"/>
          </w:tblCellMar>
        </w:tblPrEx>
        <w:trPr>
          <w:trHeight w:val="1042" w:hRule="atLeast"/>
          <w:jc w:val="center"/>
        </w:trPr>
        <w:tc>
          <w:tcPr>
            <w:tcW w:w="5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土地利用规划调规</w:t>
            </w:r>
            <w:r>
              <w:rPr>
                <w:rFonts w:hint="eastAsia" w:ascii="宋体" w:hAnsi="宋体" w:cs="宋体"/>
                <w:color w:val="000000"/>
                <w:sz w:val="24"/>
                <w:lang w:val="en-US" w:eastAsia="zh-CN"/>
              </w:rPr>
              <w:t>2次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土地利用规划完成调规</w:t>
            </w:r>
            <w:r>
              <w:rPr>
                <w:rFonts w:hint="eastAsia" w:ascii="宋体" w:hAnsi="宋体" w:cs="宋体"/>
                <w:color w:val="000000"/>
                <w:sz w:val="24"/>
                <w:lang w:val="en-US" w:eastAsia="zh-CN"/>
              </w:rPr>
              <w:t>2次</w:t>
            </w:r>
          </w:p>
        </w:tc>
      </w:tr>
      <w:tr>
        <w:tblPrEx>
          <w:tblCellMar>
            <w:top w:w="0" w:type="dxa"/>
            <w:left w:w="0" w:type="dxa"/>
            <w:bottom w:w="0" w:type="dxa"/>
            <w:right w:w="0" w:type="dxa"/>
          </w:tblCellMar>
        </w:tblPrEx>
        <w:trPr>
          <w:trHeight w:val="1297"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专家评审合格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专家评审合格并通过规委会审议</w:t>
            </w:r>
          </w:p>
        </w:tc>
      </w:tr>
      <w:tr>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534"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5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bl>
    <w:p>
      <w:pPr>
        <w:numPr>
          <w:ilvl w:val="0"/>
          <w:numId w:val="0"/>
        </w:numPr>
        <w:spacing w:line="580" w:lineRule="exact"/>
        <w:ind w:leftChars="200"/>
        <w:rPr>
          <w:rFonts w:hint="default" w:ascii="仿宋_GB2312" w:hAnsi="仿宋_GB2312" w:eastAsia="仿宋_GB2312" w:cs="仿宋_GB2312"/>
          <w:sz w:val="32"/>
          <w:szCs w:val="32"/>
          <w:lang w:val="en-US" w:eastAsia="zh-CN"/>
        </w:rPr>
      </w:pPr>
    </w:p>
    <w:p>
      <w:pPr>
        <w:numPr>
          <w:ilvl w:val="0"/>
          <w:numId w:val="4"/>
        </w:numPr>
        <w:spacing w:line="58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峨眉山市城市建设用地节约集约利用评价</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全面掌握我市城市土地利用状况，切实提高我市城市节约集约用地水平，落实节约优先战略，完成峨眉山区域建设用地节约集约利用状况评价工作。</w:t>
      </w:r>
    </w:p>
    <w:tbl>
      <w:tblPr>
        <w:tblStyle w:val="7"/>
        <w:tblpPr w:leftFromText="180" w:rightFromText="180" w:vertAnchor="text" w:horzAnchor="page" w:tblpX="1949" w:tblpY="18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城市建设用地节约集约利用评价</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峨眉山市自然资源局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60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全面掌握我市城市土地利用状况，切实提高我市城市节约集约用地水平，落实节约优先战略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完成峨眉山区域建设用地节约集约利用状况评价工作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全市建设用地节约集约利用土地评价专家评审合格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完成全市建设用地节约集约利用土地评价经专家评审合格</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当年完成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当年完成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资料使用者满意度</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资料使用者满意度</w:t>
            </w:r>
            <w:r>
              <w:rPr>
                <w:rFonts w:hint="eastAsia" w:ascii="宋体" w:hAnsi="宋体" w:cs="宋体"/>
                <w:color w:val="000000"/>
                <w:sz w:val="24"/>
                <w:lang w:val="en-US" w:eastAsia="zh-CN"/>
              </w:rPr>
              <w:t>100%</w:t>
            </w:r>
          </w:p>
        </w:tc>
      </w:tr>
    </w:tbl>
    <w:p>
      <w:pPr>
        <w:numPr>
          <w:ilvl w:val="0"/>
          <w:numId w:val="0"/>
        </w:numPr>
        <w:spacing w:line="580" w:lineRule="exact"/>
        <w:ind w:leftChars="200"/>
        <w:rPr>
          <w:rFonts w:hint="eastAsia" w:ascii="仿宋_GB2312" w:hAnsi="仿宋_GB2312" w:eastAsia="仿宋_GB2312" w:cs="仿宋_GB2312"/>
          <w:sz w:val="32"/>
          <w:szCs w:val="32"/>
          <w:lang w:eastAsia="zh-CN"/>
        </w:rPr>
      </w:pPr>
    </w:p>
    <w:p>
      <w:pPr>
        <w:numPr>
          <w:ilvl w:val="0"/>
          <w:numId w:val="4"/>
        </w:numPr>
        <w:spacing w:line="580" w:lineRule="exact"/>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第三次全国土地调查</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348.5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99.7</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调查市域内国有土地和集体土地利用现状，全面掌握全市土地利用现状，为进一步加强土地利用和监管提供了基础数据。</w:t>
      </w:r>
    </w:p>
    <w:tbl>
      <w:tblPr>
        <w:tblStyle w:val="7"/>
        <w:tblpPr w:leftFromText="180" w:rightFromText="180" w:vertAnchor="text" w:horzAnchor="page" w:tblpX="1949" w:tblpY="18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第三次全国土地调查</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峨眉山市自然资源局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9.8</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全面掌握全市土地利用现状，为进一步加强土地利用和监管提供了基础数据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sz w:val="32"/>
                <w:szCs w:val="32"/>
                <w:lang w:eastAsia="zh-CN"/>
              </w:rPr>
              <w:t>调查了市域内国有土地和集体土地利用现状，为全面掌握全市土地利用现状，进一步加强土地利用和监管提供了基础数据</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仿宋_GB2312" w:hAnsi="仿宋_GB2312" w:eastAsia="仿宋_GB2312" w:cs="仿宋_GB2312"/>
                <w:sz w:val="32"/>
                <w:szCs w:val="32"/>
                <w:lang w:eastAsia="zh-CN"/>
              </w:rPr>
              <w:t>全市土地利用现状调查成果经专家评审合格</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仿宋_GB2312" w:hAnsi="仿宋_GB2312" w:eastAsia="仿宋_GB2312" w:cs="仿宋_GB2312"/>
                <w:sz w:val="32"/>
                <w:szCs w:val="32"/>
                <w:lang w:eastAsia="zh-CN"/>
              </w:rPr>
              <w:t>完成全市土地利用现状调查，成果经专家评审合格并上报。</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当年完成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当年完成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lang w:eastAsia="zh-CN"/>
              </w:rPr>
              <w:t>资料使用者满意度</w:t>
            </w:r>
            <w:r>
              <w:rPr>
                <w:rFonts w:hint="eastAsia" w:ascii="宋体" w:hAnsi="宋体" w:cs="宋体"/>
                <w:color w:val="000000"/>
                <w:sz w:val="24"/>
                <w:lang w:val="en-US" w:eastAsia="zh-CN"/>
              </w:rPr>
              <w:t>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资料使用者满意度</w:t>
            </w:r>
            <w:r>
              <w:rPr>
                <w:rFonts w:hint="eastAsia" w:ascii="宋体" w:hAnsi="宋体" w:cs="宋体"/>
                <w:color w:val="000000"/>
                <w:sz w:val="24"/>
                <w:lang w:val="en-US" w:eastAsia="zh-CN"/>
              </w:rPr>
              <w:t>100%</w:t>
            </w:r>
          </w:p>
        </w:tc>
      </w:tr>
    </w:tbl>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峨眉山市自然资源</w:t>
      </w:r>
      <w:r>
        <w:rPr>
          <w:rFonts w:hint="eastAsia" w:ascii="仿宋_GB2312" w:hAnsi="仿宋_GB2312" w:eastAsia="仿宋_GB2312" w:cs="仿宋_GB2312"/>
          <w:sz w:val="32"/>
          <w:szCs w:val="32"/>
        </w:rPr>
        <w:t>部门2019年部门整体支出绩效评价报告》见附件（附件1）。</w:t>
      </w:r>
    </w:p>
    <w:p>
      <w:pPr>
        <w:spacing w:line="600" w:lineRule="exact"/>
        <w:jc w:val="center"/>
        <w:rPr>
          <w:rFonts w:hint="eastAsia" w:ascii="仿宋" w:hAnsi="仿宋" w:eastAsia="仿宋" w:cs="仿宋"/>
          <w:b/>
          <w:color w:val="000000"/>
          <w:sz w:val="32"/>
          <w:szCs w:val="32"/>
        </w:rPr>
      </w:pPr>
      <w:r>
        <w:rPr>
          <w:rFonts w:hint="eastAsia" w:ascii="仿宋" w:hAnsi="仿宋" w:eastAsia="仿宋" w:cs="仿宋"/>
          <w:sz w:val="32"/>
          <w:szCs w:val="32"/>
        </w:rPr>
        <w:t>本部门自行组织对退还关闭矿山剩余采矿权价款和地质环境治里保证金、奖金项目开展了绩效评价，《退还关闭矿山剩余采矿权价款和地质环境治里保证金、奖金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11"/>
          <w:rFonts w:ascii="黑体" w:hAnsi="黑体" w:eastAsia="黑体"/>
          <w:b w:val="0"/>
        </w:rPr>
      </w:pPr>
      <w:bookmarkStart w:id="59" w:name="_Toc15377225"/>
      <w:bookmarkStart w:id="60" w:name="_Toc15396613"/>
      <w:r>
        <w:rPr>
          <w:rFonts w:hint="eastAsia" w:ascii="黑体" w:hAnsi="黑体" w:eastAsia="黑体"/>
          <w:color w:val="000000"/>
          <w:sz w:val="44"/>
          <w:szCs w:val="44"/>
        </w:rPr>
        <w:t>名</w:t>
      </w:r>
      <w:r>
        <w:rPr>
          <w:rStyle w:val="11"/>
          <w:rFonts w:hint="eastAsia" w:ascii="黑体" w:hAnsi="黑体" w:eastAsia="黑体"/>
          <w:b w:val="0"/>
        </w:rPr>
        <w:t>词解释</w:t>
      </w:r>
      <w:bookmarkEnd w:id="59"/>
      <w:bookmarkEnd w:id="60"/>
    </w:p>
    <w:p>
      <w:pPr>
        <w:spacing w:line="600" w:lineRule="exact"/>
        <w:jc w:val="left"/>
        <w:rPr>
          <w:rFonts w:ascii="宋体"/>
          <w:b/>
          <w:color w:val="000000"/>
          <w:sz w:val="44"/>
          <w:szCs w:val="44"/>
        </w:rPr>
      </w:pPr>
    </w:p>
    <w:p>
      <w:pPr>
        <w:pStyle w:val="1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1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9.</w:t>
      </w:r>
      <w:r>
        <w:rPr>
          <w:rStyle w:val="9"/>
          <w:rFonts w:hint="eastAsia" w:ascii="仿宋" w:hAnsi="仿宋" w:eastAsia="仿宋"/>
          <w:bCs/>
          <w:color w:val="000000"/>
          <w:sz w:val="30"/>
          <w:szCs w:val="30"/>
        </w:rPr>
        <w:t>一般公共服务（类）政府办公厅（室）及相关机构事务（款）信访事务（项）</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各级政府用于接待群众来信来访方面的支出</w:t>
      </w:r>
      <w:r>
        <w:rPr>
          <w:rFonts w:hint="eastAsia" w:ascii="仿宋_GB2312" w:eastAsia="仿宋_GB2312"/>
          <w:color w:val="000000"/>
          <w:sz w:val="32"/>
          <w:szCs w:val="32"/>
        </w:rPr>
        <w:t>。</w:t>
      </w:r>
    </w:p>
    <w:p>
      <w:pPr>
        <w:ind w:firstLine="640" w:firstLineChars="200"/>
        <w:rPr>
          <w:rFonts w:hint="eastAsia" w:ascii="仿宋_GB2312" w:eastAsia="仿宋"/>
          <w:color w:val="000000"/>
          <w:sz w:val="32"/>
          <w:szCs w:val="32"/>
          <w:lang w:val="en-US" w:eastAsia="zh-CN"/>
        </w:rPr>
      </w:pPr>
      <w:r>
        <w:rPr>
          <w:rFonts w:hint="eastAsia" w:ascii="仿宋_GB2312" w:eastAsia="仿宋_GB2312"/>
          <w:color w:val="000000"/>
          <w:sz w:val="32"/>
          <w:szCs w:val="32"/>
          <w:lang w:val="en-US" w:eastAsia="zh-CN"/>
        </w:rPr>
        <w:t>10.</w:t>
      </w:r>
      <w:r>
        <w:rPr>
          <w:rStyle w:val="9"/>
          <w:rFonts w:hint="eastAsia" w:ascii="仿宋" w:hAnsi="仿宋" w:eastAsia="仿宋"/>
          <w:bCs/>
          <w:color w:val="000000"/>
          <w:sz w:val="30"/>
          <w:szCs w:val="30"/>
        </w:rPr>
        <w:t>社会保障和就业（类）行政事业单位离退休（款）机关事业单位基本养老保险缴费支出（项）</w:t>
      </w:r>
      <w:r>
        <w:rPr>
          <w:rStyle w:val="9"/>
          <w:rFonts w:hint="eastAsia" w:ascii="仿宋" w:hAnsi="仿宋" w:eastAsia="仿宋"/>
          <w:bCs/>
          <w:color w:val="000000"/>
          <w:sz w:val="30"/>
          <w:szCs w:val="30"/>
          <w:lang w:eastAsia="zh-CN"/>
        </w:rPr>
        <w:t>：指机关事业单位实施养老保险制度由单位缴纳的基本养老保险支出。</w:t>
      </w:r>
    </w:p>
    <w:p>
      <w:pPr>
        <w:ind w:firstLine="640" w:firstLineChars="200"/>
        <w:rPr>
          <w:rFonts w:ascii="仿宋_GB2312" w:eastAsia="仿宋_GB2312"/>
          <w:color w:val="000000"/>
          <w:sz w:val="32"/>
          <w:szCs w:val="32"/>
        </w:rPr>
      </w:pPr>
      <w:r>
        <w:rPr>
          <w:rFonts w:ascii="仿宋_GB2312" w:eastAsia="仿宋_GB2312"/>
          <w:color w:val="000000"/>
          <w:sz w:val="32"/>
          <w:szCs w:val="32"/>
        </w:rPr>
        <w:t>11.</w:t>
      </w:r>
      <w:r>
        <w:rPr>
          <w:rStyle w:val="9"/>
          <w:rFonts w:hint="eastAsia" w:ascii="仿宋" w:hAnsi="仿宋" w:eastAsia="仿宋"/>
          <w:bCs/>
          <w:color w:val="000000"/>
          <w:sz w:val="30"/>
          <w:szCs w:val="30"/>
        </w:rPr>
        <w:t>社会保障和就业（类）行政事业单位离退休（款）机关事业单位职业年金缴费支出（项）</w:t>
      </w:r>
      <w:r>
        <w:rPr>
          <w:rStyle w:val="9"/>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12.</w:t>
      </w:r>
      <w:r>
        <w:rPr>
          <w:rStyle w:val="9"/>
          <w:rFonts w:hint="eastAsia" w:ascii="仿宋" w:hAnsi="仿宋" w:eastAsia="仿宋"/>
          <w:bCs/>
          <w:color w:val="000000"/>
          <w:sz w:val="30"/>
          <w:szCs w:val="30"/>
        </w:rPr>
        <w:t>社会保障和就业（类）</w:t>
      </w:r>
      <w:r>
        <w:rPr>
          <w:rStyle w:val="9"/>
          <w:rFonts w:hint="eastAsia" w:ascii="仿宋" w:hAnsi="仿宋" w:eastAsia="仿宋"/>
          <w:bCs/>
          <w:color w:val="000000"/>
          <w:sz w:val="30"/>
          <w:szCs w:val="30"/>
          <w:lang w:eastAsia="zh-CN"/>
        </w:rPr>
        <w:t>抚恤</w:t>
      </w:r>
      <w:r>
        <w:rPr>
          <w:rStyle w:val="9"/>
          <w:rFonts w:hint="eastAsia" w:ascii="仿宋" w:hAnsi="仿宋" w:eastAsia="仿宋"/>
          <w:bCs/>
          <w:color w:val="000000"/>
          <w:sz w:val="30"/>
          <w:szCs w:val="30"/>
        </w:rPr>
        <w:t>（款）其他优抚支出（项）</w:t>
      </w:r>
      <w:r>
        <w:rPr>
          <w:rStyle w:val="9"/>
          <w:rFonts w:ascii="仿宋" w:hAnsi="仿宋" w:eastAsia="仿宋"/>
          <w:bCs/>
          <w:color w:val="000000"/>
          <w:sz w:val="30"/>
          <w:szCs w:val="30"/>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其他用于优抚方面的支出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13.</w:t>
      </w:r>
      <w:r>
        <w:rPr>
          <w:rStyle w:val="9"/>
          <w:rFonts w:hint="eastAsia" w:ascii="仿宋" w:hAnsi="仿宋" w:eastAsia="仿宋"/>
          <w:bCs/>
          <w:color w:val="000000"/>
          <w:sz w:val="32"/>
          <w:szCs w:val="32"/>
        </w:rPr>
        <w:t>卫生健康支出（类）行政事业单位医疗（款）行政单位医疗（项）</w:t>
      </w:r>
      <w:r>
        <w:rPr>
          <w:rStyle w:val="9"/>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财政部门安排的行政单位（包括实行公务员管理的事业单位）基本医疗保险缴费经费，未参加医疗保险的行政单位的公费医疗经费，按国家规定享受离休人员、红军老战士待遇人员的医疗经费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 w:hAnsi="仿宋" w:eastAsia="仿宋"/>
          <w:b/>
          <w:bCs/>
          <w:color w:val="000000" w:themeColor="text1"/>
          <w:sz w:val="32"/>
          <w:szCs w:val="32"/>
          <w14:textFill>
            <w14:solidFill>
              <w14:schemeClr w14:val="tx1"/>
            </w14:solidFill>
          </w14:textFill>
        </w:rPr>
        <w:t>卫生健康</w:t>
      </w:r>
      <w:r>
        <w:rPr>
          <w:rStyle w:val="9"/>
          <w:rFonts w:hint="eastAsia" w:ascii="仿宋" w:hAnsi="仿宋" w:eastAsia="仿宋"/>
          <w:bCs/>
          <w:color w:val="000000"/>
          <w:sz w:val="32"/>
          <w:szCs w:val="32"/>
        </w:rPr>
        <w:t>（类）行政事业单位医疗（款）</w:t>
      </w:r>
      <w:r>
        <w:rPr>
          <w:rStyle w:val="9"/>
          <w:rFonts w:hint="eastAsia" w:ascii="仿宋" w:hAnsi="仿宋" w:eastAsia="仿宋"/>
          <w:bCs/>
          <w:color w:val="000000"/>
          <w:sz w:val="32"/>
          <w:szCs w:val="32"/>
          <w:lang w:eastAsia="zh-CN"/>
        </w:rPr>
        <w:t>事业</w:t>
      </w:r>
      <w:r>
        <w:rPr>
          <w:rStyle w:val="9"/>
          <w:rFonts w:hint="eastAsia" w:ascii="仿宋" w:hAnsi="仿宋" w:eastAsia="仿宋"/>
          <w:bCs/>
          <w:color w:val="000000"/>
          <w:sz w:val="32"/>
          <w:szCs w:val="32"/>
        </w:rPr>
        <w:t>单位医疗（项）</w:t>
      </w:r>
      <w:r>
        <w:rPr>
          <w:rStyle w:val="9"/>
          <w:rFonts w:hint="eastAsia" w:ascii="仿宋" w:hAnsi="仿宋" w:eastAsia="仿宋"/>
          <w:bCs/>
          <w:color w:val="000000"/>
          <w:sz w:val="32"/>
          <w:szCs w:val="32"/>
          <w:lang w:eastAsia="zh-CN"/>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财政部门安排的事业单位基本医疗保险缴费经费，未参加医疗保险的事业单位的公费医疗经费，按国家规定享受离休人员待遇的医疗经费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15.</w:t>
      </w:r>
      <w:r>
        <w:rPr>
          <w:rStyle w:val="9"/>
          <w:rFonts w:hint="eastAsia" w:ascii="仿宋" w:hAnsi="仿宋" w:eastAsia="仿宋"/>
          <w:bCs/>
          <w:color w:val="000000"/>
          <w:sz w:val="32"/>
          <w:szCs w:val="32"/>
        </w:rPr>
        <w:t>节能环保支出（类）退耕还林（款） 退耕现金</w:t>
      </w:r>
      <w:r>
        <w:rPr>
          <w:rStyle w:val="9"/>
          <w:rFonts w:hint="eastAsia" w:ascii="仿宋" w:hAnsi="仿宋" w:eastAsia="仿宋"/>
          <w:bCs/>
          <w:color w:val="000000"/>
          <w:sz w:val="32"/>
          <w:szCs w:val="32"/>
          <w:lang w:eastAsia="zh-CN"/>
        </w:rPr>
        <w:t>（</w:t>
      </w:r>
      <w:r>
        <w:rPr>
          <w:rStyle w:val="9"/>
          <w:rFonts w:hint="eastAsia" w:ascii="仿宋" w:hAnsi="仿宋" w:eastAsia="仿宋"/>
          <w:bCs/>
          <w:color w:val="000000"/>
          <w:sz w:val="32"/>
          <w:szCs w:val="32"/>
        </w:rPr>
        <w:t>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专项用于退耕户的医疗、教育等日常生活需要的支出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Style w:val="9"/>
          <w:rFonts w:hint="eastAsia" w:ascii="仿宋" w:hAnsi="仿宋" w:eastAsia="仿宋"/>
          <w:bCs/>
          <w:color w:val="000000"/>
          <w:sz w:val="32"/>
          <w:szCs w:val="32"/>
        </w:rPr>
        <w:t>城乡社区支出（类）国有土地使用权出让收入及对应专项债务收入安排的支出（款） 征地和拆迁补偿支出（项）</w:t>
      </w:r>
      <w:r>
        <w:rPr>
          <w:rStyle w:val="9"/>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新疆生产建设兵团和地方政府在征地和收购土地过程中支付的土地补偿费、安置补助费、地上附着和青苗补偿费、拆迁补偿费支出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Style w:val="9"/>
          <w:rFonts w:hint="eastAsia" w:ascii="仿宋" w:hAnsi="仿宋" w:eastAsia="仿宋"/>
          <w:bCs/>
          <w:color w:val="000000"/>
          <w:sz w:val="32"/>
          <w:szCs w:val="32"/>
        </w:rPr>
        <w:t>城乡社区支出（类）国有土地使用权出让收入及对应专项债务收入安排的支出（款） 土地开发支出（项）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新疆生产建设兵团和地方政府用于前期土地开发性支出以及与前期土地开发相关的费用支出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19.</w:t>
      </w:r>
      <w:r>
        <w:rPr>
          <w:rStyle w:val="9"/>
          <w:rFonts w:hint="eastAsia" w:ascii="仿宋" w:hAnsi="仿宋" w:eastAsia="仿宋"/>
          <w:bCs/>
          <w:color w:val="000000"/>
          <w:sz w:val="32"/>
          <w:szCs w:val="32"/>
        </w:rPr>
        <w:t>城乡社区支出（类）国有土地使用权出让收入及对应专项债务收入安排的支出（款） 城市建设支出（项）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土地出让收入用于完善国有土地使用功能的配套设施建设和城市基础设施建设支出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20.</w:t>
      </w:r>
      <w:r>
        <w:rPr>
          <w:rStyle w:val="9"/>
          <w:rFonts w:hint="eastAsia" w:ascii="仿宋" w:hAnsi="仿宋" w:eastAsia="仿宋"/>
          <w:bCs/>
          <w:color w:val="000000"/>
          <w:sz w:val="32"/>
          <w:szCs w:val="32"/>
        </w:rPr>
        <w:t>城乡社区支出（类）国有土地使用权出让收入及对应专项债务收入安排的支出（款）补助被征地农民支出（项）</w:t>
      </w:r>
      <w:r>
        <w:rPr>
          <w:rStyle w:val="9"/>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土地出让收入用于补助被征地农民社保保障支出以及保持被征地农民原有生活水平支出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21.</w:t>
      </w:r>
      <w:r>
        <w:rPr>
          <w:rStyle w:val="9"/>
          <w:rFonts w:hint="eastAsia" w:ascii="仿宋" w:hAnsi="仿宋" w:eastAsia="仿宋"/>
          <w:bCs/>
          <w:color w:val="000000"/>
          <w:sz w:val="32"/>
          <w:szCs w:val="32"/>
        </w:rPr>
        <w:t>城乡社区支出（类）国有土地使用权出让收入及对应专项债务收入安排的支出（款）土地出让业务支出（项）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土地出让收入用于土地出让业务费用的开支</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22.</w:t>
      </w:r>
      <w:r>
        <w:rPr>
          <w:rStyle w:val="9"/>
          <w:rFonts w:hint="eastAsia" w:ascii="仿宋" w:hAnsi="仿宋" w:eastAsia="仿宋"/>
          <w:bCs/>
          <w:color w:val="000000"/>
          <w:sz w:val="32"/>
          <w:szCs w:val="32"/>
        </w:rPr>
        <w:t>城乡社区支出（类）国有土地使用权出让收入及对应专项债务收入安排的支出（款）其他国有土地使用权出让收入安排的支出（项）</w:t>
      </w:r>
      <w:r>
        <w:rPr>
          <w:rStyle w:val="9"/>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土地出让收入用于其他方面的支出，不包括市县级政府当年按规定用土地出让收入向中央和省级政府缴纳的新增用地土地有偿使用费的支出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23.</w:t>
      </w:r>
      <w:r>
        <w:rPr>
          <w:rStyle w:val="9"/>
          <w:rFonts w:hint="eastAsia" w:ascii="仿宋" w:hAnsi="仿宋" w:eastAsia="仿宋"/>
          <w:bCs/>
          <w:color w:val="000000"/>
          <w:sz w:val="32"/>
          <w:szCs w:val="32"/>
        </w:rPr>
        <w:t>城乡社区支出（类）国有土地收益基金及对应专项债务收入安排的支出（款） 土地开发支出（项）</w:t>
      </w:r>
      <w:r>
        <w:rPr>
          <w:rStyle w:val="9"/>
          <w:rFonts w:ascii="仿宋" w:hAnsi="仿宋" w:eastAsia="仿宋"/>
          <w:bCs/>
          <w:color w:val="000000"/>
          <w:sz w:val="32"/>
          <w:szCs w:val="32"/>
        </w:rPr>
        <w:t>:</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从国有土地收益基金中安排用于收购储备土地需要支付的前期土地开发性支出以及与前期土地开发土地相关的费用等支出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24.</w:t>
      </w:r>
      <w:r>
        <w:rPr>
          <w:rStyle w:val="9"/>
          <w:rFonts w:hint="eastAsia" w:ascii="仿宋" w:hAnsi="仿宋" w:eastAsia="仿宋"/>
          <w:bCs/>
          <w:color w:val="000000"/>
          <w:sz w:val="32"/>
          <w:szCs w:val="32"/>
        </w:rPr>
        <w:t>农林水支出（类）林业和草原（款）行政运行（项）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行政单位（包括实行公务员管理的事业单位）的基本支出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25.</w:t>
      </w:r>
      <w:r>
        <w:rPr>
          <w:rStyle w:val="9"/>
          <w:rFonts w:hint="eastAsia" w:ascii="仿宋" w:hAnsi="仿宋" w:eastAsia="仿宋"/>
          <w:bCs/>
          <w:color w:val="000000"/>
          <w:sz w:val="32"/>
          <w:szCs w:val="32"/>
        </w:rPr>
        <w:t>农林水支出（类）林业和草原（款）</w:t>
      </w:r>
      <w:r>
        <w:rPr>
          <w:rStyle w:val="9"/>
          <w:rFonts w:hint="eastAsia" w:ascii="仿宋" w:hAnsi="仿宋" w:eastAsia="仿宋"/>
          <w:bCs/>
          <w:color w:val="000000"/>
          <w:sz w:val="32"/>
          <w:szCs w:val="32"/>
          <w:lang w:eastAsia="zh-CN"/>
        </w:rPr>
        <w:t>事业</w:t>
      </w:r>
      <w:r>
        <w:rPr>
          <w:rStyle w:val="9"/>
          <w:rFonts w:hint="eastAsia" w:ascii="仿宋" w:hAnsi="仿宋" w:eastAsia="仿宋"/>
          <w:bCs/>
          <w:color w:val="000000"/>
          <w:sz w:val="32"/>
          <w:szCs w:val="32"/>
        </w:rPr>
        <w:t>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事业单位的基本支出，不包括行政单位（含实行公务员管理的事业单位）后勤服务中心等附属事业单位的支出</w:t>
      </w:r>
      <w:r>
        <w:rPr>
          <w:rFonts w:hint="eastAsia" w:ascii="仿宋_GB2312" w:eastAsia="仿宋_GB2312"/>
          <w:color w:val="000000"/>
          <w:sz w:val="32"/>
          <w:szCs w:val="32"/>
        </w:rPr>
        <w:t>。</w:t>
      </w:r>
    </w:p>
    <w:p>
      <w:pPr>
        <w:ind w:firstLine="640" w:firstLineChars="200"/>
        <w:rPr>
          <w:rFonts w:hint="eastAsia" w:ascii="仿宋_GB2312" w:eastAsia="仿宋_GB2312"/>
          <w:color w:val="000000"/>
          <w:sz w:val="32"/>
          <w:szCs w:val="32"/>
        </w:rPr>
      </w:pPr>
      <w:r>
        <w:rPr>
          <w:rFonts w:ascii="仿宋_GB2312" w:eastAsia="仿宋_GB2312"/>
          <w:color w:val="000000"/>
          <w:sz w:val="32"/>
          <w:szCs w:val="32"/>
        </w:rPr>
        <w:t>26.</w:t>
      </w:r>
      <w:r>
        <w:rPr>
          <w:rStyle w:val="9"/>
          <w:rFonts w:hint="eastAsia" w:ascii="仿宋" w:hAnsi="仿宋" w:eastAsia="仿宋"/>
          <w:bCs/>
          <w:color w:val="000000"/>
          <w:sz w:val="32"/>
          <w:szCs w:val="32"/>
        </w:rPr>
        <w:t>农林水支出（类）林业和草原（款） 森林培育（项）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Fonts w:hint="eastAsia" w:ascii="仿宋_GB2312" w:eastAsia="仿宋_GB2312"/>
          <w:color w:val="000000"/>
          <w:sz w:val="32"/>
          <w:szCs w:val="32"/>
        </w:rPr>
        <w:t>指</w:t>
      </w:r>
      <w:r>
        <w:rPr>
          <w:rFonts w:hint="eastAsia" w:ascii="仿宋_GB2312" w:eastAsia="仿宋_GB2312"/>
          <w:color w:val="000000"/>
          <w:sz w:val="32"/>
          <w:szCs w:val="32"/>
          <w:lang w:eastAsia="zh-CN"/>
        </w:rPr>
        <w:t>育苗（种）、造林、抚育、退化林修复、义务植树以及生物质能源建设等方面的支出</w:t>
      </w:r>
      <w:r>
        <w:rPr>
          <w:rFonts w:hint="eastAsia" w:ascii="仿宋_GB2312" w:eastAsia="仿宋_GB2312"/>
          <w:color w:val="000000"/>
          <w:sz w:val="32"/>
          <w:szCs w:val="32"/>
        </w:rPr>
        <w:t>。</w:t>
      </w:r>
    </w:p>
    <w:p>
      <w:pPr>
        <w:ind w:firstLine="640" w:firstLineChars="200"/>
        <w:rPr>
          <w:rStyle w:val="9"/>
          <w:rFonts w:hint="eastAsia" w:ascii="仿宋" w:hAnsi="仿宋" w:eastAsia="仿宋"/>
          <w:bCs/>
          <w:color w:val="000000"/>
          <w:sz w:val="32"/>
          <w:szCs w:val="32"/>
          <w:lang w:eastAsia="zh-CN"/>
        </w:rPr>
      </w:pPr>
      <w:r>
        <w:rPr>
          <w:rFonts w:hint="eastAsia" w:ascii="仿宋_GB2312" w:eastAsia="仿宋_GB2312"/>
          <w:color w:val="000000"/>
          <w:sz w:val="32"/>
          <w:szCs w:val="32"/>
          <w:lang w:val="en-US" w:eastAsia="zh-CN"/>
        </w:rPr>
        <w:t>27.</w:t>
      </w:r>
      <w:r>
        <w:rPr>
          <w:rStyle w:val="9"/>
          <w:rFonts w:hint="eastAsia" w:ascii="仿宋" w:hAnsi="仿宋" w:eastAsia="仿宋"/>
          <w:bCs/>
          <w:color w:val="000000"/>
          <w:sz w:val="32"/>
          <w:szCs w:val="32"/>
        </w:rPr>
        <w:t>农林水支出（类）林业和草原（款） 森林生态效益补偿（项）</w:t>
      </w:r>
      <w:r>
        <w:rPr>
          <w:rStyle w:val="9"/>
          <w:rFonts w:ascii="仿宋" w:hAnsi="仿宋" w:eastAsia="仿宋"/>
          <w:bCs/>
          <w:color w:val="000000"/>
          <w:sz w:val="32"/>
          <w:szCs w:val="32"/>
        </w:rPr>
        <w:t>:</w:t>
      </w:r>
      <w:r>
        <w:rPr>
          <w:rStyle w:val="9"/>
          <w:rFonts w:hint="eastAsia" w:ascii="仿宋" w:hAnsi="仿宋" w:eastAsia="仿宋"/>
          <w:bCs/>
          <w:color w:val="000000"/>
          <w:sz w:val="32"/>
          <w:szCs w:val="32"/>
          <w:lang w:eastAsia="zh-CN"/>
        </w:rPr>
        <w:t>指公益林保护管管理等方面的支出。</w:t>
      </w:r>
    </w:p>
    <w:p>
      <w:pPr>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28.</w:t>
      </w:r>
      <w:r>
        <w:rPr>
          <w:rStyle w:val="9"/>
          <w:rFonts w:hint="eastAsia" w:ascii="仿宋" w:hAnsi="仿宋" w:eastAsia="仿宋"/>
          <w:bCs/>
          <w:color w:val="000000"/>
          <w:sz w:val="32"/>
          <w:szCs w:val="32"/>
        </w:rPr>
        <w:t>农林水支出（类）林业和草原（款）防灾减灾（项）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指病虫害等有害生物灾害、野生动物疫病灾害等方面的支出。</w:t>
      </w:r>
    </w:p>
    <w:p>
      <w:pPr>
        <w:ind w:firstLine="640" w:firstLineChars="200"/>
        <w:rPr>
          <w:rStyle w:val="9"/>
          <w:rFonts w:hint="eastAsia" w:ascii="仿宋" w:hAnsi="仿宋" w:eastAsia="仿宋"/>
          <w:b w:val="0"/>
          <w:bCs/>
          <w:color w:val="000000"/>
          <w:sz w:val="32"/>
          <w:szCs w:val="32"/>
          <w:lang w:eastAsia="zh-CN"/>
        </w:rPr>
      </w:pPr>
      <w:r>
        <w:rPr>
          <w:rStyle w:val="9"/>
          <w:rFonts w:hint="eastAsia" w:ascii="仿宋" w:hAnsi="仿宋" w:eastAsia="仿宋"/>
          <w:b w:val="0"/>
          <w:bCs/>
          <w:color w:val="000000"/>
          <w:sz w:val="32"/>
          <w:szCs w:val="32"/>
          <w:lang w:val="en-US" w:eastAsia="zh-CN"/>
        </w:rPr>
        <w:t>29.</w:t>
      </w:r>
      <w:r>
        <w:rPr>
          <w:rStyle w:val="9"/>
          <w:rFonts w:hint="eastAsia" w:ascii="仿宋" w:hAnsi="仿宋" w:eastAsia="仿宋"/>
          <w:bCs/>
          <w:color w:val="000000"/>
          <w:sz w:val="32"/>
          <w:szCs w:val="32"/>
        </w:rPr>
        <w:t>农林水支出（类）林业和草原（款）其他林业和草原支出（项）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批其他用于林业和草原方面的支出。</w:t>
      </w:r>
    </w:p>
    <w:p>
      <w:pPr>
        <w:ind w:firstLine="640" w:firstLineChars="200"/>
        <w:rPr>
          <w:rStyle w:val="9"/>
          <w:rFonts w:hint="eastAsia" w:ascii="仿宋" w:hAnsi="仿宋" w:eastAsia="仿宋"/>
          <w:b w:val="0"/>
          <w:bCs/>
          <w:color w:val="000000"/>
          <w:sz w:val="32"/>
          <w:szCs w:val="32"/>
          <w:lang w:eastAsia="zh-CN"/>
        </w:rPr>
      </w:pPr>
      <w:r>
        <w:rPr>
          <w:rStyle w:val="9"/>
          <w:rFonts w:hint="eastAsia" w:ascii="仿宋" w:hAnsi="仿宋" w:eastAsia="仿宋"/>
          <w:b w:val="0"/>
          <w:bCs/>
          <w:color w:val="000000"/>
          <w:sz w:val="32"/>
          <w:szCs w:val="32"/>
          <w:lang w:val="en-US" w:eastAsia="zh-CN"/>
        </w:rPr>
        <w:t>30.</w:t>
      </w:r>
      <w:r>
        <w:rPr>
          <w:rStyle w:val="9"/>
          <w:rFonts w:hint="eastAsia" w:ascii="仿宋" w:hAnsi="仿宋" w:eastAsia="仿宋"/>
          <w:bCs/>
          <w:color w:val="000000"/>
          <w:sz w:val="32"/>
          <w:szCs w:val="32"/>
        </w:rPr>
        <w:t>农林水支出（类）</w:t>
      </w:r>
      <w:r>
        <w:rPr>
          <w:rStyle w:val="9"/>
          <w:rFonts w:hint="eastAsia" w:ascii="仿宋" w:hAnsi="仿宋" w:eastAsia="仿宋"/>
          <w:bCs/>
          <w:color w:val="000000"/>
          <w:sz w:val="32"/>
          <w:szCs w:val="32"/>
          <w:lang w:eastAsia="zh-CN"/>
        </w:rPr>
        <w:t>扶贫</w:t>
      </w:r>
      <w:r>
        <w:rPr>
          <w:rStyle w:val="9"/>
          <w:rFonts w:hint="eastAsia" w:ascii="仿宋" w:hAnsi="仿宋" w:eastAsia="仿宋"/>
          <w:bCs/>
          <w:color w:val="000000"/>
          <w:sz w:val="32"/>
          <w:szCs w:val="32"/>
        </w:rPr>
        <w:t>（款） 其他扶贫支出（项）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指其他用于扶贫方面的支出。</w:t>
      </w:r>
    </w:p>
    <w:p>
      <w:pPr>
        <w:ind w:firstLine="640" w:firstLineChars="200"/>
        <w:rPr>
          <w:rStyle w:val="9"/>
          <w:rFonts w:hint="eastAsia" w:ascii="仿宋" w:hAnsi="仿宋" w:eastAsia="仿宋"/>
          <w:b w:val="0"/>
          <w:bCs/>
          <w:color w:val="000000"/>
          <w:sz w:val="32"/>
          <w:szCs w:val="32"/>
          <w:lang w:eastAsia="zh-CN"/>
        </w:rPr>
      </w:pPr>
      <w:r>
        <w:rPr>
          <w:rStyle w:val="9"/>
          <w:rFonts w:hint="eastAsia" w:ascii="仿宋" w:hAnsi="仿宋" w:eastAsia="仿宋"/>
          <w:b w:val="0"/>
          <w:bCs/>
          <w:color w:val="000000"/>
          <w:sz w:val="32"/>
          <w:szCs w:val="32"/>
          <w:lang w:val="en-US" w:eastAsia="zh-CN"/>
        </w:rPr>
        <w:t>31.</w:t>
      </w:r>
      <w:r>
        <w:rPr>
          <w:rStyle w:val="9"/>
          <w:rFonts w:hint="eastAsia" w:ascii="仿宋" w:hAnsi="仿宋" w:eastAsia="仿宋"/>
          <w:bCs/>
          <w:color w:val="000000"/>
          <w:sz w:val="32"/>
          <w:szCs w:val="32"/>
        </w:rPr>
        <w:t>农林水支出（类）</w:t>
      </w:r>
      <w:r>
        <w:rPr>
          <w:rStyle w:val="9"/>
          <w:rFonts w:hint="eastAsia" w:ascii="仿宋" w:hAnsi="仿宋" w:eastAsia="仿宋"/>
          <w:bCs/>
          <w:color w:val="000000"/>
          <w:sz w:val="32"/>
          <w:szCs w:val="32"/>
          <w:lang w:eastAsia="zh-CN"/>
        </w:rPr>
        <w:t>其他农林水支出</w:t>
      </w:r>
      <w:r>
        <w:rPr>
          <w:rStyle w:val="9"/>
          <w:rFonts w:hint="eastAsia" w:ascii="仿宋" w:hAnsi="仿宋" w:eastAsia="仿宋"/>
          <w:bCs/>
          <w:color w:val="000000"/>
          <w:sz w:val="32"/>
          <w:szCs w:val="32"/>
        </w:rPr>
        <w:t>（款） 其他农林水支出（项）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指化解债务支出以外用于农林水方面的支出。</w:t>
      </w:r>
    </w:p>
    <w:p>
      <w:pPr>
        <w:ind w:firstLine="640" w:firstLineChars="200"/>
        <w:rPr>
          <w:rFonts w:hint="eastAsia" w:ascii="仿宋_GB2312" w:eastAsia="仿宋_GB2312"/>
          <w:color w:val="000000"/>
          <w:sz w:val="32"/>
          <w:szCs w:val="32"/>
          <w:lang w:eastAsia="zh-CN"/>
        </w:rPr>
      </w:pPr>
      <w:r>
        <w:rPr>
          <w:rStyle w:val="9"/>
          <w:rFonts w:hint="eastAsia" w:ascii="仿宋" w:hAnsi="仿宋" w:eastAsia="仿宋"/>
          <w:b w:val="0"/>
          <w:bCs/>
          <w:color w:val="000000"/>
          <w:sz w:val="32"/>
          <w:szCs w:val="32"/>
          <w:lang w:val="en-US" w:eastAsia="zh-CN"/>
        </w:rPr>
        <w:t>32.</w:t>
      </w:r>
      <w:r>
        <w:rPr>
          <w:rStyle w:val="9"/>
          <w:rFonts w:hint="eastAsia" w:ascii="仿宋" w:hAnsi="仿宋" w:eastAsia="仿宋"/>
          <w:bCs/>
          <w:color w:val="000000"/>
          <w:sz w:val="32"/>
          <w:szCs w:val="32"/>
        </w:rPr>
        <w:t>自然资源海洋气象等支出（类）自然资源事务（款）行政运行（项）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w:t>
      </w:r>
      <w:r>
        <w:rPr>
          <w:rFonts w:hint="eastAsia" w:ascii="仿宋_GB2312" w:eastAsia="仿宋_GB2312"/>
          <w:color w:val="000000"/>
          <w:sz w:val="32"/>
          <w:szCs w:val="32"/>
          <w:lang w:eastAsia="zh-CN"/>
        </w:rPr>
        <w:t>行政单位（包括实行公务员管理的事业单位）的基本支出。</w:t>
      </w:r>
    </w:p>
    <w:p>
      <w:pPr>
        <w:ind w:firstLine="640" w:firstLineChars="200"/>
        <w:rPr>
          <w:rStyle w:val="9"/>
          <w:rFonts w:hint="eastAsia" w:ascii="仿宋" w:hAnsi="仿宋" w:eastAsia="仿宋"/>
          <w:bCs/>
          <w:color w:val="000000"/>
          <w:sz w:val="32"/>
          <w:szCs w:val="32"/>
          <w:lang w:eastAsia="zh-CN"/>
        </w:rPr>
      </w:pPr>
      <w:r>
        <w:rPr>
          <w:rFonts w:hint="eastAsia" w:ascii="仿宋_GB2312" w:eastAsia="仿宋_GB2312"/>
          <w:color w:val="000000"/>
          <w:sz w:val="32"/>
          <w:szCs w:val="32"/>
          <w:lang w:val="en-US" w:eastAsia="zh-CN"/>
        </w:rPr>
        <w:t>33.</w:t>
      </w:r>
      <w:r>
        <w:rPr>
          <w:rStyle w:val="9"/>
          <w:rFonts w:hint="eastAsia" w:ascii="仿宋" w:hAnsi="仿宋" w:eastAsia="仿宋"/>
          <w:bCs/>
          <w:color w:val="000000"/>
          <w:sz w:val="32"/>
          <w:szCs w:val="32"/>
        </w:rPr>
        <w:t>自然资源海洋气象等支出（类）自然资源事务（款） 一般行政管理事务（项）</w:t>
      </w:r>
      <w:r>
        <w:rPr>
          <w:rStyle w:val="9"/>
          <w:rFonts w:ascii="仿宋" w:hAnsi="仿宋" w:eastAsia="仿宋"/>
          <w:bCs/>
          <w:color w:val="000000"/>
          <w:sz w:val="32"/>
          <w:szCs w:val="32"/>
        </w:rPr>
        <w:t>:</w:t>
      </w:r>
      <w:r>
        <w:rPr>
          <w:rStyle w:val="9"/>
          <w:rFonts w:hint="eastAsia" w:ascii="仿宋" w:hAnsi="仿宋" w:eastAsia="仿宋"/>
          <w:bCs/>
          <w:color w:val="000000"/>
          <w:sz w:val="32"/>
          <w:szCs w:val="32"/>
          <w:lang w:eastAsia="zh-CN"/>
        </w:rPr>
        <w:t>指行政单位（包括实行公务员管理的事业单位）未单独设置项级科目的其他项目支出。</w:t>
      </w:r>
    </w:p>
    <w:p>
      <w:pPr>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33.</w:t>
      </w:r>
      <w:r>
        <w:rPr>
          <w:rStyle w:val="9"/>
          <w:rFonts w:hint="eastAsia" w:ascii="仿宋" w:hAnsi="仿宋" w:eastAsia="仿宋"/>
          <w:bCs/>
          <w:color w:val="000000"/>
          <w:sz w:val="32"/>
          <w:szCs w:val="32"/>
        </w:rPr>
        <w:t>自然资源海洋气象等支出（类）自然资源事务（款） 土地资源利用与保护（项）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指自然资源部门土地利用监测、耕地保护、土地分等定级、土地评估等方面的支出。</w:t>
      </w:r>
    </w:p>
    <w:p>
      <w:pPr>
        <w:ind w:firstLine="640" w:firstLineChars="200"/>
        <w:rPr>
          <w:rStyle w:val="9"/>
          <w:rFonts w:hint="eastAsia" w:ascii="仿宋" w:hAnsi="仿宋" w:eastAsia="仿宋"/>
          <w:bCs/>
          <w:color w:val="000000"/>
          <w:sz w:val="32"/>
          <w:szCs w:val="32"/>
          <w:lang w:eastAsia="zh-CN"/>
        </w:rPr>
      </w:pPr>
      <w:r>
        <w:rPr>
          <w:rStyle w:val="9"/>
          <w:rFonts w:hint="eastAsia" w:ascii="仿宋" w:hAnsi="仿宋" w:eastAsia="仿宋"/>
          <w:b w:val="0"/>
          <w:bCs/>
          <w:color w:val="000000"/>
          <w:sz w:val="32"/>
          <w:szCs w:val="32"/>
          <w:lang w:val="en-US" w:eastAsia="zh-CN"/>
        </w:rPr>
        <w:t>34.</w:t>
      </w:r>
      <w:r>
        <w:rPr>
          <w:rStyle w:val="9"/>
          <w:rFonts w:hint="eastAsia" w:ascii="仿宋" w:hAnsi="仿宋" w:eastAsia="仿宋"/>
          <w:bCs/>
          <w:color w:val="000000"/>
          <w:sz w:val="32"/>
          <w:szCs w:val="32"/>
        </w:rPr>
        <w:t>自然资源海洋气象等支出（类）自然资源事务（款） 地质矿产资源利用与保护（项）</w:t>
      </w:r>
      <w:r>
        <w:rPr>
          <w:rStyle w:val="9"/>
          <w:rFonts w:ascii="仿宋" w:hAnsi="仿宋" w:eastAsia="仿宋"/>
          <w:bCs/>
          <w:color w:val="000000"/>
          <w:sz w:val="32"/>
          <w:szCs w:val="32"/>
        </w:rPr>
        <w:t>:</w:t>
      </w:r>
      <w:r>
        <w:rPr>
          <w:rStyle w:val="9"/>
          <w:rFonts w:hint="eastAsia" w:ascii="仿宋" w:hAnsi="仿宋" w:eastAsia="仿宋"/>
          <w:bCs/>
          <w:color w:val="000000"/>
          <w:sz w:val="32"/>
          <w:szCs w:val="32"/>
          <w:lang w:eastAsia="zh-CN"/>
        </w:rPr>
        <w:t>指自然资源部门地质矿产资源、地质环境、地质遗迹等开发、利用、监测、保护等方面的支出。</w:t>
      </w:r>
    </w:p>
    <w:p>
      <w:pPr>
        <w:ind w:firstLine="643" w:firstLineChars="200"/>
        <w:rPr>
          <w:rFonts w:ascii="仿宋_GB2312" w:eastAsia="仿宋_GB2312"/>
          <w:color w:val="000000"/>
          <w:sz w:val="32"/>
          <w:szCs w:val="32"/>
        </w:rPr>
      </w:pPr>
      <w:r>
        <w:rPr>
          <w:rStyle w:val="9"/>
          <w:rFonts w:hint="eastAsia" w:ascii="仿宋" w:hAnsi="仿宋" w:eastAsia="仿宋"/>
          <w:bCs/>
          <w:color w:val="000000"/>
          <w:sz w:val="32"/>
          <w:szCs w:val="32"/>
          <w:lang w:val="en-US" w:eastAsia="zh-CN"/>
        </w:rPr>
        <w:t>35.</w:t>
      </w:r>
      <w:r>
        <w:rPr>
          <w:rStyle w:val="9"/>
          <w:rFonts w:hint="eastAsia" w:ascii="仿宋" w:hAnsi="仿宋" w:eastAsia="仿宋"/>
          <w:bCs/>
          <w:color w:val="000000"/>
          <w:sz w:val="32"/>
          <w:szCs w:val="32"/>
        </w:rPr>
        <w:t>自然资源海洋气象等支出（类）自然资源事务（款）   事业运行（项）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w:t>
      </w:r>
      <w:r>
        <w:rPr>
          <w:rFonts w:hint="eastAsia" w:ascii="仿宋_GB2312" w:eastAsia="仿宋_GB2312"/>
          <w:color w:val="000000"/>
          <w:sz w:val="32"/>
          <w:szCs w:val="32"/>
          <w:lang w:eastAsia="zh-CN"/>
        </w:rPr>
        <w:t>事业单位的基本支出，不包括行政单位（含实行公务员管理的事业单位）后勤服务中心等附属事业单位的支出</w:t>
      </w:r>
      <w:r>
        <w:rPr>
          <w:rFonts w:hint="eastAsia" w:ascii="仿宋_GB2312" w:eastAsia="仿宋_GB2312"/>
          <w:color w:val="000000"/>
          <w:sz w:val="32"/>
          <w:szCs w:val="32"/>
        </w:rPr>
        <w:t>。</w:t>
      </w:r>
    </w:p>
    <w:p>
      <w:pPr>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36.</w:t>
      </w:r>
      <w:r>
        <w:rPr>
          <w:rStyle w:val="9"/>
          <w:rFonts w:hint="eastAsia" w:ascii="仿宋" w:hAnsi="仿宋" w:eastAsia="仿宋"/>
          <w:bCs/>
          <w:color w:val="000000"/>
          <w:sz w:val="32"/>
          <w:szCs w:val="32"/>
        </w:rPr>
        <w:t>自然资源海洋气象等支出（类）自然资源事务（款）   其他自然资源事务支出（项）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指其他用于自然资源事务方面的支出。</w:t>
      </w:r>
    </w:p>
    <w:p>
      <w:pPr>
        <w:ind w:firstLine="640" w:firstLineChars="200"/>
        <w:rPr>
          <w:rStyle w:val="9"/>
          <w:rFonts w:hint="eastAsia" w:ascii="仿宋" w:hAnsi="仿宋" w:eastAsia="仿宋"/>
          <w:bCs/>
          <w:color w:val="000000"/>
          <w:sz w:val="32"/>
          <w:szCs w:val="32"/>
          <w:lang w:eastAsia="zh-CN"/>
        </w:rPr>
      </w:pPr>
      <w:r>
        <w:rPr>
          <w:rStyle w:val="9"/>
          <w:rFonts w:hint="eastAsia" w:ascii="仿宋" w:hAnsi="仿宋" w:eastAsia="仿宋"/>
          <w:b w:val="0"/>
          <w:bCs/>
          <w:color w:val="000000"/>
          <w:sz w:val="32"/>
          <w:szCs w:val="32"/>
          <w:lang w:val="en-US" w:eastAsia="zh-CN"/>
        </w:rPr>
        <w:t>37.</w:t>
      </w:r>
      <w:r>
        <w:rPr>
          <w:rStyle w:val="9"/>
          <w:rFonts w:hint="eastAsia" w:ascii="仿宋" w:hAnsi="仿宋" w:eastAsia="仿宋"/>
          <w:bCs/>
          <w:color w:val="000000"/>
          <w:sz w:val="32"/>
          <w:szCs w:val="32"/>
        </w:rPr>
        <w:t>自然资源海洋气象等支出（类）</w:t>
      </w:r>
      <w:r>
        <w:rPr>
          <w:rStyle w:val="9"/>
          <w:rFonts w:hint="eastAsia" w:ascii="仿宋" w:hAnsi="仿宋" w:eastAsia="仿宋"/>
          <w:bCs/>
          <w:color w:val="000000"/>
          <w:sz w:val="32"/>
          <w:szCs w:val="32"/>
          <w:lang w:eastAsia="zh-CN"/>
        </w:rPr>
        <w:t>其他自然资源海洋气象等支出</w:t>
      </w:r>
      <w:r>
        <w:rPr>
          <w:rStyle w:val="9"/>
          <w:rFonts w:hint="eastAsia" w:ascii="仿宋" w:hAnsi="仿宋" w:eastAsia="仿宋"/>
          <w:bCs/>
          <w:color w:val="000000"/>
          <w:sz w:val="32"/>
          <w:szCs w:val="32"/>
        </w:rPr>
        <w:t>（款）其他自然资源海洋气象等支出（项）</w:t>
      </w:r>
      <w:r>
        <w:rPr>
          <w:rStyle w:val="9"/>
          <w:rFonts w:ascii="仿宋" w:hAnsi="仿宋" w:eastAsia="仿宋"/>
          <w:bCs/>
          <w:color w:val="000000"/>
          <w:sz w:val="32"/>
          <w:szCs w:val="32"/>
        </w:rPr>
        <w:t>:</w:t>
      </w:r>
      <w:r>
        <w:rPr>
          <w:rStyle w:val="9"/>
          <w:rFonts w:hint="eastAsia" w:ascii="仿宋" w:hAnsi="仿宋" w:eastAsia="仿宋"/>
          <w:bCs/>
          <w:color w:val="000000"/>
          <w:sz w:val="32"/>
          <w:szCs w:val="32"/>
          <w:lang w:eastAsia="zh-CN"/>
        </w:rPr>
        <w:t>指其他用于自然资源海洋气象等方面的支出。</w:t>
      </w:r>
    </w:p>
    <w:p>
      <w:pPr>
        <w:ind w:firstLine="643" w:firstLineChars="200"/>
        <w:rPr>
          <w:rStyle w:val="9"/>
          <w:rFonts w:hint="eastAsia" w:ascii="仿宋" w:hAnsi="仿宋" w:eastAsia="仿宋"/>
          <w:b w:val="0"/>
          <w:bCs/>
          <w:color w:val="000000"/>
          <w:sz w:val="32"/>
          <w:szCs w:val="32"/>
          <w:lang w:eastAsia="zh-CN"/>
        </w:rPr>
      </w:pPr>
      <w:r>
        <w:rPr>
          <w:rStyle w:val="9"/>
          <w:rFonts w:hint="eastAsia" w:ascii="仿宋" w:hAnsi="仿宋" w:eastAsia="仿宋"/>
          <w:bCs/>
          <w:color w:val="000000"/>
          <w:sz w:val="32"/>
          <w:szCs w:val="32"/>
          <w:lang w:val="en-US" w:eastAsia="zh-CN"/>
        </w:rPr>
        <w:t>38.</w:t>
      </w:r>
      <w:r>
        <w:rPr>
          <w:rStyle w:val="9"/>
          <w:rFonts w:hint="eastAsia" w:ascii="仿宋" w:hAnsi="仿宋" w:eastAsia="仿宋"/>
          <w:bCs/>
          <w:color w:val="000000"/>
          <w:sz w:val="32"/>
          <w:szCs w:val="32"/>
        </w:rPr>
        <w:t>住房保障支出（类）住房改革支出（款）住房公积金（项）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指行政事业单位按人力资源和社会保障部、财政部规定的基本工资和津贴补贴以及规定比例为职工缴纳的住房公积金。</w:t>
      </w:r>
    </w:p>
    <w:p>
      <w:pPr>
        <w:ind w:firstLine="640" w:firstLineChars="200"/>
        <w:rPr>
          <w:rStyle w:val="9"/>
          <w:rFonts w:hint="eastAsia" w:ascii="仿宋" w:hAnsi="仿宋" w:eastAsia="仿宋"/>
          <w:b w:val="0"/>
          <w:bCs/>
          <w:color w:val="000000"/>
          <w:sz w:val="32"/>
          <w:szCs w:val="32"/>
          <w:lang w:val="en-US" w:eastAsia="zh-CN"/>
        </w:rPr>
      </w:pPr>
      <w:r>
        <w:rPr>
          <w:rStyle w:val="9"/>
          <w:rFonts w:hint="eastAsia" w:ascii="仿宋" w:hAnsi="仿宋" w:eastAsia="仿宋"/>
          <w:b w:val="0"/>
          <w:bCs/>
          <w:color w:val="000000"/>
          <w:sz w:val="32"/>
          <w:szCs w:val="32"/>
          <w:lang w:val="en-US" w:eastAsia="zh-CN"/>
        </w:rPr>
        <w:t>39.</w:t>
      </w:r>
      <w:r>
        <w:rPr>
          <w:rStyle w:val="9"/>
          <w:rFonts w:hint="eastAsia" w:ascii="仿宋" w:hAnsi="仿宋" w:eastAsia="仿宋"/>
          <w:bCs/>
          <w:color w:val="000000"/>
          <w:sz w:val="32"/>
          <w:szCs w:val="32"/>
        </w:rPr>
        <w:t>灾害防治及应急管理支出（类）自然灾害防治（款）地质灾害防治（项）</w:t>
      </w:r>
      <w:r>
        <w:rPr>
          <w:rStyle w:val="9"/>
          <w:rFonts w:ascii="仿宋" w:hAnsi="仿宋" w:eastAsia="仿宋"/>
          <w:bCs/>
          <w:color w:val="000000"/>
          <w:sz w:val="32"/>
          <w:szCs w:val="32"/>
        </w:rPr>
        <w:t>:</w:t>
      </w:r>
      <w:r>
        <w:rPr>
          <w:rStyle w:val="9"/>
          <w:rFonts w:ascii="仿宋" w:hAnsi="仿宋" w:eastAsia="仿宋"/>
          <w:b w:val="0"/>
          <w:bCs/>
          <w:color w:val="000000"/>
          <w:sz w:val="32"/>
          <w:szCs w:val="32"/>
        </w:rPr>
        <w:t xml:space="preserve"> </w:t>
      </w:r>
      <w:r>
        <w:rPr>
          <w:rStyle w:val="9"/>
          <w:rFonts w:hint="eastAsia" w:ascii="仿宋" w:hAnsi="仿宋" w:eastAsia="仿宋"/>
          <w:b w:val="0"/>
          <w:bCs/>
          <w:color w:val="000000"/>
          <w:sz w:val="32"/>
          <w:szCs w:val="32"/>
          <w:lang w:eastAsia="zh-CN"/>
        </w:rPr>
        <w:t>指防治地质灾害方面的支出。</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42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1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4"/>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bookmarkStart w:id="77" w:name="_GoBack"/>
      <w:bookmarkEnd w:id="77"/>
      <w:r>
        <w:rPr>
          <w:rFonts w:hint="eastAsia" w:ascii="仿宋" w:hAnsi="仿宋" w:eastAsia="仿宋"/>
          <w:b/>
          <w:color w:val="000000"/>
          <w:sz w:val="32"/>
          <w:szCs w:val="32"/>
        </w:rPr>
        <w:t>（名词解释部分请根据各部门实际列支情况罗列，并根据本部门职责职能增减名词解释内容。）</w:t>
      </w:r>
    </w:p>
    <w:p>
      <w:pPr>
        <w:pStyle w:val="14"/>
        <w:spacing w:line="560" w:lineRule="exact"/>
        <w:ind w:firstLine="640" w:firstLineChars="200"/>
        <w:rPr>
          <w:rFonts w:hint="eastAsia" w:ascii="仿宋_GB2312" w:eastAsia="仿宋_GB2312"/>
          <w:sz w:val="32"/>
          <w:szCs w:val="32"/>
        </w:rPr>
      </w:pPr>
      <w:bookmarkStart w:id="61" w:name="_Toc15377226"/>
      <w:r>
        <w:rPr>
          <w:rFonts w:hint="eastAsia" w:ascii="仿宋_GB2312" w:eastAsia="仿宋_GB2312"/>
          <w:sz w:val="32"/>
          <w:szCs w:val="32"/>
        </w:rPr>
        <w:t xml:space="preserve">1.财政拨款收入：指省级财政当年拨付的资金。 </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7.社会保障和就业：208-05-04指未实行归口管理的行政单位（包括实行公务员管理的事业单位）开支的离退休支出；208-05-05指机关事业单位实施养老保险制度由单位缴纳的基本养老保险费支出；</w:t>
      </w:r>
      <w:r>
        <w:rPr>
          <w:rFonts w:hint="eastAsia" w:ascii="仿宋_GB2312" w:eastAsia="仿宋_GB2312"/>
          <w:color w:val="000000"/>
          <w:sz w:val="32"/>
          <w:szCs w:val="32"/>
          <w:lang w:val="en-US" w:eastAsia="zh-CN"/>
        </w:rPr>
        <w:t>208-05-06指机关事业单位实施养老保险制度由单位实际缴纳的职业年金支出；</w:t>
      </w:r>
      <w:r>
        <w:rPr>
          <w:rFonts w:hint="eastAsia" w:ascii="仿宋_GB2312" w:eastAsia="仿宋_GB2312"/>
          <w:color w:val="000000"/>
          <w:sz w:val="32"/>
          <w:szCs w:val="32"/>
        </w:rPr>
        <w:t>208-08-99指其他用于优抚方面的支出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8.医疗卫生与计划生育：210-</w:t>
      </w:r>
      <w:r>
        <w:rPr>
          <w:rFonts w:hint="eastAsia" w:ascii="仿宋_GB2312" w:eastAsia="仿宋_GB2312"/>
          <w:color w:val="000000"/>
          <w:sz w:val="32"/>
          <w:szCs w:val="32"/>
          <w:lang w:val="en-US" w:eastAsia="zh-CN"/>
        </w:rPr>
        <w:t>11-01</w:t>
      </w:r>
      <w:r>
        <w:rPr>
          <w:rFonts w:hint="eastAsia" w:ascii="仿宋_GB2312" w:eastAsia="仿宋_GB2312"/>
          <w:color w:val="000000"/>
          <w:sz w:val="32"/>
          <w:szCs w:val="32"/>
        </w:rPr>
        <w:t>指财政部门集中安排的行政单位基本医疗保险缴费经费，未参加医疗保险的行政单位的公费医疗经费</w:t>
      </w:r>
      <w:r>
        <w:rPr>
          <w:rFonts w:hint="eastAsia" w:ascii="仿宋_GB2312" w:eastAsia="仿宋_GB2312"/>
          <w:color w:val="000000"/>
          <w:sz w:val="32"/>
          <w:szCs w:val="32"/>
          <w:lang w:eastAsia="zh-CN"/>
        </w:rPr>
        <w:t>等</w:t>
      </w:r>
      <w:r>
        <w:rPr>
          <w:rFonts w:hint="eastAsia" w:ascii="仿宋_GB2312" w:eastAsia="仿宋_GB2312"/>
          <w:color w:val="000000"/>
          <w:sz w:val="32"/>
          <w:szCs w:val="32"/>
        </w:rPr>
        <w:t>；210-</w:t>
      </w:r>
      <w:r>
        <w:rPr>
          <w:rFonts w:hint="eastAsia" w:ascii="仿宋_GB2312" w:eastAsia="仿宋_GB2312"/>
          <w:color w:val="000000"/>
          <w:sz w:val="32"/>
          <w:szCs w:val="32"/>
          <w:lang w:val="en-US" w:eastAsia="zh-CN"/>
        </w:rPr>
        <w:t>11-02</w:t>
      </w:r>
      <w:r>
        <w:rPr>
          <w:rFonts w:hint="eastAsia" w:ascii="仿宋_GB2312" w:eastAsia="仿宋_GB2312"/>
          <w:color w:val="000000"/>
          <w:sz w:val="32"/>
          <w:szCs w:val="32"/>
        </w:rPr>
        <w:t>指财政部门集中安排的事业单位基本医疗保险缴费经费，未参加医疗保险的事业单位的公费医疗经费，按国家规定享受离休人员待遇人员的医疗经费。</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9、城乡社区支出：212-03-99指其他用于城乡社区公共设施方面的支出；</w:t>
      </w:r>
      <w:r>
        <w:rPr>
          <w:rFonts w:hint="eastAsia" w:ascii="仿宋_GB2312" w:eastAsia="仿宋_GB2312"/>
          <w:color w:val="000000"/>
          <w:sz w:val="32"/>
          <w:szCs w:val="32"/>
        </w:rPr>
        <w:t>212-08-01指地方人民政府在征地和收购土地过程中支付的土地补偿费、安置补助费、地上附着物和青苗补偿费、拆迁补偿费支出；212-08-02指地方人民政府用于前期土地开发性支出以及与前期土地开支相关的费用等支出；212-08-05指土地出让收入用于补助被征地农民社会保障支出以及保持被征地农民原有生活水平支出；212-08-06指土地出让收入用于土地出让业务费用的开支；212-10-02指从国有土地收益基金收入中安排用于收储土地需要支付的前期土地开发性支出以及与前期土地开发相关的费用等支出</w:t>
      </w:r>
      <w:r>
        <w:rPr>
          <w:rFonts w:hint="eastAsia" w:ascii="仿宋_GB2312" w:eastAsia="仿宋_GB2312"/>
          <w:color w:val="000000"/>
          <w:sz w:val="32"/>
          <w:szCs w:val="32"/>
          <w:lang w:eastAsia="zh-CN"/>
        </w:rPr>
        <w:t>。</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10.农林水支出：213-05-99反映其他用于农村（包括国有农场、国有林场）扶贫开发等方面的支出； 213-99-99反映除化解债务支出以外其他用于农林水方面的支出。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国土海洋气象等支出：220-01-01指行政单位（包括实行公务员管理的事业单位）的基本支出；220-01-02指行政单位（包括实行公务员管理的事业单位）未单独设置荐级科目的其他项目支出；212-01-06指国土资源部门土地利用监测、耕地保护、土地分等定级、土地评估等方面的支出；212-01-08指国土资源行业业务管理经费支出，包括行业标准、规程、规范管理、宣传、内部审计、财务监督，行风建设等方面的支出；220-01-11指地质灾害防治项目支出；220-01-1</w:t>
      </w:r>
      <w:r>
        <w:rPr>
          <w:rFonts w:hint="eastAsia" w:ascii="仿宋_GB2312" w:eastAsia="仿宋_GB2312"/>
          <w:color w:val="000000"/>
          <w:sz w:val="32"/>
          <w:szCs w:val="32"/>
          <w:lang w:val="en-US" w:eastAsia="zh-CN"/>
        </w:rPr>
        <w:t>3指用于中国地质调查局开展陆域海域公益性基础地质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r>
        <w:rPr>
          <w:rFonts w:hint="eastAsia" w:ascii="仿宋_GB2312" w:eastAsia="仿宋_GB2312"/>
          <w:color w:val="000000"/>
          <w:sz w:val="32"/>
          <w:szCs w:val="32"/>
        </w:rPr>
        <w:t>；220-01-50指事业单位的基本支出，不包括行政单位（包括实行公务员管理的事业单位）后勤服务中心、医务室等附属事业单位；220-01-99指其他用于国土资源事务方面的支出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220-99-01指其他用于国土海洋气象等方面的支出。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.住房保障支出：221-02-01指行政事业单位按人力资源和社会保障部、财政部规定的基本工资和津贴补贴以及规定比例为职工缴纳的住房公积金。</w:t>
      </w:r>
    </w:p>
    <w:p>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13、债务付息支出：232-04-11指地方政府用于归还其他一般债务利息所发生的支出。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17</w:t>
      </w:r>
      <w:r>
        <w:rPr>
          <w:rFonts w:hint="eastAsia" w:ascii="仿宋_GB2312" w:eastAsia="仿宋_GB2312"/>
          <w:color w:val="000000"/>
          <w:sz w:val="32"/>
          <w:szCs w:val="32"/>
        </w:rPr>
        <w:t xml:space="preserve">.项目支出：指在基本支出之外为完成特定行政任务和事业发展目标所发生的支出。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.经营支出：指事业单位在专业业务活动及其辅助活动之外开展非独立核算经营活动发生的支出。</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9</w:t>
      </w:r>
      <w:r>
        <w:rPr>
          <w:rFonts w:hint="eastAsia" w:ascii="仿宋_GB2312"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4"/>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11"/>
          <w:rFonts w:ascii="黑体" w:hAnsi="黑体" w:eastAsia="黑体"/>
          <w:b w:val="0"/>
        </w:rPr>
      </w:pPr>
      <w:r>
        <w:rPr>
          <w:rFonts w:ascii="宋体"/>
          <w:b/>
          <w:color w:val="000000"/>
          <w:sz w:val="44"/>
          <w:szCs w:val="44"/>
        </w:rPr>
        <w:br w:type="page"/>
      </w:r>
      <w:bookmarkStart w:id="62" w:name="_Toc15396614"/>
      <w:r>
        <w:rPr>
          <w:rFonts w:hint="eastAsia" w:ascii="黑体" w:hAnsi="黑体" w:eastAsia="黑体"/>
          <w:color w:val="000000"/>
          <w:sz w:val="44"/>
          <w:szCs w:val="44"/>
        </w:rPr>
        <w:t>第</w:t>
      </w:r>
      <w:r>
        <w:rPr>
          <w:rStyle w:val="11"/>
          <w:rFonts w:hint="eastAsia" w:ascii="黑体" w:hAnsi="黑体" w:eastAsia="黑体"/>
          <w:b w:val="0"/>
        </w:rPr>
        <w:t>四部分 附件</w:t>
      </w:r>
      <w:bookmarkEnd w:id="62"/>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eastAsia="zh-CN"/>
        </w:rPr>
        <w:t>峨眉山市自然资源</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spacing w:line="600" w:lineRule="exact"/>
        <w:jc w:val="center"/>
        <w:rPr>
          <w:rFonts w:hint="eastAsia" w:ascii="方正小标宋简体" w:hAnsi="宋体" w:eastAsia="方正小标宋简体"/>
          <w:color w:val="000000"/>
          <w:kern w:val="0"/>
          <w:sz w:val="40"/>
          <w:szCs w:val="44"/>
          <w:lang w:val="zh-CN"/>
        </w:rPr>
      </w:pP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ind w:firstLine="800" w:firstLineChars="250"/>
        <w:rPr>
          <w:rFonts w:ascii="仿宋" w:hAnsi="仿宋" w:eastAsia="仿宋"/>
          <w:sz w:val="32"/>
          <w:szCs w:val="32"/>
        </w:rPr>
      </w:pPr>
      <w:r>
        <w:rPr>
          <w:rFonts w:hint="eastAsia" w:ascii="仿宋" w:hAnsi="仿宋" w:eastAsia="仿宋"/>
          <w:sz w:val="32"/>
          <w:szCs w:val="32"/>
          <w:lang w:eastAsia="zh-CN"/>
        </w:rPr>
        <w:t>峨眉山市自然资源局属于行政单位，</w:t>
      </w:r>
      <w:r>
        <w:rPr>
          <w:rFonts w:hint="eastAsia" w:ascii="仿宋" w:hAnsi="仿宋" w:eastAsia="仿宋"/>
          <w:sz w:val="32"/>
          <w:szCs w:val="32"/>
        </w:rPr>
        <w:t>下属二级单位</w:t>
      </w:r>
      <w:r>
        <w:rPr>
          <w:rFonts w:hint="eastAsia" w:ascii="仿宋" w:hAnsi="仿宋" w:eastAsia="仿宋"/>
          <w:sz w:val="32"/>
          <w:szCs w:val="32"/>
          <w:lang w:val="en-US" w:eastAsia="zh-CN"/>
        </w:rPr>
        <w:t>12</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1</w:t>
      </w:r>
      <w:r>
        <w:rPr>
          <w:rFonts w:hint="eastAsia" w:ascii="仿宋" w:hAnsi="仿宋" w:eastAsia="仿宋"/>
          <w:sz w:val="32"/>
          <w:szCs w:val="32"/>
        </w:rPr>
        <w:t>个，其他事业单位</w:t>
      </w:r>
      <w:r>
        <w:rPr>
          <w:rFonts w:hint="eastAsia" w:ascii="仿宋" w:hAnsi="仿宋" w:eastAsia="仿宋"/>
          <w:sz w:val="32"/>
          <w:szCs w:val="32"/>
          <w:lang w:val="en-US" w:eastAsia="zh-CN"/>
        </w:rPr>
        <w:t>11</w:t>
      </w:r>
      <w:r>
        <w:rPr>
          <w:rFonts w:hint="eastAsia" w:ascii="仿宋" w:hAnsi="仿宋" w:eastAsia="仿宋"/>
          <w:sz w:val="32"/>
          <w:szCs w:val="32"/>
        </w:rPr>
        <w:t>个。</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（二）机构职能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1.按照规定杈限，履行全民所有土地、矿产、森林、湿地、水等自然资源资产所有者职责和所有国土空间用途管制职责。拟订全市自然资源和国土空间规划的规范性文件，制定有关政策措施并监督检查执行情况。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2.负责全市自然资源调查监测评价。依照自然资源调查监测评价的指标体系和统计标准，贯彻落实自然资源调查监测评价制度。实施自然资源基础调查、专项调查和监测。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3.负责全市自然资源统一确权登记工作。组织实施各类自然资源和不动产统一确权登记、权籍调查、不动产测绘、争议调处、成果应用的制度、标准、规范。建立健全自然资源和不动产登记信息管理基础平台。</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4.负责全市自然资源资产有偿使用工作。建立全民所有自然资源资产统计制度，负责全民所有自然资源资产核算。</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负责自然资源的合理开发利用。贯彻执行自然资源发展规划和战略，组织实施自然资源开发利用地方标准，建立政府公示自然资源价格体系，组织开展自然资源分等定级价格评估，开展自然资源利用评价考核，指导实施节约集约利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6.负责建立全市空间规划体系并监督实施。推进主体功能区战略和制度，组织编制并监督实施国土空间规划和相关专项规划。   </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7.负责统筹国土空间生态修复。牵头组织编制国土空间生态修复规划并组织实施有关生态修复工程。</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8.负责组织实施最严格的耕地保护制度。牵头实施全市耕地保护政策，负责耕地数量、质量、生态保护。</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9.负责全市地质勘查管理和地质工作。拟订全市地质勘查规划并监督检査执行情况。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10.负责落实综合防灾减灾规划相关要求，组织编制全市地质灾害防治规划、森林火灾防治规划并指导实施。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11.负责全市矿产资源管理工作。负责矿产资源储量管理、矿业权管理。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12.负责测绘地理信息管理工作。负责基础测绘和测行业管理。负责测绘资质资格、质量、信用管理，监督管理地理信息安全和市场秩序。</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13.推动全市自然资源领域科技发展和对外合作。制定并实施全市自然资源领域科技创新发展和人才培养规划、计划组织实施重大科技专项及创新能力建设，推进自然资源信息化和信息资料的公共服务。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14.配合国家、省、乐山市对全市落实党中央、国务院和省委省政府、乐山市委市政府关于自然资源和国土空间规划的重大方针政策、决策部署及法律法规执行情况进行督察。</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15.负责全市森林、湿地资源的监督管理。组织编制并监督执行全市森林采伐限额。</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16.负责监督管理全市荒漠化防治工作。组织开展荒漠调查，组织拟订防沙治沙、石漠化防治及沙化土地封禁保护区建设规划并监督实施，监督管理沙化土地的开发利用，组织沙尘灾害预测预报和应急处置。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17.负责全市陆生野生动植物资源监督管理。</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18.负责监督管理全市各类自然保护地。拟订各类自然保护地规划。负责组织自然遗产的申报和监督管理。负责生物多样性保护相关工作。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19.负责推进全市林业改革相关工作。拟订集体林权制国有林区、国有林场等重大改革意见并监督实施。</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20.拟订全市林业资源优化配置及木材利用政策，组织指导林产品质量监督，指导山区林业综合开发和生态扶贫相关工作，推进全市林竹产业带和产业基地建设。</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21.监督管理全市国有林场基本建设和发展，组织林木种质资源普查，组织建立种质资源库，负责良种选育推广，管理林木种苗经营行为，监管林木种苗质量。</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.监督管理全市林业项目资金和国有资产，提出林业各类预算内投资、市级以上财政性资金安排建议，按本级政府规定权限，核报、核准规划内和年度计划内投资项目。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3</w:t>
      </w:r>
      <w:r>
        <w:rPr>
          <w:rFonts w:hint="eastAsia" w:ascii="仿宋" w:hAnsi="仿宋" w:eastAsia="仿宋" w:cs="仿宋"/>
          <w:sz w:val="32"/>
          <w:szCs w:val="32"/>
        </w:rPr>
        <w:t>.负责职责范围内的安全生产和职业健康、生态环境保护、审批服务便民化等工作。</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4</w:t>
      </w:r>
      <w:r>
        <w:rPr>
          <w:rFonts w:hint="eastAsia" w:ascii="仿宋" w:hAnsi="仿宋" w:eastAsia="仿宋" w:cs="仿宋"/>
          <w:sz w:val="32"/>
          <w:szCs w:val="32"/>
        </w:rPr>
        <w:t>.完成市委、市政府交办的其他工作。</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rPr>
        <w:t>2019</w:t>
      </w:r>
      <w:r>
        <w:rPr>
          <w:rFonts w:hint="eastAsia" w:ascii="仿宋" w:hAnsi="仿宋" w:eastAsia="仿宋" w:cs="仿宋"/>
          <w:color w:val="000000"/>
          <w:kern w:val="0"/>
          <w:sz w:val="32"/>
          <w:szCs w:val="32"/>
          <w:shd w:val="clear" w:color="auto" w:fill="FFFFFF"/>
          <w:lang w:val="zh-CN"/>
        </w:rPr>
        <w:t>年自然资源局共有在编人员7</w:t>
      </w:r>
      <w:r>
        <w:rPr>
          <w:rFonts w:hint="eastAsia" w:ascii="仿宋" w:hAnsi="仿宋" w:eastAsia="仿宋" w:cs="仿宋"/>
          <w:color w:val="000000"/>
          <w:kern w:val="0"/>
          <w:sz w:val="32"/>
          <w:szCs w:val="32"/>
          <w:shd w:val="clear" w:color="auto" w:fill="FFFFFF"/>
          <w:lang w:val="en-US" w:eastAsia="zh-CN"/>
        </w:rPr>
        <w:t>0</w:t>
      </w:r>
      <w:r>
        <w:rPr>
          <w:rFonts w:hint="eastAsia" w:ascii="仿宋" w:hAnsi="仿宋" w:eastAsia="仿宋" w:cs="仿宋"/>
          <w:color w:val="000000"/>
          <w:kern w:val="0"/>
          <w:sz w:val="32"/>
          <w:szCs w:val="32"/>
          <w:shd w:val="clear" w:color="auto" w:fill="FFFFFF"/>
          <w:lang w:val="zh-CN"/>
        </w:rPr>
        <w:t>人，其中：事业人员</w:t>
      </w:r>
      <w:r>
        <w:rPr>
          <w:rFonts w:hint="eastAsia" w:ascii="仿宋" w:hAnsi="仿宋" w:eastAsia="仿宋" w:cs="仿宋"/>
          <w:color w:val="000000"/>
          <w:kern w:val="0"/>
          <w:sz w:val="32"/>
          <w:szCs w:val="32"/>
          <w:shd w:val="clear" w:color="auto" w:fill="FFFFFF"/>
          <w:lang w:val="en-US" w:eastAsia="zh-CN"/>
        </w:rPr>
        <w:t>37</w:t>
      </w:r>
      <w:r>
        <w:rPr>
          <w:rFonts w:hint="eastAsia" w:ascii="仿宋" w:hAnsi="仿宋" w:eastAsia="仿宋" w:cs="仿宋"/>
          <w:color w:val="000000"/>
          <w:kern w:val="0"/>
          <w:sz w:val="32"/>
          <w:szCs w:val="32"/>
          <w:shd w:val="clear" w:color="auto" w:fill="FFFFFF"/>
          <w:lang w:val="zh-CN"/>
        </w:rPr>
        <w:t>人，</w:t>
      </w:r>
      <w:r>
        <w:rPr>
          <w:rFonts w:hint="eastAsia" w:ascii="仿宋" w:hAnsi="仿宋" w:eastAsia="仿宋" w:cs="仿宋"/>
          <w:color w:val="000000"/>
          <w:kern w:val="0"/>
          <w:sz w:val="32"/>
          <w:szCs w:val="32"/>
          <w:shd w:val="clear" w:color="auto" w:fill="FFFFFF"/>
          <w:lang w:val="zh-CN" w:eastAsia="zh-CN"/>
        </w:rPr>
        <w:t>公务员</w:t>
      </w:r>
      <w:r>
        <w:rPr>
          <w:rFonts w:hint="eastAsia" w:ascii="仿宋" w:hAnsi="仿宋" w:eastAsia="仿宋" w:cs="仿宋"/>
          <w:color w:val="000000"/>
          <w:kern w:val="0"/>
          <w:sz w:val="32"/>
          <w:szCs w:val="32"/>
          <w:shd w:val="clear" w:color="auto" w:fill="FFFFFF"/>
          <w:lang w:val="en-US" w:eastAsia="zh-CN"/>
        </w:rPr>
        <w:t>31</w:t>
      </w:r>
      <w:r>
        <w:rPr>
          <w:rFonts w:hint="eastAsia" w:ascii="仿宋" w:hAnsi="仿宋" w:eastAsia="仿宋" w:cs="仿宋"/>
          <w:color w:val="000000"/>
          <w:kern w:val="0"/>
          <w:sz w:val="32"/>
          <w:szCs w:val="32"/>
          <w:shd w:val="clear" w:color="auto" w:fill="FFFFFF"/>
          <w:lang w:val="zh-CN"/>
        </w:rPr>
        <w:t>人，机关工人2人。</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二、部门财政资金收支情况</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9年本年收入合计16174.1万元</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（二）部门财政资金支出情况</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9年本年支出合计16499.99万元</w:t>
      </w:r>
      <w:r>
        <w:rPr>
          <w:rFonts w:hint="eastAsia" w:ascii="仿宋" w:hAnsi="仿宋" w:eastAsia="仿宋" w:cs="仿宋"/>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三、部门整体预算绩效管理情况</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（一）部门预算管理</w:t>
      </w:r>
    </w:p>
    <w:p>
      <w:pPr>
        <w:widowControl/>
        <w:adjustRightInd w:val="0"/>
        <w:snapToGrid w:val="0"/>
        <w:spacing w:line="58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1.预算执行管理情况。</w:t>
      </w:r>
    </w:p>
    <w:p>
      <w:pPr>
        <w:widowControl/>
        <w:adjustRightInd w:val="0"/>
        <w:snapToGrid w:val="0"/>
        <w:spacing w:line="58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全年执行进度同项目特点相关，各项目不完全一致，确保都达到预期目的，项目实施均达到了预期的经济、生态、社会效益。</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（二）结果应用情况</w:t>
      </w:r>
    </w:p>
    <w:p>
      <w:pPr>
        <w:widowControl/>
        <w:adjustRightInd w:val="0"/>
        <w:snapToGrid w:val="0"/>
        <w:spacing w:line="58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部门自评工作开展和评价结果运用情况。按规定开展了项目绩效自评，评价结果将运用到项目申报、资金使用和以后的绩效评价中。</w:t>
      </w:r>
    </w:p>
    <w:p>
      <w:pPr>
        <w:widowControl/>
        <w:adjustRightInd w:val="0"/>
        <w:snapToGrid w:val="0"/>
        <w:spacing w:line="560" w:lineRule="exact"/>
        <w:ind w:firstLine="640" w:firstLineChars="200"/>
        <w:contextualSpacing/>
        <w:jc w:val="left"/>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四、评价结论及建议</w:t>
      </w:r>
    </w:p>
    <w:p>
      <w:pPr>
        <w:widowControl/>
        <w:adjustRightInd w:val="0"/>
        <w:snapToGrid w:val="0"/>
        <w:spacing w:line="58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（一）评价结论。项目资金按规定使用，结果符合预期。</w:t>
      </w:r>
    </w:p>
    <w:p>
      <w:pPr>
        <w:widowControl/>
        <w:adjustRightInd w:val="0"/>
        <w:snapToGrid w:val="0"/>
        <w:spacing w:line="58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（二）存在问题。绩效评价机制尚不健全。</w:t>
      </w:r>
    </w:p>
    <w:p>
      <w:pPr>
        <w:widowControl/>
        <w:adjustRightInd w:val="0"/>
        <w:snapToGrid w:val="0"/>
        <w:spacing w:line="580" w:lineRule="exact"/>
        <w:ind w:firstLine="720"/>
        <w:jc w:val="left"/>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（三）改进建议。加强业务培训，树立绩效意识，加强业务、财务人员的协作、配合。</w:t>
      </w:r>
    </w:p>
    <w:p>
      <w:pPr>
        <w:widowControl/>
        <w:adjustRightInd w:val="0"/>
        <w:snapToGrid w:val="0"/>
        <w:spacing w:line="560" w:lineRule="exact"/>
        <w:ind w:firstLine="420" w:firstLineChars="200"/>
        <w:contextualSpacing/>
        <w:jc w:val="left"/>
        <w:rPr>
          <w:rFonts w:hint="eastAsia" w:ascii="仿宋" w:hAnsi="仿宋" w:eastAsia="仿宋" w:cs="仿宋"/>
          <w:color w:val="000000"/>
          <w:kern w:val="0"/>
          <w:szCs w:val="32"/>
          <w:shd w:val="clear" w:color="auto" w:fill="FFFFFF"/>
          <w:lang w:val="zh-CN"/>
        </w:rPr>
      </w:pP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hint="eastAsia" w:ascii="黑体" w:hAnsi="黑体" w:eastAsia="黑体" w:cs="黑体"/>
          <w:sz w:val="44"/>
          <w:szCs w:val="44"/>
        </w:rPr>
      </w:pPr>
      <w:r>
        <w:rPr>
          <w:rFonts w:hint="eastAsia" w:ascii="黑体" w:hAnsi="黑体" w:eastAsia="黑体" w:cs="黑体"/>
          <w:sz w:val="44"/>
          <w:szCs w:val="44"/>
        </w:rPr>
        <w:t>退还关闭矿山剩余采矿权价款和</w:t>
      </w:r>
    </w:p>
    <w:p>
      <w:pPr>
        <w:spacing w:line="600" w:lineRule="exact"/>
        <w:jc w:val="center"/>
        <w:rPr>
          <w:rFonts w:ascii="方正小标宋简体" w:hAnsi="宋体" w:eastAsia="方正小标宋简体"/>
          <w:color w:val="000000"/>
          <w:kern w:val="0"/>
          <w:sz w:val="44"/>
          <w:szCs w:val="44"/>
          <w:lang w:val="zh-CN"/>
        </w:rPr>
      </w:pPr>
      <w:r>
        <w:rPr>
          <w:rFonts w:hint="eastAsia" w:ascii="黑体" w:hAnsi="黑体" w:eastAsia="黑体" w:cs="黑体"/>
          <w:sz w:val="44"/>
          <w:szCs w:val="44"/>
        </w:rPr>
        <w:t>地质环境治里保证金、奖金项目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一、</w:t>
      </w:r>
      <w:r>
        <w:rPr>
          <w:rFonts w:hint="eastAsia" w:ascii="仿宋" w:hAnsi="仿宋" w:eastAsia="仿宋" w:cs="仿宋"/>
          <w:sz w:val="32"/>
          <w:szCs w:val="32"/>
          <w:lang w:val="zh-CN"/>
        </w:rPr>
        <w:t>项目概况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根据《国务院办公厅转发发展改革委关于加快推进煤矿企业兼并重组若干意见的通知》（国办发〔2010〕46号）、《四川省人民政府关于推进煤矿企业兼并重组的实施意见》（川府发〔2013〕15号）及《关于四川省政策性关闭矿山剩余采矿权价款退款的通知》（川财投〔2014〕5号）文件，原峨眉山市安全生产监督管理局牵头引导峨眉山市龙池镇莲花村柿栗埂煤矿、四川山力能源有限公司苏坡煤矿关闭退出，退还采矿权剩余价款。</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根据峨眉山市依法整治非煤矿山领导小组办公室《关于印发&lt;峨眉山市依法整治非煤矿山实施方案&gt;的通知》（峨整治矿山办〔2017〕1号）要求，2017年度我市共引导20家非煤矿山政策性关闭退出，需退付采矿权剩余价款及支付奖金。</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（一）项目资金申报及批复情况</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按照《关于四川省政策性关闭矿山剩余采矿权价款退款的通知》（川财投〔2014〕5号），各级财政按照采矿权价款分成比例，分批次退付给2家政策性关闭煤矿采矿权剩余价款共计797.73万元。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按照《中共峨眉山市委常委会议&lt;关于对主动申请退出关闭非煤矿山预付部分剩余采矿权价款的实施办法&gt;决定事项通知》（峨委十四届〔2017〕28-6号）和《峨眉山市人民政府关于同意&lt;峨眉山市支付主动申请退出关闭非煤矿山剩余采矿权价款、地质环境恢复治理保证金、奖金的实施方案&gt;的批复》（峨府函〔2017〕67号）。</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（二）项目绩效目标</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共计2家煤矿政策性关闭退出，并退付采矿权剩余价款。</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计划共计20家非煤矿山政策性关闭退出，并退付采矿权剩余价款及支付奖金。</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（三）项目资金申报相符性</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项目申报内容与具体实施内容相符，申报目标合法合规合理可行。</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二、项目实施及管理情况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ab/>
      </w:r>
      <w:r>
        <w:rPr>
          <w:rFonts w:hint="eastAsia" w:ascii="仿宋" w:hAnsi="仿宋" w:eastAsia="仿宋" w:cs="仿宋"/>
          <w:sz w:val="32"/>
          <w:szCs w:val="32"/>
          <w:lang w:val="zh-CN"/>
        </w:rPr>
        <w:t>（一）资金计划、到位及使用情况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1．资金计划及到位。2019年初下达本级资金指标1020万元，本年支付496.8万元，年末指标追减523.2万元。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2．资金使用。2019年1月21日直接支付两笔，分别为44.2万元、5.11万元；2019年3月5日直接支付140.23万元；2019年5月5日直接支付100万元；2019年8月15日直接支付147.26万元；2019年12月19日支付两笔，分别为直接支付50万元、授权支付10万元。本年度合计支付496.8万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（二）项目财务管理情况</w:t>
      </w:r>
    </w:p>
    <w:p>
      <w:pPr>
        <w:adjustRightInd w:val="0"/>
        <w:snapToGrid w:val="0"/>
        <w:spacing w:line="58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资金支付范围、支付标准、支付进度、支付依据等合规合法、与预算相符。财务管理制度健全，严格执行财务管理制度，账务处理及时，会计核算规范。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（三）项目组织实施情况</w:t>
      </w:r>
    </w:p>
    <w:p>
      <w:pPr>
        <w:adjustRightInd w:val="0"/>
        <w:snapToGrid w:val="0"/>
        <w:spacing w:line="58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项目主要由办公室、规划股、工程股组织实施，相关股室按照程序，根据负责的项目进行询价、谈判、采购，严格执行相关法律法规及项目管理制度。</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rPr>
        <w:t>三、项目绩效情况</w:t>
      </w:r>
      <w:r>
        <w:rPr>
          <w:rFonts w:hint="eastAsia" w:ascii="仿宋" w:hAnsi="仿宋" w:eastAsia="仿宋" w:cs="仿宋"/>
          <w:sz w:val="32"/>
          <w:szCs w:val="32"/>
          <w:lang w:val="zh-CN"/>
        </w:rPr>
        <w:tab/>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（一）项目完成情况</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1、2家煤矿已全部完成了政策性关闭退出，采矿许可证均已注销，现已支付2家政策性关闭煤矿采矿权剩余价款797.73万元。</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2、20家非煤矿山已全部完成了政策性关闭退出，采矿许可证均已注销，《峨眉山市矿产资源总体规划（</w:t>
      </w:r>
      <w:r>
        <w:rPr>
          <w:rFonts w:hint="eastAsia" w:ascii="仿宋" w:hAnsi="仿宋" w:eastAsia="仿宋" w:cs="仿宋"/>
          <w:sz w:val="32"/>
          <w:szCs w:val="32"/>
        </w:rPr>
        <w:t>2016-2020年</w:t>
      </w:r>
      <w:r>
        <w:rPr>
          <w:rFonts w:hint="eastAsia" w:ascii="仿宋" w:hAnsi="仿宋" w:eastAsia="仿宋" w:cs="仿宋"/>
          <w:sz w:val="32"/>
          <w:szCs w:val="32"/>
          <w:lang w:val="zh-CN"/>
        </w:rPr>
        <w:t>）》中已无该20家非煤矿山的采矿权设置规划，退出关闭率达到100%。现已支付7家政策性退出关闭非煤矿山奖金共计20万元，已支付</w:t>
      </w:r>
      <w:r>
        <w:rPr>
          <w:rFonts w:hint="eastAsia" w:ascii="仿宋" w:hAnsi="仿宋" w:eastAsia="仿宋" w:cs="仿宋"/>
          <w:sz w:val="32"/>
          <w:szCs w:val="32"/>
        </w:rPr>
        <w:t>6</w:t>
      </w:r>
      <w:r>
        <w:rPr>
          <w:rFonts w:hint="eastAsia" w:ascii="仿宋" w:hAnsi="仿宋" w:eastAsia="仿宋" w:cs="仿宋"/>
          <w:sz w:val="32"/>
          <w:szCs w:val="32"/>
          <w:lang w:val="zh-CN"/>
        </w:rPr>
        <w:t>家政策性退出关闭非煤矿山采矿权剩余价款</w:t>
      </w:r>
      <w:r>
        <w:rPr>
          <w:rFonts w:hint="eastAsia" w:ascii="仿宋" w:hAnsi="仿宋" w:eastAsia="仿宋" w:cs="仿宋"/>
          <w:sz w:val="32"/>
          <w:szCs w:val="32"/>
        </w:rPr>
        <w:t>981.917</w:t>
      </w:r>
      <w:r>
        <w:rPr>
          <w:rFonts w:hint="eastAsia" w:ascii="仿宋" w:hAnsi="仿宋" w:eastAsia="仿宋" w:cs="仿宋"/>
          <w:sz w:val="32"/>
          <w:szCs w:val="32"/>
          <w:lang w:val="zh-CN"/>
        </w:rPr>
        <w:t>万元。</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（二）项目效益情况</w:t>
      </w:r>
    </w:p>
    <w:p>
      <w:pPr>
        <w:adjustRightInd w:val="0"/>
        <w:snapToGrid w:val="0"/>
        <w:spacing w:line="600" w:lineRule="exact"/>
        <w:ind w:firstLine="720"/>
        <w:rPr>
          <w:rFonts w:hint="eastAsia" w:ascii="仿宋" w:hAnsi="仿宋" w:eastAsia="仿宋" w:cs="仿宋"/>
          <w:b/>
          <w:sz w:val="32"/>
          <w:szCs w:val="32"/>
          <w:lang w:val="zh-CN"/>
        </w:rPr>
      </w:pPr>
      <w:r>
        <w:rPr>
          <w:rFonts w:hint="eastAsia" w:ascii="仿宋" w:hAnsi="仿宋" w:eastAsia="仿宋" w:cs="仿宋"/>
          <w:sz w:val="32"/>
          <w:szCs w:val="32"/>
          <w:lang w:val="zh-CN"/>
        </w:rPr>
        <w:t>进一步转变经济发展方式，全面建设宜居宜养休闲旅游城市，全面落实“绿水青山就是金山银山”的发展要求，科学规划布局，严格准入条件，通过整治及政策性关闭退出，促进我市非煤矿山的生产条件达到省、乐山市规定标准，实现了资源合理开发利用、环境有效保护、安全切实保障、产业技术升级。</w:t>
      </w:r>
    </w:p>
    <w:p>
      <w:pPr>
        <w:adjustRightInd w:val="0"/>
        <w:snapToGrid w:val="0"/>
        <w:spacing w:line="600" w:lineRule="exact"/>
        <w:ind w:firstLine="720"/>
        <w:rPr>
          <w:rFonts w:hint="eastAsia" w:ascii="仿宋" w:hAnsi="仿宋" w:eastAsia="仿宋" w:cs="仿宋"/>
          <w:sz w:val="32"/>
          <w:szCs w:val="32"/>
        </w:rPr>
      </w:pPr>
      <w:r>
        <w:rPr>
          <w:rFonts w:hint="eastAsia" w:ascii="仿宋" w:hAnsi="仿宋" w:eastAsia="仿宋" w:cs="仿宋"/>
          <w:sz w:val="32"/>
          <w:szCs w:val="32"/>
        </w:rPr>
        <w:t>四、问题及建议</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（一）存在的问题</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1、财政资金紧张，关闭退出非煤矿山企业申请并完善手续后不能及时将款项拨付到位。</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2、部分非煤矿矿山关闭后，对申请退付采矿权剩余价款及支付奖金的积极性不高，至今未提供相关的申请材料，导致支付奖金与退付采矿权剩余价款的周期较长，难以决算。</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（二）相关建议</w:t>
      </w:r>
    </w:p>
    <w:p>
      <w:pPr>
        <w:adjustRightInd w:val="0"/>
        <w:snapToGrid w:val="0"/>
        <w:spacing w:line="600" w:lineRule="exact"/>
        <w:ind w:firstLine="720"/>
        <w:rPr>
          <w:rFonts w:hint="eastAsia" w:ascii="仿宋" w:hAnsi="仿宋" w:eastAsia="仿宋" w:cs="仿宋"/>
          <w:sz w:val="32"/>
          <w:szCs w:val="32"/>
          <w:lang w:val="zh-CN"/>
        </w:rPr>
      </w:pPr>
      <w:r>
        <w:rPr>
          <w:rFonts w:hint="eastAsia" w:ascii="仿宋" w:hAnsi="仿宋" w:eastAsia="仿宋" w:cs="仿宋"/>
          <w:sz w:val="32"/>
          <w:szCs w:val="32"/>
          <w:lang w:val="zh-CN"/>
        </w:rPr>
        <w:t>根据川财投</w:t>
      </w:r>
      <w:r>
        <w:rPr>
          <w:rFonts w:hint="eastAsia" w:ascii="仿宋" w:hAnsi="仿宋" w:eastAsia="仿宋" w:cs="仿宋"/>
          <w:sz w:val="32"/>
          <w:szCs w:val="32"/>
        </w:rPr>
        <w:t>〔2014〕5号文件规定，因</w:t>
      </w:r>
      <w:r>
        <w:rPr>
          <w:rFonts w:hint="eastAsia" w:ascii="仿宋" w:hAnsi="仿宋" w:eastAsia="仿宋" w:cs="仿宋"/>
          <w:sz w:val="32"/>
          <w:szCs w:val="32"/>
          <w:lang w:val="zh-CN"/>
        </w:rPr>
        <w:t>政策性关闭的2家煤矿退付各级财政采矿权剩余价款797.73万元不应列入非煤矿山整治退付采矿权剩余价款及奖金项目。</w:t>
      </w: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widowControl/>
        <w:jc w:val="left"/>
        <w:rPr>
          <w:rStyle w:val="11"/>
          <w:rFonts w:ascii="黑体" w:hAnsi="黑体" w:eastAsia="黑体"/>
          <w:b w:val="0"/>
        </w:rPr>
      </w:pPr>
    </w:p>
    <w:p>
      <w:pPr>
        <w:spacing w:line="600" w:lineRule="exact"/>
        <w:jc w:val="center"/>
        <w:outlineLvl w:val="0"/>
        <w:rPr>
          <w:rStyle w:val="11"/>
          <w:rFonts w:ascii="黑体" w:hAnsi="黑体" w:eastAsia="黑体"/>
          <w:b w:val="0"/>
        </w:rPr>
      </w:pPr>
    </w:p>
    <w:p>
      <w:pPr>
        <w:spacing w:line="600" w:lineRule="exact"/>
        <w:jc w:val="center"/>
        <w:outlineLvl w:val="0"/>
        <w:rPr>
          <w:rStyle w:val="11"/>
          <w:rFonts w:ascii="黑体" w:hAnsi="黑体" w:eastAsia="黑体"/>
          <w:b w:val="0"/>
        </w:rPr>
      </w:pPr>
    </w:p>
    <w:p>
      <w:pPr>
        <w:spacing w:line="600" w:lineRule="exact"/>
        <w:jc w:val="center"/>
        <w:outlineLvl w:val="0"/>
        <w:rPr>
          <w:rStyle w:val="11"/>
          <w:rFonts w:ascii="黑体" w:hAnsi="黑体" w:eastAsia="黑体"/>
          <w:b w:val="0"/>
        </w:rPr>
      </w:pPr>
      <w:bookmarkStart w:id="63" w:name="_Toc15396618"/>
      <w:r>
        <w:rPr>
          <w:rFonts w:hint="eastAsia" w:ascii="黑体" w:hAnsi="黑体" w:eastAsia="黑体"/>
          <w:color w:val="000000"/>
          <w:sz w:val="44"/>
          <w:szCs w:val="44"/>
        </w:rPr>
        <w:t>第</w:t>
      </w:r>
      <w:r>
        <w:rPr>
          <w:rStyle w:val="11"/>
          <w:rFonts w:hint="eastAsia" w:ascii="黑体" w:hAnsi="黑体" w:eastAsia="黑体"/>
          <w:b w:val="0"/>
        </w:rPr>
        <w:t>五部分 附表</w:t>
      </w:r>
      <w:bookmarkEnd w:id="61"/>
      <w:bookmarkEnd w:id="63"/>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4" w:name="_Toc15396619"/>
      <w:r>
        <w:rPr>
          <w:rFonts w:hint="eastAsia" w:ascii="仿宋" w:hAnsi="仿宋" w:eastAsia="仿宋"/>
          <w:b w:val="0"/>
          <w:color w:val="000000"/>
        </w:rPr>
        <w:t>一、收</w:t>
      </w:r>
      <w:r>
        <w:rPr>
          <w:rStyle w:val="12"/>
          <w:rFonts w:hint="eastAsia" w:ascii="仿宋" w:hAnsi="仿宋" w:eastAsia="仿宋"/>
          <w:b w:val="0"/>
          <w:bCs w:val="0"/>
        </w:rPr>
        <w:t>入支出决算总表</w:t>
      </w:r>
      <w:bookmarkEnd w:id="64"/>
    </w:p>
    <w:p>
      <w:pPr>
        <w:pStyle w:val="3"/>
        <w:rPr>
          <w:rFonts w:ascii="仿宋" w:hAnsi="仿宋" w:eastAsia="仿宋"/>
          <w:color w:val="000000"/>
        </w:rPr>
      </w:pPr>
      <w:bookmarkStart w:id="65" w:name="_Toc15396620"/>
      <w:r>
        <w:rPr>
          <w:rFonts w:hint="eastAsia" w:ascii="仿宋" w:hAnsi="仿宋" w:eastAsia="仿宋"/>
          <w:b w:val="0"/>
          <w:color w:val="000000"/>
        </w:rPr>
        <w:t>二、收</w:t>
      </w:r>
      <w:r>
        <w:rPr>
          <w:rStyle w:val="12"/>
          <w:rFonts w:hint="eastAsia" w:ascii="仿宋" w:hAnsi="仿宋" w:eastAsia="仿宋"/>
          <w:b w:val="0"/>
          <w:bCs w:val="0"/>
        </w:rPr>
        <w:t>入决算表</w:t>
      </w:r>
      <w:bookmarkEnd w:id="65"/>
    </w:p>
    <w:p>
      <w:pPr>
        <w:pStyle w:val="3"/>
        <w:rPr>
          <w:rFonts w:ascii="仿宋" w:hAnsi="仿宋" w:eastAsia="仿宋"/>
          <w:color w:val="000000"/>
        </w:rPr>
      </w:pPr>
      <w:bookmarkStart w:id="66" w:name="_Toc15396621"/>
      <w:r>
        <w:rPr>
          <w:rStyle w:val="12"/>
          <w:rFonts w:hint="eastAsia" w:ascii="仿宋" w:hAnsi="仿宋" w:eastAsia="仿宋"/>
          <w:b w:val="0"/>
          <w:bCs w:val="0"/>
        </w:rPr>
        <w:t>三、</w:t>
      </w:r>
      <w:r>
        <w:rPr>
          <w:rFonts w:hint="eastAsia" w:ascii="仿宋" w:hAnsi="仿宋" w:eastAsia="仿宋"/>
          <w:b w:val="0"/>
          <w:color w:val="000000"/>
        </w:rPr>
        <w:t>支</w:t>
      </w:r>
      <w:r>
        <w:rPr>
          <w:rStyle w:val="12"/>
          <w:rFonts w:hint="eastAsia" w:ascii="仿宋" w:hAnsi="仿宋" w:eastAsia="仿宋"/>
          <w:b w:val="0"/>
          <w:bCs w:val="0"/>
        </w:rPr>
        <w:t>出决算表</w:t>
      </w:r>
      <w:bookmarkEnd w:id="66"/>
    </w:p>
    <w:p>
      <w:pPr>
        <w:pStyle w:val="3"/>
        <w:rPr>
          <w:rFonts w:ascii="仿宋" w:hAnsi="仿宋" w:eastAsia="仿宋"/>
          <w:b w:val="0"/>
          <w:color w:val="000000"/>
        </w:rPr>
      </w:pPr>
      <w:bookmarkStart w:id="67" w:name="_Toc15396622"/>
      <w:r>
        <w:rPr>
          <w:rStyle w:val="12"/>
          <w:rFonts w:hint="eastAsia" w:ascii="仿宋" w:hAnsi="仿宋" w:eastAsia="仿宋"/>
          <w:b w:val="0"/>
          <w:bCs w:val="0"/>
        </w:rPr>
        <w:t>四、</w:t>
      </w:r>
      <w:r>
        <w:rPr>
          <w:rFonts w:hint="eastAsia" w:ascii="仿宋" w:hAnsi="仿宋" w:eastAsia="仿宋"/>
          <w:b w:val="0"/>
          <w:color w:val="000000"/>
        </w:rPr>
        <w:t>财</w:t>
      </w:r>
      <w:r>
        <w:rPr>
          <w:rStyle w:val="12"/>
          <w:rFonts w:hint="eastAsia" w:ascii="仿宋" w:hAnsi="仿宋" w:eastAsia="仿宋"/>
          <w:b w:val="0"/>
          <w:bCs w:val="0"/>
        </w:rPr>
        <w:t>政拨款收入支出决算总表</w:t>
      </w:r>
      <w:bookmarkEnd w:id="67"/>
    </w:p>
    <w:p>
      <w:pPr>
        <w:pStyle w:val="3"/>
        <w:rPr>
          <w:rStyle w:val="12"/>
          <w:rFonts w:ascii="仿宋" w:hAnsi="仿宋" w:eastAsia="仿宋"/>
          <w:b w:val="0"/>
          <w:bCs w:val="0"/>
        </w:rPr>
      </w:pPr>
      <w:bookmarkStart w:id="68" w:name="_Toc15396623"/>
      <w:r>
        <w:rPr>
          <w:rStyle w:val="12"/>
          <w:rFonts w:hint="eastAsia" w:ascii="仿宋" w:hAnsi="仿宋" w:eastAsia="仿宋"/>
          <w:b w:val="0"/>
          <w:bCs w:val="0"/>
        </w:rPr>
        <w:t>五、</w:t>
      </w:r>
      <w:r>
        <w:rPr>
          <w:rFonts w:hint="eastAsia" w:ascii="仿宋" w:hAnsi="仿宋" w:eastAsia="仿宋"/>
          <w:b w:val="0"/>
          <w:color w:val="000000"/>
        </w:rPr>
        <w:t>财</w:t>
      </w:r>
      <w:r>
        <w:rPr>
          <w:rStyle w:val="12"/>
          <w:rFonts w:hint="eastAsia" w:ascii="仿宋" w:hAnsi="仿宋" w:eastAsia="仿宋"/>
          <w:b w:val="0"/>
          <w:bCs w:val="0"/>
        </w:rPr>
        <w:t>政拨款支出决算明细表</w:t>
      </w:r>
      <w:bookmarkEnd w:id="68"/>
      <w:bookmarkStart w:id="69" w:name="_Toc15396624"/>
    </w:p>
    <w:p>
      <w:pPr>
        <w:pStyle w:val="3"/>
        <w:rPr>
          <w:rFonts w:ascii="仿宋" w:hAnsi="仿宋" w:eastAsia="仿宋"/>
          <w:color w:val="000000"/>
        </w:rPr>
      </w:pPr>
      <w:r>
        <w:rPr>
          <w:rStyle w:val="12"/>
          <w:rFonts w:hint="eastAsia" w:ascii="仿宋" w:hAnsi="仿宋" w:eastAsia="仿宋"/>
          <w:b w:val="0"/>
          <w:bCs w:val="0"/>
        </w:rPr>
        <w:t>六、</w:t>
      </w:r>
      <w:r>
        <w:rPr>
          <w:rFonts w:hint="eastAsia" w:ascii="仿宋" w:hAnsi="仿宋" w:eastAsia="仿宋"/>
          <w:b w:val="0"/>
          <w:color w:val="000000"/>
        </w:rPr>
        <w:t>一</w:t>
      </w:r>
      <w:r>
        <w:rPr>
          <w:rStyle w:val="12"/>
          <w:rFonts w:hint="eastAsia" w:ascii="仿宋" w:hAnsi="仿宋" w:eastAsia="仿宋"/>
          <w:b w:val="0"/>
          <w:bCs w:val="0"/>
        </w:rPr>
        <w:t>般公共预算财政拨款支出决算表</w:t>
      </w:r>
      <w:bookmarkEnd w:id="69"/>
    </w:p>
    <w:p>
      <w:pPr>
        <w:pStyle w:val="3"/>
        <w:rPr>
          <w:rFonts w:ascii="仿宋" w:hAnsi="仿宋" w:eastAsia="仿宋"/>
          <w:color w:val="000000"/>
        </w:rPr>
      </w:pPr>
      <w:bookmarkStart w:id="70" w:name="_Toc15396625"/>
      <w:r>
        <w:rPr>
          <w:rStyle w:val="12"/>
          <w:rFonts w:hint="eastAsia" w:ascii="仿宋" w:hAnsi="仿宋" w:eastAsia="仿宋"/>
          <w:b w:val="0"/>
          <w:bCs w:val="0"/>
        </w:rPr>
        <w:t>七、</w:t>
      </w:r>
      <w:r>
        <w:rPr>
          <w:rFonts w:hint="eastAsia" w:ascii="仿宋" w:hAnsi="仿宋" w:eastAsia="仿宋"/>
          <w:b w:val="0"/>
          <w:color w:val="000000"/>
        </w:rPr>
        <w:t>一</w:t>
      </w:r>
      <w:r>
        <w:rPr>
          <w:rStyle w:val="12"/>
          <w:rFonts w:hint="eastAsia" w:ascii="仿宋" w:hAnsi="仿宋" w:eastAsia="仿宋"/>
          <w:b w:val="0"/>
          <w:bCs w:val="0"/>
        </w:rPr>
        <w:t>般公共预算财政拨款支出决算明细表</w:t>
      </w:r>
      <w:bookmarkEnd w:id="70"/>
    </w:p>
    <w:p>
      <w:pPr>
        <w:pStyle w:val="3"/>
        <w:rPr>
          <w:rFonts w:ascii="仿宋" w:hAnsi="仿宋" w:eastAsia="仿宋"/>
          <w:color w:val="000000"/>
        </w:rPr>
      </w:pPr>
      <w:bookmarkStart w:id="71" w:name="_Toc15396626"/>
      <w:r>
        <w:rPr>
          <w:rStyle w:val="12"/>
          <w:rFonts w:hint="eastAsia" w:ascii="仿宋" w:hAnsi="仿宋" w:eastAsia="仿宋"/>
          <w:b w:val="0"/>
          <w:bCs w:val="0"/>
        </w:rPr>
        <w:t>八、</w:t>
      </w:r>
      <w:r>
        <w:rPr>
          <w:rFonts w:hint="eastAsia" w:ascii="仿宋" w:hAnsi="仿宋" w:eastAsia="仿宋"/>
          <w:b w:val="0"/>
          <w:color w:val="000000"/>
        </w:rPr>
        <w:t>一</w:t>
      </w:r>
      <w:r>
        <w:rPr>
          <w:rStyle w:val="12"/>
          <w:rFonts w:hint="eastAsia" w:ascii="仿宋" w:hAnsi="仿宋" w:eastAsia="仿宋"/>
          <w:b w:val="0"/>
          <w:bCs w:val="0"/>
        </w:rPr>
        <w:t>般公共预算财政拨款基本支出决算表</w:t>
      </w:r>
      <w:bookmarkEnd w:id="71"/>
    </w:p>
    <w:p>
      <w:pPr>
        <w:pStyle w:val="3"/>
        <w:rPr>
          <w:rFonts w:ascii="仿宋" w:hAnsi="仿宋" w:eastAsia="仿宋"/>
          <w:color w:val="000000"/>
        </w:rPr>
      </w:pPr>
      <w:bookmarkStart w:id="72" w:name="_Toc15396627"/>
      <w:r>
        <w:rPr>
          <w:rStyle w:val="12"/>
          <w:rFonts w:hint="eastAsia" w:ascii="仿宋" w:hAnsi="仿宋" w:eastAsia="仿宋"/>
          <w:b w:val="0"/>
          <w:bCs w:val="0"/>
        </w:rPr>
        <w:t>九、</w:t>
      </w:r>
      <w:r>
        <w:rPr>
          <w:rFonts w:hint="eastAsia" w:ascii="仿宋" w:hAnsi="仿宋" w:eastAsia="仿宋"/>
          <w:b w:val="0"/>
          <w:color w:val="000000"/>
        </w:rPr>
        <w:t>一</w:t>
      </w:r>
      <w:r>
        <w:rPr>
          <w:rStyle w:val="12"/>
          <w:rFonts w:hint="eastAsia" w:ascii="仿宋" w:hAnsi="仿宋" w:eastAsia="仿宋"/>
          <w:b w:val="0"/>
          <w:bCs w:val="0"/>
        </w:rPr>
        <w:t>般公共预算财政拨款项目支出决算表</w:t>
      </w:r>
      <w:bookmarkEnd w:id="72"/>
    </w:p>
    <w:p>
      <w:pPr>
        <w:pStyle w:val="3"/>
        <w:rPr>
          <w:rFonts w:ascii="仿宋" w:hAnsi="仿宋" w:eastAsia="仿宋"/>
          <w:color w:val="000000"/>
        </w:rPr>
      </w:pPr>
      <w:bookmarkStart w:id="73" w:name="_Toc15396628"/>
      <w:r>
        <w:rPr>
          <w:rStyle w:val="12"/>
          <w:rFonts w:hint="eastAsia" w:ascii="仿宋" w:hAnsi="仿宋" w:eastAsia="仿宋"/>
          <w:b w:val="0"/>
          <w:bCs w:val="0"/>
        </w:rPr>
        <w:t>十、</w:t>
      </w:r>
      <w:r>
        <w:rPr>
          <w:rFonts w:hint="eastAsia" w:ascii="仿宋" w:hAnsi="仿宋" w:eastAsia="仿宋"/>
          <w:b w:val="0"/>
          <w:color w:val="000000"/>
        </w:rPr>
        <w:t>一</w:t>
      </w:r>
      <w:r>
        <w:rPr>
          <w:rStyle w:val="12"/>
          <w:rFonts w:hint="eastAsia" w:ascii="仿宋" w:hAnsi="仿宋" w:eastAsia="仿宋"/>
          <w:b w:val="0"/>
          <w:bCs w:val="0"/>
        </w:rPr>
        <w:t>般公共预算财政拨款“三公”经费支出决算表</w:t>
      </w:r>
      <w:bookmarkEnd w:id="73"/>
    </w:p>
    <w:p>
      <w:pPr>
        <w:pStyle w:val="3"/>
        <w:rPr>
          <w:rFonts w:ascii="仿宋" w:hAnsi="仿宋" w:eastAsia="仿宋"/>
          <w:color w:val="000000"/>
        </w:rPr>
      </w:pPr>
      <w:bookmarkStart w:id="74" w:name="_Toc15396629"/>
      <w:r>
        <w:rPr>
          <w:rStyle w:val="12"/>
          <w:rFonts w:hint="eastAsia" w:ascii="仿宋" w:hAnsi="仿宋" w:eastAsia="仿宋"/>
          <w:b w:val="0"/>
          <w:bCs w:val="0"/>
        </w:rPr>
        <w:t>十一、</w:t>
      </w:r>
      <w:r>
        <w:rPr>
          <w:rFonts w:hint="eastAsia" w:ascii="仿宋" w:hAnsi="仿宋" w:eastAsia="仿宋"/>
          <w:b w:val="0"/>
          <w:color w:val="000000"/>
        </w:rPr>
        <w:t>政</w:t>
      </w:r>
      <w:r>
        <w:rPr>
          <w:rStyle w:val="12"/>
          <w:rFonts w:hint="eastAsia" w:ascii="仿宋" w:hAnsi="仿宋" w:eastAsia="仿宋"/>
          <w:b w:val="0"/>
          <w:bCs w:val="0"/>
        </w:rPr>
        <w:t>府性基金预算财政拨款收入支出决算表</w:t>
      </w:r>
      <w:bookmarkEnd w:id="74"/>
    </w:p>
    <w:p>
      <w:pPr>
        <w:pStyle w:val="3"/>
        <w:rPr>
          <w:rFonts w:ascii="仿宋" w:hAnsi="仿宋" w:eastAsia="仿宋"/>
          <w:color w:val="000000"/>
        </w:rPr>
      </w:pPr>
      <w:bookmarkStart w:id="75" w:name="_Toc15396630"/>
      <w:r>
        <w:rPr>
          <w:rStyle w:val="12"/>
          <w:rFonts w:hint="eastAsia" w:ascii="仿宋" w:hAnsi="仿宋" w:eastAsia="仿宋"/>
          <w:b w:val="0"/>
          <w:bCs w:val="0"/>
        </w:rPr>
        <w:t>十二、</w:t>
      </w:r>
      <w:r>
        <w:rPr>
          <w:rFonts w:hint="eastAsia" w:ascii="仿宋" w:hAnsi="仿宋" w:eastAsia="仿宋"/>
          <w:b w:val="0"/>
          <w:color w:val="000000"/>
        </w:rPr>
        <w:t>政</w:t>
      </w:r>
      <w:r>
        <w:rPr>
          <w:rStyle w:val="12"/>
          <w:rFonts w:hint="eastAsia" w:ascii="仿宋" w:hAnsi="仿宋" w:eastAsia="仿宋"/>
          <w:b w:val="0"/>
          <w:bCs w:val="0"/>
        </w:rPr>
        <w:t>府性基金预算财政拨款“三公”经费支出决算表</w:t>
      </w:r>
      <w:bookmarkEnd w:id="75"/>
    </w:p>
    <w:p>
      <w:pPr>
        <w:pStyle w:val="3"/>
        <w:rPr>
          <w:rFonts w:ascii="仿宋" w:hAnsi="仿宋" w:eastAsia="仿宋"/>
          <w:color w:val="000000" w:themeColor="text1"/>
          <w14:textFill>
            <w14:solidFill>
              <w14:schemeClr w14:val="tx1"/>
            </w14:solidFill>
          </w14:textFill>
        </w:rPr>
      </w:pPr>
      <w:bookmarkStart w:id="76" w:name="_Toc15396631"/>
      <w:r>
        <w:rPr>
          <w:rStyle w:val="12"/>
          <w:rFonts w:hint="eastAsia" w:ascii="仿宋" w:hAnsi="仿宋" w:eastAsia="仿宋"/>
          <w:b w:val="0"/>
          <w:bCs w:val="0"/>
        </w:rPr>
        <w:t>十三、</w:t>
      </w:r>
      <w:r>
        <w:rPr>
          <w:rFonts w:hint="eastAsia" w:ascii="仿宋" w:hAnsi="仿宋" w:eastAsia="仿宋"/>
          <w:b w:val="0"/>
          <w:color w:val="000000"/>
        </w:rPr>
        <w:t>国</w:t>
      </w:r>
      <w:r>
        <w:rPr>
          <w:rStyle w:val="12"/>
          <w:rFonts w:hint="eastAsia" w:ascii="仿宋" w:hAnsi="仿宋" w:eastAsia="仿宋"/>
          <w:b w:val="0"/>
          <w:bCs w:val="0"/>
        </w:rPr>
        <w:t>有资本经营预算支出决算表</w:t>
      </w:r>
      <w:bookmarkEnd w:id="76"/>
    </w:p>
    <w:p>
      <w:pPr>
        <w:rPr>
          <w:rFonts w:hint="eastAsia" w:eastAsia="宋体"/>
          <w:lang w:eastAsia="zh-CN"/>
        </w:rPr>
      </w:pPr>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altName w:val="Calibri"/>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仿宋">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7C8B443"/>
    <w:multiLevelType w:val="singleLevel"/>
    <w:tmpl w:val="37C8B443"/>
    <w:lvl w:ilvl="0" w:tentative="0">
      <w:start w:val="1"/>
      <w:numFmt w:val="decimal"/>
      <w:suff w:val="nothing"/>
      <w:lvlText w:val="（%1）"/>
      <w:lvlJc w:val="left"/>
    </w:lvl>
  </w:abstractNum>
  <w:abstractNum w:abstractNumId="4">
    <w:nsid w:val="5BD79B5B"/>
    <w:multiLevelType w:val="singleLevel"/>
    <w:tmpl w:val="5BD79B5B"/>
    <w:lvl w:ilvl="0" w:tentative="0">
      <w:start w:val="1"/>
      <w:numFmt w:val="decimal"/>
      <w:lvlText w:val="%1."/>
      <w:lvlJc w:val="left"/>
      <w:pPr>
        <w:tabs>
          <w:tab w:val="left" w:pos="312"/>
        </w:tabs>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D4BE7"/>
    <w:rsid w:val="4C6D4BE7"/>
    <w:rsid w:val="5D307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6">
    <w:name w:val="toc 2"/>
    <w:basedOn w:val="1"/>
    <w:next w:val="1"/>
    <w:unhideWhenUsed/>
    <w:qFormat/>
    <w:uiPriority w:val="39"/>
    <w:pPr>
      <w:tabs>
        <w:tab w:val="right" w:leader="dot" w:pos="8296"/>
      </w:tabs>
      <w:ind w:left="420" w:leftChars="200"/>
    </w:pPr>
  </w:style>
  <w:style w:type="character" w:styleId="9">
    <w:name w:val="Strong"/>
    <w:basedOn w:val="8"/>
    <w:qFormat/>
    <w:uiPriority w:val="99"/>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标题 1 Char"/>
    <w:basedOn w:val="8"/>
    <w:link w:val="2"/>
    <w:qFormat/>
    <w:uiPriority w:val="9"/>
    <w:rPr>
      <w:b/>
      <w:bCs/>
      <w:kern w:val="44"/>
      <w:sz w:val="44"/>
      <w:szCs w:val="44"/>
    </w:rPr>
  </w:style>
  <w:style w:type="character" w:customStyle="1" w:styleId="12">
    <w:name w:val="标题 2 Char"/>
    <w:basedOn w:val="8"/>
    <w:link w:val="3"/>
    <w:qFormat/>
    <w:uiPriority w:val="9"/>
    <w:rPr>
      <w:rFonts w:asciiTheme="majorHAnsi" w:hAnsiTheme="majorHAnsi" w:eastAsiaTheme="majorEastAsia" w:cstheme="majorBidi"/>
      <w:b/>
      <w:bCs/>
      <w:sz w:val="32"/>
      <w:szCs w:val="32"/>
    </w:rPr>
  </w:style>
  <w:style w:type="paragraph" w:styleId="13">
    <w:name w:val="List Paragraph"/>
    <w:basedOn w:val="1"/>
    <w:qFormat/>
    <w:uiPriority w:val="34"/>
    <w:pPr>
      <w:ind w:firstLine="420" w:firstLineChars="200"/>
    </w:p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1</a:t>
            </a:r>
            <a:r>
              <a:rPr altLang="en-US"/>
              <a:t>：收、支决算总计变动情况图</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5123.71</c:v>
                </c:pt>
                <c:pt idx="1">
                  <c:v>19439.32</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254758151"/>
        <c:axId val="453520158"/>
      </c:barChart>
      <c:catAx>
        <c:axId val="2547581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3520158"/>
        <c:crosses val="autoZero"/>
        <c:auto val="1"/>
        <c:lblAlgn val="ctr"/>
        <c:lblOffset val="100"/>
        <c:noMultiLvlLbl val="0"/>
      </c:catAx>
      <c:valAx>
        <c:axId val="4535201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75815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a:t>
            </a:r>
            <a:r>
              <a:t>收入决算结构图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收入金额（万元）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elete val="1"/>
          </c:dLbls>
          <c:cat>
            <c:strRef>
              <c:f>Sheet1!$A$2:$A$3</c:f>
              <c:strCache>
                <c:ptCount val="2"/>
                <c:pt idx="0">
                  <c:v>一般公共预算财政拨款收入</c:v>
                </c:pt>
                <c:pt idx="1">
                  <c:v>政府性基金预算财政拨款收入</c:v>
                </c:pt>
              </c:strCache>
            </c:strRef>
          </c:cat>
          <c:val>
            <c:numRef>
              <c:f>Sheet1!$B$2:$B$3</c:f>
              <c:numCache>
                <c:formatCode>#,##0.00</c:formatCode>
                <c:ptCount val="2"/>
                <c:pt idx="0">
                  <c:v>3546.31</c:v>
                </c:pt>
                <c:pt idx="1">
                  <c:v>12627.79</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3</a:t>
            </a:r>
            <a:r>
              <a:rPr altLang="en-US"/>
              <a:t>：</a:t>
            </a:r>
            <a:r>
              <a:t>支出决算结构图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支出金额（万元）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Lbls>
            <c:delete val="1"/>
          </c:dLbls>
          <c:cat>
            <c:strRef>
              <c:f>Sheet1!$A$2:$A$3</c:f>
              <c:strCache>
                <c:ptCount val="2"/>
                <c:pt idx="0">
                  <c:v>基本支出</c:v>
                </c:pt>
                <c:pt idx="1">
                  <c:v>项目支出</c:v>
                </c:pt>
              </c:strCache>
            </c:strRef>
          </c:cat>
          <c:val>
            <c:numRef>
              <c:f>Sheet1!$B$2:$B$3</c:f>
              <c:numCache>
                <c:formatCode>General</c:formatCode>
                <c:ptCount val="2"/>
                <c:pt idx="0">
                  <c:v>1245.64</c:v>
                </c:pt>
                <c:pt idx="1">
                  <c:v>15254.35</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4</a:t>
            </a:r>
            <a:r>
              <a:rPr altLang="en-US"/>
              <a:t>：财政拨款收、支决算总计变动情况</a:t>
            </a:r>
            <a:endParaRPr altLang="en-US"/>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收支总计（万元）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5123.71</c:v>
                </c:pt>
                <c:pt idx="1">
                  <c:v>19439.32</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33485919"/>
        <c:axId val="559114987"/>
      </c:barChart>
      <c:catAx>
        <c:axId val="3348591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9114987"/>
        <c:crosses val="autoZero"/>
        <c:auto val="1"/>
        <c:lblAlgn val="ctr"/>
        <c:lblOffset val="100"/>
        <c:noMultiLvlLbl val="0"/>
      </c:catAx>
      <c:valAx>
        <c:axId val="5591149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4859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一般公共预算财政拨款支出（万元）</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1316.49</c:v>
                </c:pt>
                <c:pt idx="1">
                  <c:v>3346.88</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150"/>
        <c:overlap val="100"/>
        <c:axId val="687592506"/>
        <c:axId val="508982881"/>
      </c:barChart>
      <c:catAx>
        <c:axId val="6875925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8982881"/>
        <c:crosses val="autoZero"/>
        <c:auto val="1"/>
        <c:lblAlgn val="ctr"/>
        <c:lblOffset val="100"/>
        <c:noMultiLvlLbl val="0"/>
      </c:catAx>
      <c:valAx>
        <c:axId val="5089828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75925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6</a:t>
            </a:r>
            <a:r>
              <a:rPr altLang="en-US"/>
              <a:t>：一般公共预算财政拨款支出决算</a:t>
            </a:r>
            <a:endParaRPr altLang="en-US"/>
          </a:p>
        </c:rich>
      </c:tx>
      <c:layout>
        <c:manualLayout>
          <c:xMode val="edge"/>
          <c:yMode val="edge"/>
          <c:x val="0.2605"/>
          <c:y val="0.0425"/>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一般公共预算财政拨款支出（万元）</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Lbls>
            <c:delete val="1"/>
          </c:dLbls>
          <c:cat>
            <c:strRef>
              <c:f>Sheet1!$A$2:$A$9</c:f>
              <c:strCache>
                <c:ptCount val="8"/>
                <c:pt idx="0">
                  <c:v>一般公共服务</c:v>
                </c:pt>
                <c:pt idx="1">
                  <c:v>社会保障和就业</c:v>
                </c:pt>
                <c:pt idx="2">
                  <c:v>卫生健康</c:v>
                </c:pt>
                <c:pt idx="3">
                  <c:v>节能环保</c:v>
                </c:pt>
                <c:pt idx="4">
                  <c:v>农林水</c:v>
                </c:pt>
                <c:pt idx="5">
                  <c:v>自然资源海洋气象</c:v>
                </c:pt>
                <c:pt idx="6">
                  <c:v>住房保障</c:v>
                </c:pt>
                <c:pt idx="7">
                  <c:v>灾害防治及应急管理</c:v>
                </c:pt>
              </c:strCache>
            </c:strRef>
          </c:cat>
          <c:val>
            <c:numRef>
              <c:f>Sheet1!$B$2:$B$9</c:f>
              <c:numCache>
                <c:formatCode>General</c:formatCode>
                <c:ptCount val="8"/>
                <c:pt idx="0">
                  <c:v>11.8</c:v>
                </c:pt>
                <c:pt idx="1">
                  <c:v>118.97</c:v>
                </c:pt>
                <c:pt idx="2">
                  <c:v>28.99</c:v>
                </c:pt>
                <c:pt idx="3">
                  <c:v>1142.29</c:v>
                </c:pt>
                <c:pt idx="4">
                  <c:v>867.53</c:v>
                </c:pt>
                <c:pt idx="5">
                  <c:v>725.9</c:v>
                </c:pt>
                <c:pt idx="6">
                  <c:v>97.48</c:v>
                </c:pt>
                <c:pt idx="7">
                  <c:v>353.92</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7</a:t>
            </a:r>
            <a:r>
              <a:rPr altLang="en-US"/>
              <a:t>：</a:t>
            </a:r>
            <a:r>
              <a:t>三公经费财政拨款支出结构</a:t>
            </a:r>
          </a:p>
        </c:rich>
      </c:tx>
      <c:layout/>
      <c:overlay val="0"/>
      <c:spPr>
        <a:noFill/>
        <a:ln>
          <a:noFill/>
        </a:ln>
        <a:effectLst/>
      </c:spPr>
    </c:title>
    <c:autoTitleDeleted val="0"/>
    <c:view3D>
      <c:rotX val="30"/>
      <c:rotY val="0"/>
      <c:depthPercent val="100"/>
      <c:rAngAx val="0"/>
    </c:view3D>
    <c:plotArea>
      <c:layout/>
      <c:pie3DChart>
        <c:varyColors val="1"/>
        <c:ser>
          <c:idx val="0"/>
          <c:order val="0"/>
          <c:tx>
            <c:strRef>
              <c:f>Sheet1!$B$1</c:f>
              <c:strCache>
                <c:ptCount val="1"/>
                <c:pt idx="0">
                  <c:v>销售额</c:v>
                </c:pt>
              </c:strCache>
            </c:strRef>
          </c:tx>
          <c:spPr>
            <a:scene3d>
              <a:camera prst="orthographicFront"/>
              <a:lightRig rig="threePt" dir="t"/>
            </a:scene3d>
            <a:sp3d contourW="25400"/>
          </c:spPr>
          <c:explosion val="0"/>
          <c:dPt>
            <c:idx val="0"/>
            <c:bubble3D val="0"/>
            <c:spPr>
              <a:solidFill>
                <a:schemeClr val="accent6"/>
              </a:solidFill>
              <a:ln w="25400">
                <a:solidFill>
                  <a:schemeClr val="lt1"/>
                </a:solidFill>
              </a:ln>
              <a:effectLst/>
              <a:scene3d>
                <a:camera prst="orthographicFront"/>
                <a:lightRig rig="threePt" dir="t"/>
              </a:scene3d>
              <a:sp3d contourW="25400"/>
            </c:spPr>
          </c:dPt>
          <c:dPt>
            <c:idx val="1"/>
            <c:bubble3D val="0"/>
            <c:spPr>
              <a:solidFill>
                <a:schemeClr val="accent5"/>
              </a:solidFill>
              <a:ln w="25400">
                <a:solidFill>
                  <a:schemeClr val="lt1"/>
                </a:solidFill>
              </a:ln>
              <a:effectLst/>
              <a:scene3d>
                <a:camera prst="orthographicFront"/>
                <a:lightRig rig="threePt" dir="t"/>
              </a:scene3d>
              <a:sp3d contourW="25400"/>
            </c:spPr>
          </c:dPt>
          <c:dPt>
            <c:idx val="2"/>
            <c:bubble3D val="0"/>
            <c:spPr>
              <a:solidFill>
                <a:schemeClr val="accent4"/>
              </a:solidFill>
              <a:ln w="25400">
                <a:solidFill>
                  <a:schemeClr val="lt1"/>
                </a:solidFill>
              </a:ln>
              <a:effectLst/>
              <a:scene3d>
                <a:camera prst="orthographicFront"/>
                <a:lightRig rig="threePt" dir="t"/>
              </a:scene3d>
              <a:sp3d contourW="25400"/>
            </c:spPr>
          </c:dPt>
          <c:dPt>
            <c:idx val="3"/>
            <c:bubble3D val="0"/>
            <c:spPr>
              <a:solidFill>
                <a:schemeClr val="accent6">
                  <a:lumMod val="60000"/>
                </a:schemeClr>
              </a:solidFill>
              <a:ln w="25400">
                <a:solidFill>
                  <a:schemeClr val="lt1"/>
                </a:solidFill>
              </a:ln>
              <a:effectLst/>
              <a:scene3d>
                <a:camera prst="orthographicFront"/>
                <a:lightRig rig="threePt" dir="t"/>
              </a:scene3d>
              <a:sp3d contourW="25400"/>
            </c:spPr>
          </c:dPt>
          <c:dLbls>
            <c:delete val="1"/>
          </c:dLbls>
          <c:cat>
            <c:strRef>
              <c:f>Sheet1!$A$2:$A$5</c:f>
              <c:strCache>
                <c:ptCount val="4"/>
                <c:pt idx="1">
                  <c:v>因公出国（境）费支出</c:v>
                </c:pt>
                <c:pt idx="2">
                  <c:v>公务用车购置及运行维护费支出</c:v>
                </c:pt>
                <c:pt idx="3">
                  <c:v>公务接待费支出</c:v>
                </c:pt>
              </c:strCache>
            </c:strRef>
          </c:cat>
          <c:val>
            <c:numRef>
              <c:f>Sheet1!$B$2:$B$5</c:f>
              <c:numCache>
                <c:formatCode>General</c:formatCode>
                <c:ptCount val="4"/>
                <c:pt idx="0">
                  <c:v>0</c:v>
                </c:pt>
                <c:pt idx="1">
                  <c:v>0</c:v>
                </c:pt>
                <c:pt idx="2">
                  <c:v>22.17</c:v>
                </c:pt>
                <c:pt idx="3">
                  <c:v>0.79</c:v>
                </c:pt>
              </c:numCache>
            </c:numRef>
          </c:val>
        </c:ser>
        <c:dLbls>
          <c:showLegendKey val="0"/>
          <c:showVal val="0"/>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2020-10-30T06:40:00Z</dcterms:created>
  <dc:creator>Administrator</dc:creator>
  <cp:lastModifiedBy>Administrator</cp:lastModifiedBy>
  <dcterms:modified xsi:type="dcterms:W3CDTF">2020-10-30T08:12:33Z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