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193"/>
      <w:bookmarkStart w:id="2" w:name="_Toc15396597"/>
      <w:bookmarkStart w:id="3" w:name="_Toc15378441"/>
      <w:bookmarkStart w:id="4" w:name="_Toc15377425"/>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Start w:id="6" w:name="_Toc15377426"/>
      <w:bookmarkStart w:id="7" w:name="_Toc15378442"/>
      <w:bookmarkStart w:id="8" w:name="_Toc15377194"/>
      <w:bookmarkStart w:id="9" w:name="_Toc15396598"/>
      <w:bookmarkStart w:id="10" w:name="_Toc15396476"/>
      <w:bookmarkStart w:id="11" w:name="_Toc15306268"/>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eastAsia="zh-CN"/>
        </w:rPr>
        <w:t>政协峨眉山市委员会</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line="600" w:lineRule="exact"/>
        <w:ind w:firstLine="672" w:firstLineChars="21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政协峨眉山市委员会办公室</w:t>
      </w:r>
      <w:r>
        <w:rPr>
          <w:rFonts w:hint="eastAsia" w:ascii="仿宋" w:hAnsi="仿宋" w:eastAsia="仿宋"/>
          <w:bCs/>
          <w:color w:val="000000"/>
          <w:sz w:val="32"/>
          <w:szCs w:val="32"/>
        </w:rPr>
        <w:t>是政协峨眉山市委员会的办事</w:t>
      </w:r>
      <w:r>
        <w:rPr>
          <w:rFonts w:hint="eastAsia" w:ascii="仿宋" w:hAnsi="仿宋" w:eastAsia="仿宋"/>
          <w:bCs/>
          <w:color w:val="000000"/>
          <w:sz w:val="32"/>
          <w:szCs w:val="32"/>
          <w:lang w:eastAsia="zh-CN"/>
        </w:rPr>
        <w:t>机</w:t>
      </w:r>
      <w:r>
        <w:rPr>
          <w:rFonts w:hint="eastAsia" w:ascii="仿宋" w:hAnsi="仿宋" w:eastAsia="仿宋"/>
          <w:bCs/>
          <w:color w:val="000000"/>
          <w:sz w:val="32"/>
          <w:szCs w:val="32"/>
        </w:rPr>
        <w:t>构，承担为政协峨眉山市委员会履行职能的服务工作。主要是负责政协峨眉山市委员会全体会议、常委会议、主席会议和其它重要会议的筹备服务工作并执行会议的决定、决议；负责委员视察、调研、座谈等活动的服务</w:t>
      </w:r>
      <w:r>
        <w:rPr>
          <w:rFonts w:hint="eastAsia" w:ascii="仿宋" w:hAnsi="仿宋" w:eastAsia="仿宋"/>
          <w:bCs/>
          <w:color w:val="000000"/>
          <w:sz w:val="32"/>
          <w:szCs w:val="32"/>
          <w:lang w:eastAsia="zh-CN"/>
        </w:rPr>
        <w:t>工作</w:t>
      </w:r>
      <w:r>
        <w:rPr>
          <w:rFonts w:hint="eastAsia" w:ascii="仿宋" w:hAnsi="仿宋" w:eastAsia="仿宋"/>
          <w:bCs/>
          <w:color w:val="000000"/>
          <w:sz w:val="32"/>
          <w:szCs w:val="32"/>
        </w:rPr>
        <w:t>以及专委会其它工作的服务</w:t>
      </w:r>
      <w:r>
        <w:rPr>
          <w:rFonts w:hint="eastAsia" w:ascii="仿宋" w:hAnsi="仿宋" w:eastAsia="仿宋"/>
          <w:bCs/>
          <w:color w:val="000000"/>
          <w:sz w:val="32"/>
          <w:szCs w:val="32"/>
          <w:lang w:eastAsia="zh-CN"/>
        </w:rPr>
        <w:t>工作</w:t>
      </w:r>
      <w:r>
        <w:rPr>
          <w:rFonts w:hint="eastAsia" w:ascii="仿宋" w:hAnsi="仿宋" w:eastAsia="仿宋"/>
          <w:bCs/>
          <w:color w:val="000000"/>
          <w:sz w:val="32"/>
          <w:szCs w:val="32"/>
        </w:rPr>
        <w:t>；负责收集政协提案，并做好提案办理的服务工作等。</w:t>
      </w:r>
    </w:p>
    <w:p>
      <w:pPr>
        <w:pStyle w:val="5"/>
        <w:adjustRightInd w:val="0"/>
        <w:snapToGrid w:val="0"/>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1、精心组织召开了</w:t>
      </w:r>
      <w:r>
        <w:rPr>
          <w:rFonts w:hint="eastAsia" w:ascii="仿宋" w:hAnsi="仿宋" w:eastAsia="仿宋"/>
          <w:bCs/>
          <w:color w:val="000000"/>
          <w:sz w:val="32"/>
          <w:szCs w:val="32"/>
        </w:rPr>
        <w:t>市</w:t>
      </w:r>
      <w:r>
        <w:rPr>
          <w:rFonts w:hint="eastAsia" w:ascii="仿宋" w:hAnsi="仿宋" w:eastAsia="仿宋"/>
          <w:bCs/>
          <w:color w:val="000000"/>
          <w:sz w:val="32"/>
          <w:szCs w:val="32"/>
          <w:lang w:eastAsia="zh-CN"/>
        </w:rPr>
        <w:t>政协</w:t>
      </w:r>
      <w:r>
        <w:rPr>
          <w:rFonts w:hint="eastAsia" w:ascii="仿宋" w:hAnsi="仿宋" w:eastAsia="仿宋"/>
          <w:bCs/>
          <w:color w:val="000000"/>
          <w:sz w:val="32"/>
          <w:szCs w:val="32"/>
        </w:rPr>
        <w:t>十四届</w:t>
      </w:r>
      <w:r>
        <w:rPr>
          <w:rFonts w:hint="eastAsia" w:ascii="仿宋" w:hAnsi="仿宋" w:eastAsia="仿宋"/>
          <w:bCs/>
          <w:color w:val="000000"/>
          <w:sz w:val="32"/>
          <w:szCs w:val="32"/>
          <w:lang w:eastAsia="zh-CN"/>
        </w:rPr>
        <w:t>四</w:t>
      </w:r>
      <w:r>
        <w:rPr>
          <w:rFonts w:hint="eastAsia" w:ascii="仿宋" w:hAnsi="仿宋" w:eastAsia="仿宋"/>
          <w:bCs/>
          <w:color w:val="000000"/>
          <w:sz w:val="32"/>
          <w:szCs w:val="32"/>
        </w:rPr>
        <w:t>次全会和</w:t>
      </w:r>
      <w:r>
        <w:rPr>
          <w:rFonts w:hint="eastAsia" w:ascii="仿宋" w:hAnsi="仿宋" w:eastAsia="仿宋"/>
          <w:bCs/>
          <w:color w:val="000000"/>
          <w:sz w:val="32"/>
          <w:szCs w:val="32"/>
          <w:lang w:eastAsia="zh-CN"/>
        </w:rPr>
        <w:t>四次</w:t>
      </w:r>
      <w:r>
        <w:rPr>
          <w:rFonts w:hint="eastAsia" w:ascii="仿宋" w:hAnsi="仿宋" w:eastAsia="仿宋"/>
          <w:bCs/>
          <w:color w:val="000000"/>
          <w:sz w:val="32"/>
          <w:szCs w:val="32"/>
        </w:rPr>
        <w:t>常委会议</w:t>
      </w:r>
      <w:r>
        <w:rPr>
          <w:rFonts w:hint="eastAsia" w:ascii="仿宋" w:hAnsi="仿宋" w:eastAsia="仿宋"/>
          <w:bCs/>
          <w:color w:val="000000"/>
          <w:sz w:val="32"/>
          <w:szCs w:val="32"/>
          <w:lang w:eastAsia="zh-CN"/>
        </w:rPr>
        <w:t>。</w:t>
      </w:r>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2、围绕市委、市政府重点工作，组织政协委员开展专题视察调研</w:t>
      </w:r>
      <w:r>
        <w:rPr>
          <w:rFonts w:hint="eastAsia" w:ascii="仿宋" w:hAnsi="仿宋" w:eastAsia="仿宋"/>
          <w:bCs/>
          <w:color w:val="000000"/>
          <w:sz w:val="32"/>
          <w:szCs w:val="32"/>
          <w:lang w:val="en-US" w:eastAsia="zh-CN"/>
        </w:rPr>
        <w:t>30余次</w:t>
      </w:r>
      <w:r>
        <w:rPr>
          <w:rFonts w:hint="eastAsia" w:ascii="仿宋" w:hAnsi="仿宋" w:eastAsia="仿宋"/>
          <w:bCs/>
          <w:color w:val="000000"/>
          <w:sz w:val="32"/>
          <w:szCs w:val="32"/>
          <w:lang w:eastAsia="zh-CN"/>
        </w:rPr>
        <w:t>，开展各类协商</w:t>
      </w:r>
      <w:r>
        <w:rPr>
          <w:rFonts w:hint="eastAsia" w:ascii="仿宋" w:hAnsi="仿宋" w:eastAsia="仿宋"/>
          <w:bCs/>
          <w:color w:val="000000"/>
          <w:sz w:val="32"/>
          <w:szCs w:val="32"/>
          <w:lang w:val="en-US" w:eastAsia="zh-CN"/>
        </w:rPr>
        <w:t>11次，资政建言200余条。</w:t>
      </w:r>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3、收集政协委员提案</w:t>
      </w:r>
      <w:r>
        <w:rPr>
          <w:rFonts w:hint="eastAsia" w:ascii="仿宋" w:hAnsi="仿宋" w:eastAsia="仿宋"/>
          <w:bCs/>
          <w:color w:val="000000"/>
          <w:sz w:val="32"/>
          <w:szCs w:val="32"/>
          <w:lang w:val="en-US" w:eastAsia="zh-CN"/>
        </w:rPr>
        <w:t>81</w:t>
      </w:r>
      <w:r>
        <w:rPr>
          <w:rFonts w:hint="eastAsia" w:ascii="仿宋" w:hAnsi="仿宋" w:eastAsia="仿宋"/>
          <w:bCs/>
          <w:color w:val="000000"/>
          <w:sz w:val="32"/>
          <w:szCs w:val="32"/>
          <w:lang w:eastAsia="zh-CN"/>
        </w:rPr>
        <w:t>件，经提案委员会审查立案</w:t>
      </w:r>
      <w:r>
        <w:rPr>
          <w:rFonts w:hint="eastAsia" w:ascii="仿宋" w:hAnsi="仿宋" w:eastAsia="仿宋"/>
          <w:bCs/>
          <w:color w:val="000000"/>
          <w:sz w:val="32"/>
          <w:szCs w:val="32"/>
          <w:lang w:val="en-US" w:eastAsia="zh-CN"/>
        </w:rPr>
        <w:t>58</w:t>
      </w:r>
      <w:r>
        <w:rPr>
          <w:rFonts w:hint="eastAsia" w:ascii="仿宋" w:hAnsi="仿宋" w:eastAsia="仿宋"/>
          <w:bCs/>
          <w:color w:val="000000"/>
          <w:sz w:val="32"/>
          <w:szCs w:val="32"/>
          <w:lang w:eastAsia="zh-CN"/>
        </w:rPr>
        <w:t>件（合并提案</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lang w:eastAsia="zh-CN"/>
        </w:rPr>
        <w:t>件，集体提案</w:t>
      </w:r>
      <w:r>
        <w:rPr>
          <w:rFonts w:hint="eastAsia" w:ascii="仿宋" w:hAnsi="仿宋" w:eastAsia="仿宋"/>
          <w:bCs/>
          <w:color w:val="000000"/>
          <w:sz w:val="32"/>
          <w:szCs w:val="32"/>
          <w:lang w:val="en-US" w:eastAsia="zh-CN"/>
        </w:rPr>
        <w:t>3件），</w:t>
      </w:r>
      <w:r>
        <w:rPr>
          <w:rFonts w:hint="eastAsia" w:ascii="仿宋" w:hAnsi="仿宋" w:eastAsia="仿宋"/>
          <w:bCs/>
          <w:color w:val="000000"/>
          <w:sz w:val="32"/>
          <w:szCs w:val="32"/>
          <w:lang w:eastAsia="zh-CN"/>
        </w:rPr>
        <w:t>立案率7</w:t>
      </w:r>
      <w:r>
        <w:rPr>
          <w:rFonts w:hint="eastAsia" w:ascii="仿宋" w:hAnsi="仿宋" w:eastAsia="仿宋"/>
          <w:bCs/>
          <w:color w:val="000000"/>
          <w:sz w:val="32"/>
          <w:szCs w:val="32"/>
          <w:lang w:val="en-US" w:eastAsia="zh-CN"/>
        </w:rPr>
        <w:t>6.5</w:t>
      </w:r>
      <w:r>
        <w:rPr>
          <w:rFonts w:hint="eastAsia" w:ascii="仿宋" w:hAnsi="仿宋" w:eastAsia="仿宋"/>
          <w:bCs/>
          <w:color w:val="000000"/>
          <w:sz w:val="32"/>
          <w:szCs w:val="32"/>
          <w:lang w:eastAsia="zh-CN"/>
        </w:rPr>
        <w:t>%。其中，市级各民主党派、工商联提案4</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lang w:eastAsia="zh-CN"/>
        </w:rPr>
        <w:t>件，中共党员提案</w:t>
      </w:r>
      <w:r>
        <w:rPr>
          <w:rFonts w:hint="eastAsia" w:ascii="仿宋" w:hAnsi="仿宋" w:eastAsia="仿宋"/>
          <w:bCs/>
          <w:color w:val="000000"/>
          <w:sz w:val="32"/>
          <w:szCs w:val="32"/>
          <w:lang w:val="en-US" w:eastAsia="zh-CN"/>
        </w:rPr>
        <w:t>10</w:t>
      </w:r>
      <w:r>
        <w:rPr>
          <w:rFonts w:hint="eastAsia" w:ascii="仿宋" w:hAnsi="仿宋" w:eastAsia="仿宋"/>
          <w:bCs/>
          <w:color w:val="000000"/>
          <w:sz w:val="32"/>
          <w:szCs w:val="32"/>
          <w:lang w:eastAsia="zh-CN"/>
        </w:rPr>
        <w:t>件，其他提案</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lang w:eastAsia="zh-CN"/>
        </w:rPr>
        <w:t>件。对于不立案的</w:t>
      </w:r>
      <w:r>
        <w:rPr>
          <w:rFonts w:hint="eastAsia" w:ascii="仿宋" w:hAnsi="仿宋" w:eastAsia="仿宋"/>
          <w:bCs/>
          <w:color w:val="000000"/>
          <w:sz w:val="32"/>
          <w:szCs w:val="32"/>
          <w:lang w:val="en-US" w:eastAsia="zh-CN"/>
        </w:rPr>
        <w:t>19</w:t>
      </w:r>
      <w:r>
        <w:rPr>
          <w:rFonts w:hint="eastAsia" w:ascii="仿宋" w:hAnsi="仿宋" w:eastAsia="仿宋"/>
          <w:bCs/>
          <w:color w:val="000000"/>
          <w:sz w:val="32"/>
          <w:szCs w:val="32"/>
          <w:lang w:eastAsia="zh-CN"/>
        </w:rPr>
        <w:t>件提案分别与委员进行了面对面的沟通，说明了未立案的原因，其中</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lang w:eastAsia="zh-CN"/>
        </w:rPr>
        <w:t>件作为社情民意转交给了相关部门作工作参考。</w:t>
      </w:r>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4、编辑出版了《峨眉文史》、《历代名人与峨眉山》（中册）。</w:t>
      </w:r>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lang w:eastAsia="zh-CN"/>
        </w:rPr>
        <w:t>、认真开展精准扶贫、“大走访、大调研、大服务”和“双创”工作。</w:t>
      </w:r>
    </w:p>
    <w:p>
      <w:pPr>
        <w:pStyle w:val="5"/>
        <w:numPr>
          <w:ilvl w:val="0"/>
          <w:numId w:val="0"/>
        </w:numPr>
        <w:tabs>
          <w:tab w:val="left" w:pos="583"/>
        </w:tabs>
        <w:adjustRightInd w:val="0"/>
        <w:snapToGrid w:val="0"/>
        <w:spacing w:line="600" w:lineRule="exact"/>
        <w:rPr>
          <w:rStyle w:val="25"/>
          <w:rFonts w:hint="eastAsia" w:ascii="黑体" w:hAnsi="黑体" w:eastAsia="黑体"/>
          <w:b w:val="0"/>
          <w:bCs w:val="0"/>
        </w:rPr>
      </w:pPr>
      <w:bookmarkStart w:id="20" w:name="_Toc15396601"/>
      <w:bookmarkStart w:id="21" w:name="_Toc15377200"/>
      <w:r>
        <w:rPr>
          <w:rFonts w:hint="eastAsia" w:ascii="黑体" w:hAnsi="黑体" w:eastAsia="黑体"/>
          <w:b w:val="0"/>
          <w:color w:val="000000"/>
          <w:lang w:eastAsia="zh-CN"/>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5"/>
        <w:adjustRightInd w:val="0"/>
        <w:snapToGrid w:val="0"/>
        <w:spacing w:line="600" w:lineRule="exact"/>
        <w:ind w:firstLine="672" w:firstLineChars="210"/>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峨眉山市政协办下属二级单位0个，其中行政单位0个，参照公务员法管理的事业单位0个，其他事业单位0个。</w:t>
      </w:r>
    </w:p>
    <w:p>
      <w:pPr>
        <w:pStyle w:val="3"/>
        <w:rPr>
          <w:rStyle w:val="25"/>
          <w:b w:val="0"/>
          <w:bCs w:val="0"/>
        </w:rPr>
      </w:pPr>
    </w:p>
    <w:p>
      <w:pPr>
        <w:ind w:firstLine="800" w:firstLineChars="250"/>
        <w:rPr>
          <w:rFonts w:ascii="仿宋" w:hAnsi="仿宋" w:eastAsia="仿宋"/>
          <w:sz w:val="32"/>
          <w:szCs w:val="32"/>
        </w:rPr>
      </w:pPr>
    </w:p>
    <w:p>
      <w:pPr>
        <w:ind w:firstLine="800" w:firstLineChars="250"/>
        <w:rPr>
          <w:rFonts w:ascii="仿宋" w:hAnsi="仿宋" w:eastAsia="仿宋"/>
          <w:sz w:val="32"/>
          <w:szCs w:val="32"/>
        </w:rPr>
      </w:pP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2019年度收入总计993.12万元，与2018年收入总计1049.06万元相比，减少了55.94万元，下降了5.33%，原因为增加了主题教育、远程教育等内容；2019年度支出总计996.43万元，与2018年支出总计1038.32万元相比，减少了41.89万元，下降了4.03%，原因为人员减少。</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9年本年收入合计993.12万元，其中：一般公共预算财政拨款收入988.12万元，占总收入的99.50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 5.00万元，占总收入的0.50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9年本年支出合计996.43万元，其中：基本支出784.16万元，占总支出的78.70</w:t>
      </w:r>
      <w:r>
        <w:rPr>
          <w:rFonts w:ascii="仿宋" w:hAnsi="仿宋" w:eastAsia="仿宋"/>
          <w:color w:val="000000"/>
          <w:sz w:val="32"/>
          <w:szCs w:val="32"/>
        </w:rPr>
        <w:t>%</w:t>
      </w:r>
      <w:r>
        <w:rPr>
          <w:rFonts w:hint="eastAsia" w:ascii="仿宋" w:hAnsi="仿宋" w:eastAsia="仿宋"/>
          <w:color w:val="000000"/>
          <w:sz w:val="32"/>
          <w:szCs w:val="32"/>
        </w:rPr>
        <w:t>；项目支出212.27万元，占总支出的21.30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9年财政拨款收入总计993.12万元，与2018年财政拨款收入总计1046.06万元相比，减少了52.94万元，下降了5.33%，原因为人员减少；</w:t>
      </w:r>
      <w:r>
        <w:rPr>
          <w:rFonts w:ascii="仿宋" w:hAnsi="仿宋" w:eastAsia="仿宋"/>
          <w:color w:val="000000"/>
          <w:sz w:val="32"/>
          <w:szCs w:val="32"/>
        </w:rPr>
        <w:t>201</w:t>
      </w:r>
      <w:r>
        <w:rPr>
          <w:rFonts w:hint="eastAsia" w:ascii="仿宋" w:hAnsi="仿宋" w:eastAsia="仿宋"/>
          <w:color w:val="000000"/>
          <w:sz w:val="32"/>
          <w:szCs w:val="32"/>
        </w:rPr>
        <w:t>9年财政拨款支出总计996.43万元，与</w:t>
      </w:r>
      <w:r>
        <w:rPr>
          <w:rFonts w:ascii="仿宋" w:hAnsi="仿宋" w:eastAsia="仿宋"/>
          <w:color w:val="000000"/>
          <w:sz w:val="32"/>
          <w:szCs w:val="32"/>
        </w:rPr>
        <w:t>201</w:t>
      </w:r>
      <w:r>
        <w:rPr>
          <w:rFonts w:hint="eastAsia" w:ascii="仿宋" w:hAnsi="仿宋" w:eastAsia="仿宋"/>
          <w:color w:val="000000"/>
          <w:sz w:val="32"/>
          <w:szCs w:val="32"/>
        </w:rPr>
        <w:t>8年财政拨款支出总计1038.32万元相比，减少了41.89万元，下降了4.03%，原因为人员减少。</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9年一般公共预算财政拨款支出991.43万元，占本年支出合计的99.50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8年一般公共预算财政拨款支出1002.22万元相比，减少了10.79万元，下降了1.08%，原因为人员减少。</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991.43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一般公共服务（201）</w:t>
      </w:r>
      <w:r>
        <w:rPr>
          <w:rFonts w:hint="eastAsia" w:ascii="仿宋" w:hAnsi="仿宋" w:eastAsia="仿宋"/>
          <w:color w:val="000000" w:themeColor="text1"/>
          <w:sz w:val="32"/>
          <w:szCs w:val="32"/>
        </w:rPr>
        <w:t>支出835.88万元，占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政拨款支出的84.31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支出73.28万元，占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政拨款支出的7.39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卫生健康（210）支出</w:t>
      </w:r>
      <w:r>
        <w:rPr>
          <w:rFonts w:hint="eastAsia" w:ascii="仿宋" w:hAnsi="仿宋" w:eastAsia="仿宋"/>
          <w:color w:val="000000" w:themeColor="text1"/>
          <w:sz w:val="32"/>
          <w:szCs w:val="32"/>
        </w:rPr>
        <w:t>17.07万元，占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政拨款支出的1.72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住房保障（221）</w:t>
      </w:r>
      <w:r>
        <w:rPr>
          <w:rFonts w:hint="eastAsia" w:ascii="仿宋" w:hAnsi="仿宋" w:eastAsia="仿宋"/>
          <w:color w:val="000000" w:themeColor="text1"/>
          <w:sz w:val="32"/>
          <w:szCs w:val="32"/>
        </w:rPr>
        <w:t>支出65.20万元，占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政拨款支出的6.58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2019年一般公共预算支出决算数为991.43万元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Fonts w:hint="eastAsia" w:ascii="仿宋" w:hAnsi="仿宋" w:eastAsia="仿宋"/>
          <w:b/>
          <w:color w:val="000000" w:themeColor="text1"/>
          <w:sz w:val="32"/>
          <w:szCs w:val="32"/>
        </w:rPr>
        <w:t>一般公共</w:t>
      </w:r>
      <w:r>
        <w:rPr>
          <w:rStyle w:val="14"/>
          <w:rFonts w:hint="eastAsia" w:ascii="仿宋" w:hAnsi="仿宋" w:eastAsia="仿宋"/>
          <w:bCs/>
          <w:color w:val="000000"/>
          <w:sz w:val="32"/>
          <w:szCs w:val="32"/>
        </w:rPr>
        <w:t>预算收入的99.83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一般公共服务（类）201（款）32（项）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支出决算为835.88万元，完成预算99.83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社会保障和就业（类）208（款）05、08（项）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支出决算为73.28万元，完成预算100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（类）210（款）11（项）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支出决算为17.07万元，完成预算100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4.</w:t>
      </w:r>
      <w:r>
        <w:rPr>
          <w:rFonts w:hint="eastAsia" w:ascii="仿宋" w:hAnsi="仿宋" w:eastAsia="仿宋"/>
          <w:b/>
          <w:color w:val="000000"/>
          <w:sz w:val="32"/>
          <w:szCs w:val="32"/>
        </w:rPr>
        <w:t>住房保障</w:t>
      </w:r>
      <w:r>
        <w:rPr>
          <w:rStyle w:val="14"/>
          <w:rFonts w:hint="eastAsia" w:ascii="仿宋" w:hAnsi="仿宋" w:eastAsia="仿宋"/>
          <w:bCs/>
          <w:color w:val="000000"/>
          <w:sz w:val="32"/>
          <w:szCs w:val="32"/>
        </w:rPr>
        <w:t>（类）221（款）02项）:</w:t>
      </w:r>
      <w:r>
        <w:rPr>
          <w:rStyle w:val="14"/>
          <w:rFonts w:hint="eastAsia" w:ascii="仿宋" w:hAnsi="仿宋" w:eastAsia="仿宋"/>
          <w:b w:val="0"/>
          <w:bCs/>
          <w:color w:val="000000"/>
          <w:sz w:val="32"/>
          <w:szCs w:val="32"/>
        </w:rPr>
        <w:t xml:space="preserve"> 支出决算为65.20万元，完成预算100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p>
    <w:p>
      <w:pPr>
        <w:tabs>
          <w:tab w:val="right" w:pos="8306"/>
        </w:tabs>
        <w:spacing w:line="600" w:lineRule="exact"/>
        <w:ind w:firstLine="640" w:firstLineChars="20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9年一般公共预算财政拨款基本支出784.16万元，其中：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686.55万元，主要包括：基本工资167.70万元、津贴补贴305.93万元、奖金16.41万元、伙食补助费7.86万元、机关事业单位基本养老保险缴费48.32万元、职业年金缴费24.96万元、其他社会保障缴费2.22万元、医疗保险缴费17.07万元、住房公积金65.20万元、生活补助29.14万元、医疗补助0.99万元、奖励金0.75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97.61万元，主要包括：办公费4.68万元、水费1.91万元、电费2.53万元、邮电费11.03万元、物业管理费0.09万元、差旅费6.90万元、维修（护）费2.76万元、会议费0.02万元、培训费0.11万元、公务接待费0.16万元、专用材料费1.01万元、劳务费14.14万元、工会经费5.80万元、福利费0.65万元、公务用车运行维护费0.74万元、其他交通费28.32万元、其他商品和服务支出16.19万元、办公设备购置费0.57万元。</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9年“三公”经费财政拨款支出决算为3.47万元，完成预算24.79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w:t>
      </w:r>
      <w:r>
        <w:rPr>
          <w:rFonts w:hint="eastAsia" w:ascii="仿宋" w:hAnsi="仿宋" w:eastAsia="仿宋"/>
          <w:color w:val="000000"/>
          <w:sz w:val="32"/>
          <w:szCs w:val="32"/>
        </w:rPr>
        <w:t>行节约</w:t>
      </w:r>
      <w:r>
        <w:rPr>
          <w:rFonts w:hint="eastAsia" w:ascii="仿宋" w:hAnsi="仿宋" w:eastAsia="仿宋"/>
          <w:color w:val="000000"/>
          <w:sz w:val="32"/>
          <w:szCs w:val="32"/>
          <w:lang w:eastAsia="zh-CN"/>
        </w:rPr>
        <w:t>，不超标准超规格接待</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9年“三公”经费财政拨款支出决算中，公务用车购置及运行维护费支出决算1.78万元，占预算数17.80</w:t>
      </w:r>
      <w:r>
        <w:rPr>
          <w:rFonts w:ascii="仿宋" w:hAnsi="仿宋" w:eastAsia="仿宋"/>
          <w:color w:val="000000"/>
          <w:sz w:val="32"/>
          <w:szCs w:val="32"/>
        </w:rPr>
        <w:t>%</w:t>
      </w:r>
      <w:r>
        <w:rPr>
          <w:rFonts w:hint="eastAsia" w:ascii="仿宋" w:hAnsi="仿宋" w:eastAsia="仿宋"/>
          <w:color w:val="000000"/>
          <w:sz w:val="32"/>
          <w:szCs w:val="32"/>
        </w:rPr>
        <w:t>；公务接待费支出决算1.69万元，占预算数42.25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rPr>
        <w:t>1.78万元,完成预算</w:t>
      </w:r>
      <w:r>
        <w:rPr>
          <w:rFonts w:hint="eastAsia" w:ascii="仿宋" w:hAnsi="仿宋" w:eastAsia="仿宋"/>
          <w:color w:val="000000"/>
          <w:sz w:val="32"/>
          <w:szCs w:val="32"/>
          <w:lang w:val="en-US" w:eastAsia="zh-CN"/>
        </w:rPr>
        <w:t>4.45</w:t>
      </w:r>
      <w:r>
        <w:rPr>
          <w:rFonts w:hint="eastAsia" w:ascii="仿宋" w:hAnsi="仿宋" w:eastAsia="仿宋"/>
          <w:color w:val="000000"/>
          <w:sz w:val="32"/>
          <w:szCs w:val="32"/>
        </w:rPr>
        <w:t>%。公务用车购置及运行维护费支出决算比2018年减少18.83万元，下降91.36%。主要原因是公务</w:t>
      </w:r>
      <w:r>
        <w:rPr>
          <w:rFonts w:hint="eastAsia" w:ascii="仿宋" w:hAnsi="仿宋" w:eastAsia="仿宋"/>
          <w:color w:val="000000"/>
          <w:sz w:val="32"/>
          <w:szCs w:val="32"/>
          <w:lang w:eastAsia="zh-CN"/>
        </w:rPr>
        <w:t>用车</w:t>
      </w:r>
      <w:r>
        <w:rPr>
          <w:rFonts w:hint="eastAsia" w:ascii="仿宋" w:hAnsi="仿宋" w:eastAsia="仿宋"/>
          <w:color w:val="000000"/>
          <w:sz w:val="32"/>
          <w:szCs w:val="32"/>
        </w:rPr>
        <w:t>改革。</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 w:hAnsi="仿宋" w:eastAsia="仿宋"/>
          <w:color w:val="000000"/>
          <w:sz w:val="32"/>
          <w:szCs w:val="32"/>
        </w:rPr>
        <w:t>万元。全年按规定更新购置公务用车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元。截至2019年12月底，单位共有公务用车</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辆，其中：主要领导干部用车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辆、机要通信用车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辆、应急保障用车</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辆、 执法执勤用车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rPr>
        <w:t>1.78万元。主要用于政协视察、调研、精准扶贫、各项大型会议以及市上交办的其他中心工作等所需的公务用车燃料费、维修费、过路过桥费等支出。</w:t>
      </w:r>
    </w:p>
    <w:p>
      <w:pPr>
        <w:spacing w:line="600" w:lineRule="exact"/>
        <w:ind w:firstLine="640"/>
        <w:rPr>
          <w:rFonts w:hint="eastAsia"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1.69万元，完成预算</w:t>
      </w:r>
      <w:r>
        <w:rPr>
          <w:rFonts w:hint="eastAsia" w:ascii="仿宋" w:hAnsi="仿宋" w:eastAsia="仿宋"/>
          <w:color w:val="000000"/>
          <w:sz w:val="32"/>
          <w:szCs w:val="32"/>
          <w:lang w:val="en-US" w:eastAsia="zh-CN"/>
        </w:rPr>
        <w:t>14.08</w:t>
      </w:r>
      <w:r>
        <w:rPr>
          <w:rFonts w:hint="eastAsia" w:ascii="仿宋" w:hAnsi="仿宋" w:eastAsia="仿宋"/>
          <w:color w:val="000000"/>
          <w:sz w:val="32"/>
          <w:szCs w:val="32"/>
        </w:rPr>
        <w:t>%。公务接待费支出决算比2018年减少0.42万元，下降了19.91%，主要原因是</w:t>
      </w:r>
      <w:r>
        <w:rPr>
          <w:rFonts w:hint="eastAsia" w:ascii="仿宋" w:hAnsi="仿宋" w:eastAsia="仿宋"/>
          <w:color w:val="000000"/>
          <w:sz w:val="32"/>
          <w:szCs w:val="32"/>
          <w:lang w:eastAsia="zh-CN"/>
        </w:rPr>
        <w:t>严格执行接待标准，不超标准、超规格接待以及取消不必要的接待</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1.69万元，主要用于</w:t>
      </w:r>
      <w:r>
        <w:rPr>
          <w:rFonts w:hint="eastAsia" w:ascii="仿宋" w:hAnsi="仿宋" w:eastAsia="仿宋"/>
          <w:color w:val="000000"/>
          <w:sz w:val="32"/>
          <w:szCs w:val="32"/>
          <w:lang w:eastAsia="zh-CN"/>
        </w:rPr>
        <w:t>外地政协来峨考察</w:t>
      </w:r>
      <w:r>
        <w:rPr>
          <w:rFonts w:hint="eastAsia" w:ascii="仿宋" w:hAnsi="仿宋" w:eastAsia="仿宋"/>
          <w:color w:val="000000"/>
          <w:sz w:val="32"/>
          <w:szCs w:val="32"/>
        </w:rPr>
        <w:t>开支用餐费等。国内公务接待16批次，221人次（不包括陪同人员），共计支出1.69万元。</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2019年政府性基金预算拨款支出5万元。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r>
        <w:rPr>
          <w:rStyle w:val="25"/>
          <w:rFonts w:hint="eastAsia" w:ascii="黑体" w:hAnsi="黑体" w:eastAsia="黑体"/>
          <w:b w:val="0"/>
        </w:rPr>
        <w:t>(无）</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2019年国有资本经营预算拨款支出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2019年，</w:t>
      </w:r>
      <w:r>
        <w:rPr>
          <w:rFonts w:hint="eastAsia" w:ascii="仿宋" w:hAnsi="仿宋" w:eastAsia="仿宋"/>
          <w:color w:val="000000"/>
          <w:sz w:val="32"/>
          <w:szCs w:val="32"/>
          <w:lang w:eastAsia="zh-CN"/>
        </w:rPr>
        <w:t>政协峨眉山市委员会办公室</w:t>
      </w:r>
      <w:r>
        <w:rPr>
          <w:rFonts w:hint="eastAsia" w:ascii="仿宋" w:hAnsi="仿宋" w:eastAsia="仿宋"/>
          <w:color w:val="000000"/>
          <w:sz w:val="32"/>
          <w:szCs w:val="32"/>
        </w:rPr>
        <w:t>机关运行经费支出97.61万元，比2018年减少了30.67万元，下降了23.91%，主要原因是人员减少。</w:t>
      </w:r>
    </w:p>
    <w:p>
      <w:pPr>
        <w:spacing w:line="600" w:lineRule="exact"/>
        <w:rPr>
          <w:rFonts w:hint="eastAsia" w:ascii="仿宋" w:hAnsi="仿宋" w:eastAsia="仿宋"/>
          <w:color w:val="000000"/>
          <w:sz w:val="32"/>
          <w:szCs w:val="32"/>
        </w:rPr>
      </w:pP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w:t>
      </w:r>
      <w:r>
        <w:rPr>
          <w:rFonts w:hint="eastAsia" w:ascii="仿宋" w:hAnsi="仿宋" w:eastAsia="仿宋"/>
          <w:color w:val="000000"/>
          <w:sz w:val="32"/>
          <w:szCs w:val="32"/>
        </w:rPr>
        <w:t>情</w:t>
      </w:r>
      <w:r>
        <w:rPr>
          <w:rFonts w:hint="eastAsia" w:ascii="仿宋" w:hAnsi="仿宋" w:eastAsia="仿宋"/>
          <w:b/>
          <w:color w:val="000000"/>
          <w:sz w:val="32"/>
          <w:szCs w:val="32"/>
        </w:rPr>
        <w:t>况</w:t>
      </w:r>
      <w:bookmarkEnd w:id="53"/>
      <w:r>
        <w:rPr>
          <w:rFonts w:hint="eastAsia" w:ascii="仿宋" w:hAnsi="仿宋" w:eastAsia="仿宋"/>
          <w:b/>
          <w:color w:val="000000"/>
          <w:sz w:val="32"/>
          <w:szCs w:val="32"/>
        </w:rPr>
        <w:t>（无）</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2019年，</w:t>
      </w:r>
      <w:r>
        <w:rPr>
          <w:rFonts w:hint="eastAsia" w:ascii="仿宋" w:hAnsi="仿宋" w:eastAsia="仿宋"/>
          <w:color w:val="000000"/>
          <w:sz w:val="32"/>
          <w:szCs w:val="32"/>
          <w:lang w:eastAsia="zh-CN"/>
        </w:rPr>
        <w:t>政协峨眉山市委员会办公室</w:t>
      </w:r>
      <w:r>
        <w:rPr>
          <w:rFonts w:hint="eastAsia" w:ascii="仿宋" w:hAnsi="仿宋" w:eastAsia="仿宋"/>
          <w:color w:val="000000"/>
          <w:sz w:val="32"/>
          <w:szCs w:val="32"/>
        </w:rPr>
        <w:t>政府采购支出总额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万元，其中：政府采购货物支出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万元、政府采购工程支出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万元、政府采购服务支出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万元。主要用于…（具体工作）。授予中小企业合同金额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%，其中：授予小微企业合同金额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bookmarkStart w:id="75" w:name="_GoBack"/>
      <w:bookmarkEnd w:id="75"/>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截至2019年12月31日，共有车辆</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辆，其中：均为公务用车。（注：数据来源财决附03表，按部门决算报表填报数据罗列车辆情况。）</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根据预算绩效管理要求，本部门（单位）在年初预算编制阶段，组织对</w:t>
      </w:r>
      <w:r>
        <w:rPr>
          <w:rFonts w:hint="eastAsia" w:ascii="仿宋" w:hAnsi="仿宋" w:eastAsia="仿宋"/>
          <w:color w:val="000000"/>
          <w:sz w:val="32"/>
          <w:szCs w:val="32"/>
          <w:lang w:eastAsia="zh-CN"/>
        </w:rPr>
        <w:t>《峨眉文史》《建言献策》编辑经费、《历代名人与峨眉山》编辑出版经费、政协专项业务费</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个</w:t>
      </w:r>
      <w:r>
        <w:rPr>
          <w:rFonts w:hint="eastAsia" w:ascii="仿宋" w:hAnsi="仿宋" w:eastAsia="仿宋"/>
          <w:color w:val="000000"/>
          <w:sz w:val="32"/>
          <w:szCs w:val="32"/>
        </w:rPr>
        <w:t>项目开展了预算事前绩效评估，对</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个项目开展了绩效目标完成情况自评。</w:t>
      </w:r>
    </w:p>
    <w:p>
      <w:pPr>
        <w:spacing w:line="600" w:lineRule="exact"/>
        <w:ind w:firstLine="640"/>
        <w:rPr>
          <w:rFonts w:hint="eastAsia" w:ascii="仿宋" w:hAnsi="仿宋" w:eastAsia="仿宋"/>
          <w:color w:val="000000"/>
          <w:sz w:val="32"/>
          <w:szCs w:val="32"/>
          <w:lang w:val="zh-CN"/>
        </w:rPr>
      </w:pPr>
      <w:r>
        <w:rPr>
          <w:rFonts w:hint="eastAsia" w:ascii="仿宋" w:hAnsi="仿宋" w:eastAsia="仿宋"/>
          <w:color w:val="000000"/>
          <w:sz w:val="32"/>
          <w:szCs w:val="32"/>
        </w:rPr>
        <w:t>本部门按要求对2019年部门整体支出开展绩效自评，从评价情况来看</w:t>
      </w:r>
      <w:r>
        <w:rPr>
          <w:rFonts w:hint="eastAsia" w:ascii="仿宋" w:hAnsi="仿宋" w:eastAsia="仿宋"/>
          <w:color w:val="000000"/>
          <w:sz w:val="32"/>
          <w:szCs w:val="32"/>
          <w:lang w:eastAsia="zh-CN"/>
        </w:rPr>
        <w:t>政协峨眉山市委员会办公室基本完成了项目绩效，取得了一定的社会效益。</w:t>
      </w:r>
      <w:r>
        <w:rPr>
          <w:rFonts w:hint="eastAsia" w:ascii="仿宋" w:hAnsi="仿宋" w:eastAsia="仿宋"/>
          <w:color w:val="000000"/>
          <w:sz w:val="32"/>
          <w:szCs w:val="32"/>
          <w:lang w:val="zh-CN"/>
        </w:rPr>
        <w:t>财政经费使用良好，有效的保障机关正常运转。三公经费支出得到有效控制，行政效率得到提高。以后要加强绩效评价工作，使财政资金更好地用到刀刃上。</w:t>
      </w:r>
    </w:p>
    <w:p>
      <w:pPr>
        <w:spacing w:line="600" w:lineRule="exact"/>
        <w:ind w:firstLine="640"/>
        <w:rPr>
          <w:rFonts w:hint="eastAsia" w:ascii="仿宋" w:hAnsi="仿宋" w:eastAsia="仿宋"/>
          <w:color w:val="000000"/>
          <w:sz w:val="32"/>
          <w:szCs w:val="32"/>
          <w:lang w:val="zh-CN"/>
        </w:rPr>
      </w:pPr>
      <w:r>
        <w:rPr>
          <w:rFonts w:hint="eastAsia" w:ascii="仿宋" w:hAnsi="仿宋" w:eastAsia="仿宋"/>
          <w:color w:val="000000"/>
          <w:sz w:val="32"/>
          <w:szCs w:val="32"/>
        </w:rPr>
        <w:t>本部门还自行组织了</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个项目支出绩效评价，从评价情况来看</w:t>
      </w:r>
      <w:r>
        <w:rPr>
          <w:rFonts w:hint="eastAsia" w:ascii="仿宋" w:hAnsi="仿宋" w:eastAsia="仿宋"/>
          <w:color w:val="000000"/>
          <w:sz w:val="32"/>
          <w:szCs w:val="32"/>
          <w:lang w:val="zh-CN"/>
        </w:rPr>
        <w:t>《</w:t>
      </w:r>
      <w:r>
        <w:rPr>
          <w:rFonts w:hint="eastAsia" w:ascii="仿宋" w:hAnsi="仿宋" w:eastAsia="仿宋"/>
          <w:color w:val="000000"/>
          <w:sz w:val="32"/>
          <w:szCs w:val="32"/>
          <w:lang w:val="en-US" w:eastAsia="zh-CN"/>
        </w:rPr>
        <w:t>历代名人与峨眉山</w:t>
      </w:r>
      <w:r>
        <w:rPr>
          <w:rFonts w:hint="eastAsia" w:ascii="仿宋" w:hAnsi="仿宋" w:eastAsia="仿宋"/>
          <w:color w:val="000000"/>
          <w:sz w:val="32"/>
          <w:szCs w:val="32"/>
          <w:lang w:val="zh-CN"/>
        </w:rPr>
        <w:t>》</w:t>
      </w:r>
      <w:r>
        <w:rPr>
          <w:rFonts w:hint="eastAsia" w:ascii="仿宋" w:hAnsi="仿宋" w:eastAsia="仿宋"/>
          <w:color w:val="000000"/>
          <w:sz w:val="32"/>
          <w:szCs w:val="32"/>
          <w:lang w:val="en-US" w:eastAsia="zh-CN"/>
        </w:rPr>
        <w:t>文史资料的整理、收集、出版，在资金的申报使用上，严格按程序进行申报和使用，专款专用，</w:t>
      </w:r>
      <w:r>
        <w:rPr>
          <w:rFonts w:hint="eastAsia" w:ascii="仿宋" w:hAnsi="仿宋" w:eastAsia="仿宋"/>
          <w:color w:val="000000"/>
          <w:sz w:val="32"/>
          <w:szCs w:val="32"/>
          <w:lang w:val="zh-CN"/>
        </w:rPr>
        <w:t>符合资金管理办法等相关规定。该书的出版</w:t>
      </w:r>
      <w:r>
        <w:rPr>
          <w:rFonts w:hint="eastAsia" w:ascii="仿宋" w:hAnsi="仿宋" w:eastAsia="仿宋"/>
          <w:color w:val="000000"/>
          <w:sz w:val="32"/>
          <w:szCs w:val="32"/>
          <w:lang w:val="en-US" w:eastAsia="zh-CN"/>
        </w:rPr>
        <w:t>为“存史、资政、团结、育人”和我市文旅兴市、融入成渝双城经济圈、打造巴蜀文化走廊提供了坚实的基础。对于山城一体，建设国际旅游目的地起到了积极的推动作用。</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项目绩效目标完成情况。</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本部门在2019年度部门决算中反映“</w:t>
      </w:r>
      <w:r>
        <w:rPr>
          <w:rFonts w:hint="eastAsia" w:ascii="仿宋" w:hAnsi="仿宋" w:eastAsia="仿宋"/>
          <w:color w:val="000000"/>
          <w:sz w:val="32"/>
          <w:szCs w:val="32"/>
          <w:lang w:eastAsia="zh-CN"/>
        </w:rPr>
        <w:t>《峨眉文史》、《建言献策》编辑经费</w:t>
      </w:r>
      <w:r>
        <w:rPr>
          <w:rFonts w:hint="eastAsia" w:ascii="仿宋" w:hAnsi="仿宋" w:eastAsia="仿宋"/>
          <w:color w:val="000000"/>
          <w:sz w:val="32"/>
          <w:szCs w:val="32"/>
        </w:rPr>
        <w:t>”</w:t>
      </w:r>
      <w:r>
        <w:rPr>
          <w:rFonts w:hint="eastAsia" w:ascii="仿宋" w:hAnsi="仿宋" w:eastAsia="仿宋"/>
          <w:color w:val="000000"/>
          <w:sz w:val="32"/>
          <w:szCs w:val="32"/>
          <w:lang w:eastAsia="zh-CN"/>
        </w:rPr>
        <w:t>“《历代名人与峨眉山》编辑经费</w:t>
      </w:r>
      <w:r>
        <w:rPr>
          <w:rFonts w:hint="eastAsia" w:ascii="仿宋" w:hAnsi="仿宋" w:eastAsia="仿宋"/>
          <w:color w:val="000000"/>
          <w:sz w:val="32"/>
          <w:szCs w:val="32"/>
        </w:rPr>
        <w:t>”“</w:t>
      </w:r>
      <w:r>
        <w:rPr>
          <w:rFonts w:hint="eastAsia" w:ascii="仿宋" w:hAnsi="仿宋" w:eastAsia="仿宋"/>
          <w:color w:val="000000"/>
          <w:sz w:val="32"/>
          <w:szCs w:val="32"/>
          <w:lang w:eastAsia="zh-CN"/>
        </w:rPr>
        <w:t>政协专项业务费</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个项目绩效目标实际完成情况。</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“《峨眉文史》、《建言献策》编辑出版”</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4.15</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31.92</w:t>
      </w:r>
      <w:r>
        <w:rPr>
          <w:rFonts w:hint="eastAsia" w:ascii="仿宋" w:hAnsi="仿宋" w:eastAsia="仿宋"/>
          <w:color w:val="000000"/>
          <w:sz w:val="32"/>
          <w:szCs w:val="32"/>
        </w:rPr>
        <w:t>%。通过项目实施，</w:t>
      </w:r>
      <w:r>
        <w:rPr>
          <w:rFonts w:hint="eastAsia" w:ascii="仿宋" w:hAnsi="仿宋" w:eastAsia="仿宋"/>
          <w:color w:val="000000"/>
          <w:sz w:val="32"/>
          <w:szCs w:val="32"/>
          <w:lang w:eastAsia="zh-CN"/>
        </w:rPr>
        <w:t>发掘了峨眉的悠久文化历史，对弘扬峨眉文化起到一定的推动作用。</w:t>
      </w: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《峨眉文史》《建言献策》编辑出版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政协峨眉山市委员会办公室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4.15万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4.15万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编辑出版《峨眉文史》、《建言献策》两本书</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编辑出版《峨眉文史》《建言献策》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各一本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已完成两本书的编辑出版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认真开展好资料收集、整理和编辑出版工作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已完成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已完成两本书的编辑出版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rPr>
        <w:t>（2）</w:t>
      </w:r>
      <w:r>
        <w:rPr>
          <w:rFonts w:hint="eastAsia" w:ascii="仿宋" w:hAnsi="仿宋" w:eastAsia="仿宋"/>
          <w:color w:val="000000"/>
          <w:sz w:val="32"/>
          <w:szCs w:val="32"/>
          <w:lang w:eastAsia="zh-CN"/>
        </w:rPr>
        <w:t>“《历代名人与峨眉山》编辑出版”</w:t>
      </w:r>
      <w:r>
        <w:rPr>
          <w:rFonts w:hint="eastAsia" w:ascii="仿宋" w:hAnsi="仿宋" w:eastAsia="仿宋"/>
          <w:color w:val="000000"/>
          <w:sz w:val="32"/>
          <w:szCs w:val="32"/>
        </w:rPr>
        <w:t>项目绩效目标完成情</w:t>
      </w:r>
      <w:r>
        <w:rPr>
          <w:rFonts w:hint="eastAsia" w:ascii="仿宋_GB2312" w:hAnsi="仿宋_GB2312" w:eastAsia="仿宋_GB2312" w:cs="仿宋_GB2312"/>
          <w:sz w:val="32"/>
          <w:szCs w:val="32"/>
        </w:rPr>
        <w:t>况</w:t>
      </w:r>
      <w:r>
        <w:rPr>
          <w:rFonts w:hint="eastAsia" w:ascii="仿宋" w:hAnsi="仿宋" w:eastAsia="仿宋"/>
          <w:color w:val="000000"/>
          <w:sz w:val="32"/>
          <w:szCs w:val="32"/>
        </w:rPr>
        <w:t>综述。项目全年预算数</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10.25</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78.85</w:t>
      </w:r>
      <w:r>
        <w:rPr>
          <w:rFonts w:hint="eastAsia" w:ascii="仿宋" w:hAnsi="仿宋" w:eastAsia="仿宋"/>
          <w:color w:val="000000"/>
          <w:sz w:val="32"/>
          <w:szCs w:val="32"/>
        </w:rPr>
        <w:t>%。通过项目实施，</w:t>
      </w:r>
      <w:r>
        <w:rPr>
          <w:rFonts w:hint="eastAsia" w:ascii="仿宋" w:hAnsi="仿宋" w:eastAsia="仿宋"/>
          <w:color w:val="000000"/>
          <w:sz w:val="32"/>
          <w:szCs w:val="32"/>
          <w:lang w:val="en-US" w:eastAsia="zh-CN"/>
        </w:rPr>
        <w:t>为“存史、资政、团结、育人”和我市文旅兴市、融入成渝双城经济圈、打造巴蜀文化走廊提供了坚实的基础。对于山城一体，建设国际旅游目的地起到了积极的推动作用。促进了</w:t>
      </w:r>
      <w:r>
        <w:rPr>
          <w:rFonts w:hint="eastAsia" w:ascii="仿宋" w:hAnsi="仿宋" w:eastAsia="仿宋"/>
          <w:color w:val="000000"/>
          <w:sz w:val="32"/>
          <w:szCs w:val="32"/>
        </w:rPr>
        <w:t xml:space="preserve">以“儒释道食茶武药” </w:t>
      </w:r>
      <w:r>
        <w:rPr>
          <w:rFonts w:hint="eastAsia" w:ascii="仿宋" w:hAnsi="仿宋" w:eastAsia="仿宋"/>
          <w:color w:val="000000"/>
          <w:sz w:val="32"/>
          <w:szCs w:val="32"/>
          <w:lang w:val="en-US" w:eastAsia="zh-CN"/>
        </w:rPr>
        <w:t>的研究工作，</w:t>
      </w:r>
      <w:r>
        <w:rPr>
          <w:rFonts w:hint="eastAsia" w:ascii="仿宋" w:hAnsi="仿宋" w:eastAsia="仿宋"/>
          <w:color w:val="000000"/>
          <w:sz w:val="32"/>
          <w:szCs w:val="32"/>
        </w:rPr>
        <w:t>进一步挖掘、传承、利用、推广峨眉山市地方文化，为峨眉山市发展献计献策，推动“峨眉文化”融入“社会肌理”。发挥</w:t>
      </w:r>
      <w:r>
        <w:rPr>
          <w:rFonts w:hint="eastAsia" w:ascii="仿宋" w:hAnsi="仿宋" w:eastAsia="仿宋"/>
          <w:color w:val="000000"/>
          <w:sz w:val="32"/>
          <w:szCs w:val="32"/>
          <w:lang w:val="en-US" w:eastAsia="zh-CN"/>
        </w:rPr>
        <w:t>名人</w:t>
      </w:r>
      <w:r>
        <w:rPr>
          <w:rFonts w:hint="eastAsia" w:ascii="仿宋" w:hAnsi="仿宋" w:eastAsia="仿宋"/>
          <w:color w:val="000000"/>
          <w:sz w:val="32"/>
          <w:szCs w:val="32"/>
        </w:rPr>
        <w:t>资料在促进全市经济社会发展中的作用，</w:t>
      </w:r>
      <w:r>
        <w:rPr>
          <w:rFonts w:hint="eastAsia" w:ascii="仿宋" w:hAnsi="仿宋" w:eastAsia="仿宋"/>
          <w:color w:val="000000"/>
          <w:sz w:val="32"/>
          <w:szCs w:val="32"/>
          <w:lang w:val="en-US" w:eastAsia="zh-CN"/>
        </w:rPr>
        <w:t>在天府旅游名县、“双创”、</w:t>
      </w:r>
      <w:r>
        <w:rPr>
          <w:rFonts w:hint="eastAsia" w:ascii="仿宋" w:hAnsi="仿宋" w:eastAsia="仿宋"/>
          <w:color w:val="000000"/>
          <w:sz w:val="32"/>
          <w:szCs w:val="32"/>
        </w:rPr>
        <w:t>饿涝堰恢复改造工程</w:t>
      </w:r>
      <w:r>
        <w:rPr>
          <w:rFonts w:hint="eastAsia" w:ascii="仿宋" w:hAnsi="仿宋" w:eastAsia="仿宋"/>
          <w:color w:val="000000"/>
          <w:sz w:val="32"/>
          <w:szCs w:val="32"/>
          <w:lang w:val="en-US" w:eastAsia="zh-CN"/>
        </w:rPr>
        <w:t>等工作中作出了应有的贡献，</w:t>
      </w:r>
      <w:r>
        <w:rPr>
          <w:rFonts w:hint="eastAsia" w:ascii="仿宋" w:hAnsi="仿宋" w:eastAsia="仿宋"/>
          <w:color w:val="000000"/>
          <w:sz w:val="32"/>
          <w:szCs w:val="32"/>
        </w:rPr>
        <w:t>加快建设世界重要旅游目的地和中国国际佛教文化旅游目的地的建设。</w:t>
      </w: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《历代名人与峨眉山》编辑出版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政协峨眉山市委员会办公室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10.25万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10.25万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编辑出版《历代名人与峨眉山》</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编辑出版《历代名人与峨眉山》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一册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真开展好资料收集、整理和编辑出版工作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600" w:lineRule="exact"/>
        <w:ind w:firstLine="640"/>
        <w:rPr>
          <w:rFonts w:hint="eastAsia" w:ascii="仿宋" w:hAnsi="仿宋" w:eastAsia="仿宋"/>
          <w:color w:val="000000"/>
          <w:sz w:val="32"/>
          <w:szCs w:val="32"/>
          <w:lang w:val="en-US" w:eastAsia="zh-CN"/>
        </w:rPr>
      </w:pPr>
    </w:p>
    <w:p>
      <w:pPr>
        <w:spacing w:line="600" w:lineRule="exact"/>
        <w:ind w:firstLine="640"/>
        <w:rPr>
          <w:rFonts w:ascii="仿宋_GB2312" w:hAnsi="仿宋_GB2312" w:eastAsia="仿宋_GB2312" w:cs="仿宋_GB2312"/>
          <w:sz w:val="32"/>
          <w:szCs w:val="32"/>
        </w:rPr>
      </w:pPr>
      <w:r>
        <w:rPr>
          <w:rFonts w:hint="eastAsia" w:ascii="仿宋" w:hAnsi="仿宋" w:eastAsia="仿宋"/>
          <w:color w:val="000000"/>
          <w:sz w:val="32"/>
          <w:szCs w:val="32"/>
        </w:rPr>
        <w:t>（3）</w:t>
      </w:r>
      <w:r>
        <w:rPr>
          <w:rFonts w:hint="eastAsia" w:ascii="仿宋" w:hAnsi="仿宋" w:eastAsia="仿宋"/>
          <w:color w:val="000000"/>
          <w:sz w:val="32"/>
          <w:szCs w:val="32"/>
          <w:lang w:eastAsia="zh-CN"/>
        </w:rPr>
        <w:t>“政协专项业务费”</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223</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191.94</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86.07</w:t>
      </w:r>
      <w:r>
        <w:rPr>
          <w:rFonts w:hint="eastAsia" w:ascii="仿宋" w:hAnsi="仿宋" w:eastAsia="仿宋"/>
          <w:color w:val="000000"/>
          <w:sz w:val="32"/>
          <w:szCs w:val="32"/>
        </w:rPr>
        <w:t>%。通过项目实施，保障</w:t>
      </w:r>
      <w:r>
        <w:rPr>
          <w:rFonts w:hint="eastAsia" w:ascii="仿宋" w:hAnsi="仿宋" w:eastAsia="仿宋"/>
          <w:color w:val="000000"/>
          <w:sz w:val="32"/>
          <w:szCs w:val="32"/>
          <w:lang w:eastAsia="zh-CN"/>
        </w:rPr>
        <w:t>了机关的运行和各项会议、委员视察调研等各项工作的正常开展。</w:t>
      </w: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政协专项业务费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政协峨眉山市委员会办公室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191.94万元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191.94万元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组织政协委员开展视察调研、做好政协全会、常委会等会议的筹备和服务工作等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组织政协委员开展视察调研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15-20次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实际完成</w:t>
            </w:r>
            <w:r>
              <w:rPr>
                <w:rFonts w:hint="eastAsia" w:ascii="宋体" w:hAnsi="宋体" w:cs="宋体"/>
                <w:color w:val="000000"/>
                <w:sz w:val="24"/>
                <w:lang w:val="en-US" w:eastAsia="zh-CN"/>
              </w:rPr>
              <w:t>22次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组织召开十四届四</w:t>
            </w:r>
            <w:r>
              <w:rPr>
                <w:rFonts w:hint="eastAsia" w:ascii="宋体" w:hAnsi="宋体" w:cs="宋体"/>
                <w:color w:val="000000"/>
                <w:sz w:val="24"/>
                <w:lang w:val="en-US" w:eastAsia="zh-CN"/>
              </w:rPr>
              <w:t>次全会及四次常委会议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一次全体会议、四次常委会议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年内完成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hint="eastAsia" w:ascii="宋体" w:hAnsi="宋体" w:eastAsia="宋体" w:cs="宋体"/>
          <w:sz w:val="32"/>
          <w:szCs w:val="32"/>
        </w:rPr>
      </w:pPr>
      <w:r>
        <w:rPr>
          <w:rFonts w:hint="eastAsia" w:ascii="宋体" w:hAnsi="宋体" w:eastAsia="宋体" w:cs="宋体"/>
          <w:sz w:val="32"/>
          <w:szCs w:val="32"/>
        </w:rPr>
        <w:t>2.部门绩效评价结果。</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本部门按要求对2019年部门整体支出绩效评价情况开展自评，《</w:t>
      </w:r>
      <w:r>
        <w:rPr>
          <w:rFonts w:hint="eastAsia" w:ascii="宋体" w:hAnsi="宋体" w:eastAsia="宋体" w:cs="宋体"/>
          <w:sz w:val="32"/>
          <w:szCs w:val="32"/>
          <w:lang w:eastAsia="zh-CN"/>
        </w:rPr>
        <w:t>政协峨眉山市委员会办公室</w:t>
      </w:r>
      <w:r>
        <w:rPr>
          <w:rFonts w:hint="eastAsia" w:ascii="宋体" w:hAnsi="宋体" w:eastAsia="宋体" w:cs="宋体"/>
          <w:sz w:val="32"/>
          <w:szCs w:val="32"/>
        </w:rPr>
        <w:t>2019年部门整体支出绩效评价报告》见附件（附件1）。</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本部门自行组织对</w:t>
      </w:r>
      <w:r>
        <w:rPr>
          <w:rFonts w:hint="eastAsia" w:ascii="宋体" w:hAnsi="宋体" w:eastAsia="宋体" w:cs="宋体"/>
          <w:sz w:val="32"/>
          <w:szCs w:val="32"/>
          <w:lang w:val="en-US" w:eastAsia="zh-CN"/>
        </w:rPr>
        <w:t>1个项目</w:t>
      </w:r>
      <w:r>
        <w:rPr>
          <w:rFonts w:hint="eastAsia" w:ascii="宋体" w:hAnsi="宋体" w:eastAsia="宋体" w:cs="宋体"/>
          <w:sz w:val="32"/>
          <w:szCs w:val="32"/>
        </w:rPr>
        <w:t>开展了绩效评价，《</w:t>
      </w:r>
      <w:r>
        <w:rPr>
          <w:rFonts w:hint="eastAsia" w:ascii="宋体" w:hAnsi="宋体" w:eastAsia="宋体" w:cs="宋体"/>
          <w:sz w:val="32"/>
          <w:szCs w:val="32"/>
          <w:lang w:eastAsia="zh-CN"/>
        </w:rPr>
        <w:t>政协峨眉山市委员会办公室</w:t>
      </w:r>
      <w:r>
        <w:rPr>
          <w:rFonts w:hint="eastAsia" w:ascii="宋体" w:hAnsi="宋体" w:eastAsia="宋体" w:cs="宋体"/>
          <w:sz w:val="32"/>
          <w:szCs w:val="32"/>
        </w:rPr>
        <w:t>2019年</w:t>
      </w:r>
      <w:r>
        <w:rPr>
          <w:rFonts w:hint="eastAsia" w:ascii="宋体" w:hAnsi="宋体" w:eastAsia="宋体" w:cs="宋体"/>
          <w:sz w:val="32"/>
          <w:szCs w:val="32"/>
          <w:lang w:eastAsia="zh-CN"/>
        </w:rPr>
        <w:t>项目</w:t>
      </w:r>
      <w:r>
        <w:rPr>
          <w:rFonts w:hint="eastAsia" w:ascii="宋体" w:hAnsi="宋体" w:eastAsia="宋体" w:cs="宋体"/>
          <w:sz w:val="32"/>
          <w:szCs w:val="32"/>
        </w:rPr>
        <w:t>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.一般公共服务（类）政协事务（款）行政运行（项）：指行政单位的基本支出。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一般公共服务（类）政协事务（款）一般行政管理事务（项）：指行政单位未单独设置项级科目的其他项目支出。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.文化体育与传媒（类）其他文化体育与传媒支出（款）其他文化体育与传媒支出（项）：指除固定项目以外其他文化体育与传媒方面的支出。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.社会保障和就业（类）行政事业单位离退休（款）未归口管理的行政单位离退休（项）：指未实行归口管理的行政单位开支的离退休支出。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.社会保障和就业（类）行政事业单位离退休（款）机关事业单位基本养老保险费支出（项）：指机关事业单位实施养老保险制度由单位缴纳的基本养老保险费支出。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.医疗卫生和计划生育支出（类）医疗保障（款）行政单位医疗（项）：指机关事业单位实施医疗保险制度由单位缴纳的基本医疗保险费支出。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.医疗卫生和计划生育支出（类）医疗保障（款）其他医疗保障支出（项）：指机关事业单位支出的其他医疗费用。</w:t>
      </w:r>
    </w:p>
    <w:p>
      <w:pPr>
        <w:ind w:firstLine="640" w:firstLineChars="200"/>
        <w:rPr>
          <w:rFonts w:hint="eastAsia" w:ascii="仿宋_GB2312" w:eastAsia="仿宋_GB2312"/>
          <w:color w:val="40404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.住房保障支出（类）住房改革支出（款）住房公积金（项）：指反映行政事业单位按人力资源保障部、财政部规定的基本工资和津补贴以及规定比例为职工缴纳的住房公积金</w:t>
      </w: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．基本支出：指为保障机构正常运转、完成日常工作任务而发生的人员支出和公用支出。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Times New Roman" w:hAnsi="Times New Roman"/>
        </w:rPr>
        <w:br w:type="page"/>
      </w: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widowControl/>
        <w:spacing w:line="560" w:lineRule="exact"/>
        <w:contextualSpacing/>
        <w:jc w:val="both"/>
        <w:rPr>
          <w:rFonts w:hint="eastAsia" w:ascii="黑体" w:hAnsi="黑体" w:eastAsia="黑体" w:cs="黑体"/>
          <w:sz w:val="32"/>
          <w:szCs w:val="32"/>
        </w:rPr>
      </w:pPr>
      <w:r>
        <w:rPr>
          <w:rFonts w:hint="eastAsia" w:ascii="黑体" w:hAnsi="黑体" w:eastAsia="黑体" w:cs="黑体"/>
          <w:sz w:val="32"/>
          <w:szCs w:val="32"/>
        </w:rPr>
        <w:t>附件1</w:t>
      </w:r>
    </w:p>
    <w:p>
      <w:pPr>
        <w:widowControl/>
        <w:spacing w:line="560" w:lineRule="exact"/>
        <w:contextualSpacing/>
        <w:jc w:val="center"/>
        <w:rPr>
          <w:rFonts w:hint="eastAsia" w:ascii="方正小标宋简体" w:hAnsi="宋体" w:eastAsia="方正小标宋简体"/>
          <w:b/>
          <w:sz w:val="44"/>
          <w:szCs w:val="44"/>
          <w:shd w:val="clear" w:color="auto" w:fill="FFFFFF"/>
          <w:lang w:eastAsia="zh-CN"/>
        </w:rPr>
      </w:pPr>
      <w:r>
        <w:rPr>
          <w:rFonts w:hint="eastAsia" w:ascii="方正小标宋简体" w:hAnsi="宋体" w:eastAsia="方正小标宋简体"/>
          <w:b/>
          <w:sz w:val="44"/>
          <w:szCs w:val="44"/>
          <w:shd w:val="clear" w:color="auto" w:fill="FFFFFF"/>
        </w:rPr>
        <w:t>2020年</w:t>
      </w:r>
      <w:r>
        <w:rPr>
          <w:rFonts w:hint="eastAsia" w:ascii="方正小标宋简体" w:hAnsi="宋体" w:eastAsia="方正小标宋简体"/>
          <w:b/>
          <w:sz w:val="44"/>
          <w:szCs w:val="44"/>
          <w:shd w:val="clear" w:color="auto" w:fill="FFFFFF"/>
          <w:lang w:eastAsia="zh-CN"/>
        </w:rPr>
        <w:t>政协峨眉山市委员会办公室</w:t>
      </w:r>
    </w:p>
    <w:p>
      <w:pPr>
        <w:widowControl/>
        <w:spacing w:line="560" w:lineRule="exact"/>
        <w:contextualSpacing/>
        <w:jc w:val="center"/>
        <w:rPr>
          <w:rFonts w:hint="eastAsia" w:ascii="方正小标宋简体" w:hAnsi="宋体" w:eastAsia="方正小标宋简体"/>
          <w:b/>
          <w:sz w:val="44"/>
          <w:szCs w:val="44"/>
          <w:shd w:val="clear" w:color="auto" w:fill="FFFFFF"/>
        </w:rPr>
      </w:pPr>
      <w:r>
        <w:rPr>
          <w:rFonts w:hint="eastAsia" w:ascii="方正小标宋简体" w:hAnsi="宋体" w:eastAsia="方正小标宋简体"/>
          <w:b/>
          <w:sz w:val="44"/>
          <w:szCs w:val="44"/>
          <w:shd w:val="clear" w:color="auto" w:fill="FFFFFF"/>
        </w:rPr>
        <w:t>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（一）机构组成</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峨眉山政协机关由办公室、提案委、经工委、法制群团委、学宣文史委、科教文卫委、委员联络委组成。</w:t>
      </w:r>
    </w:p>
    <w:p>
      <w:pPr>
        <w:widowControl/>
        <w:numPr>
          <w:ilvl w:val="0"/>
          <w:numId w:val="0"/>
        </w:numPr>
        <w:tabs>
          <w:tab w:val="left" w:pos="534"/>
          <w:tab w:val="left" w:pos="699"/>
        </w:tabs>
        <w:adjustRightInd w:val="0"/>
        <w:snapToGrid w:val="0"/>
        <w:spacing w:line="54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（二）机构职能</w:t>
      </w:r>
    </w:p>
    <w:p>
      <w:pPr>
        <w:widowControl/>
        <w:numPr>
          <w:ilvl w:val="0"/>
          <w:numId w:val="0"/>
        </w:numPr>
        <w:adjustRightInd w:val="0"/>
        <w:snapToGrid w:val="0"/>
        <w:spacing w:line="54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eastAsia="zh-CN"/>
        </w:rPr>
        <w:t>政协</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公室</w:t>
      </w:r>
      <w:r>
        <w:rPr>
          <w:rFonts w:hint="eastAsia" w:ascii="仿宋_GB2312" w:hAnsi="仿宋_GB2312" w:eastAsia="仿宋_GB2312" w:cs="仿宋_GB2312"/>
          <w:sz w:val="32"/>
          <w:szCs w:val="32"/>
        </w:rPr>
        <w:t>是政协峨眉山市委员会的办事机构，承担为政协峨眉山市委员会履行职能的服务工作。主要是负责政协峨眉山市委员会全体会议、常委会议、主席会议和其它重要会议的筹备服务工作并执行会议的决定、决议；负责委员视察、调研、座谈等活动的服务以及专委会其它工作的服务；负责收集政协提案，并做好提案办理的服务工作等。</w:t>
      </w:r>
    </w:p>
    <w:p>
      <w:pPr>
        <w:widowControl/>
        <w:numPr>
          <w:ilvl w:val="0"/>
          <w:numId w:val="0"/>
        </w:numPr>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（三）人员概况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eastAsia="zh-CN"/>
        </w:rPr>
        <w:t>政协峨眉山市委员会办公室</w:t>
      </w:r>
      <w:r>
        <w:rPr>
          <w:rFonts w:hint="eastAsia" w:ascii="仿宋_GB2312" w:hAnsi="仿宋_GB2312" w:eastAsia="仿宋_GB2312" w:cs="仿宋_GB2312"/>
          <w:color w:val="000000"/>
          <w:kern w:val="0"/>
          <w:sz w:val="32"/>
          <w:szCs w:val="32"/>
          <w:shd w:val="clear" w:color="auto" w:fill="FFFFFF"/>
          <w:lang w:val="zh-CN"/>
        </w:rPr>
        <w:t>行政编制为17名，含3个工勤人员编制。截止201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年12月行政人员3</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人（其中1人工资关系未转入我单位），工勤人员</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人。</w:t>
      </w:r>
    </w:p>
    <w:p>
      <w:pPr>
        <w:widowControl/>
        <w:numPr>
          <w:ilvl w:val="0"/>
          <w:numId w:val="0"/>
        </w:numPr>
        <w:adjustRightInd w:val="0"/>
        <w:snapToGrid w:val="0"/>
        <w:spacing w:line="560" w:lineRule="exact"/>
        <w:ind w:left="720" w:leftChars="0"/>
        <w:contextualSpacing/>
        <w:jc w:val="left"/>
        <w:rPr>
          <w:rFonts w:hint="eastAsia" w:ascii="仿宋_GB2312" w:hAnsi="仿宋_GB2312" w:eastAsia="仿宋_GB2312" w:cs="仿宋_GB2312"/>
          <w:color w:val="000000"/>
          <w:kern w:val="0"/>
          <w:sz w:val="32"/>
          <w:szCs w:val="32"/>
          <w:shd w:val="clear" w:color="auto" w:fill="FFFFFF"/>
          <w:lang w:val="zh-CN"/>
        </w:rPr>
      </w:pP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年共收到财政资金</w:t>
      </w:r>
      <w:r>
        <w:rPr>
          <w:rFonts w:hint="eastAsia" w:ascii="仿宋_GB2312" w:hAnsi="仿宋_GB2312" w:eastAsia="仿宋_GB2312" w:cs="仿宋_GB2312"/>
          <w:color w:val="000000"/>
          <w:kern w:val="0"/>
          <w:sz w:val="32"/>
          <w:szCs w:val="32"/>
          <w:shd w:val="clear" w:color="auto" w:fill="FFFFFF"/>
          <w:lang w:val="en-US" w:eastAsia="zh-CN"/>
        </w:rPr>
        <w:t>9931226.67</w:t>
      </w:r>
      <w:r>
        <w:rPr>
          <w:rFonts w:hint="eastAsia" w:ascii="仿宋_GB2312" w:hAnsi="仿宋_GB2312" w:eastAsia="仿宋_GB2312" w:cs="仿宋_GB2312"/>
          <w:color w:val="000000"/>
          <w:kern w:val="0"/>
          <w:sz w:val="32"/>
          <w:szCs w:val="32"/>
          <w:shd w:val="clear" w:color="auto" w:fill="FFFFFF"/>
          <w:lang w:val="zh-CN"/>
        </w:rPr>
        <w:t>元，其中，项目经费</w:t>
      </w:r>
      <w:bookmarkStart w:id="59" w:name="OLE_LINK1"/>
      <w:r>
        <w:rPr>
          <w:rFonts w:hint="eastAsia" w:ascii="仿宋_GB2312" w:hAnsi="仿宋_GB2312" w:eastAsia="仿宋_GB2312" w:cs="仿宋_GB2312"/>
          <w:color w:val="000000"/>
          <w:kern w:val="0"/>
          <w:sz w:val="32"/>
          <w:szCs w:val="32"/>
          <w:shd w:val="clear" w:color="auto" w:fill="FFFFFF"/>
          <w:lang w:val="zh-CN"/>
        </w:rPr>
        <w:t>收入</w:t>
      </w:r>
      <w:bookmarkEnd w:id="59"/>
      <w:bookmarkStart w:id="60" w:name="OLE_LINK2"/>
      <w:r>
        <w:rPr>
          <w:rFonts w:hint="eastAsia" w:ascii="仿宋_GB2312" w:hAnsi="仿宋_GB2312" w:eastAsia="仿宋_GB2312" w:cs="仿宋_GB2312"/>
          <w:color w:val="000000"/>
          <w:kern w:val="0"/>
          <w:sz w:val="32"/>
          <w:szCs w:val="32"/>
          <w:shd w:val="clear" w:color="auto" w:fill="FFFFFF"/>
          <w:lang w:val="en-US" w:eastAsia="zh-CN"/>
        </w:rPr>
        <w:t>2089632.12</w:t>
      </w:r>
      <w:r>
        <w:rPr>
          <w:rFonts w:hint="eastAsia" w:ascii="仿宋_GB2312" w:hAnsi="仿宋_GB2312" w:eastAsia="仿宋_GB2312" w:cs="仿宋_GB2312"/>
          <w:color w:val="000000"/>
          <w:kern w:val="0"/>
          <w:sz w:val="32"/>
          <w:szCs w:val="32"/>
          <w:shd w:val="clear" w:color="auto" w:fill="FFFFFF"/>
          <w:lang w:val="zh-CN"/>
        </w:rPr>
        <w:t>元</w:t>
      </w:r>
      <w:bookmarkEnd w:id="60"/>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（二）部门财政资金支出情况</w:t>
      </w:r>
    </w:p>
    <w:p>
      <w:pPr>
        <w:widowControl/>
        <w:adjustRightInd w:val="0"/>
        <w:snapToGrid w:val="0"/>
        <w:spacing w:line="54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年共支出经费</w:t>
      </w:r>
      <w:r>
        <w:rPr>
          <w:rFonts w:hint="eastAsia" w:ascii="仿宋_GB2312" w:hAnsi="仿宋_GB2312" w:eastAsia="仿宋_GB2312" w:cs="仿宋_GB2312"/>
          <w:color w:val="000000"/>
          <w:kern w:val="0"/>
          <w:sz w:val="32"/>
          <w:szCs w:val="32"/>
          <w:shd w:val="clear" w:color="auto" w:fill="FFFFFF"/>
          <w:lang w:val="en-US" w:eastAsia="zh-CN"/>
        </w:rPr>
        <w:t>9964327.67</w:t>
      </w:r>
      <w:r>
        <w:rPr>
          <w:rFonts w:hint="eastAsia" w:ascii="仿宋_GB2312" w:hAnsi="仿宋_GB2312" w:eastAsia="仿宋_GB2312" w:cs="仿宋_GB2312"/>
          <w:color w:val="000000"/>
          <w:kern w:val="0"/>
          <w:sz w:val="32"/>
          <w:szCs w:val="32"/>
          <w:shd w:val="clear" w:color="auto" w:fill="FFFFFF"/>
          <w:lang w:val="zh-CN"/>
        </w:rPr>
        <w:t xml:space="preserve">元，其中，项目经费支出 </w:t>
      </w:r>
      <w:r>
        <w:rPr>
          <w:rFonts w:hint="eastAsia" w:ascii="仿宋_GB2312" w:hAnsi="仿宋_GB2312" w:eastAsia="仿宋_GB2312" w:cs="仿宋_GB2312"/>
          <w:color w:val="000000"/>
          <w:kern w:val="0"/>
          <w:sz w:val="32"/>
          <w:szCs w:val="32"/>
          <w:shd w:val="clear" w:color="auto" w:fill="FFFFFF"/>
          <w:lang w:val="en-US" w:eastAsia="zh-CN"/>
        </w:rPr>
        <w:t>2122733.12</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p>
    <w:p>
      <w:pPr>
        <w:widowControl/>
        <w:numPr>
          <w:ilvl w:val="0"/>
          <w:numId w:val="4"/>
        </w:numPr>
        <w:adjustRightInd w:val="0"/>
        <w:snapToGrid w:val="0"/>
        <w:spacing w:line="540" w:lineRule="exact"/>
        <w:ind w:firstLine="720"/>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部门整体预算绩效管理情况</w:t>
      </w:r>
    </w:p>
    <w:p>
      <w:pPr>
        <w:widowControl/>
        <w:numPr>
          <w:ilvl w:val="0"/>
          <w:numId w:val="0"/>
        </w:numPr>
        <w:adjustRightInd w:val="0"/>
        <w:snapToGrid w:val="0"/>
        <w:spacing w:line="540" w:lineRule="exact"/>
        <w:ind w:firstLine="640" w:firstLineChars="20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（一）预决算编制情况。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我办年初在职</w:t>
      </w:r>
      <w:r>
        <w:rPr>
          <w:rFonts w:hint="eastAsia" w:ascii="仿宋_GB2312" w:hAnsi="仿宋_GB2312" w:eastAsia="仿宋_GB2312" w:cs="仿宋_GB2312"/>
          <w:color w:val="000000"/>
          <w:kern w:val="0"/>
          <w:sz w:val="32"/>
          <w:szCs w:val="32"/>
          <w:shd w:val="clear" w:color="auto" w:fill="FFFFFF"/>
          <w:lang w:val="en-US" w:eastAsia="zh-CN"/>
        </w:rPr>
        <w:t>36</w:t>
      </w:r>
      <w:r>
        <w:rPr>
          <w:rFonts w:hint="eastAsia" w:ascii="仿宋_GB2312" w:hAnsi="仿宋_GB2312" w:eastAsia="仿宋_GB2312" w:cs="仿宋_GB2312"/>
          <w:color w:val="000000"/>
          <w:kern w:val="0"/>
          <w:sz w:val="32"/>
          <w:szCs w:val="32"/>
          <w:shd w:val="clear" w:color="auto" w:fill="FFFFFF"/>
          <w:lang w:val="zh-CN"/>
        </w:rPr>
        <w:t>人，在职人员与上年持平。201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决算结余结转</w:t>
      </w:r>
      <w:r>
        <w:rPr>
          <w:rFonts w:hint="eastAsia" w:ascii="仿宋_GB2312" w:hAnsi="仿宋_GB2312" w:eastAsia="仿宋_GB2312" w:cs="仿宋_GB2312"/>
          <w:color w:val="000000"/>
          <w:kern w:val="0"/>
          <w:sz w:val="32"/>
          <w:szCs w:val="32"/>
          <w:shd w:val="clear" w:color="auto" w:fill="FFFFFF"/>
          <w:lang w:val="en-US" w:eastAsia="zh-CN"/>
        </w:rPr>
        <w:t>81569.71</w:t>
      </w:r>
      <w:r>
        <w:rPr>
          <w:rFonts w:hint="eastAsia" w:ascii="仿宋_GB2312" w:hAnsi="仿宋_GB2312" w:eastAsia="仿宋_GB2312" w:cs="仿宋_GB2312"/>
          <w:color w:val="000000"/>
          <w:kern w:val="0"/>
          <w:sz w:val="32"/>
          <w:szCs w:val="32"/>
          <w:shd w:val="clear" w:color="auto" w:fill="FFFFFF"/>
          <w:lang w:val="zh-CN"/>
        </w:rPr>
        <w:t>，全部为基本支出结转。</w:t>
      </w:r>
    </w:p>
    <w:p>
      <w:pPr>
        <w:widowControl/>
        <w:adjustRightInd w:val="0"/>
        <w:snapToGrid w:val="0"/>
        <w:spacing w:line="540" w:lineRule="exact"/>
        <w:ind w:firstLine="72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（二）执行管理情况。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2019年1-3月已执行3332286.43元，占全年支出进度的33.44%，</w:t>
      </w: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年1-6月已执行</w:t>
      </w:r>
      <w:r>
        <w:rPr>
          <w:rFonts w:hint="eastAsia" w:ascii="仿宋_GB2312" w:hAnsi="仿宋_GB2312" w:eastAsia="仿宋_GB2312" w:cs="仿宋_GB2312"/>
          <w:color w:val="000000"/>
          <w:kern w:val="0"/>
          <w:sz w:val="32"/>
          <w:szCs w:val="32"/>
          <w:shd w:val="clear" w:color="auto" w:fill="FFFFFF"/>
          <w:lang w:val="en-US" w:eastAsia="zh-CN"/>
        </w:rPr>
        <w:t>6019185.52</w:t>
      </w:r>
      <w:r>
        <w:rPr>
          <w:rFonts w:hint="eastAsia" w:ascii="仿宋_GB2312" w:hAnsi="仿宋_GB2312" w:eastAsia="仿宋_GB2312" w:cs="仿宋_GB2312"/>
          <w:color w:val="000000"/>
          <w:kern w:val="0"/>
          <w:sz w:val="32"/>
          <w:szCs w:val="32"/>
          <w:shd w:val="clear" w:color="auto" w:fill="FFFFFF"/>
          <w:lang w:val="zh-CN"/>
        </w:rPr>
        <w:t>元，占全年支出进度的</w:t>
      </w:r>
      <w:r>
        <w:rPr>
          <w:rFonts w:hint="eastAsia" w:ascii="仿宋_GB2312" w:hAnsi="仿宋_GB2312" w:eastAsia="仿宋_GB2312" w:cs="仿宋_GB2312"/>
          <w:color w:val="000000"/>
          <w:kern w:val="0"/>
          <w:sz w:val="32"/>
          <w:szCs w:val="32"/>
          <w:shd w:val="clear" w:color="auto" w:fill="FFFFFF"/>
          <w:lang w:val="en-US" w:eastAsia="zh-CN"/>
        </w:rPr>
        <w:t>60.41</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2019年</w:t>
      </w:r>
      <w:r>
        <w:rPr>
          <w:rFonts w:hint="eastAsia"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月已执行</w:t>
      </w:r>
      <w:r>
        <w:rPr>
          <w:rFonts w:hint="eastAsia" w:ascii="仿宋_GB2312" w:hAnsi="仿宋_GB2312" w:eastAsia="仿宋_GB2312" w:cs="仿宋_GB2312"/>
          <w:color w:val="000000"/>
          <w:kern w:val="0"/>
          <w:sz w:val="32"/>
          <w:szCs w:val="32"/>
          <w:shd w:val="clear" w:color="auto" w:fill="FFFFFF"/>
          <w:lang w:val="en-US" w:eastAsia="zh-CN"/>
        </w:rPr>
        <w:t>7959723.48</w:t>
      </w:r>
      <w:r>
        <w:rPr>
          <w:rFonts w:hint="eastAsia" w:ascii="仿宋_GB2312" w:hAnsi="仿宋_GB2312" w:eastAsia="仿宋_GB2312" w:cs="仿宋_GB2312"/>
          <w:color w:val="000000"/>
          <w:kern w:val="0"/>
          <w:sz w:val="32"/>
          <w:szCs w:val="32"/>
          <w:shd w:val="clear" w:color="auto" w:fill="FFFFFF"/>
          <w:lang w:val="zh-CN"/>
        </w:rPr>
        <w:t>元，占全年支出进度的</w:t>
      </w:r>
      <w:r>
        <w:rPr>
          <w:rFonts w:hint="eastAsia" w:ascii="仿宋_GB2312" w:hAnsi="仿宋_GB2312" w:eastAsia="仿宋_GB2312" w:cs="仿宋_GB2312"/>
          <w:color w:val="000000"/>
          <w:kern w:val="0"/>
          <w:sz w:val="32"/>
          <w:szCs w:val="32"/>
          <w:shd w:val="clear" w:color="auto" w:fill="FFFFFF"/>
          <w:lang w:val="en-US" w:eastAsia="zh-CN"/>
        </w:rPr>
        <w:t>79.88</w:t>
      </w:r>
      <w:r>
        <w:rPr>
          <w:rFonts w:hint="eastAsia" w:ascii="仿宋_GB2312" w:hAnsi="仿宋_GB2312" w:eastAsia="仿宋_GB2312" w:cs="仿宋_GB2312"/>
          <w:color w:val="000000"/>
          <w:kern w:val="0"/>
          <w:sz w:val="32"/>
          <w:szCs w:val="32"/>
          <w:shd w:val="clear" w:color="auto" w:fill="FFFFFF"/>
          <w:lang w:val="zh-CN"/>
        </w:rPr>
        <w:t>%，全年共执行</w:t>
      </w:r>
      <w:r>
        <w:rPr>
          <w:rFonts w:hint="eastAsia" w:ascii="仿宋_GB2312" w:hAnsi="仿宋_GB2312" w:eastAsia="仿宋_GB2312" w:cs="仿宋_GB2312"/>
          <w:color w:val="000000"/>
          <w:kern w:val="0"/>
          <w:sz w:val="32"/>
          <w:szCs w:val="32"/>
          <w:shd w:val="clear" w:color="auto" w:fill="FFFFFF"/>
          <w:lang w:val="en-US" w:eastAsia="zh-CN"/>
        </w:rPr>
        <w:t>9964327.67</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40" w:lineRule="exact"/>
        <w:ind w:firstLine="72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（三）支出绩效情况。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1、部门支出绩效。</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（1）行政运转保障。</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经费及时到位保障了机关的正常运转、履行政府职能职责总体情况较好。</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（2）机关厉行节约。</w:t>
      </w:r>
    </w:p>
    <w:p>
      <w:pPr>
        <w:widowControl/>
        <w:adjustRightInd w:val="0"/>
        <w:snapToGrid w:val="0"/>
        <w:spacing w:line="540" w:lineRule="exact"/>
        <w:ind w:firstLine="720" w:firstLineChars="225"/>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我办无因公出国（境）费用、无车辆购置费。201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 xml:space="preserve">年车辆运行费为 </w:t>
      </w:r>
      <w:r>
        <w:rPr>
          <w:rFonts w:hint="eastAsia" w:ascii="仿宋_GB2312" w:hAnsi="仿宋_GB2312" w:eastAsia="仿宋_GB2312" w:cs="仿宋_GB2312"/>
          <w:color w:val="000000"/>
          <w:kern w:val="0"/>
          <w:sz w:val="32"/>
          <w:szCs w:val="32"/>
          <w:shd w:val="clear" w:color="auto" w:fill="FFFFFF"/>
          <w:lang w:val="en-US" w:eastAsia="zh-CN"/>
        </w:rPr>
        <w:t>17789.36</w:t>
      </w:r>
      <w:r>
        <w:rPr>
          <w:rFonts w:hint="eastAsia" w:ascii="仿宋_GB2312" w:hAnsi="仿宋_GB2312" w:eastAsia="仿宋_GB2312" w:cs="仿宋_GB2312"/>
          <w:color w:val="000000"/>
          <w:kern w:val="0"/>
          <w:sz w:val="32"/>
          <w:szCs w:val="32"/>
          <w:shd w:val="clear" w:color="auto" w:fill="FFFFFF"/>
          <w:lang w:val="zh-CN"/>
        </w:rPr>
        <w:t>元，比上年度减少</w:t>
      </w:r>
      <w:r>
        <w:rPr>
          <w:rFonts w:hint="eastAsia" w:ascii="仿宋_GB2312" w:hAnsi="仿宋_GB2312" w:eastAsia="仿宋_GB2312" w:cs="仿宋_GB2312"/>
          <w:color w:val="000000"/>
          <w:kern w:val="0"/>
          <w:sz w:val="32"/>
          <w:szCs w:val="32"/>
          <w:shd w:val="clear" w:color="auto" w:fill="FFFFFF"/>
          <w:lang w:val="en-US" w:eastAsia="zh-CN"/>
        </w:rPr>
        <w:t>188376.47</w:t>
      </w:r>
      <w:r>
        <w:rPr>
          <w:rFonts w:hint="eastAsia" w:ascii="仿宋_GB2312" w:hAnsi="仿宋_GB2312" w:eastAsia="仿宋_GB2312" w:cs="仿宋_GB2312"/>
          <w:color w:val="000000"/>
          <w:kern w:val="0"/>
          <w:sz w:val="32"/>
          <w:szCs w:val="32"/>
          <w:shd w:val="clear" w:color="auto" w:fill="FFFFFF"/>
          <w:lang w:val="zh-CN"/>
        </w:rPr>
        <w:t>元，主要原因是公务用车统一收归政府办管理；接待费为</w:t>
      </w:r>
      <w:r>
        <w:rPr>
          <w:rFonts w:hint="eastAsia" w:ascii="仿宋_GB2312" w:hAnsi="仿宋_GB2312" w:eastAsia="仿宋_GB2312" w:cs="仿宋_GB2312"/>
          <w:color w:val="000000"/>
          <w:kern w:val="0"/>
          <w:sz w:val="32"/>
          <w:szCs w:val="32"/>
          <w:shd w:val="clear" w:color="auto" w:fill="FFFFFF"/>
          <w:lang w:val="en-US" w:eastAsia="zh-CN"/>
        </w:rPr>
        <w:t>16902</w:t>
      </w:r>
      <w:r>
        <w:rPr>
          <w:rFonts w:hint="eastAsia" w:ascii="仿宋_GB2312" w:hAnsi="仿宋_GB2312" w:eastAsia="仿宋_GB2312" w:cs="仿宋_GB2312"/>
          <w:color w:val="000000"/>
          <w:kern w:val="0"/>
          <w:sz w:val="32"/>
          <w:szCs w:val="32"/>
          <w:shd w:val="clear" w:color="auto" w:fill="FFFFFF"/>
          <w:lang w:val="zh-CN"/>
        </w:rPr>
        <w:t>元，比上年度减少</w:t>
      </w:r>
      <w:r>
        <w:rPr>
          <w:rFonts w:hint="eastAsia" w:ascii="仿宋_GB2312" w:hAnsi="仿宋_GB2312" w:eastAsia="仿宋_GB2312" w:cs="仿宋_GB2312"/>
          <w:color w:val="000000"/>
          <w:kern w:val="0"/>
          <w:sz w:val="32"/>
          <w:szCs w:val="32"/>
          <w:shd w:val="clear" w:color="auto" w:fill="FFFFFF"/>
          <w:lang w:val="en-US" w:eastAsia="zh-CN"/>
        </w:rPr>
        <w:t>4163</w:t>
      </w:r>
      <w:r>
        <w:rPr>
          <w:rFonts w:hint="eastAsia" w:ascii="仿宋_GB2312" w:hAnsi="仿宋_GB2312" w:eastAsia="仿宋_GB2312" w:cs="仿宋_GB2312"/>
          <w:color w:val="000000"/>
          <w:kern w:val="0"/>
          <w:sz w:val="32"/>
          <w:szCs w:val="32"/>
          <w:shd w:val="clear" w:color="auto" w:fill="FFFFFF"/>
          <w:lang w:val="zh-CN"/>
        </w:rPr>
        <w:t>元，主要原因是严格执行中央八项规定，厉行节约。</w:t>
      </w:r>
    </w:p>
    <w:p>
      <w:pPr>
        <w:widowControl/>
        <w:adjustRightInd w:val="0"/>
        <w:snapToGrid w:val="0"/>
        <w:spacing w:line="540" w:lineRule="exact"/>
        <w:ind w:firstLine="72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（四）财务管理情况。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建立健全机关财务管理规章制度，实行财会分家，做到账账相符、账实相符，严格执行政府采购制度，严格遵守采购程序办理。</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w:t>
      </w:r>
      <w:r>
        <w:rPr>
          <w:rFonts w:hint="eastAsia" w:ascii="黑体" w:hAnsi="黑体" w:eastAsia="黑体" w:cs="黑体"/>
          <w:color w:val="000000"/>
          <w:kern w:val="0"/>
          <w:sz w:val="32"/>
          <w:szCs w:val="32"/>
          <w:shd w:val="clear" w:color="auto" w:fill="FFFFFF"/>
          <w:lang w:val="zh-CN"/>
        </w:rPr>
        <w:t>五）绩效管理工作开展情况</w:t>
      </w:r>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按照财政要求安排部门自评工作，严格自查自纠，对于发现的问题及时纠正，指导工作的正常有序开展。</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p>
    <w:p>
      <w:pPr>
        <w:widowControl/>
        <w:adjustRightInd w:val="0"/>
        <w:snapToGrid w:val="0"/>
        <w:spacing w:line="540" w:lineRule="exact"/>
        <w:ind w:firstLine="800" w:firstLineChars="25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四、评价结论及建议</w:t>
      </w:r>
    </w:p>
    <w:tbl>
      <w:tblPr>
        <w:tblStyle w:val="12"/>
        <w:tblW w:w="0" w:type="auto"/>
        <w:tblInd w:w="0" w:type="dxa"/>
        <w:tblLayout w:type="fixed"/>
        <w:tblCellMar>
          <w:top w:w="15" w:type="dxa"/>
          <w:left w:w="15" w:type="dxa"/>
          <w:bottom w:w="15" w:type="dxa"/>
          <w:right w:w="15" w:type="dxa"/>
        </w:tblCellMar>
      </w:tblPr>
      <w:tblGrid>
        <w:gridCol w:w="1509"/>
        <w:gridCol w:w="2977"/>
        <w:gridCol w:w="3496"/>
        <w:gridCol w:w="1223"/>
      </w:tblGrid>
      <w:tr>
        <w:tblPrEx>
          <w:tblCellMar>
            <w:top w:w="15" w:type="dxa"/>
            <w:left w:w="15" w:type="dxa"/>
            <w:bottom w:w="15" w:type="dxa"/>
            <w:right w:w="15"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rPr>
              <w:t>一级指标</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rPr>
              <w:t>二级指标</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rPr>
              <w:t>三级指标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得分</w:t>
            </w:r>
          </w:p>
        </w:tc>
      </w:tr>
      <w:tr>
        <w:tblPrEx>
          <w:tblCellMar>
            <w:top w:w="15" w:type="dxa"/>
            <w:left w:w="15" w:type="dxa"/>
            <w:bottom w:w="15" w:type="dxa"/>
            <w:right w:w="15" w:type="dxa"/>
          </w:tblCellMar>
        </w:tblPrEx>
        <w:trPr>
          <w:trHeight w:val="45" w:hRule="atLeast"/>
        </w:trPr>
        <w:tc>
          <w:tcPr>
            <w:tcW w:w="15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预算编制（2</w:t>
            </w:r>
            <w:r>
              <w:rPr>
                <w:rStyle w:val="30"/>
                <w:rFonts w:hint="eastAsia" w:ascii="仿宋_GB2312" w:hAnsi="仿宋_GB2312" w:eastAsia="仿宋_GB2312" w:cs="仿宋_GB2312"/>
                <w:sz w:val="32"/>
                <w:szCs w:val="32"/>
              </w:rPr>
              <w:t>5分）</w:t>
            </w:r>
          </w:p>
        </w:tc>
        <w:tc>
          <w:tcPr>
            <w:tcW w:w="297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报送时效（3分）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基础信息更新（2分）</w:t>
            </w:r>
          </w:p>
        </w:tc>
        <w:tc>
          <w:tcPr>
            <w:tcW w:w="122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continue"/>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预算草案报送（1分）</w:t>
            </w:r>
          </w:p>
        </w:tc>
        <w:tc>
          <w:tcPr>
            <w:tcW w:w="122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编制质量（8分）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预算编制准确（3分）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预算执行调整（3分）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部门预算审查（2分）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绩效目标（5分）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绩效目标编制（5分）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专项预算提前细化（5分）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★预控指标细化（5分）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r>
      <w:tr>
        <w:tblPrEx>
          <w:tblCellMar>
            <w:top w:w="15" w:type="dxa"/>
            <w:left w:w="15" w:type="dxa"/>
            <w:bottom w:w="15" w:type="dxa"/>
            <w:right w:w="15" w:type="dxa"/>
          </w:tblCellMar>
        </w:tblPrEx>
        <w:trPr>
          <w:trHeight w:val="45" w:hRule="atLeast"/>
        </w:trPr>
        <w:tc>
          <w:tcPr>
            <w:tcW w:w="15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预算公开（4分）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公开内容（4分）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r>
      <w:tr>
        <w:tblPrEx>
          <w:tblCellMar>
            <w:top w:w="15" w:type="dxa"/>
            <w:left w:w="15" w:type="dxa"/>
            <w:bottom w:w="15" w:type="dxa"/>
            <w:right w:w="15" w:type="dxa"/>
          </w:tblCellMar>
        </w:tblPrEx>
        <w:trPr>
          <w:trHeight w:val="45" w:hRule="atLeast"/>
        </w:trPr>
        <w:tc>
          <w:tcPr>
            <w:tcW w:w="150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w:t>
            </w:r>
            <w:r>
              <w:rPr>
                <w:rStyle w:val="30"/>
                <w:rFonts w:hint="eastAsia" w:ascii="仿宋_GB2312" w:hAnsi="仿宋_GB2312" w:eastAsia="仿宋_GB2312" w:cs="仿宋_GB2312"/>
                <w:sz w:val="32"/>
                <w:szCs w:val="32"/>
              </w:rPr>
              <w:t>35分）</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绩效分配（10分）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★项目绩效分配（1</w:t>
            </w:r>
            <w:r>
              <w:rPr>
                <w:rStyle w:val="30"/>
                <w:rFonts w:hint="eastAsia" w:ascii="仿宋_GB2312" w:hAnsi="仿宋_GB2312" w:eastAsia="仿宋_GB2312" w:cs="仿宋_GB2312"/>
                <w:sz w:val="32"/>
                <w:szCs w:val="32"/>
              </w:rPr>
              <w:t>0分）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执行进度（1</w:t>
            </w:r>
            <w:r>
              <w:rPr>
                <w:rStyle w:val="30"/>
                <w:rFonts w:hint="eastAsia" w:ascii="仿宋_GB2312" w:hAnsi="仿宋_GB2312" w:eastAsia="仿宋_GB2312" w:cs="仿宋_GB2312"/>
                <w:sz w:val="32"/>
                <w:szCs w:val="32"/>
              </w:rPr>
              <w:t>0分）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6月执行进度（</w:t>
            </w:r>
            <w:r>
              <w:rPr>
                <w:rStyle w:val="30"/>
                <w:rFonts w:hint="eastAsia" w:ascii="仿宋_GB2312" w:hAnsi="仿宋_GB2312" w:eastAsia="仿宋_GB2312" w:cs="仿宋_GB2312"/>
                <w:sz w:val="32"/>
                <w:szCs w:val="32"/>
              </w:rPr>
              <w:t>3分）</w:t>
            </w:r>
          </w:p>
        </w:tc>
        <w:tc>
          <w:tcPr>
            <w:tcW w:w="122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9月执行进度（4分）</w:t>
            </w:r>
          </w:p>
        </w:tc>
        <w:tc>
          <w:tcPr>
            <w:tcW w:w="122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r>
              <w:rPr>
                <w:rStyle w:val="30"/>
                <w:rFonts w:hint="eastAsia" w:ascii="仿宋_GB2312" w:hAnsi="仿宋_GB2312" w:eastAsia="仿宋_GB2312" w:cs="仿宋_GB2312"/>
                <w:sz w:val="32"/>
                <w:szCs w:val="32"/>
              </w:rPr>
              <w:t>2月执行进度（3分）</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预算调整（9分）</w:t>
            </w:r>
          </w:p>
        </w:tc>
        <w:tc>
          <w:tcPr>
            <w:tcW w:w="3496" w:type="dxa"/>
            <w:tcBorders>
              <w:top w:val="single" w:color="000000" w:sz="4" w:space="0"/>
              <w:left w:val="single" w:color="000000" w:sz="4" w:space="0"/>
              <w:bottom w:val="single" w:color="000000" w:sz="4" w:space="0"/>
              <w:right w:val="single" w:color="auto" w:sz="4" w:space="0"/>
            </w:tcBorders>
            <w:noWrap w:val="0"/>
            <w:vAlign w:val="top"/>
          </w:tcPr>
          <w:p>
            <w:pPr>
              <w:widowControl/>
              <w:adjustRightInd w:val="0"/>
              <w:snapToGrid w:val="0"/>
              <w:spacing w:line="5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执行中期评估（9分）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p>
        </w:tc>
        <w:tc>
          <w:tcPr>
            <w:tcW w:w="297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行政成本（6分）</w:t>
            </w: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节能降耗（3分）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廉洁行政（3分）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支出绩效（</w:t>
            </w:r>
            <w:r>
              <w:rPr>
                <w:rStyle w:val="30"/>
                <w:rFonts w:hint="eastAsia" w:ascii="仿宋_GB2312" w:hAnsi="仿宋_GB2312" w:eastAsia="仿宋_GB2312" w:cs="仿宋_GB2312"/>
                <w:sz w:val="32"/>
                <w:szCs w:val="32"/>
              </w:rPr>
              <w:t>40分）</w:t>
            </w:r>
          </w:p>
        </w:tc>
        <w:tc>
          <w:tcPr>
            <w:tcW w:w="2977"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绩效评价（2</w:t>
            </w:r>
            <w:r>
              <w:rPr>
                <w:rStyle w:val="30"/>
                <w:rFonts w:hint="eastAsia" w:ascii="仿宋_GB2312" w:hAnsi="仿宋_GB2312" w:eastAsia="仿宋_GB2312" w:cs="仿宋_GB2312"/>
                <w:sz w:val="32"/>
                <w:szCs w:val="32"/>
              </w:rPr>
              <w:t>8分）</w:t>
            </w: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部门预算绩效评价（1</w:t>
            </w:r>
            <w:r>
              <w:rPr>
                <w:rStyle w:val="30"/>
                <w:rFonts w:hint="eastAsia" w:ascii="仿宋_GB2312" w:hAnsi="仿宋_GB2312" w:eastAsia="仿宋_GB2312" w:cs="仿宋_GB2312"/>
                <w:sz w:val="32"/>
                <w:szCs w:val="32"/>
              </w:rPr>
              <w:t>4分）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p>
        </w:tc>
        <w:tc>
          <w:tcPr>
            <w:tcW w:w="2977"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★专项预算项目绩效评价（1</w:t>
            </w:r>
            <w:r>
              <w:rPr>
                <w:rStyle w:val="30"/>
                <w:rFonts w:hint="eastAsia" w:ascii="仿宋_GB2312" w:hAnsi="仿宋_GB2312" w:eastAsia="仿宋_GB2312" w:cs="仿宋_GB2312"/>
                <w:sz w:val="32"/>
                <w:szCs w:val="32"/>
              </w:rPr>
              <w:t>4分）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决算审查（2</w:t>
            </w:r>
            <w:r>
              <w:rPr>
                <w:rStyle w:val="30"/>
                <w:rFonts w:hint="eastAsia" w:ascii="仿宋_GB2312" w:hAnsi="仿宋_GB2312" w:eastAsia="仿宋_GB2312" w:cs="仿宋_GB2312"/>
                <w:sz w:val="32"/>
                <w:szCs w:val="32"/>
              </w:rPr>
              <w:t>分）</w:t>
            </w:r>
          </w:p>
        </w:tc>
        <w:tc>
          <w:tcPr>
            <w:tcW w:w="3496" w:type="dxa"/>
            <w:tcBorders>
              <w:top w:val="single" w:color="000000" w:sz="4" w:space="0"/>
              <w:left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部门决算差错率（2分）</w:t>
            </w:r>
          </w:p>
        </w:tc>
        <w:tc>
          <w:tcPr>
            <w:tcW w:w="1223" w:type="dxa"/>
            <w:tcBorders>
              <w:top w:val="single" w:color="000000" w:sz="4" w:space="0"/>
              <w:left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决算公开（3分）</w:t>
            </w:r>
          </w:p>
        </w:tc>
        <w:tc>
          <w:tcPr>
            <w:tcW w:w="3496" w:type="dxa"/>
            <w:tcBorders>
              <w:top w:val="single" w:color="000000" w:sz="4" w:space="0"/>
              <w:left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公开内容（3分）</w:t>
            </w:r>
          </w:p>
        </w:tc>
        <w:tc>
          <w:tcPr>
            <w:tcW w:w="1223" w:type="dxa"/>
            <w:tcBorders>
              <w:top w:val="single" w:color="000000" w:sz="4" w:space="0"/>
              <w:left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结余注销（3分）</w:t>
            </w: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结余注销率（3分）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r>
      <w:tr>
        <w:tblPrEx>
          <w:tblCellMar>
            <w:top w:w="15" w:type="dxa"/>
            <w:left w:w="15" w:type="dxa"/>
            <w:bottom w:w="15" w:type="dxa"/>
            <w:right w:w="15" w:type="dxa"/>
          </w:tblCellMar>
        </w:tblPrEx>
        <w:trPr>
          <w:trHeight w:val="45" w:hRule="atLeast"/>
        </w:trPr>
        <w:tc>
          <w:tcPr>
            <w:tcW w:w="1509" w:type="dxa"/>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p>
        </w:tc>
        <w:tc>
          <w:tcPr>
            <w:tcW w:w="2977"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绩效管理（4分）</w:t>
            </w: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工作开展（4分）</w:t>
            </w: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r>
      <w:tr>
        <w:tblPrEx>
          <w:tblCellMar>
            <w:top w:w="15" w:type="dxa"/>
            <w:left w:w="15" w:type="dxa"/>
            <w:bottom w:w="15" w:type="dxa"/>
            <w:right w:w="15" w:type="dxa"/>
          </w:tblCellMar>
        </w:tblPrEx>
        <w:trPr>
          <w:trHeight w:val="45" w:hRule="atLeast"/>
        </w:trPr>
        <w:tc>
          <w:tcPr>
            <w:tcW w:w="150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合计</w:t>
            </w:r>
          </w:p>
        </w:tc>
        <w:tc>
          <w:tcPr>
            <w:tcW w:w="2977"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仿宋_GB2312" w:hAnsi="仿宋_GB2312" w:eastAsia="仿宋_GB2312" w:cs="仿宋_GB2312"/>
                <w:color w:val="000000"/>
                <w:sz w:val="32"/>
                <w:szCs w:val="32"/>
              </w:rPr>
            </w:pPr>
          </w:p>
        </w:tc>
        <w:tc>
          <w:tcPr>
            <w:tcW w:w="3496"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仿宋_GB2312" w:hAnsi="仿宋_GB2312" w:eastAsia="仿宋_GB2312" w:cs="仿宋_GB2312"/>
                <w:color w:val="000000"/>
                <w:kern w:val="0"/>
                <w:sz w:val="32"/>
                <w:szCs w:val="32"/>
              </w:rPr>
            </w:pPr>
          </w:p>
        </w:tc>
        <w:tc>
          <w:tcPr>
            <w:tcW w:w="122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90</w:t>
            </w:r>
          </w:p>
        </w:tc>
      </w:tr>
    </w:tbl>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财政经费使用良好，有效的保障机关正常运转。以后加强绩效评价工作，使财政资金更好地用到刀刃上。</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p>
    <w:p>
      <w:pPr>
        <w:widowControl/>
        <w:adjustRightInd w:val="0"/>
        <w:snapToGrid w:val="0"/>
        <w:spacing w:line="560" w:lineRule="exact"/>
        <w:contextualSpacing/>
        <w:jc w:val="left"/>
        <w:rPr>
          <w:rFonts w:hint="eastAsia" w:ascii="仿宋_GB2312" w:hAnsi="仿宋_GB2312" w:eastAsia="仿宋_GB2312" w:cs="仿宋_GB2312"/>
          <w:color w:val="000000"/>
          <w:kern w:val="0"/>
          <w:sz w:val="32"/>
          <w:szCs w:val="32"/>
          <w:shd w:val="clear" w:color="auto" w:fill="FFFFFF"/>
          <w:lang w:val="zh-CN"/>
        </w:rPr>
      </w:pPr>
    </w:p>
    <w:p>
      <w:pPr>
        <w:spacing w:line="600" w:lineRule="exact"/>
        <w:jc w:val="left"/>
        <w:outlineLvl w:val="0"/>
        <w:rPr>
          <w:rFonts w:hint="eastAsia" w:ascii="仿宋_GB2312" w:hAnsi="仿宋_GB2312" w:eastAsia="仿宋_GB2312" w:cs="仿宋_GB2312"/>
          <w:sz w:val="32"/>
          <w:szCs w:val="32"/>
        </w:rPr>
      </w:pPr>
    </w:p>
    <w:p>
      <w:pPr>
        <w:spacing w:line="580" w:lineRule="exact"/>
        <w:jc w:val="center"/>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80" w:lineRule="exact"/>
        <w:ind w:firstLine="640" w:firstLineChars="200"/>
        <w:rPr>
          <w:rFonts w:hint="eastAsia" w:ascii="仿宋_GB2312" w:hAnsi="仿宋_GB2312" w:eastAsia="仿宋_GB2312" w:cs="仿宋_GB2312"/>
          <w:sz w:val="32"/>
          <w:szCs w:val="32"/>
        </w:rPr>
      </w:pPr>
    </w:p>
    <w:p>
      <w:pPr>
        <w:widowControl/>
        <w:spacing w:line="560" w:lineRule="exact"/>
        <w:contextualSpacing/>
        <w:jc w:val="center"/>
        <w:rPr>
          <w:rFonts w:hint="eastAsia" w:ascii="方正小标宋简体" w:hAnsi="宋体" w:eastAsia="方正小标宋简体"/>
          <w:b/>
          <w:sz w:val="44"/>
          <w:szCs w:val="44"/>
          <w:shd w:val="clear" w:color="auto" w:fill="FFFFFF"/>
          <w:lang w:val="en-US" w:eastAsia="zh-CN"/>
        </w:rPr>
      </w:pPr>
      <w:r>
        <w:rPr>
          <w:rFonts w:hint="eastAsia" w:ascii="方正小标宋简体" w:hAnsi="宋体" w:eastAsia="方正小标宋简体"/>
          <w:b/>
          <w:sz w:val="44"/>
          <w:szCs w:val="44"/>
          <w:shd w:val="clear" w:color="auto" w:fill="FFFFFF"/>
          <w:lang w:val="en-US" w:eastAsia="zh-CN"/>
        </w:rPr>
        <w:t>政协峨眉山市委员会办公室</w:t>
      </w:r>
    </w:p>
    <w:p>
      <w:pPr>
        <w:widowControl/>
        <w:spacing w:line="560" w:lineRule="exact"/>
        <w:contextualSpacing/>
        <w:jc w:val="center"/>
        <w:rPr>
          <w:rFonts w:hint="eastAsia" w:ascii="方正小标宋简体" w:hAnsi="宋体" w:eastAsia="方正小标宋简体"/>
          <w:b/>
          <w:sz w:val="44"/>
          <w:szCs w:val="44"/>
          <w:shd w:val="clear" w:color="auto" w:fill="FFFFFF"/>
          <w:lang w:val="en-US" w:eastAsia="zh-CN"/>
        </w:rPr>
      </w:pPr>
      <w:r>
        <w:rPr>
          <w:rFonts w:hint="eastAsia" w:ascii="方正小标宋简体" w:hAnsi="宋体" w:eastAsia="方正小标宋简体"/>
          <w:b/>
          <w:sz w:val="44"/>
          <w:szCs w:val="44"/>
          <w:shd w:val="clear" w:color="auto" w:fill="FFFFFF"/>
          <w:lang w:val="en-US" w:eastAsia="zh-CN"/>
        </w:rPr>
        <w:t>项目支出绩效自评报告</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历代名人与峨眉山》（下）</w:t>
      </w:r>
    </w:p>
    <w:p>
      <w:pPr>
        <w:pStyle w:val="31"/>
        <w:spacing w:line="600" w:lineRule="exact"/>
        <w:ind w:firstLine="640"/>
        <w:jc w:val="center"/>
        <w:rPr>
          <w:rFonts w:hint="eastAsia" w:ascii="仿宋_GB2312" w:hAnsi="仿宋_GB2312" w:eastAsia="仿宋_GB2312" w:cs="仿宋_GB2312"/>
          <w:color w:val="auto"/>
          <w:kern w:val="2"/>
          <w:sz w:val="32"/>
          <w:szCs w:val="32"/>
        </w:rPr>
      </w:pP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历代名人与峨眉山</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文史资料的整理、收集、出版，在资金的申报使用上，严格按程序进行申报和使用，专款专用。</w:t>
      </w:r>
      <w:r>
        <w:rPr>
          <w:rFonts w:hint="eastAsia" w:ascii="仿宋_GB2312" w:hAnsi="仿宋_GB2312" w:eastAsia="仿宋_GB2312" w:cs="仿宋_GB2312"/>
          <w:sz w:val="32"/>
          <w:szCs w:val="32"/>
          <w:lang w:val="zh-CN"/>
        </w:rPr>
        <w:t>符合资金管理办法等相关规定。</w:t>
      </w:r>
    </w:p>
    <w:p>
      <w:pPr>
        <w:adjustRightInd w:val="0"/>
        <w:snapToGrid w:val="0"/>
        <w:spacing w:line="600" w:lineRule="exact"/>
        <w:ind w:firstLine="720"/>
        <w:rPr>
          <w:rFonts w:hint="eastAsia" w:ascii="黑体" w:hAnsi="黑体" w:eastAsia="黑体" w:cs="黑体"/>
          <w:sz w:val="32"/>
          <w:szCs w:val="32"/>
          <w:lang w:val="zh-CN"/>
        </w:rPr>
      </w:pPr>
      <w:r>
        <w:rPr>
          <w:rFonts w:hint="eastAsia" w:ascii="仿宋_GB2312" w:hAnsi="仿宋_GB2312" w:eastAsia="仿宋_GB2312" w:cs="仿宋_GB2312"/>
          <w:sz w:val="32"/>
          <w:szCs w:val="32"/>
          <w:lang w:val="zh-CN"/>
        </w:rPr>
        <w:t>（</w:t>
      </w:r>
      <w:r>
        <w:rPr>
          <w:rFonts w:hint="eastAsia" w:ascii="黑体" w:hAnsi="黑体" w:eastAsia="黑体" w:cs="黑体"/>
          <w:sz w:val="32"/>
          <w:szCs w:val="32"/>
          <w:lang w:val="zh-CN"/>
        </w:rPr>
        <w:t>二）项目绩效目标</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历代名人与峨眉山》（上、中、下），文史资料编辑，每集10多万字，共计30多万字。经过2018、2019、2020年三年努力，发动文史委员、文史研究员、文史爱好者广泛搜集整理历代名人与峨眉山的资料，共辑录从唐代以来114位名士、高僧、学者、官吏和政要与峨眉山的相关史实资料。2020年</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历代名人与峨眉山</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已编辑完成。为“存史、资政、团结、育人”和我市文旅兴市、融入成渝双城经济圈、打造巴蜀文化走廊提供了坚实的基础。对于山城一体，建设国际旅游目的地起到了积极的推动作用。促进了</w:t>
      </w:r>
      <w:r>
        <w:rPr>
          <w:rFonts w:hint="eastAsia" w:ascii="仿宋_GB2312" w:hAnsi="仿宋_GB2312" w:eastAsia="仿宋_GB2312" w:cs="仿宋_GB2312"/>
          <w:sz w:val="32"/>
          <w:szCs w:val="32"/>
        </w:rPr>
        <w:t xml:space="preserve">以“儒释道食茶武药” </w:t>
      </w:r>
      <w:r>
        <w:rPr>
          <w:rFonts w:hint="eastAsia" w:ascii="仿宋_GB2312" w:hAnsi="仿宋_GB2312" w:eastAsia="仿宋_GB2312" w:cs="仿宋_GB2312"/>
          <w:sz w:val="32"/>
          <w:szCs w:val="32"/>
          <w:lang w:val="en-US" w:eastAsia="zh-CN"/>
        </w:rPr>
        <w:t>的研究工作，</w:t>
      </w:r>
      <w:r>
        <w:rPr>
          <w:rFonts w:hint="eastAsia" w:ascii="仿宋_GB2312" w:hAnsi="仿宋_GB2312" w:eastAsia="仿宋_GB2312" w:cs="仿宋_GB2312"/>
          <w:sz w:val="32"/>
          <w:szCs w:val="32"/>
        </w:rPr>
        <w:t>进一步挖掘、传承、利用、推广峨眉山市地方文化，为峨眉山市发展献计献策，推动“峨眉文化”融入“社会肌理”。发挥</w:t>
      </w:r>
      <w:r>
        <w:rPr>
          <w:rFonts w:hint="eastAsia" w:ascii="仿宋_GB2312" w:hAnsi="仿宋_GB2312" w:eastAsia="仿宋_GB2312" w:cs="仿宋_GB2312"/>
          <w:sz w:val="32"/>
          <w:szCs w:val="32"/>
          <w:lang w:val="en-US" w:eastAsia="zh-CN"/>
        </w:rPr>
        <w:t>名人</w:t>
      </w:r>
      <w:r>
        <w:rPr>
          <w:rFonts w:hint="eastAsia" w:ascii="仿宋_GB2312" w:hAnsi="仿宋_GB2312" w:eastAsia="仿宋_GB2312" w:cs="仿宋_GB2312"/>
          <w:sz w:val="32"/>
          <w:szCs w:val="32"/>
        </w:rPr>
        <w:t>资料在促进全市经济社会发展中的作用，</w:t>
      </w:r>
      <w:r>
        <w:rPr>
          <w:rFonts w:hint="eastAsia" w:ascii="仿宋_GB2312" w:hAnsi="仿宋_GB2312" w:eastAsia="仿宋_GB2312" w:cs="仿宋_GB2312"/>
          <w:sz w:val="32"/>
          <w:szCs w:val="32"/>
          <w:lang w:val="en-US" w:eastAsia="zh-CN"/>
        </w:rPr>
        <w:t>在天府旅游名县、“双创”、</w:t>
      </w:r>
      <w:r>
        <w:rPr>
          <w:rFonts w:hint="eastAsia" w:ascii="仿宋_GB2312" w:hAnsi="仿宋_GB2312" w:eastAsia="仿宋_GB2312" w:cs="仿宋_GB2312"/>
          <w:sz w:val="32"/>
          <w:szCs w:val="32"/>
        </w:rPr>
        <w:t>饿涝堰恢复改造工程</w:t>
      </w:r>
      <w:r>
        <w:rPr>
          <w:rFonts w:hint="eastAsia" w:ascii="仿宋_GB2312" w:hAnsi="仿宋_GB2312" w:eastAsia="仿宋_GB2312" w:cs="仿宋_GB2312"/>
          <w:sz w:val="32"/>
          <w:szCs w:val="32"/>
          <w:lang w:val="en-US" w:eastAsia="zh-CN"/>
        </w:rPr>
        <w:t>等工作中作出了应有的贡献，</w:t>
      </w:r>
      <w:r>
        <w:rPr>
          <w:rFonts w:hint="eastAsia" w:ascii="仿宋_GB2312" w:hAnsi="仿宋_GB2312" w:eastAsia="仿宋_GB2312" w:cs="仿宋_GB2312"/>
          <w:sz w:val="32"/>
          <w:szCs w:val="32"/>
        </w:rPr>
        <w:t>加快建设世界重要旅游目的地和中国国际佛教文化旅游目的地的建设。</w:t>
      </w:r>
    </w:p>
    <w:p>
      <w:pPr>
        <w:adjustRightInd w:val="0"/>
        <w:snapToGrid w:val="0"/>
        <w:spacing w:line="60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（三）项目资金申报相符性</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历代名人与峨眉山</w:t>
      </w:r>
      <w:r>
        <w:rPr>
          <w:rFonts w:hint="eastAsia" w:ascii="仿宋_GB2312" w:hAnsi="仿宋_GB2312" w:eastAsia="仿宋_GB2312" w:cs="仿宋_GB2312"/>
          <w:sz w:val="32"/>
          <w:szCs w:val="32"/>
          <w:lang w:val="zh-CN"/>
        </w:rPr>
        <w:t>》项目申报内容与具体实施内容相符，</w:t>
      </w:r>
      <w:r>
        <w:rPr>
          <w:rFonts w:hint="eastAsia" w:ascii="仿宋_GB2312" w:hAnsi="仿宋_GB2312" w:eastAsia="仿宋_GB2312" w:cs="仿宋_GB2312"/>
          <w:sz w:val="32"/>
          <w:szCs w:val="32"/>
          <w:lang w:val="en-US" w:eastAsia="zh-CN"/>
        </w:rPr>
        <w:t>从具体实施工作看，</w:t>
      </w:r>
      <w:r>
        <w:rPr>
          <w:rFonts w:hint="eastAsia" w:ascii="仿宋_GB2312" w:hAnsi="仿宋_GB2312" w:eastAsia="仿宋_GB2312" w:cs="仿宋_GB2312"/>
          <w:sz w:val="32"/>
          <w:szCs w:val="32"/>
          <w:lang w:val="zh-CN"/>
        </w:rPr>
        <w:t>申报目标合理可行。</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600" w:lineRule="exact"/>
        <w:ind w:firstLine="720"/>
        <w:rPr>
          <w:rFonts w:hint="eastAsia" w:ascii="黑体" w:hAnsi="黑体" w:eastAsia="黑体" w:cs="黑体"/>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w:t>
      </w:r>
      <w:r>
        <w:rPr>
          <w:rFonts w:hint="eastAsia" w:ascii="黑体" w:hAnsi="黑体" w:eastAsia="黑体" w:cs="黑体"/>
          <w:sz w:val="32"/>
          <w:szCs w:val="32"/>
          <w:lang w:val="zh-CN"/>
        </w:rPr>
        <w:t>一）资金计划、到位及使用情况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lang w:val="en-US" w:eastAsia="zh-CN"/>
        </w:rPr>
        <w:t>每年的10月份，市政协办对项目资金进行申报，5月份前资金</w:t>
      </w:r>
      <w:r>
        <w:rPr>
          <w:rFonts w:hint="eastAsia" w:ascii="仿宋_GB2312" w:hAnsi="仿宋_GB2312" w:eastAsia="仿宋_GB2312" w:cs="仿宋_GB2312"/>
          <w:sz w:val="32"/>
          <w:szCs w:val="32"/>
          <w:lang w:val="zh-CN"/>
        </w:rPr>
        <w:t>实际及时到位。</w:t>
      </w:r>
      <w:r>
        <w:rPr>
          <w:rFonts w:hint="eastAsia" w:ascii="仿宋_GB2312" w:hAnsi="仿宋_GB2312" w:eastAsia="仿宋_GB2312" w:cs="仿宋_GB2312"/>
          <w:sz w:val="32"/>
          <w:szCs w:val="32"/>
          <w:lang w:val="en-US" w:eastAsia="zh-CN"/>
        </w:rPr>
        <w:t>使项目能够正常实施开展。</w:t>
      </w:r>
      <w:r>
        <w:rPr>
          <w:rFonts w:hint="eastAsia" w:ascii="仿宋_GB2312" w:hAnsi="仿宋_GB2312" w:eastAsia="仿宋_GB2312" w:cs="仿宋_GB2312"/>
          <w:sz w:val="32"/>
          <w:szCs w:val="32"/>
          <w:lang w:val="zh-CN"/>
        </w:rPr>
        <w:t>资金到位率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lang w:val="en-US" w:eastAsia="zh-CN"/>
        </w:rPr>
        <w:t>严格按资金使用要求，做到专款专用。</w:t>
      </w:r>
      <w:r>
        <w:rPr>
          <w:rFonts w:hint="eastAsia" w:ascii="仿宋_GB2312" w:hAnsi="仿宋_GB2312" w:eastAsia="仿宋_GB2312" w:cs="仿宋_GB2312"/>
          <w:sz w:val="32"/>
          <w:szCs w:val="32"/>
          <w:lang w:val="zh-CN"/>
        </w:rPr>
        <w:t>截止</w:t>
      </w:r>
      <w:r>
        <w:rPr>
          <w:rFonts w:hint="eastAsia" w:ascii="仿宋_GB2312" w:hAnsi="仿宋_GB2312" w:eastAsia="仿宋_GB2312" w:cs="仿宋_GB2312"/>
          <w:sz w:val="32"/>
          <w:szCs w:val="32"/>
          <w:lang w:val="en-US" w:eastAsia="zh-CN"/>
        </w:rPr>
        <w:t>2019年12月，</w:t>
      </w:r>
      <w:r>
        <w:rPr>
          <w:rFonts w:hint="eastAsia" w:ascii="仿宋_GB2312" w:hAnsi="仿宋_GB2312" w:eastAsia="仿宋_GB2312" w:cs="仿宋_GB2312"/>
          <w:sz w:val="32"/>
          <w:szCs w:val="32"/>
          <w:lang w:val="zh-CN"/>
        </w:rPr>
        <w:t>项目资金实际支出</w:t>
      </w:r>
      <w:r>
        <w:rPr>
          <w:rFonts w:hint="eastAsia" w:ascii="仿宋_GB2312" w:hAnsi="仿宋_GB2312" w:eastAsia="仿宋_GB2312" w:cs="仿宋_GB2312"/>
          <w:sz w:val="32"/>
          <w:szCs w:val="32"/>
          <w:lang w:val="en-US" w:eastAsia="zh-CN"/>
        </w:rPr>
        <w:t>45753.4元</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为编印费、作者稿费，按进度及时拨付到位</w:t>
      </w:r>
      <w:r>
        <w:rPr>
          <w:rFonts w:hint="eastAsia" w:ascii="仿宋_GB2312" w:hAnsi="仿宋_GB2312" w:eastAsia="仿宋_GB2312" w:cs="仿宋_GB2312"/>
          <w:sz w:val="32"/>
          <w:szCs w:val="32"/>
          <w:lang w:val="zh-CN"/>
        </w:rPr>
        <w:t>，资金支付</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val="zh-CN"/>
        </w:rPr>
        <w:t>预算相符。</w:t>
      </w:r>
      <w:r>
        <w:rPr>
          <w:rFonts w:hint="eastAsia" w:ascii="仿宋_GB2312" w:hAnsi="仿宋_GB2312" w:eastAsia="仿宋_GB2312" w:cs="仿宋_GB2312"/>
          <w:sz w:val="32"/>
          <w:szCs w:val="32"/>
          <w:lang w:val="en-US" w:eastAsia="zh-CN"/>
        </w:rPr>
        <w:t>资料印制严格按规定执行政府采购，进行询价谈判、签订合同、严格进行验收。稿费</w:t>
      </w:r>
      <w:r>
        <w:rPr>
          <w:rFonts w:hint="eastAsia" w:ascii="仿宋_GB2312" w:hAnsi="仿宋_GB2312" w:eastAsia="仿宋_GB2312" w:cs="仿宋_GB2312"/>
          <w:sz w:val="32"/>
          <w:szCs w:val="32"/>
          <w:lang w:val="zh-CN"/>
        </w:rPr>
        <w:t>支付依据</w:t>
      </w:r>
      <w:r>
        <w:rPr>
          <w:rFonts w:hint="eastAsia" w:ascii="仿宋_GB2312" w:hAnsi="仿宋_GB2312" w:eastAsia="仿宋_GB2312" w:cs="仿宋_GB2312"/>
          <w:sz w:val="32"/>
          <w:szCs w:val="32"/>
        </w:rPr>
        <w:t>《中华人民共和国著作权法》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2014年国家版权局、国家发改委颁布的《使用文字作品支付报酬办法》 (第11号令)第五条规定</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lang w:val="zh-CN"/>
        </w:rPr>
        <w:t>合规合法。</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（二）项目财务管理情况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对照项目资金管理办法，</w:t>
      </w:r>
      <w:r>
        <w:rPr>
          <w:rFonts w:hint="eastAsia" w:ascii="仿宋_GB2312" w:hAnsi="仿宋_GB2312" w:eastAsia="仿宋_GB2312" w:cs="仿宋_GB2312"/>
          <w:sz w:val="32"/>
          <w:szCs w:val="32"/>
          <w:lang w:val="en-US" w:eastAsia="zh-CN"/>
        </w:rPr>
        <w:t>完善了</w:t>
      </w:r>
      <w:r>
        <w:rPr>
          <w:rFonts w:hint="eastAsia" w:ascii="仿宋_GB2312" w:hAnsi="仿宋_GB2312" w:eastAsia="仿宋_GB2312" w:cs="仿宋_GB2312"/>
          <w:sz w:val="32"/>
          <w:szCs w:val="32"/>
          <w:lang w:val="zh-CN"/>
        </w:rPr>
        <w:t>项目财务管理制度、会计核算及账务处理等相关情况。</w:t>
      </w:r>
      <w:r>
        <w:rPr>
          <w:rFonts w:hint="eastAsia" w:ascii="仿宋_GB2312" w:hAnsi="仿宋_GB2312" w:eastAsia="仿宋_GB2312" w:cs="仿宋_GB2312"/>
          <w:sz w:val="32"/>
          <w:szCs w:val="32"/>
          <w:lang w:val="en-US" w:eastAsia="zh-CN"/>
        </w:rPr>
        <w:t>及时对</w:t>
      </w:r>
      <w:r>
        <w:rPr>
          <w:rFonts w:hint="eastAsia" w:ascii="仿宋_GB2312" w:hAnsi="仿宋_GB2312" w:eastAsia="仿宋_GB2312" w:cs="仿宋_GB2312"/>
          <w:sz w:val="32"/>
          <w:szCs w:val="32"/>
          <w:lang w:val="zh-CN"/>
        </w:rPr>
        <w:t>财务</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lang w:val="zh-CN"/>
        </w:rPr>
        <w:t>处理，规范核算。</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（三）项目组织实施情况</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在实施过程中，列入了市政协每年的工作要点，作为市政协的重点工作进行推进。有专门的机构：市政协学习宣传文史资料委员会组织实施，市政协党组、党支部纪检组，片区纪检监察组进行巡查监督，严格按</w:t>
      </w:r>
      <w:r>
        <w:rPr>
          <w:rFonts w:hint="eastAsia" w:ascii="仿宋_GB2312" w:hAnsi="仿宋_GB2312" w:eastAsia="仿宋_GB2312" w:cs="仿宋_GB2312"/>
          <w:sz w:val="32"/>
          <w:szCs w:val="32"/>
          <w:lang w:val="zh-CN"/>
        </w:rPr>
        <w:t>招投标、政府采购</w:t>
      </w:r>
      <w:r>
        <w:rPr>
          <w:rFonts w:hint="eastAsia" w:ascii="仿宋_GB2312" w:hAnsi="仿宋_GB2312" w:eastAsia="仿宋_GB2312" w:cs="仿宋_GB2312"/>
          <w:sz w:val="32"/>
          <w:szCs w:val="32"/>
          <w:lang w:val="en-US" w:eastAsia="zh-CN"/>
        </w:rPr>
        <w:t>程序进行。</w:t>
      </w: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600" w:lineRule="exact"/>
        <w:ind w:firstLine="720"/>
        <w:rPr>
          <w:rFonts w:hint="eastAsia" w:ascii="黑体" w:hAnsi="黑体" w:eastAsia="黑体" w:cs="黑体"/>
          <w:sz w:val="32"/>
          <w:szCs w:val="32"/>
          <w:lang w:val="zh-CN"/>
        </w:rPr>
      </w:pPr>
      <w:r>
        <w:rPr>
          <w:rFonts w:hint="eastAsia" w:ascii="仿宋_GB2312" w:hAnsi="仿宋_GB2312" w:eastAsia="仿宋_GB2312" w:cs="仿宋_GB2312"/>
          <w:sz w:val="32"/>
          <w:szCs w:val="32"/>
          <w:lang w:val="zh-CN"/>
        </w:rPr>
        <w:t>（</w:t>
      </w:r>
      <w:r>
        <w:rPr>
          <w:rFonts w:hint="eastAsia" w:ascii="黑体" w:hAnsi="黑体" w:eastAsia="黑体" w:cs="黑体"/>
          <w:sz w:val="32"/>
          <w:szCs w:val="32"/>
          <w:lang w:val="zh-CN"/>
        </w:rPr>
        <w:t>一）项目完成情况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2018—2020年的工作，《历代名人与峨眉山》（上、中、下），共计30多万字。对唐代以来历代名人与峨眉山的历史典故、诗词歌赋、遗迹遗址进行系统的抢救性地广泛搜集整理。收录从唐代以来114位名士、高僧、学者、官吏和政要与峨眉山的相关文字和图片资料，共印制3015本。</w:t>
      </w:r>
    </w:p>
    <w:p>
      <w:pPr>
        <w:adjustRightInd w:val="0"/>
        <w:snapToGrid w:val="0"/>
        <w:spacing w:line="600" w:lineRule="exact"/>
        <w:ind w:firstLine="720"/>
        <w:rPr>
          <w:rFonts w:hint="eastAsia" w:ascii="黑体" w:hAnsi="黑体" w:eastAsia="黑体" w:cs="黑体"/>
          <w:sz w:val="32"/>
          <w:szCs w:val="32"/>
          <w:lang w:val="zh-CN"/>
        </w:rPr>
      </w:pPr>
      <w:r>
        <w:rPr>
          <w:rFonts w:hint="eastAsia" w:ascii="仿宋_GB2312" w:hAnsi="仿宋_GB2312" w:eastAsia="仿宋_GB2312" w:cs="仿宋_GB2312"/>
          <w:sz w:val="32"/>
          <w:szCs w:val="32"/>
          <w:lang w:val="zh-CN"/>
        </w:rPr>
        <w:t>（</w:t>
      </w:r>
      <w:r>
        <w:rPr>
          <w:rFonts w:hint="eastAsia" w:ascii="黑体" w:hAnsi="黑体" w:eastAsia="黑体" w:cs="黑体"/>
          <w:sz w:val="32"/>
          <w:szCs w:val="32"/>
          <w:lang w:val="zh-CN"/>
        </w:rPr>
        <w:t>二）项目效益情况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历代名人与峨眉山》的整理出版，受到了各方好评，是一件惠及当代、有利后世的工程。达到了花钱少效益好的效果。已向全市政协委员，及部门单位、学校、寺院、农村书屋进行赠送，对外进行交流，扩大了峨眉山市的影响，激发了市民群众爱祖国爱家乡的热情。为“存史、资政、团结、育人”和我市文旅兴市、融入巴蜀文化走廊提供了坚实的基础。对于山城一体，建设国际旅游目的地起到了积极的推动作用。促进了我市</w:t>
      </w:r>
      <w:r>
        <w:rPr>
          <w:rFonts w:hint="eastAsia" w:ascii="仿宋_GB2312" w:hAnsi="仿宋_GB2312" w:eastAsia="仿宋_GB2312" w:cs="仿宋_GB2312"/>
          <w:sz w:val="32"/>
          <w:szCs w:val="32"/>
        </w:rPr>
        <w:t>“儒释道食茶武药”</w:t>
      </w:r>
      <w:r>
        <w:rPr>
          <w:rFonts w:hint="eastAsia" w:ascii="仿宋_GB2312" w:hAnsi="仿宋_GB2312" w:eastAsia="仿宋_GB2312" w:cs="仿宋_GB2312"/>
          <w:sz w:val="32"/>
          <w:szCs w:val="32"/>
          <w:lang w:val="en-US" w:eastAsia="zh-CN"/>
        </w:rPr>
        <w:t>文化的研究工作。</w:t>
      </w: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val="en-US" w:eastAsia="zh-CN"/>
        </w:rPr>
        <w:t>名人</w:t>
      </w:r>
      <w:r>
        <w:rPr>
          <w:rFonts w:hint="eastAsia" w:ascii="仿宋_GB2312" w:hAnsi="仿宋_GB2312" w:eastAsia="仿宋_GB2312" w:cs="仿宋_GB2312"/>
          <w:sz w:val="32"/>
          <w:szCs w:val="32"/>
        </w:rPr>
        <w:t>资料在促进全市经济社会发展中的作用，</w:t>
      </w:r>
      <w:r>
        <w:rPr>
          <w:rFonts w:hint="eastAsia" w:ascii="仿宋_GB2312" w:hAnsi="仿宋_GB2312" w:eastAsia="仿宋_GB2312" w:cs="仿宋_GB2312"/>
          <w:sz w:val="32"/>
          <w:szCs w:val="32"/>
          <w:lang w:val="en-US" w:eastAsia="zh-CN"/>
        </w:rPr>
        <w:t>在天府旅游名县、“双创”、</w:t>
      </w:r>
      <w:r>
        <w:rPr>
          <w:rFonts w:hint="eastAsia" w:ascii="仿宋_GB2312" w:hAnsi="仿宋_GB2312" w:eastAsia="仿宋_GB2312" w:cs="仿宋_GB2312"/>
          <w:sz w:val="32"/>
          <w:szCs w:val="32"/>
        </w:rPr>
        <w:t>饿涝堰恢复改造工程</w:t>
      </w:r>
      <w:r>
        <w:rPr>
          <w:rFonts w:hint="eastAsia" w:ascii="仿宋_GB2312" w:hAnsi="仿宋_GB2312" w:eastAsia="仿宋_GB2312" w:cs="仿宋_GB2312"/>
          <w:sz w:val="32"/>
          <w:szCs w:val="32"/>
          <w:lang w:val="en-US" w:eastAsia="zh-CN"/>
        </w:rPr>
        <w:t>等工作中作出了应有的贡献，推进了</w:t>
      </w:r>
      <w:r>
        <w:rPr>
          <w:rFonts w:hint="eastAsia" w:ascii="仿宋_GB2312" w:hAnsi="仿宋_GB2312" w:eastAsia="仿宋_GB2312" w:cs="仿宋_GB2312"/>
          <w:sz w:val="32"/>
          <w:szCs w:val="32"/>
        </w:rPr>
        <w:t>世界重要旅游目的地和中国国际佛教文化旅游目的地的建设。</w:t>
      </w:r>
    </w:p>
    <w:p>
      <w:pPr>
        <w:adjustRightInd w:val="0"/>
        <w:snapToGrid w:val="0"/>
        <w:spacing w:line="600" w:lineRule="exact"/>
        <w:ind w:firstLine="720"/>
        <w:rPr>
          <w:rFonts w:ascii="楷体_GB2312" w:hAnsi="宋体" w:eastAsia="楷体_GB2312"/>
          <w:b/>
          <w:lang w:val="zh-CN"/>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61"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Style w:val="25"/>
          <w:rFonts w:ascii="仿宋" w:hAnsi="仿宋" w:eastAsia="仿宋"/>
          <w:b w:val="0"/>
          <w:bCs w:val="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6"/>
      <w:bookmarkStart w:id="67"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2041" w:right="1468" w:bottom="1587" w:left="146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FC7416C"/>
    <w:multiLevelType w:val="singleLevel"/>
    <w:tmpl w:val="0FC7416C"/>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CD2"/>
    <w:rsid w:val="000222C6"/>
    <w:rsid w:val="0002549F"/>
    <w:rsid w:val="00033483"/>
    <w:rsid w:val="00035928"/>
    <w:rsid w:val="000468DB"/>
    <w:rsid w:val="00054C14"/>
    <w:rsid w:val="0006487A"/>
    <w:rsid w:val="00065F8F"/>
    <w:rsid w:val="00070A43"/>
    <w:rsid w:val="000768F2"/>
    <w:rsid w:val="00082F78"/>
    <w:rsid w:val="0009184B"/>
    <w:rsid w:val="00094236"/>
    <w:rsid w:val="0009593C"/>
    <w:rsid w:val="00097322"/>
    <w:rsid w:val="000A6A92"/>
    <w:rsid w:val="000B047F"/>
    <w:rsid w:val="000B5923"/>
    <w:rsid w:val="000B5A48"/>
    <w:rsid w:val="000B6F63"/>
    <w:rsid w:val="000B6FF3"/>
    <w:rsid w:val="000C20BE"/>
    <w:rsid w:val="000C3467"/>
    <w:rsid w:val="000C3CA6"/>
    <w:rsid w:val="000D1267"/>
    <w:rsid w:val="000D1D50"/>
    <w:rsid w:val="000D2655"/>
    <w:rsid w:val="000D3DBC"/>
    <w:rsid w:val="000D5782"/>
    <w:rsid w:val="000E1D74"/>
    <w:rsid w:val="000E6613"/>
    <w:rsid w:val="000E7119"/>
    <w:rsid w:val="00114E9B"/>
    <w:rsid w:val="00136960"/>
    <w:rsid w:val="00142216"/>
    <w:rsid w:val="00144D6A"/>
    <w:rsid w:val="0014729F"/>
    <w:rsid w:val="00157BAB"/>
    <w:rsid w:val="001654D1"/>
    <w:rsid w:val="001655E0"/>
    <w:rsid w:val="00174518"/>
    <w:rsid w:val="0018106D"/>
    <w:rsid w:val="001877A7"/>
    <w:rsid w:val="00191536"/>
    <w:rsid w:val="00196687"/>
    <w:rsid w:val="001C0962"/>
    <w:rsid w:val="001D0049"/>
    <w:rsid w:val="001D0988"/>
    <w:rsid w:val="001D37C5"/>
    <w:rsid w:val="001D3A02"/>
    <w:rsid w:val="001D7531"/>
    <w:rsid w:val="001E737D"/>
    <w:rsid w:val="001E73DB"/>
    <w:rsid w:val="001F0592"/>
    <w:rsid w:val="001F7506"/>
    <w:rsid w:val="002006CD"/>
    <w:rsid w:val="00202B36"/>
    <w:rsid w:val="00204B7A"/>
    <w:rsid w:val="00204CDE"/>
    <w:rsid w:val="0021101A"/>
    <w:rsid w:val="00220536"/>
    <w:rsid w:val="00235629"/>
    <w:rsid w:val="00260C38"/>
    <w:rsid w:val="002616C0"/>
    <w:rsid w:val="00265372"/>
    <w:rsid w:val="002662AA"/>
    <w:rsid w:val="0026790B"/>
    <w:rsid w:val="00270FE7"/>
    <w:rsid w:val="00280496"/>
    <w:rsid w:val="00294DC9"/>
    <w:rsid w:val="00295495"/>
    <w:rsid w:val="002A31DE"/>
    <w:rsid w:val="002B2613"/>
    <w:rsid w:val="002B7215"/>
    <w:rsid w:val="002C54FB"/>
    <w:rsid w:val="002D19B0"/>
    <w:rsid w:val="002D6D05"/>
    <w:rsid w:val="002F0A64"/>
    <w:rsid w:val="002F1818"/>
    <w:rsid w:val="002F19A3"/>
    <w:rsid w:val="002F567B"/>
    <w:rsid w:val="002F5A18"/>
    <w:rsid w:val="00314E31"/>
    <w:rsid w:val="003216A9"/>
    <w:rsid w:val="00335A74"/>
    <w:rsid w:val="00345D51"/>
    <w:rsid w:val="00363F3C"/>
    <w:rsid w:val="0036561B"/>
    <w:rsid w:val="0037013F"/>
    <w:rsid w:val="0037237D"/>
    <w:rsid w:val="00376692"/>
    <w:rsid w:val="0037693B"/>
    <w:rsid w:val="00380C92"/>
    <w:rsid w:val="003A410C"/>
    <w:rsid w:val="003A484F"/>
    <w:rsid w:val="003A4883"/>
    <w:rsid w:val="003B0BE0"/>
    <w:rsid w:val="003B0C1B"/>
    <w:rsid w:val="003B688C"/>
    <w:rsid w:val="003B7270"/>
    <w:rsid w:val="003C0291"/>
    <w:rsid w:val="003C39AE"/>
    <w:rsid w:val="003C7B60"/>
    <w:rsid w:val="003D0C0F"/>
    <w:rsid w:val="003D1FB2"/>
    <w:rsid w:val="003D3BF9"/>
    <w:rsid w:val="003D66DA"/>
    <w:rsid w:val="003E1310"/>
    <w:rsid w:val="003E3A80"/>
    <w:rsid w:val="003E6F55"/>
    <w:rsid w:val="00406254"/>
    <w:rsid w:val="00416CD4"/>
    <w:rsid w:val="00417F0C"/>
    <w:rsid w:val="004223DE"/>
    <w:rsid w:val="00434489"/>
    <w:rsid w:val="00437085"/>
    <w:rsid w:val="00443880"/>
    <w:rsid w:val="004464F4"/>
    <w:rsid w:val="00471401"/>
    <w:rsid w:val="00473F31"/>
    <w:rsid w:val="0048263A"/>
    <w:rsid w:val="0048384B"/>
    <w:rsid w:val="00487E5D"/>
    <w:rsid w:val="004A711F"/>
    <w:rsid w:val="004B199D"/>
    <w:rsid w:val="004B4690"/>
    <w:rsid w:val="004E0A2D"/>
    <w:rsid w:val="004E206B"/>
    <w:rsid w:val="004E6DF7"/>
    <w:rsid w:val="004F0FBD"/>
    <w:rsid w:val="004F403E"/>
    <w:rsid w:val="00505A47"/>
    <w:rsid w:val="005128A5"/>
    <w:rsid w:val="00512FDA"/>
    <w:rsid w:val="00520DA0"/>
    <w:rsid w:val="005220CF"/>
    <w:rsid w:val="00545BFE"/>
    <w:rsid w:val="0054735B"/>
    <w:rsid w:val="0056410B"/>
    <w:rsid w:val="005664BB"/>
    <w:rsid w:val="00566FFA"/>
    <w:rsid w:val="0057481D"/>
    <w:rsid w:val="00575F0B"/>
    <w:rsid w:val="0058486E"/>
    <w:rsid w:val="00585B33"/>
    <w:rsid w:val="0059014D"/>
    <w:rsid w:val="005A1151"/>
    <w:rsid w:val="005B5C64"/>
    <w:rsid w:val="005C6BD0"/>
    <w:rsid w:val="005C6C4C"/>
    <w:rsid w:val="005D1956"/>
    <w:rsid w:val="005D1C8B"/>
    <w:rsid w:val="005D468D"/>
    <w:rsid w:val="005D5CED"/>
    <w:rsid w:val="005F1A4C"/>
    <w:rsid w:val="005F5CB8"/>
    <w:rsid w:val="005F76FB"/>
    <w:rsid w:val="00605688"/>
    <w:rsid w:val="006070AF"/>
    <w:rsid w:val="00607E6C"/>
    <w:rsid w:val="006101B1"/>
    <w:rsid w:val="00614E44"/>
    <w:rsid w:val="0062270A"/>
    <w:rsid w:val="00622830"/>
    <w:rsid w:val="00623229"/>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0275"/>
    <w:rsid w:val="007127B7"/>
    <w:rsid w:val="0071798E"/>
    <w:rsid w:val="00727533"/>
    <w:rsid w:val="007416B6"/>
    <w:rsid w:val="00746F48"/>
    <w:rsid w:val="0075404D"/>
    <w:rsid w:val="0076182A"/>
    <w:rsid w:val="00767B7E"/>
    <w:rsid w:val="007770C3"/>
    <w:rsid w:val="00782763"/>
    <w:rsid w:val="00784D24"/>
    <w:rsid w:val="00785FBA"/>
    <w:rsid w:val="00786E4A"/>
    <w:rsid w:val="007875EB"/>
    <w:rsid w:val="00787725"/>
    <w:rsid w:val="0079426B"/>
    <w:rsid w:val="007B2464"/>
    <w:rsid w:val="007D1682"/>
    <w:rsid w:val="007D312A"/>
    <w:rsid w:val="007D3F19"/>
    <w:rsid w:val="007E23B0"/>
    <w:rsid w:val="007F1991"/>
    <w:rsid w:val="007F2C2F"/>
    <w:rsid w:val="007F55FC"/>
    <w:rsid w:val="007F5665"/>
    <w:rsid w:val="00800112"/>
    <w:rsid w:val="008068AA"/>
    <w:rsid w:val="00813348"/>
    <w:rsid w:val="00814181"/>
    <w:rsid w:val="008212EA"/>
    <w:rsid w:val="008253BB"/>
    <w:rsid w:val="00832816"/>
    <w:rsid w:val="00833962"/>
    <w:rsid w:val="0083706E"/>
    <w:rsid w:val="008408F6"/>
    <w:rsid w:val="008423A5"/>
    <w:rsid w:val="00850625"/>
    <w:rsid w:val="00853718"/>
    <w:rsid w:val="00855221"/>
    <w:rsid w:val="00860645"/>
    <w:rsid w:val="00861733"/>
    <w:rsid w:val="00871F71"/>
    <w:rsid w:val="00872FD8"/>
    <w:rsid w:val="00885AF4"/>
    <w:rsid w:val="008939CD"/>
    <w:rsid w:val="008B768C"/>
    <w:rsid w:val="008C4DB1"/>
    <w:rsid w:val="008C4EAF"/>
    <w:rsid w:val="008C5176"/>
    <w:rsid w:val="008C7FD0"/>
    <w:rsid w:val="008D370C"/>
    <w:rsid w:val="008E1DE7"/>
    <w:rsid w:val="008E707C"/>
    <w:rsid w:val="00900B08"/>
    <w:rsid w:val="00902155"/>
    <w:rsid w:val="00902FA3"/>
    <w:rsid w:val="00906CA4"/>
    <w:rsid w:val="00923564"/>
    <w:rsid w:val="0092392E"/>
    <w:rsid w:val="009315F9"/>
    <w:rsid w:val="00933499"/>
    <w:rsid w:val="00935C98"/>
    <w:rsid w:val="0094017B"/>
    <w:rsid w:val="00946945"/>
    <w:rsid w:val="00951248"/>
    <w:rsid w:val="0095152F"/>
    <w:rsid w:val="00952E4F"/>
    <w:rsid w:val="00954C49"/>
    <w:rsid w:val="00955E37"/>
    <w:rsid w:val="0097099F"/>
    <w:rsid w:val="00971997"/>
    <w:rsid w:val="00971FFC"/>
    <w:rsid w:val="0097797F"/>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0644"/>
    <w:rsid w:val="00A13CC1"/>
    <w:rsid w:val="00A16847"/>
    <w:rsid w:val="00A237D8"/>
    <w:rsid w:val="00A24A4B"/>
    <w:rsid w:val="00A268C4"/>
    <w:rsid w:val="00A307CD"/>
    <w:rsid w:val="00A331C8"/>
    <w:rsid w:val="00A35117"/>
    <w:rsid w:val="00A40A00"/>
    <w:rsid w:val="00A4142F"/>
    <w:rsid w:val="00A422EB"/>
    <w:rsid w:val="00A45BB7"/>
    <w:rsid w:val="00A56DF2"/>
    <w:rsid w:val="00A56E6E"/>
    <w:rsid w:val="00A67AB5"/>
    <w:rsid w:val="00A707E6"/>
    <w:rsid w:val="00A7219E"/>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E1B"/>
    <w:rsid w:val="00B50052"/>
    <w:rsid w:val="00B53C56"/>
    <w:rsid w:val="00B57DAF"/>
    <w:rsid w:val="00B66C43"/>
    <w:rsid w:val="00B72256"/>
    <w:rsid w:val="00B77EA6"/>
    <w:rsid w:val="00B81598"/>
    <w:rsid w:val="00B841F1"/>
    <w:rsid w:val="00B944D6"/>
    <w:rsid w:val="00BB4DF0"/>
    <w:rsid w:val="00BB6B43"/>
    <w:rsid w:val="00BC289F"/>
    <w:rsid w:val="00BC2D50"/>
    <w:rsid w:val="00BC5361"/>
    <w:rsid w:val="00BC5460"/>
    <w:rsid w:val="00BC6B50"/>
    <w:rsid w:val="00BD0E25"/>
    <w:rsid w:val="00BF166A"/>
    <w:rsid w:val="00BF5BD6"/>
    <w:rsid w:val="00C03E31"/>
    <w:rsid w:val="00C04D94"/>
    <w:rsid w:val="00C30E69"/>
    <w:rsid w:val="00C33E72"/>
    <w:rsid w:val="00C354B2"/>
    <w:rsid w:val="00C35554"/>
    <w:rsid w:val="00C42709"/>
    <w:rsid w:val="00C5262E"/>
    <w:rsid w:val="00C533CC"/>
    <w:rsid w:val="00C5751C"/>
    <w:rsid w:val="00C61BFC"/>
    <w:rsid w:val="00C62B85"/>
    <w:rsid w:val="00C65438"/>
    <w:rsid w:val="00C658BD"/>
    <w:rsid w:val="00C91CBB"/>
    <w:rsid w:val="00C95D58"/>
    <w:rsid w:val="00CB4E70"/>
    <w:rsid w:val="00CC09B6"/>
    <w:rsid w:val="00CC666F"/>
    <w:rsid w:val="00CD1E3F"/>
    <w:rsid w:val="00CE44F6"/>
    <w:rsid w:val="00CE49DA"/>
    <w:rsid w:val="00CE7B61"/>
    <w:rsid w:val="00D00095"/>
    <w:rsid w:val="00D114F0"/>
    <w:rsid w:val="00D203D4"/>
    <w:rsid w:val="00D20620"/>
    <w:rsid w:val="00D254F7"/>
    <w:rsid w:val="00D26091"/>
    <w:rsid w:val="00D2685C"/>
    <w:rsid w:val="00D339DE"/>
    <w:rsid w:val="00D34E7C"/>
    <w:rsid w:val="00D35489"/>
    <w:rsid w:val="00D36AFE"/>
    <w:rsid w:val="00D51276"/>
    <w:rsid w:val="00D67EC8"/>
    <w:rsid w:val="00D7035F"/>
    <w:rsid w:val="00D748F4"/>
    <w:rsid w:val="00D81F04"/>
    <w:rsid w:val="00D96BD7"/>
    <w:rsid w:val="00DA634F"/>
    <w:rsid w:val="00DA65AC"/>
    <w:rsid w:val="00DA65BB"/>
    <w:rsid w:val="00DB12DC"/>
    <w:rsid w:val="00DB1913"/>
    <w:rsid w:val="00DC0963"/>
    <w:rsid w:val="00DC410D"/>
    <w:rsid w:val="00DC5A81"/>
    <w:rsid w:val="00DC68CA"/>
    <w:rsid w:val="00DC7CBA"/>
    <w:rsid w:val="00DD73B7"/>
    <w:rsid w:val="00DE0E02"/>
    <w:rsid w:val="00DF28BC"/>
    <w:rsid w:val="00DF34B9"/>
    <w:rsid w:val="00E01053"/>
    <w:rsid w:val="00E07ACF"/>
    <w:rsid w:val="00E108D0"/>
    <w:rsid w:val="00E21807"/>
    <w:rsid w:val="00E331A1"/>
    <w:rsid w:val="00E33202"/>
    <w:rsid w:val="00E336A9"/>
    <w:rsid w:val="00E40428"/>
    <w:rsid w:val="00E472B1"/>
    <w:rsid w:val="00E50624"/>
    <w:rsid w:val="00E568DF"/>
    <w:rsid w:val="00E60ED0"/>
    <w:rsid w:val="00E64269"/>
    <w:rsid w:val="00E66797"/>
    <w:rsid w:val="00E82267"/>
    <w:rsid w:val="00E853CE"/>
    <w:rsid w:val="00E867B6"/>
    <w:rsid w:val="00E87F08"/>
    <w:rsid w:val="00E96263"/>
    <w:rsid w:val="00EA010F"/>
    <w:rsid w:val="00ED1B63"/>
    <w:rsid w:val="00ED3C1F"/>
    <w:rsid w:val="00ED4085"/>
    <w:rsid w:val="00ED420E"/>
    <w:rsid w:val="00ED6FBE"/>
    <w:rsid w:val="00EE2F57"/>
    <w:rsid w:val="00EF2669"/>
    <w:rsid w:val="00EF4C34"/>
    <w:rsid w:val="00EF77C6"/>
    <w:rsid w:val="00F05438"/>
    <w:rsid w:val="00F1214F"/>
    <w:rsid w:val="00F1361C"/>
    <w:rsid w:val="00F156F0"/>
    <w:rsid w:val="00F160C7"/>
    <w:rsid w:val="00F17649"/>
    <w:rsid w:val="00F2408F"/>
    <w:rsid w:val="00F240E9"/>
    <w:rsid w:val="00F36D8F"/>
    <w:rsid w:val="00F417B1"/>
    <w:rsid w:val="00F45853"/>
    <w:rsid w:val="00F602DF"/>
    <w:rsid w:val="00F754A1"/>
    <w:rsid w:val="00F81FD9"/>
    <w:rsid w:val="00F841AA"/>
    <w:rsid w:val="00F84A94"/>
    <w:rsid w:val="00F87E96"/>
    <w:rsid w:val="00F87EA0"/>
    <w:rsid w:val="00F922C7"/>
    <w:rsid w:val="00FA23E8"/>
    <w:rsid w:val="00FD3CC1"/>
    <w:rsid w:val="00FE5EAD"/>
    <w:rsid w:val="00FF1E02"/>
    <w:rsid w:val="00FF30B4"/>
    <w:rsid w:val="08010821"/>
    <w:rsid w:val="0AEB14B8"/>
    <w:rsid w:val="0B861A99"/>
    <w:rsid w:val="10C055FF"/>
    <w:rsid w:val="13687A18"/>
    <w:rsid w:val="14126377"/>
    <w:rsid w:val="16BB723D"/>
    <w:rsid w:val="19F96494"/>
    <w:rsid w:val="240371BF"/>
    <w:rsid w:val="285B62A0"/>
    <w:rsid w:val="288A4F2A"/>
    <w:rsid w:val="29FD04D3"/>
    <w:rsid w:val="2E2729EB"/>
    <w:rsid w:val="2E4F7C05"/>
    <w:rsid w:val="2FA95197"/>
    <w:rsid w:val="315F0BD1"/>
    <w:rsid w:val="319F7F4E"/>
    <w:rsid w:val="335E11A4"/>
    <w:rsid w:val="359E0626"/>
    <w:rsid w:val="386C1FAC"/>
    <w:rsid w:val="3F143179"/>
    <w:rsid w:val="3FB17F89"/>
    <w:rsid w:val="44C50070"/>
    <w:rsid w:val="46505A43"/>
    <w:rsid w:val="4C6D78F0"/>
    <w:rsid w:val="4ECE2238"/>
    <w:rsid w:val="4FBD3C83"/>
    <w:rsid w:val="5481621B"/>
    <w:rsid w:val="59317E24"/>
    <w:rsid w:val="593C0D43"/>
    <w:rsid w:val="5A751783"/>
    <w:rsid w:val="62D870C0"/>
    <w:rsid w:val="65312224"/>
    <w:rsid w:val="69ED7285"/>
    <w:rsid w:val="6FDD6A40"/>
    <w:rsid w:val="72734D90"/>
    <w:rsid w:val="75737F86"/>
    <w:rsid w:val="778B7A6D"/>
    <w:rsid w:val="7BF026CB"/>
    <w:rsid w:val="7FF57C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font01"/>
    <w:basedOn w:val="13"/>
    <w:qFormat/>
    <w:uiPriority w:val="0"/>
    <w:rPr>
      <w:rFonts w:hint="eastAsia" w:ascii="宋体" w:hAnsi="宋体" w:eastAsia="宋体" w:cs="宋体"/>
      <w:color w:val="000000"/>
      <w:sz w:val="24"/>
      <w:szCs w:val="24"/>
      <w:u w:val="none"/>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1233</Words>
  <Characters>7032</Characters>
  <Lines>58</Lines>
  <Paragraphs>16</Paragraphs>
  <TotalTime>28</TotalTime>
  <ScaleCrop>false</ScaleCrop>
  <LinksUpToDate>false</LinksUpToDate>
  <CharactersWithSpaces>8249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2020-10-15T08:15:00Z</dcterms:created>
  <dc:creator>曹颖</dc:creator>
  <cp:lastModifiedBy>Administrator</cp:lastModifiedBy>
  <cp:lastPrinted>2020-07-23T02:58:00Z</cp:lastPrinted>
  <dcterms:modified xsi:type="dcterms:W3CDTF">2020-10-30T01:53:09Z</dcterms:modified>
  <dc:title>四川省***</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