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96476"/>
      <w:bookmarkStart w:id="8" w:name="_Toc15377426"/>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环境卫生服务中心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1"/>
        <w:adjustRightInd w:val="0"/>
        <w:snapToGrid w:val="0"/>
        <w:spacing w:line="440" w:lineRule="exact"/>
        <w:jc w:val="left"/>
        <w:rPr>
          <w:rFonts w:hint="default" w:eastAsia="宋体"/>
          <w:sz w:val="24"/>
          <w:lang w:val="en-US" w:eastAsia="zh-CN"/>
        </w:rPr>
      </w:pPr>
      <w:r>
        <w:rPr>
          <w:rFonts w:hint="eastAsia"/>
          <w:sz w:val="24"/>
        </w:rPr>
        <w:t>一、基本职能及主要工作</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sz w:val="24"/>
          <w:lang w:val="en-US" w:eastAsia="zh-CN"/>
        </w:rPr>
        <w:t>6</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ascii="宋体" w:hAnsi="宋体" w:eastAsia="宋体" w:cs="宋体"/>
          <w:sz w:val="24"/>
          <w:lang w:val="en-US" w:eastAsia="zh-CN"/>
        </w:rPr>
        <w:t>................</w:t>
      </w:r>
      <w:r>
        <w:rPr>
          <w:rFonts w:hint="eastAsia"/>
          <w:sz w:val="24"/>
          <w:lang w:val="en-US" w:eastAsia="zh-CN"/>
        </w:rPr>
        <w:t>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15</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ascii="宋体" w:hAnsi="宋体" w:eastAsia="宋体" w:cs="宋体"/>
          <w:sz w:val="24"/>
          <w:lang w:val="en-US" w:eastAsia="zh-CN"/>
        </w:rPr>
        <w:t>...........</w:t>
      </w:r>
      <w:r>
        <w:rPr>
          <w:rFonts w:hint="eastAsia" w:ascii="宋体" w:hAnsi="宋体" w:cs="宋体"/>
          <w:sz w:val="24"/>
          <w:lang w:val="en-US" w:eastAsia="zh-CN"/>
        </w:rPr>
        <w:t>.</w:t>
      </w:r>
      <w:r>
        <w:rPr>
          <w:rFonts w:hint="eastAsia"/>
          <w:sz w:val="24"/>
          <w:lang w:val="en-US" w:eastAsia="zh-CN"/>
        </w:rPr>
        <w:t>15</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hint="eastAsia" w:ascii="宋体" w:hAnsi="宋体" w:eastAsia="宋体" w:cs="宋体"/>
          <w:sz w:val="24"/>
          <w:lang w:val="en-US" w:eastAsia="zh-CN"/>
        </w:rPr>
        <w:t>.............................</w:t>
      </w:r>
      <w:r>
        <w:rPr>
          <w:rFonts w:hint="eastAsia"/>
          <w:sz w:val="24"/>
          <w:lang w:val="en-US" w:eastAsia="zh-CN"/>
        </w:rPr>
        <w:t>15</w:t>
      </w:r>
      <w:r>
        <w:rPr>
          <w:rFonts w:ascii="仿宋" w:hAnsi="仿宋" w:eastAsia="仿宋"/>
          <w:sz w:val="24"/>
        </w:rPr>
        <w:tab/>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ascii="宋体" w:hAnsi="宋体" w:cs="宋体"/>
          <w:sz w:val="24"/>
          <w:lang w:val="en-US" w:eastAsia="zh-CN"/>
        </w:rPr>
        <w:t>..................................................</w:t>
      </w:r>
      <w:r>
        <w:rPr>
          <w:rFonts w:hint="eastAsia"/>
          <w:sz w:val="24"/>
          <w:lang w:val="en-US" w:eastAsia="zh-CN"/>
        </w:rPr>
        <w:t>28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ascii="宋体" w:hAnsi="宋体" w:cs="宋体"/>
          <w:sz w:val="24"/>
          <w:lang w:val="en-US" w:eastAsia="zh-CN"/>
        </w:rPr>
        <w:t>..................................................</w:t>
      </w:r>
      <w:r>
        <w:rPr>
          <w:rFonts w:hint="eastAsia"/>
          <w:sz w:val="24"/>
          <w:lang w:val="en-US" w:eastAsia="zh-CN"/>
        </w:rPr>
        <w:t>31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ascii="宋体" w:hAnsi="宋体" w:cs="宋体"/>
          <w:sz w:val="24"/>
          <w:lang w:val="en-US" w:eastAsia="zh-CN"/>
        </w:rPr>
        <w:t>...................................</w:t>
      </w:r>
      <w:r>
        <w:rPr>
          <w:rFonts w:hint="eastAsia"/>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仿宋" w:hAnsi="仿宋" w:eastAsia="仿宋"/>
          <w:sz w:val="24"/>
        </w:rPr>
        <w:t>二、</w:t>
      </w:r>
      <w:r>
        <w:rPr>
          <w:rFonts w:hint="eastAsia" w:ascii="宋体" w:hAnsi="宋体" w:eastAsia="宋体" w:cs="宋体"/>
          <w:sz w:val="24"/>
        </w:rPr>
        <w:t>收入决算表</w:t>
      </w:r>
      <w:r>
        <w:rPr>
          <w:rFonts w:hint="eastAsia" w:ascii="宋体" w:hAnsi="宋体" w:cs="宋体"/>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宋体" w:hAnsi="宋体" w:eastAsia="宋体" w:cs="宋体"/>
          <w:sz w:val="24"/>
        </w:rPr>
        <w:t>三、支出决算表</w:t>
      </w:r>
      <w:r>
        <w:rPr>
          <w:rFonts w:hint="eastAsia" w:ascii="宋体" w:hAnsi="宋体" w:cs="宋体"/>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宋体" w:hAnsi="宋体" w:eastAsia="宋体" w:cs="宋体"/>
          <w:sz w:val="24"/>
        </w:rPr>
        <w:t>四、财政拨款收入支出决算总表</w:t>
      </w:r>
      <w:r>
        <w:rPr>
          <w:rFonts w:hint="eastAsia" w:ascii="宋体" w:hAnsi="宋体" w:cs="宋体"/>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宋体" w:hAnsi="宋体" w:eastAsia="宋体" w:cs="宋体"/>
          <w:sz w:val="24"/>
        </w:rPr>
        <w:t>五、财政拨款支出决算明细表</w:t>
      </w:r>
      <w:r>
        <w:rPr>
          <w:rFonts w:hint="eastAsia" w:ascii="宋体" w:hAnsi="宋体" w:cs="宋体"/>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宋体" w:hAnsi="宋体" w:eastAsia="宋体" w:cs="宋体"/>
          <w:sz w:val="24"/>
        </w:rPr>
        <w:t>六、一般公共预算财政拨款支出决算表</w:t>
      </w:r>
      <w:r>
        <w:rPr>
          <w:rFonts w:hint="eastAsia" w:ascii="宋体" w:hAnsi="宋体" w:cs="宋体"/>
          <w:sz w:val="24"/>
          <w:lang w:val="en-US" w:eastAsia="zh-CN"/>
        </w:rPr>
        <w:t>.....................37</w:t>
      </w:r>
    </w:p>
    <w:p>
      <w:pPr>
        <w:pStyle w:val="11"/>
        <w:adjustRightInd w:val="0"/>
        <w:snapToGrid w:val="0"/>
        <w:spacing w:line="440" w:lineRule="exact"/>
        <w:jc w:val="left"/>
        <w:rPr>
          <w:rFonts w:hint="default" w:ascii="宋体" w:hAnsi="宋体" w:eastAsia="宋体" w:cs="宋体"/>
          <w:sz w:val="24"/>
          <w:lang w:val="en-US" w:eastAsia="zh-CN"/>
        </w:rPr>
      </w:pPr>
      <w:r>
        <w:rPr>
          <w:rFonts w:hint="eastAsia" w:ascii="宋体" w:hAnsi="宋体" w:eastAsia="宋体" w:cs="宋体"/>
          <w:sz w:val="24"/>
        </w:rPr>
        <w:t>七、一般公共预算财政拨款支出决算明细表</w:t>
      </w:r>
      <w:r>
        <w:rPr>
          <w:rFonts w:hint="eastAsia" w:ascii="宋体" w:hAnsi="宋体" w:cs="宋体"/>
          <w:sz w:val="24"/>
          <w:lang w:val="en-US" w:eastAsia="zh-CN"/>
        </w:rPr>
        <w:t>.................37</w:t>
      </w:r>
    </w:p>
    <w:p>
      <w:pPr>
        <w:pStyle w:val="11"/>
        <w:adjustRightInd w:val="0"/>
        <w:snapToGrid w:val="0"/>
        <w:spacing w:line="440" w:lineRule="exact"/>
        <w:jc w:val="left"/>
        <w:rPr>
          <w:rFonts w:hint="default" w:ascii="仿宋" w:hAnsi="仿宋" w:eastAsia="仿宋"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ascii="仿宋" w:hAnsi="仿宋" w:eastAsia="仿宋" w:cstheme="minorBidi"/>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ascii="仿宋" w:hAnsi="仿宋" w:eastAsia="仿宋" w:cstheme="minorBidi"/>
          <w:sz w:val="24"/>
          <w:lang w:val="en-US" w:eastAsia="zh-CN"/>
        </w:rPr>
        <w:t>................</w:t>
      </w:r>
      <w:r>
        <w:rPr>
          <w:rFonts w:hint="eastAsia"/>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ascii="仿宋" w:hAnsi="仿宋" w:eastAsia="仿宋" w:cstheme="minorBidi"/>
          <w:sz w:val="24"/>
          <w:lang w:val="en-US" w:eastAsia="zh-CN"/>
        </w:rPr>
        <w:t>........</w:t>
      </w:r>
      <w:r>
        <w:rPr>
          <w:rFonts w:hint="eastAsia"/>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ascii="仿宋" w:hAnsi="仿宋" w:eastAsia="仿宋" w:cstheme="minorBidi"/>
          <w:sz w:val="24"/>
          <w:lang w:val="en-US" w:eastAsia="zh-CN"/>
        </w:rPr>
        <w:t>............</w:t>
      </w:r>
      <w:r>
        <w:rPr>
          <w:rFonts w:hint="eastAsia"/>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w:t>
      </w:r>
      <w:r>
        <w:rPr>
          <w:rFonts w:hint="eastAsia" w:ascii="仿宋" w:hAnsi="仿宋" w:eastAsia="仿宋" w:cstheme="minorBidi"/>
          <w:sz w:val="24"/>
          <w:lang w:val="en-US" w:eastAsia="zh-CN"/>
        </w:rPr>
        <w:t>......</w:t>
      </w:r>
      <w:r>
        <w:rPr>
          <w:rFonts w:hint="eastAsia"/>
          <w:sz w:val="24"/>
          <w:lang w:val="en-US" w:eastAsia="zh-CN"/>
        </w:rPr>
        <w:t>37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ascii="仿宋" w:hAnsi="仿宋" w:eastAsia="仿宋" w:cstheme="minorBidi"/>
          <w:sz w:val="24"/>
          <w:lang w:val="en-US" w:eastAsia="zh-CN"/>
        </w:rPr>
        <w:t>......................</w:t>
      </w:r>
      <w:r>
        <w:rPr>
          <w:rFonts w:hint="eastAsia"/>
          <w:sz w:val="24"/>
          <w:lang w:val="en-US" w:eastAsia="zh-CN"/>
        </w:rPr>
        <w:t>37</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spacing w:line="520" w:lineRule="atLeast"/>
        <w:ind w:firstLine="640" w:firstLineChars="200"/>
        <w:rPr>
          <w:rFonts w:hint="eastAsia" w:ascii="仿宋" w:hAnsi="仿宋" w:eastAsia="仿宋"/>
          <w:bCs/>
          <w:color w:val="000000"/>
          <w:sz w:val="32"/>
          <w:szCs w:val="32"/>
          <w:lang w:val="en-US" w:eastAsia="zh-CN"/>
        </w:rPr>
      </w:pPr>
      <w:bookmarkStart w:id="18" w:name="_Toc15377199"/>
      <w:bookmarkStart w:id="19" w:name="_Toc15378446"/>
      <w:r>
        <w:rPr>
          <w:rFonts w:hint="eastAsia" w:ascii="仿宋" w:hAnsi="仿宋" w:eastAsia="仿宋"/>
          <w:bCs/>
          <w:color w:val="000000"/>
          <w:sz w:val="32"/>
          <w:szCs w:val="32"/>
          <w:lang w:val="en-US" w:eastAsia="zh-CN"/>
        </w:rPr>
        <w:t>承担城镇环卫设施的运行、维护工作；承担城镇公共场所的清扫保洁工作，组织对城乡生活垃圾进行清扫、收集、运输和处理；承担市政公共厕所的维护、保洁工作。完成上级交办的其他任务。</w:t>
      </w:r>
    </w:p>
    <w:p>
      <w:pPr>
        <w:spacing w:line="520" w:lineRule="atLeas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2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1、做好本职工作，捍卫城市整洁</w:t>
      </w:r>
      <w:r>
        <w:rPr>
          <w:rFonts w:hint="eastAsia" w:ascii="仿宋" w:hAnsi="仿宋" w:eastAsia="仿宋" w:cs="仿宋"/>
          <w:sz w:val="32"/>
          <w:szCs w:val="32"/>
          <w:lang w:eastAsia="zh-CN"/>
        </w:rPr>
        <w:t>。</w:t>
      </w:r>
    </w:p>
    <w:p>
      <w:pPr>
        <w:spacing w:line="5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创建文明卫生新峨眉，环卫在行动，2019年在近千环卫职工的不断努力下，我市环卫工作再上新台阶，获得了广大市民和领导的一致认同。为提高生活垃圾收运效率，今年特招标采购了13台电动垃圾收运车，截止</w:t>
      </w:r>
      <w:r>
        <w:rPr>
          <w:rFonts w:hint="eastAsia" w:ascii="仿宋" w:hAnsi="仿宋" w:eastAsia="仿宋" w:cs="仿宋"/>
          <w:sz w:val="32"/>
          <w:szCs w:val="32"/>
          <w:lang w:val="en-US" w:eastAsia="zh-CN"/>
        </w:rPr>
        <w:t>12</w:t>
      </w:r>
      <w:r>
        <w:rPr>
          <w:rFonts w:hint="eastAsia" w:ascii="仿宋" w:hAnsi="仿宋" w:eastAsia="仿宋" w:cs="仿宋"/>
          <w:sz w:val="32"/>
          <w:szCs w:val="32"/>
        </w:rPr>
        <w:t>月底，今年共清运生活垃圾</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11万</w:t>
      </w:r>
      <w:r>
        <w:rPr>
          <w:rFonts w:hint="eastAsia" w:ascii="仿宋" w:hAnsi="仿宋" w:eastAsia="仿宋" w:cs="仿宋"/>
          <w:sz w:val="32"/>
          <w:szCs w:val="32"/>
        </w:rPr>
        <w:t>吨。为缓解当前环卫力量投入与城市发展不平衡的矛盾，我单位高度重视机械化在环卫作业中的运用，9台洗扫车和5台清洗洒水车每天进行常态化作业，洗扫车每车每天洗扫作业面积达16.8万平方米，清洗洒水车每车每天冲洒作业面积23.04万平方米，机械化作业的清扫保洁效果十分可观。</w:t>
      </w:r>
    </w:p>
    <w:p>
      <w:pPr>
        <w:spacing w:line="52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2、积极参与峨眉山市第31个爱国卫生月活动，共推“厕所革命”</w:t>
      </w:r>
      <w:r>
        <w:rPr>
          <w:rFonts w:hint="eastAsia" w:ascii="仿宋" w:hAnsi="仿宋" w:eastAsia="仿宋" w:cs="仿宋"/>
          <w:sz w:val="32"/>
          <w:szCs w:val="32"/>
          <w:lang w:eastAsia="zh-CN"/>
        </w:rPr>
        <w:t>。</w:t>
      </w:r>
    </w:p>
    <w:p>
      <w:pPr>
        <w:spacing w:line="5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2019年4月初，我单位对所负责的</w:t>
      </w:r>
      <w:r>
        <w:rPr>
          <w:rFonts w:hint="eastAsia" w:ascii="仿宋" w:hAnsi="仿宋" w:eastAsia="仿宋" w:cs="仿宋"/>
          <w:sz w:val="32"/>
          <w:szCs w:val="32"/>
          <w:lang w:val="en-US" w:eastAsia="zh-CN"/>
        </w:rPr>
        <w:t>45</w:t>
      </w:r>
      <w:r>
        <w:rPr>
          <w:rFonts w:hint="eastAsia" w:ascii="仿宋" w:hAnsi="仿宋" w:eastAsia="仿宋" w:cs="仿宋"/>
          <w:sz w:val="32"/>
          <w:szCs w:val="32"/>
        </w:rPr>
        <w:t>所公厕进行全力排查，立即更换有安全隐患或已损坏的基础设施（马桶、蹲坑、水箱等），全面检修基础设施的“旧疾”、“顽疾”，共更换、检修基础设施43项；完善标识标牌和公厕指示牌，加强公厕保洁力度，增加对公厕的消毒次数，加大对“四害”的防治，保证厕所内无蝇蛆、无臭味。</w:t>
      </w:r>
    </w:p>
    <w:p>
      <w:pPr>
        <w:spacing w:line="52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3、齐心协力推进“双创”迎检工作，全力做好重大活动的环卫保障工作</w:t>
      </w:r>
      <w:r>
        <w:rPr>
          <w:rFonts w:hint="eastAsia" w:ascii="仿宋" w:hAnsi="仿宋" w:eastAsia="仿宋" w:cs="仿宋"/>
          <w:sz w:val="32"/>
          <w:szCs w:val="32"/>
          <w:lang w:eastAsia="zh-CN"/>
        </w:rPr>
        <w:t>。</w:t>
      </w:r>
    </w:p>
    <w:p>
      <w:pPr>
        <w:spacing w:line="5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为提升我市旅游城市形象，迎接四方宾客，我单位职工在“双创”迎检期间和重大活动开展期间积极行动，全力以赴，除做好日常清扫保洁工作外，为落实责任、提高效率，还专门组建了突击工作临时督查小组，随时督导，发现问题立即整改。办公室工作人员积极配合创卫办、创文办做好创卫、创文软件资料的收集工作，完善既有资料，搜集更多佐证资料，并做好整理归档。</w:t>
      </w:r>
    </w:p>
    <w:p>
      <w:pPr>
        <w:spacing w:line="520" w:lineRule="atLeast"/>
        <w:ind w:firstLine="640"/>
        <w:rPr>
          <w:rFonts w:hint="eastAsia" w:ascii="仿宋" w:hAnsi="仿宋" w:eastAsia="仿宋" w:cs="仿宋"/>
          <w:sz w:val="32"/>
          <w:szCs w:val="32"/>
        </w:rPr>
      </w:pPr>
      <w:r>
        <w:rPr>
          <w:rFonts w:hint="eastAsia" w:ascii="仿宋" w:hAnsi="仿宋" w:eastAsia="仿宋" w:cs="仿宋"/>
          <w:sz w:val="32"/>
          <w:szCs w:val="32"/>
        </w:rPr>
        <w:t>4、加快推进环卫基础设施建设，提高环卫作业质量。</w:t>
      </w:r>
    </w:p>
    <w:p>
      <w:pPr>
        <w:spacing w:line="5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进一步加快垃圾治理“三推项目”建设进度，现城东垃圾压缩中转站主体工程已完工，力争于11月建成投运。同时，为破解大件生活垃圾整治难题，我单位于城区光辉路附近选址设置一大件生活垃圾临时投放点，并开通预约收运服务热线，这一举措有效规范了我市大件生活垃圾投放问题。此外，在“干干净净迎国庆”系列活动的推动下，我单位对主次干道、背街小巷的老旧破损果皮箱进行全面排查，并替换为新式分类果皮箱。同时根据国家卫生城市标准，在新建设道路两侧按标准增设新式分类果皮箱。此次，共投入100余万元，全市累计替换和增设新式果皮箱1000余个，城市环卫设施面貌焕然一新。</w:t>
      </w:r>
    </w:p>
    <w:p>
      <w:pPr>
        <w:spacing w:line="52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5、试行城区生活垃圾定时定点投放和收集，减少二次污染</w:t>
      </w:r>
      <w:r>
        <w:rPr>
          <w:rFonts w:hint="eastAsia" w:ascii="仿宋" w:hAnsi="仿宋" w:eastAsia="仿宋" w:cs="仿宋"/>
          <w:sz w:val="32"/>
          <w:szCs w:val="32"/>
          <w:lang w:eastAsia="zh-CN"/>
        </w:rPr>
        <w:t>。</w:t>
      </w:r>
    </w:p>
    <w:p>
      <w:pPr>
        <w:spacing w:line="5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为进一步规范城区生活垃圾的倾倒和收集管理，减少二次污染，我单位试行城区生活垃圾定时定点投放和收集。为了强化市民生活垃圾定时定点投放意识，一方面安排环卫工人对清扫片区内的沿街商铺进行面对面宣传，另一方面对个别生活垃圾乱丢乱扔现象较为严重的点位，采集照片或视频取证，并对乱丢乱扔市民进行劝解，同时，争取市综合行政执法局对乱丢乱扔整治工作的配合，以上诸多举措为改善城区环境卫生起到了积极的推动作用。</w:t>
      </w:r>
      <w:bookmarkStart w:id="20" w:name="_Toc15377200"/>
      <w:bookmarkStart w:id="21" w:name="_Toc15396601"/>
    </w:p>
    <w:p>
      <w:pPr>
        <w:numPr>
          <w:ilvl w:val="0"/>
          <w:numId w:val="1"/>
        </w:numPr>
        <w:spacing w:line="520" w:lineRule="atLeast"/>
        <w:ind w:firstLine="640" w:firstLineChars="200"/>
        <w:rPr>
          <w:rStyle w:val="25"/>
          <w:rFonts w:hint="eastAsia" w:ascii="黑体" w:hAnsi="黑体" w:eastAsia="黑体"/>
          <w:b w:val="0"/>
          <w:bCs w:val="0"/>
        </w:rPr>
      </w:pPr>
      <w:r>
        <w:rPr>
          <w:rFonts w:hint="eastAsia" w:ascii="黑体" w:hAnsi="黑体" w:eastAsia="黑体"/>
          <w:b w:val="0"/>
          <w:color w:val="000000"/>
          <w:sz w:val="32"/>
          <w:szCs w:val="32"/>
        </w:rPr>
        <w:t>机</w:t>
      </w:r>
      <w:r>
        <w:rPr>
          <w:rStyle w:val="25"/>
          <w:rFonts w:hint="eastAsia" w:ascii="黑体" w:hAnsi="黑体" w:eastAsia="黑体"/>
          <w:b w:val="0"/>
          <w:bCs w:val="0"/>
        </w:rPr>
        <w:t>构设置</w:t>
      </w:r>
      <w:bookmarkEnd w:id="20"/>
      <w:bookmarkEnd w:id="21"/>
    </w:p>
    <w:p>
      <w:pPr>
        <w:numPr>
          <w:ilvl w:val="0"/>
          <w:numId w:val="0"/>
        </w:numPr>
        <w:spacing w:line="520" w:lineRule="atLeast"/>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val="0"/>
          <w:bCs w:val="0"/>
          <w:sz w:val="32"/>
          <w:szCs w:val="32"/>
          <w:lang w:eastAsia="zh-CN"/>
        </w:rPr>
        <w:t>我</w:t>
      </w:r>
      <w:r>
        <w:rPr>
          <w:rFonts w:hint="eastAsia" w:ascii="仿宋" w:hAnsi="仿宋" w:eastAsia="仿宋"/>
          <w:b w:val="0"/>
          <w:bCs w:val="0"/>
          <w:sz w:val="32"/>
          <w:szCs w:val="32"/>
          <w:lang w:val="en-US" w:eastAsia="zh-CN"/>
        </w:rPr>
        <w:t>单位</w:t>
      </w:r>
      <w:r>
        <w:rPr>
          <w:rFonts w:hint="eastAsia" w:ascii="仿宋" w:hAnsi="仿宋" w:eastAsia="仿宋"/>
          <w:b w:val="0"/>
          <w:bCs w:val="0"/>
          <w:sz w:val="32"/>
          <w:szCs w:val="32"/>
          <w:lang w:eastAsia="zh-CN"/>
        </w:rPr>
        <w:t>为峨眉山市住房和城乡建设局</w:t>
      </w:r>
      <w:r>
        <w:rPr>
          <w:rFonts w:hint="eastAsia" w:ascii="仿宋" w:hAnsi="仿宋" w:eastAsia="仿宋"/>
          <w:b w:val="0"/>
          <w:bCs w:val="0"/>
          <w:sz w:val="32"/>
          <w:szCs w:val="32"/>
        </w:rPr>
        <w:t>下属</w:t>
      </w:r>
      <w:r>
        <w:rPr>
          <w:rFonts w:hint="eastAsia" w:ascii="仿宋" w:hAnsi="仿宋" w:eastAsia="仿宋"/>
          <w:b w:val="0"/>
          <w:bCs w:val="0"/>
          <w:sz w:val="32"/>
          <w:szCs w:val="32"/>
          <w:lang w:eastAsia="zh-CN"/>
        </w:rPr>
        <w:t>的</w:t>
      </w:r>
      <w:r>
        <w:rPr>
          <w:rFonts w:hint="eastAsia" w:ascii="仿宋" w:hAnsi="仿宋" w:eastAsia="仿宋"/>
          <w:b w:val="0"/>
          <w:bCs w:val="0"/>
          <w:sz w:val="32"/>
          <w:szCs w:val="32"/>
        </w:rPr>
        <w:t>二级</w:t>
      </w:r>
      <w:r>
        <w:rPr>
          <w:rFonts w:hint="eastAsia" w:ascii="仿宋" w:hAnsi="仿宋" w:eastAsia="仿宋"/>
          <w:b w:val="0"/>
          <w:bCs w:val="0"/>
          <w:sz w:val="32"/>
          <w:szCs w:val="32"/>
          <w:lang w:eastAsia="zh-CN"/>
        </w:rPr>
        <w:t>全额拨款事业</w:t>
      </w:r>
      <w:r>
        <w:rPr>
          <w:rFonts w:hint="eastAsia" w:ascii="仿宋" w:hAnsi="仿宋" w:eastAsia="仿宋"/>
          <w:b w:val="0"/>
          <w:bCs w:val="0"/>
          <w:sz w:val="32"/>
          <w:szCs w:val="32"/>
        </w:rPr>
        <w:t>单位</w:t>
      </w:r>
      <w:r>
        <w:rPr>
          <w:rFonts w:hint="eastAsia" w:ascii="仿宋" w:hAnsi="仿宋" w:eastAsia="仿宋"/>
          <w:b w:val="0"/>
          <w:bCs w:val="0"/>
          <w:sz w:val="32"/>
          <w:szCs w:val="32"/>
          <w:lang w:eastAsia="zh-CN"/>
        </w:rPr>
        <w:t>，是纳入</w:t>
      </w:r>
      <w:r>
        <w:rPr>
          <w:rFonts w:hint="eastAsia" w:ascii="仿宋" w:hAnsi="仿宋" w:eastAsia="仿宋"/>
          <w:b w:val="0"/>
          <w:bCs w:val="0"/>
          <w:color w:val="000000"/>
          <w:sz w:val="32"/>
          <w:szCs w:val="32"/>
        </w:rPr>
        <w:t>2019年度部门决算编制范围的二级预算单位</w:t>
      </w:r>
      <w:bookmarkStart w:id="22" w:name="_Toc15396602"/>
      <w:bookmarkStart w:id="23" w:name="_Toc15377204"/>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lang w:val="en-US" w:eastAsia="zh-CN"/>
        </w:rPr>
        <w:t xml:space="preserve"> </w:t>
      </w:r>
    </w:p>
    <w:p>
      <w:pPr>
        <w:numPr>
          <w:ilvl w:val="0"/>
          <w:numId w:val="0"/>
        </w:numPr>
        <w:spacing w:line="520" w:lineRule="atLeast"/>
        <w:ind w:firstLine="880" w:firstLineChars="200"/>
        <w:rPr>
          <w:rFonts w:hint="eastAsia" w:ascii="黑体" w:hAnsi="黑体" w:eastAsia="黑体"/>
          <w:b w:val="0"/>
          <w:color w:val="000000"/>
          <w:sz w:val="44"/>
          <w:szCs w:val="44"/>
        </w:rPr>
      </w:pPr>
    </w:p>
    <w:p>
      <w:pPr>
        <w:numPr>
          <w:ilvl w:val="0"/>
          <w:numId w:val="0"/>
        </w:numPr>
        <w:spacing w:line="520" w:lineRule="atLeast"/>
        <w:ind w:firstLine="880" w:firstLineChars="200"/>
        <w:rPr>
          <w:rFonts w:hint="eastAsia" w:ascii="黑体" w:hAnsi="黑体" w:eastAsia="黑体"/>
          <w:b w:val="0"/>
          <w:color w:val="000000"/>
          <w:sz w:val="44"/>
          <w:szCs w:val="44"/>
        </w:rPr>
      </w:pPr>
    </w:p>
    <w:p>
      <w:pPr>
        <w:numPr>
          <w:ilvl w:val="0"/>
          <w:numId w:val="0"/>
        </w:numPr>
        <w:spacing w:line="520" w:lineRule="atLeast"/>
        <w:ind w:firstLine="880" w:firstLineChars="200"/>
        <w:rPr>
          <w:rFonts w:hint="eastAsia" w:ascii="黑体" w:hAnsi="黑体" w:eastAsia="黑体"/>
          <w:b w:val="0"/>
          <w:color w:val="000000"/>
          <w:sz w:val="44"/>
          <w:szCs w:val="44"/>
        </w:rPr>
      </w:pPr>
    </w:p>
    <w:p>
      <w:pPr>
        <w:numPr>
          <w:ilvl w:val="0"/>
          <w:numId w:val="0"/>
        </w:numPr>
        <w:spacing w:line="520" w:lineRule="atLeast"/>
        <w:ind w:firstLine="880" w:firstLineChars="200"/>
        <w:rPr>
          <w:rStyle w:val="24"/>
          <w:rFonts w:ascii="黑体" w:hAnsi="黑体" w:eastAsia="黑体"/>
          <w:b w:val="0"/>
          <w:bCs w:val="0"/>
        </w:rPr>
      </w:pPr>
      <w:r>
        <w:rPr>
          <w:rFonts w:hint="eastAsia" w:ascii="黑体" w:hAnsi="黑体" w:eastAsia="黑体"/>
          <w:b w:val="0"/>
          <w:color w:val="000000"/>
          <w:sz w:val="44"/>
          <w:szCs w:val="44"/>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9591.54</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2149.83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聘用人员最低工资标准上调及五险一金缴费基数提高、新增环卫设施设备购置支出等。</w:t>
      </w:r>
    </w:p>
    <w:p>
      <w:pPr>
        <w:spacing w:line="600" w:lineRule="exact"/>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r>
        <w:rPr>
          <w:rFonts w:hint="eastAsia" w:ascii="仿宋" w:hAnsi="仿宋" w:eastAsia="仿宋"/>
          <w:color w:val="000000" w:themeColor="text1"/>
          <w:sz w:val="32"/>
          <w:szCs w:val="32"/>
          <w:lang w:eastAsia="zh-CN"/>
        </w:rPr>
        <w:drawing>
          <wp:anchor distT="0" distB="0" distL="114300" distR="114300" simplePos="0" relativeHeight="3072" behindDoc="0" locked="0" layoutInCell="1" allowOverlap="1">
            <wp:simplePos x="0" y="0"/>
            <wp:positionH relativeFrom="column">
              <wp:posOffset>410845</wp:posOffset>
            </wp:positionH>
            <wp:positionV relativeFrom="paragraph">
              <wp:posOffset>-3519805</wp:posOffset>
            </wp:positionV>
            <wp:extent cx="5080000" cy="4343400"/>
            <wp:effectExtent l="4445" t="4445" r="209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r>
        <w:rPr>
          <w:rFonts w:hint="eastAsia" w:ascii="仿宋" w:hAnsi="仿宋" w:eastAsia="仿宋"/>
          <w:color w:val="000000" w:themeColor="text1"/>
          <w:sz w:val="32"/>
          <w:szCs w:val="32"/>
          <w:lang w:eastAsia="zh-CN"/>
        </w:rPr>
        <w:t>）</w:t>
      </w:r>
    </w:p>
    <w:p>
      <w:pPr>
        <w:pStyle w:val="23"/>
        <w:numPr>
          <w:ilvl w:val="0"/>
          <w:numId w:val="2"/>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9591.54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479.73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9111.81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4096"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9591.54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421.14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9170.40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5120" behindDoc="0" locked="0" layoutInCell="1" allowOverlap="1">
            <wp:simplePos x="0" y="0"/>
            <wp:positionH relativeFrom="column">
              <wp:posOffset>29845</wp:posOffset>
            </wp:positionH>
            <wp:positionV relativeFrom="paragraph">
              <wp:posOffset>147320</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rPr>
      </w:pPr>
      <w:bookmarkStart w:id="30" w:name="_Toc15396606"/>
      <w:bookmarkStart w:id="31" w:name="_Toc15377208"/>
      <w:r>
        <w:rPr>
          <w:rFonts w:hint="eastAsia" w:ascii="仿宋" w:hAnsi="仿宋" w:eastAsia="仿宋"/>
          <w:color w:val="000000" w:themeColor="text1"/>
          <w:sz w:val="32"/>
          <w:szCs w:val="32"/>
        </w:rPr>
        <w:t>（图3：支出决算结构图）（饼状图）</w:t>
      </w:r>
    </w:p>
    <w:p>
      <w:pPr>
        <w:spacing w:line="600" w:lineRule="exact"/>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9591.54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2149.83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聘用人员最低工资标准上调及五险一金缴费基数提高、新增环卫设施设备购置支出等。</w:t>
      </w:r>
    </w:p>
    <w:p>
      <w:pPr>
        <w:spacing w:line="600" w:lineRule="exact"/>
        <w:rPr>
          <w:rFonts w:hint="eastAsia" w:ascii="黑体" w:hAnsi="黑体" w:eastAsia="黑体"/>
          <w:color w:val="000000"/>
          <w:sz w:val="32"/>
          <w:szCs w:val="32"/>
        </w:rPr>
      </w:pPr>
      <w:r>
        <w:rPr>
          <w:rFonts w:hint="eastAsia" w:ascii="仿宋" w:hAnsi="仿宋" w:eastAsia="仿宋"/>
          <w:color w:val="000000" w:themeColor="text1"/>
          <w:sz w:val="32"/>
          <w:szCs w:val="32"/>
          <w:lang w:eastAsia="zh-CN"/>
        </w:rPr>
        <w:drawing>
          <wp:anchor distT="0" distB="0" distL="114300" distR="114300" simplePos="0" relativeHeight="6144" behindDoc="0" locked="0" layoutInCell="1" allowOverlap="1">
            <wp:simplePos x="0" y="0"/>
            <wp:positionH relativeFrom="column">
              <wp:posOffset>39370</wp:posOffset>
            </wp:positionH>
            <wp:positionV relativeFrom="paragraph">
              <wp:posOffset>356870</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（图4：财政拨款收、支决算总计变动情况）（柱状图）</w:t>
      </w: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479.73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8.34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社会保障和就业支出。</w:t>
      </w: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rPr>
          <w:rFonts w:ascii="仿宋" w:hAnsi="仿宋" w:eastAsia="仿宋"/>
          <w:color w:val="000000" w:themeColor="text1"/>
          <w:sz w:val="32"/>
          <w:szCs w:val="32"/>
        </w:rPr>
      </w:pPr>
      <w:r>
        <w:rPr>
          <w:rFonts w:hint="eastAsia" w:ascii="仿宋" w:hAnsi="仿宋" w:eastAsia="仿宋"/>
          <w:color w:val="000000"/>
          <w:sz w:val="32"/>
          <w:szCs w:val="32"/>
          <w:lang w:val="en-US" w:eastAsia="zh-CN"/>
        </w:rPr>
        <w:drawing>
          <wp:anchor distT="0" distB="0" distL="114300" distR="114300" simplePos="0" relativeHeight="7168" behindDoc="0" locked="0" layoutInCell="1" allowOverlap="1">
            <wp:simplePos x="0" y="0"/>
            <wp:positionH relativeFrom="column">
              <wp:posOffset>-55880</wp:posOffset>
            </wp:positionH>
            <wp:positionV relativeFrom="paragraph">
              <wp:posOffset>147320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479.73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46.78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8.96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城乡社区支出395.03万元，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82</w:t>
      </w:r>
      <w:r>
        <w:rPr>
          <w:rFonts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28.96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8192" behindDoc="0" locked="0" layoutInCell="1" allowOverlap="1">
            <wp:simplePos x="0" y="0"/>
            <wp:positionH relativeFrom="column">
              <wp:posOffset>40640</wp:posOffset>
            </wp:positionH>
            <wp:positionV relativeFrom="paragraph">
              <wp:posOffset>-6777990</wp:posOffset>
            </wp:positionV>
            <wp:extent cx="5080000" cy="3810000"/>
            <wp:effectExtent l="4445" t="4445" r="2095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479.73万元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机关事业单位基本养老保险缴费支出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26.42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机关事业单位职业年金缴费支出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11.94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抚恤</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死亡抚恤</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7.80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抚恤</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其他优抚支出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0.62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lang w:val="en-US" w:eastAsia="zh-CN"/>
        </w:rPr>
        <w:t>7.</w:t>
      </w:r>
      <w:r>
        <w:rPr>
          <w:rFonts w:hint="eastAsia" w:ascii="仿宋" w:hAnsi="仿宋" w:eastAsia="仿宋"/>
          <w:b/>
          <w:bCs/>
          <w:color w:val="000000" w:themeColor="text1"/>
          <w:sz w:val="32"/>
          <w:szCs w:val="32"/>
          <w:lang w:val="en-US" w:eastAsia="zh-CN"/>
        </w:rPr>
        <w:t>城乡社区支出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城乡社区环境卫生</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城乡社区环境卫生</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395.03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bCs/>
          <w:color w:val="000000"/>
          <w:sz w:val="32"/>
          <w:szCs w:val="32"/>
          <w:lang w:val="en-US" w:eastAsia="zh-CN"/>
        </w:rPr>
        <w:t>8.</w:t>
      </w:r>
      <w:r>
        <w:rPr>
          <w:rFonts w:hint="eastAsia" w:ascii="仿宋" w:hAnsi="仿宋" w:eastAsia="仿宋"/>
          <w:b/>
          <w:bCs/>
          <w:color w:val="000000" w:themeColor="text1"/>
          <w:sz w:val="32"/>
          <w:szCs w:val="32"/>
          <w:lang w:val="en-US" w:eastAsia="zh-CN"/>
        </w:rPr>
        <w:t>住房保障支出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住房改革支出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28.96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421.14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384.63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36.51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9216" behindDoc="0" locked="0" layoutInCell="1" allowOverlap="1">
            <wp:simplePos x="0" y="0"/>
            <wp:positionH relativeFrom="column">
              <wp:posOffset>280670</wp:posOffset>
            </wp:positionH>
            <wp:positionV relativeFrom="paragraph">
              <wp:posOffset>261620</wp:posOffset>
            </wp:positionV>
            <wp:extent cx="5080000" cy="40767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000000"/>
          <w:sz w:val="32"/>
          <w:szCs w:val="32"/>
        </w:rPr>
        <w:t>（图7：“三公”经费财政拨款支出结构）（饼状图）</w:t>
      </w:r>
    </w:p>
    <w:p>
      <w:pPr>
        <w:numPr>
          <w:ilvl w:val="0"/>
          <w:numId w:val="3"/>
        </w:numPr>
        <w:spacing w:line="600" w:lineRule="exact"/>
        <w:ind w:left="210" w:leftChars="0" w:firstLine="640" w:firstLineChars="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3" w:firstLineChars="20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2.83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公车改革未核定公务用车。</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Style w:val="14"/>
          <w:rFonts w:hint="eastAsia" w:ascii="仿宋" w:hAnsi="仿宋" w:eastAsia="仿宋"/>
          <w:b w:val="0"/>
          <w:bCs/>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eastAsia="zh-CN"/>
        </w:rPr>
        <w:t>。</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9111.81</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lang w:val="en-US" w:eastAsia="zh-CN"/>
        </w:rPr>
        <w:t>九、</w:t>
      </w:r>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我单位为全额拨款事业单位。</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我单位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536.31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512.61</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23.70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我单位办公设备购置、环卫专用设备、环卫专用车辆、公厕维修、垃圾桶、果皮箱、车辆维修、垃圾中转站维修费等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536.31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我单位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80</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78</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val="en-US" w:eastAsia="zh-CN"/>
        </w:rPr>
        <w:t>垃圾收集转运、街道洗扫等。</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各项目均严格按照项目管理和预算绩效管理要求执行，各部门积极配合、协同作战，确保各项目无超预算情况发生，能够按正常进度保质保量完成预算绩效目标</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项目绩效情况良好。</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环卫专用</w:t>
      </w:r>
      <w:r>
        <w:rPr>
          <w:rFonts w:hint="eastAsia" w:ascii="仿宋_GB2312" w:hAnsi="仿宋_GB2312" w:eastAsia="仿宋_GB2312" w:cs="仿宋_GB2312"/>
          <w:sz w:val="32"/>
          <w:szCs w:val="32"/>
          <w:lang w:eastAsia="zh-CN"/>
        </w:rPr>
        <w:t>车辆运行经费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环卫设施设备日常</w:t>
      </w:r>
      <w:r>
        <w:rPr>
          <w:rFonts w:hint="eastAsia" w:ascii="仿宋_GB2312" w:hAnsi="仿宋_GB2312" w:eastAsia="仿宋_GB2312" w:cs="仿宋_GB2312"/>
          <w:sz w:val="32"/>
          <w:szCs w:val="32"/>
          <w:lang w:eastAsia="zh-CN"/>
        </w:rPr>
        <w:t>维护费”、“环卫中心</w:t>
      </w:r>
      <w:r>
        <w:rPr>
          <w:rFonts w:hint="eastAsia" w:ascii="仿宋_GB2312" w:hAnsi="仿宋_GB2312" w:eastAsia="仿宋_GB2312" w:cs="仿宋_GB2312"/>
          <w:sz w:val="32"/>
          <w:szCs w:val="32"/>
          <w:lang w:val="en-US" w:eastAsia="zh-CN"/>
        </w:rPr>
        <w:t>及亮化办</w:t>
      </w:r>
      <w:r>
        <w:rPr>
          <w:rFonts w:hint="eastAsia" w:ascii="仿宋_GB2312" w:hAnsi="仿宋_GB2312" w:eastAsia="仿宋_GB2312" w:cs="仿宋_GB2312"/>
          <w:sz w:val="32"/>
          <w:szCs w:val="32"/>
          <w:lang w:eastAsia="zh-CN"/>
        </w:rPr>
        <w:t>临时办公场所租</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lang w:eastAsia="zh-CN"/>
        </w:rPr>
        <w:t>”、“生活垃圾处理费（补贴）”</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4586.34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4586.34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了环卫清扫清运工作的正常运转、提高了环境质量水平</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巡查监管力度不够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进一步加强巡查监督与管理。</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环卫</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lang w:eastAsia="zh-CN"/>
        </w:rPr>
        <w:t>车辆运行经费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了环卫车辆安全高效运转，做到全市生活垃圾日产日清，提高了扬尘污染治理效率，为居民提供了良好的生活环境，</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安全生产宣传力度有待提高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在今后的工作中定期对驾驶员进行安全警示教育，树立爱车意识，从而降低交通事故风险及车辆维修成本。</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环卫设施设备日常维护费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449.93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99.98</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办理并支付了</w:t>
      </w:r>
      <w:r>
        <w:rPr>
          <w:rFonts w:hint="eastAsia" w:ascii="仿宋_GB2312" w:hAnsi="仿宋_GB2312" w:eastAsia="仿宋_GB2312" w:cs="仿宋_GB2312"/>
          <w:sz w:val="32"/>
          <w:szCs w:val="32"/>
          <w:lang w:val="en-US" w:eastAsia="zh-CN"/>
        </w:rPr>
        <w:t>45座公厕和8座垃圾中转站的水电费及日常维修与维护费、电瓶清运车维修费及保险费、果皮箱及垃圾桶更新维护等费用，</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全市环卫设施设备保洁工作良好的运转，提高了城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保洁质量水平，促进了社会经济发展。</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环卫中心</w:t>
      </w:r>
      <w:r>
        <w:rPr>
          <w:rFonts w:hint="eastAsia" w:ascii="仿宋_GB2312" w:hAnsi="仿宋_GB2312" w:eastAsia="仿宋_GB2312" w:cs="仿宋_GB2312"/>
          <w:sz w:val="32"/>
          <w:szCs w:val="32"/>
          <w:lang w:val="en-US" w:eastAsia="zh-CN"/>
        </w:rPr>
        <w:t>及亮化办</w:t>
      </w:r>
      <w:r>
        <w:rPr>
          <w:rFonts w:hint="eastAsia" w:ascii="仿宋_GB2312" w:hAnsi="仿宋_GB2312" w:eastAsia="仿宋_GB2312" w:cs="仿宋_GB2312"/>
          <w:sz w:val="32"/>
          <w:szCs w:val="32"/>
          <w:lang w:eastAsia="zh-CN"/>
        </w:rPr>
        <w:t>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23.88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环卫工作的正常运行、环卫车辆能够规范停放与有效运转，为环卫工作提供坚实基础。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生活垃圾处理费（补贴）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2183.37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2183.37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生活垃圾以无害化处理，促进了城市生活垃圾无害化处理量，较好的解决了二次污染</w:t>
      </w:r>
      <w:r>
        <w:rPr>
          <w:rFonts w:hint="eastAsia" w:ascii="仿宋" w:hAnsi="仿宋" w:eastAsia="仿宋" w:cs="仿宋"/>
          <w:sz w:val="32"/>
          <w:szCs w:val="32"/>
        </w:rPr>
        <w:t>。</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bookmarkStart w:id="73" w:name="_GoBack"/>
      <w:bookmarkEnd w:id="73"/>
    </w:p>
    <w:tbl>
      <w:tblPr>
        <w:tblStyle w:val="12"/>
        <w:tblpPr w:leftFromText="180" w:rightFromText="180" w:vertAnchor="text" w:horzAnchor="page" w:tblpX="989" w:tblpY="-11499"/>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劳务费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峨眉山市环境卫生服务中心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4586.34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4586.34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4586.34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4586.34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做好城市清扫保洁工作，科学合理调配人力、设备资源，进一步提升城市环卫清扫保洁水平。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确保了2019年环卫工作有序进行，全面完成预期各项目标任务。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聘用人员工资及五险一金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确保</w:t>
            </w:r>
            <w:r>
              <w:rPr>
                <w:rFonts w:hint="eastAsia" w:ascii="宋体" w:hAnsi="宋体" w:cs="宋体"/>
                <w:color w:val="000000"/>
                <w:sz w:val="24"/>
                <w:lang w:val="en-US" w:eastAsia="zh-CN"/>
              </w:rPr>
              <w:t>967名聘用人员工资准时发放、五险一金按时缴纳。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聘用人员工资准时发放、五险一金按时缴纳，保障了环卫工作正常开展。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合理调配人力，做好城镇保洁、收集、转运工作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常年保洁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调查了解城市居民对环卫工作的满意程度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tbl>
      <w:tblPr>
        <w:tblStyle w:val="12"/>
        <w:tblpPr w:leftFromText="180" w:rightFromText="180" w:vertAnchor="text" w:horzAnchor="page" w:tblpX="974" w:tblpY="1000"/>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环卫专用车辆运行经费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峨眉山市环境卫生服务中心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确保58辆环卫专用车辆安全、高效运行，确保全市生活垃圾做到日产日清。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保障了2019年环卫工作有序进行，全面完成预期各项目标任务。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环卫专用车辆燃油、修理及保险。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确保</w:t>
            </w:r>
            <w:r>
              <w:rPr>
                <w:rFonts w:hint="eastAsia" w:ascii="宋体" w:hAnsi="宋体" w:cs="宋体"/>
                <w:color w:val="000000"/>
                <w:sz w:val="24"/>
                <w:lang w:val="en-US" w:eastAsia="zh-CN"/>
              </w:rPr>
              <w:t>58辆环卫车辆安全、高效运行。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58辆环卫专用车辆做到了全市生活垃圾日产日清。</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保障环卫专用车辆安全高效运转。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每天生活垃圾日产日清。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调查了解城市居民对环卫工作的满意程度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环卫设施设备日常维护费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峨眉山市环境卫生服务中心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449.93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449.93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加大环卫基础设施维护，进一步加强环卫基础设施的维护管理，确保安全高效运行；提高设备的使用效率；加强环卫基础设施建设，继续推行“公厕革命”。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确保了2019年环卫工作有序进行，全面完成预期各项目标任务。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公厕、垃圾中转站、果皮箱、垃圾桶、拉臂钩厢体等环卫设施设备的日常维护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确保42座公厕、8座垃圾中转站、果皮箱、垃圾桶、拉臂钩厢体等环卫设施设备的日常维护维修到位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聘用人员工资准时发放、五险一金按时缴纳，保障了环卫工作正常开展。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加强环卫设施设备维护管理。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确保42座公厕、8座垃圾中转站、果皮箱、垃圾桶、拉臂钩厢体等环卫设施设备的日常维护维修到位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调查了解城市居民对环卫工作的满意程度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Theme="minorEastAsia" w:hAnsiTheme="minorEastAsia" w:eastAsiaTheme="minorEastAsia" w:cstheme="minorEastAsia"/>
                <w:sz w:val="24"/>
                <w:szCs w:val="24"/>
                <w:lang w:eastAsia="zh-CN"/>
              </w:rPr>
              <w:t>环卫中心</w:t>
            </w:r>
            <w:r>
              <w:rPr>
                <w:rFonts w:hint="eastAsia" w:asciiTheme="minorEastAsia" w:hAnsiTheme="minorEastAsia" w:eastAsiaTheme="minorEastAsia" w:cstheme="minorEastAsia"/>
                <w:sz w:val="24"/>
                <w:szCs w:val="24"/>
                <w:lang w:val="en-US" w:eastAsia="zh-CN"/>
              </w:rPr>
              <w:t>及亮化办</w:t>
            </w:r>
            <w:r>
              <w:rPr>
                <w:rFonts w:hint="eastAsia" w:asciiTheme="minorEastAsia" w:hAnsiTheme="minorEastAsia" w:eastAsiaTheme="minorEastAsia" w:cstheme="minorEastAsia"/>
                <w:sz w:val="24"/>
                <w:szCs w:val="24"/>
                <w:lang w:eastAsia="zh-CN"/>
              </w:rPr>
              <w:t>临时办公场所</w:t>
            </w:r>
            <w:r>
              <w:rPr>
                <w:rFonts w:hint="eastAsia" w:asciiTheme="minorEastAsia" w:hAnsiTheme="minorEastAsia" w:eastAsiaTheme="minorEastAsia" w:cstheme="minorEastAsia"/>
                <w:sz w:val="24"/>
                <w:szCs w:val="24"/>
                <w:lang w:val="en-US" w:eastAsia="zh-CN"/>
              </w:rPr>
              <w:t>租金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峨眉山市环境卫生服务中心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23.88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23.88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租用峨眉山市胜利镇红星村8组土地和房屋作为环卫中心及亮化办临时办公场所，2019年按协议约定递增5%，为环卫工作的开展提供后勤保障。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确保了2019年环卫工作有序进行，全面完成预期各项目标任务。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环卫中心及亮化办临时场所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7.67亩土地、820平方米办公场地和640平方米库房。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保障了环卫工作正常开展，环卫设施桂芳停放、有效运转。</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为环卫工作提供坚实的后勤保障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2019年给环卫工作提供好后勤保障。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调查了解城市居民对环卫工作的满意程度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生活垃圾处理费（补贴）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峨眉山市环境卫生服务中心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2183.37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2183.37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2183.37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2183.37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2019年加强生活垃圾无害化处理工作，积极做好环保转运工作。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确保了2019年环卫工作有序进行，全面完成预期各项目标任务。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生活垃圾无害化处理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确保2019年生活垃圾无害化处理工作按期完成。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2019年生活垃圾无害化处理量约11万吨。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加强生活垃圾无害化处理力度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2019年做到生活垃圾日产日清。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调查了解城市居民对环卫工作的满意程度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峨眉山市环境卫生服务中心</w:t>
      </w:r>
      <w:r>
        <w:rPr>
          <w:rFonts w:hint="eastAsia" w:ascii="仿宋_GB2312" w:hAnsi="仿宋_GB2312" w:eastAsia="仿宋_GB2312" w:cs="仿宋_GB2312"/>
          <w:sz w:val="32"/>
          <w:szCs w:val="32"/>
        </w:rPr>
        <w:t>2019年部门整体支出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环卫专用</w:t>
      </w:r>
      <w:r>
        <w:rPr>
          <w:rFonts w:hint="eastAsia" w:ascii="仿宋_GB2312" w:hAnsi="仿宋_GB2312" w:eastAsia="仿宋_GB2312" w:cs="仿宋_GB2312"/>
          <w:sz w:val="32"/>
          <w:szCs w:val="32"/>
          <w:lang w:eastAsia="zh-CN"/>
        </w:rPr>
        <w:t>车辆运行经费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环卫设施设备日常</w:t>
      </w:r>
      <w:r>
        <w:rPr>
          <w:rFonts w:hint="eastAsia" w:ascii="仿宋_GB2312" w:hAnsi="仿宋_GB2312" w:eastAsia="仿宋_GB2312" w:cs="仿宋_GB2312"/>
          <w:sz w:val="32"/>
          <w:szCs w:val="32"/>
          <w:lang w:eastAsia="zh-CN"/>
        </w:rPr>
        <w:t>维护费”、“环卫中心</w:t>
      </w:r>
      <w:r>
        <w:rPr>
          <w:rFonts w:hint="eastAsia" w:ascii="仿宋_GB2312" w:hAnsi="仿宋_GB2312" w:eastAsia="仿宋_GB2312" w:cs="仿宋_GB2312"/>
          <w:sz w:val="32"/>
          <w:szCs w:val="32"/>
          <w:lang w:val="en-US" w:eastAsia="zh-CN"/>
        </w:rPr>
        <w:t>及亮化办</w:t>
      </w:r>
      <w:r>
        <w:rPr>
          <w:rFonts w:hint="eastAsia" w:ascii="仿宋_GB2312" w:hAnsi="仿宋_GB2312" w:eastAsia="仿宋_GB2312" w:cs="仿宋_GB2312"/>
          <w:sz w:val="32"/>
          <w:szCs w:val="32"/>
          <w:lang w:eastAsia="zh-CN"/>
        </w:rPr>
        <w:t>临时办公场所租</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lang w:eastAsia="zh-CN"/>
        </w:rPr>
        <w:t>”、“生活垃圾处理费（补贴）”</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峨眉山市环境卫生服务中心</w:t>
      </w:r>
      <w:r>
        <w:rPr>
          <w:rFonts w:hint="eastAsia" w:ascii="仿宋_GB2312" w:hAnsi="仿宋_GB2312" w:eastAsia="仿宋_GB2312" w:cs="仿宋_GB2312"/>
          <w:sz w:val="32"/>
          <w:szCs w:val="32"/>
        </w:rPr>
        <w:t>项目2019年绩效评价报告》见附件（附件2）。</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numPr>
          <w:ilvl w:val="0"/>
          <w:numId w:val="5"/>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事业单位离退休</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反映实行归口管理的事业单位开支的离退休经费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反映机关事业单位实施养老保险制度由单位缴纳的基本养老保险支出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死亡抚恤</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反映按规定用于烈士和牺牲、病故人员家属的一次性和定期抚恤金以及安葬补助费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其他优抚</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反映按规定用于病故人员家属的生活困难补助</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事业单位医疗</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反映财政部门安排的事业单位基本医疗保险缴纳经费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lang w:val="en-US" w:eastAsia="zh-CN"/>
        </w:rPr>
        <w:t>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城乡环境卫生</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反映城乡社区道路清扫、垃圾清运与处理、公厕管理等方面的支出</w:t>
      </w:r>
      <w:r>
        <w:rPr>
          <w:rFonts w:hint="eastAsia" w:ascii="仿宋_GB2312" w:eastAsia="仿宋_GB2312"/>
          <w:color w:val="000000"/>
          <w:sz w:val="32"/>
          <w:szCs w:val="32"/>
        </w:rPr>
        <w:t>。</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lang w:val="en-US" w:eastAsia="zh-CN"/>
        </w:rPr>
        <w:t>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国有土地使用权出让收入及对应专项债务收入安排的支出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土地开发</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反映财政部门安排的环卫设施设备日常维护费等方面的支出。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16.城乡社区支出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国有土地使用权出让收入及对应专项债务收入安排的支出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其他国有土地使用权出让收入安排的支出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反映财政部门安排的环卫聘用人员的工资、五险一金及相关费用等方面的支出。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17.城乡社区支出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国有土地收益基金及对应专项债务收入安排的支出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土地开发</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反映财政部门安排的环卫专用车辆运行经费及生活垃圾处理费（补贴）等方面的支出。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18.城乡社区支出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城市基础设施配套费安排的支出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城市环境卫生</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反映城市基础设施配套费安排用于道路清扫、垃圾清运与处理等方面的支出。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ind w:firstLine="2640" w:firstLineChars="600"/>
        <w:jc w:val="both"/>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峨眉山市环境卫生服务中心</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峨眉山市环境卫生服务中心是峨眉山市全额拨款事业单位。</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 xml:space="preserve">    承担城镇环卫设施的运行、维护工作；承担城镇公共场所的清扫保洁工作，组织对城乡生活垃圾进行清扫、收集、运输和处理；承担市政公共厕所的维护、保洁工作。完成上级交办的其他任务。</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numPr>
          <w:ilvl w:val="0"/>
          <w:numId w:val="0"/>
        </w:numPr>
        <w:adjustRightInd w:val="0"/>
        <w:snapToGrid w:val="0"/>
        <w:spacing w:line="580" w:lineRule="exact"/>
        <w:ind w:leftChars="200" w:firstLine="320" w:firstLineChars="1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现有编制数33人，实际在编在岗23人。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 w:hAnsi="仿宋" w:eastAsia="仿宋" w:cs="仿宋_GB2312"/>
          <w:color w:val="000000"/>
          <w:sz w:val="32"/>
          <w:szCs w:val="32"/>
        </w:rPr>
      </w:pPr>
      <w:r>
        <w:rPr>
          <w:rFonts w:ascii="仿宋" w:hAnsi="仿宋" w:eastAsia="仿宋" w:cs="仿宋_GB2312"/>
          <w:color w:val="000000"/>
          <w:sz w:val="32"/>
          <w:szCs w:val="32"/>
        </w:rPr>
        <w:t>201</w:t>
      </w:r>
      <w:r>
        <w:rPr>
          <w:rFonts w:hint="eastAsia" w:ascii="仿宋" w:hAnsi="仿宋" w:eastAsia="仿宋" w:cs="仿宋_GB2312"/>
          <w:color w:val="000000"/>
          <w:sz w:val="32"/>
          <w:szCs w:val="32"/>
        </w:rPr>
        <w:t>9年本年收入合计</w:t>
      </w:r>
      <w:r>
        <w:rPr>
          <w:rFonts w:hint="eastAsia" w:ascii="仿宋" w:hAnsi="仿宋" w:eastAsia="仿宋" w:cs="仿宋_GB2312"/>
          <w:color w:val="000000"/>
          <w:sz w:val="32"/>
          <w:szCs w:val="32"/>
          <w:lang w:val="en-US" w:eastAsia="zh-CN"/>
        </w:rPr>
        <w:t>9591.54</w:t>
      </w:r>
      <w:r>
        <w:rPr>
          <w:rFonts w:hint="eastAsia" w:ascii="仿宋" w:hAnsi="仿宋" w:eastAsia="仿宋" w:cs="仿宋_GB2312"/>
          <w:color w:val="000000"/>
          <w:sz w:val="32"/>
          <w:szCs w:val="32"/>
        </w:rPr>
        <w:t>万元，其中：一般公共预算财政拨款收入</w:t>
      </w:r>
      <w:r>
        <w:rPr>
          <w:rFonts w:hint="eastAsia" w:ascii="仿宋" w:hAnsi="仿宋" w:eastAsia="仿宋" w:cs="仿宋_GB2312"/>
          <w:color w:val="000000"/>
          <w:sz w:val="32"/>
          <w:szCs w:val="32"/>
          <w:lang w:val="en-US" w:eastAsia="zh-CN"/>
        </w:rPr>
        <w:t>479.73</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5</w:t>
      </w:r>
      <w:r>
        <w:rPr>
          <w:rFonts w:ascii="仿宋" w:hAnsi="仿宋" w:eastAsia="仿宋" w:cs="仿宋_GB2312"/>
          <w:color w:val="000000"/>
          <w:sz w:val="32"/>
          <w:szCs w:val="32"/>
        </w:rPr>
        <w:t>%</w:t>
      </w:r>
      <w:r>
        <w:rPr>
          <w:rFonts w:hint="eastAsia" w:ascii="仿宋" w:hAnsi="仿宋" w:eastAsia="仿宋" w:cs="仿宋_GB2312"/>
          <w:color w:val="000000"/>
          <w:sz w:val="32"/>
          <w:szCs w:val="32"/>
        </w:rPr>
        <w:t>；政府性基金预算财政拨款收入</w:t>
      </w:r>
      <w:r>
        <w:rPr>
          <w:rFonts w:hint="eastAsia" w:ascii="仿宋" w:hAnsi="仿宋" w:eastAsia="仿宋" w:cs="仿宋_GB2312"/>
          <w:color w:val="000000"/>
          <w:sz w:val="32"/>
          <w:szCs w:val="32"/>
          <w:lang w:val="en-US" w:eastAsia="zh-CN"/>
        </w:rPr>
        <w:t>9111.81</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95</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 w:hAnsi="仿宋" w:eastAsia="仿宋" w:cs="仿宋_GB2312"/>
          <w:color w:val="000000" w:themeColor="text1"/>
          <w:sz w:val="32"/>
          <w:szCs w:val="32"/>
        </w:rPr>
        <w:t>上级补助收入</w:t>
      </w:r>
      <w:r>
        <w:rPr>
          <w:rFonts w:hint="eastAsia" w:ascii="仿宋" w:hAnsi="仿宋" w:eastAsia="仿宋" w:cs="仿宋_GB2312"/>
          <w:color w:val="000000" w:themeColor="text1"/>
          <w:sz w:val="32"/>
          <w:szCs w:val="32"/>
          <w:lang w:val="en-US" w:eastAsia="zh-CN"/>
        </w:rPr>
        <w:t>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0</w:t>
      </w:r>
      <w:r>
        <w:rPr>
          <w:rFonts w:ascii="仿宋" w:hAnsi="仿宋" w:eastAsia="仿宋" w:cs="仿宋_GB2312"/>
          <w:color w:val="000000"/>
          <w:sz w:val="32"/>
          <w:szCs w:val="32"/>
        </w:rPr>
        <w:t>%</w:t>
      </w:r>
      <w:r>
        <w:rPr>
          <w:rFonts w:hint="eastAsia" w:ascii="仿宋" w:hAnsi="仿宋" w:eastAsia="仿宋" w:cs="仿宋_GB2312"/>
          <w:color w:val="000000"/>
          <w:sz w:val="32"/>
          <w:szCs w:val="32"/>
        </w:rPr>
        <w:t>；事业收入</w:t>
      </w:r>
      <w:r>
        <w:rPr>
          <w:rFonts w:hint="eastAsia" w:ascii="仿宋" w:hAnsi="仿宋" w:eastAsia="仿宋" w:cs="仿宋_GB2312"/>
          <w:color w:val="000000"/>
          <w:sz w:val="32"/>
          <w:szCs w:val="32"/>
          <w:lang w:val="en-US" w:eastAsia="zh-CN"/>
        </w:rPr>
        <w:t>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0</w:t>
      </w:r>
      <w:r>
        <w:rPr>
          <w:rFonts w:ascii="仿宋" w:hAnsi="仿宋" w:eastAsia="仿宋" w:cs="仿宋_GB2312"/>
          <w:color w:val="000000"/>
          <w:sz w:val="32"/>
          <w:szCs w:val="32"/>
        </w:rPr>
        <w:t>%</w:t>
      </w:r>
      <w:r>
        <w:rPr>
          <w:rFonts w:hint="eastAsia" w:ascii="仿宋" w:hAnsi="仿宋" w:eastAsia="仿宋" w:cs="仿宋_GB2312"/>
          <w:color w:val="000000"/>
          <w:sz w:val="32"/>
          <w:szCs w:val="32"/>
        </w:rPr>
        <w:t>；经营收入</w:t>
      </w:r>
      <w:r>
        <w:rPr>
          <w:rFonts w:hint="eastAsia" w:ascii="仿宋" w:hAnsi="仿宋" w:eastAsia="仿宋" w:cs="仿宋_GB2312"/>
          <w:color w:val="000000"/>
          <w:sz w:val="32"/>
          <w:szCs w:val="32"/>
          <w:lang w:val="en-US" w:eastAsia="zh-CN"/>
        </w:rPr>
        <w:t>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0</w:t>
      </w:r>
      <w:r>
        <w:rPr>
          <w:rFonts w:ascii="仿宋" w:hAnsi="仿宋" w:eastAsia="仿宋" w:cs="仿宋_GB2312"/>
          <w:color w:val="000000"/>
          <w:sz w:val="32"/>
          <w:szCs w:val="32"/>
        </w:rPr>
        <w:t>%</w:t>
      </w:r>
      <w:r>
        <w:rPr>
          <w:rFonts w:hint="eastAsia" w:ascii="仿宋" w:hAnsi="仿宋" w:eastAsia="仿宋" w:cs="仿宋_GB2312"/>
          <w:color w:val="000000"/>
          <w:sz w:val="32"/>
          <w:szCs w:val="32"/>
        </w:rPr>
        <w:t>；附属单位上缴收入</w:t>
      </w:r>
      <w:r>
        <w:rPr>
          <w:rFonts w:hint="eastAsia" w:ascii="仿宋" w:hAnsi="仿宋" w:eastAsia="仿宋" w:cs="仿宋_GB2312"/>
          <w:color w:val="000000"/>
          <w:sz w:val="32"/>
          <w:szCs w:val="32"/>
          <w:lang w:val="en-US" w:eastAsia="zh-CN"/>
        </w:rPr>
        <w:t>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0</w:t>
      </w:r>
      <w:r>
        <w:rPr>
          <w:rFonts w:ascii="仿宋" w:hAnsi="仿宋" w:eastAsia="仿宋" w:cs="仿宋_GB2312"/>
          <w:color w:val="000000"/>
          <w:sz w:val="32"/>
          <w:szCs w:val="32"/>
        </w:rPr>
        <w:t>%</w:t>
      </w:r>
      <w:r>
        <w:rPr>
          <w:rFonts w:hint="eastAsia" w:ascii="仿宋" w:hAnsi="仿宋" w:eastAsia="仿宋" w:cs="仿宋_GB2312"/>
          <w:color w:val="000000"/>
          <w:sz w:val="32"/>
          <w:szCs w:val="32"/>
        </w:rPr>
        <w:t>；其他收入</w:t>
      </w:r>
      <w:r>
        <w:rPr>
          <w:rFonts w:hint="eastAsia" w:ascii="仿宋" w:hAnsi="仿宋" w:eastAsia="仿宋" w:cs="仿宋_GB2312"/>
          <w:color w:val="000000"/>
          <w:sz w:val="32"/>
          <w:szCs w:val="32"/>
          <w:lang w:val="en-US" w:eastAsia="zh-CN"/>
        </w:rPr>
        <w:t>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9591.54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421.14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9170.40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 w:hAnsi="仿宋" w:eastAsia="仿宋" w:cs="仿宋"/>
          <w:color w:val="0C0C0F"/>
          <w:sz w:val="32"/>
          <w:szCs w:val="32"/>
          <w:lang w:eastAsia="zh-CN"/>
        </w:rPr>
      </w:pPr>
      <w:r>
        <w:rPr>
          <w:rFonts w:hint="eastAsia" w:ascii="仿宋" w:hAnsi="仿宋" w:eastAsia="仿宋" w:cs="仿宋"/>
          <w:color w:val="0C0C0F"/>
          <w:sz w:val="32"/>
          <w:szCs w:val="32"/>
          <w:lang w:eastAsia="zh-CN"/>
        </w:rPr>
        <w:t>我单位</w:t>
      </w:r>
      <w:r>
        <w:rPr>
          <w:rFonts w:hint="eastAsia" w:ascii="仿宋" w:hAnsi="仿宋" w:eastAsia="仿宋" w:cs="仿宋"/>
          <w:color w:val="0C0C0F"/>
          <w:sz w:val="32"/>
          <w:szCs w:val="32"/>
        </w:rPr>
        <w:t>预算安排支出主要用于保障机构正常运转、完成日常工作任务以及承担</w:t>
      </w:r>
      <w:r>
        <w:rPr>
          <w:rFonts w:hint="eastAsia" w:ascii="仿宋" w:hAnsi="仿宋" w:eastAsia="仿宋" w:cs="仿宋"/>
          <w:color w:val="0C0C0F"/>
          <w:sz w:val="32"/>
          <w:szCs w:val="32"/>
          <w:lang w:eastAsia="zh-CN"/>
        </w:rPr>
        <w:t>环卫</w:t>
      </w:r>
      <w:r>
        <w:rPr>
          <w:rFonts w:hint="eastAsia" w:ascii="仿宋" w:hAnsi="仿宋" w:eastAsia="仿宋" w:cs="仿宋"/>
          <w:color w:val="0C0C0F"/>
          <w:sz w:val="32"/>
          <w:szCs w:val="32"/>
        </w:rPr>
        <w:t>事业发展相关工作。在全面清理收入、支出、资产、负债，并办理年终结账的基础上编制决算。并按照综合预算管理规定，如实反映年度内全部收支，不隐匿收入或虚列支出</w:t>
      </w:r>
      <w:r>
        <w:rPr>
          <w:rFonts w:hint="eastAsia" w:ascii="仿宋" w:hAnsi="仿宋" w:eastAsia="仿宋" w:cs="仿宋"/>
          <w:color w:val="0C0C0F"/>
          <w:sz w:val="32"/>
          <w:szCs w:val="32"/>
          <w:lang w:eastAsia="zh-CN"/>
        </w:rPr>
        <w:t>，对项目进度、预算执行的阶段完成情况进行动态监控，明确项目完成目标可能性及时间，提高财政资金的使用效益，保障了全单位工作的顺利开展。</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结果应用情况。</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部门自评质量、绩效目标公开和自评公开均符合相关要求。</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严格按照综合预决算管理规定，如实反映年度内全部收支，全年基本支出保证了部门的正常运转，项目支出保障了重点工作的开展。</w:t>
      </w:r>
    </w:p>
    <w:p>
      <w:pPr>
        <w:widowControl/>
        <w:numPr>
          <w:ilvl w:val="0"/>
          <w:numId w:val="8"/>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部门预算执行需进一步提高，绩效管理结果应需加强。</w:t>
      </w:r>
    </w:p>
    <w:p>
      <w:pPr>
        <w:widowControl/>
        <w:numPr>
          <w:ilvl w:val="0"/>
          <w:numId w:val="8"/>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pStyle w:val="5"/>
        <w:spacing w:before="204" w:line="362" w:lineRule="auto"/>
        <w:ind w:left="125" w:right="108" w:firstLine="719"/>
        <w:jc w:val="both"/>
        <w:rPr>
          <w:rFonts w:hint="eastAsia" w:eastAsia="仿宋_GB2312"/>
          <w:sz w:val="32"/>
          <w:szCs w:val="32"/>
          <w:lang w:eastAsia="zh-CN"/>
        </w:rPr>
      </w:pPr>
      <w:r>
        <w:rPr>
          <w:color w:val="0E0E11"/>
          <w:sz w:val="32"/>
          <w:szCs w:val="32"/>
        </w:rPr>
        <w:t>应当进一步加强对部门预决算数据的分析，强化预决算分析结果的反馈和运用，规范和改进财政财务管理。通过部门决算数据分析和实地调研，及时发现预算编制和预算执行中存在的问题，建立健全预算与决算相互反映和相互促进的工作机制；揭示</w:t>
      </w:r>
      <w:r>
        <w:rPr>
          <w:color w:val="0E0E11"/>
          <w:spacing w:val="-1"/>
          <w:sz w:val="32"/>
          <w:szCs w:val="32"/>
        </w:rPr>
        <w:t>财务管理与会计核算中的问题规范行政事业单位财务管理与</w:t>
      </w:r>
      <w:r>
        <w:rPr>
          <w:rFonts w:hint="eastAsia"/>
          <w:color w:val="0E0E11"/>
          <w:spacing w:val="-1"/>
          <w:sz w:val="32"/>
          <w:szCs w:val="32"/>
          <w:lang w:eastAsia="zh-CN"/>
        </w:rPr>
        <w:t>会计核算。</w:t>
      </w:r>
    </w:p>
    <w:p>
      <w:pPr>
        <w:pStyle w:val="5"/>
        <w:rPr>
          <w:rFonts w:hint="eastAsia" w:ascii="仿宋_GB2312" w:hAnsi="宋体" w:eastAsia="仿宋_GB2312" w:cs="宋体"/>
          <w:color w:val="000000"/>
          <w:kern w:val="0"/>
          <w:sz w:val="32"/>
          <w:szCs w:val="32"/>
          <w:shd w:val="clear" w:color="auto" w:fill="FFFFFF"/>
          <w:lang w:val="zh-CN"/>
        </w:rPr>
      </w:pPr>
      <w:r>
        <w:pict>
          <v:shape id="_x0000_s1026" o:spid="_x0000_s1026" o:spt="202" type="#_x0000_t202" style="position:absolute;left:0pt;margin-left:62.55pt;margin-top:21.45pt;height:4.95pt;width:5.3pt;mso-position-horizontal-relative:page;mso-position-vertical-relative:page;z-index:2048;mso-width-relative:page;mso-height-relative:page;" filled="f" stroked="f" coordsize="21600,21600">
            <v:path/>
            <v:fill on="f" focussize="0,0"/>
            <v:stroke on="f" joinstyle="miter"/>
            <v:imagedata o:title=""/>
            <o:lock v:ext="edit"/>
            <v:textbox inset="0mm,0mm,0mm,0mm" style="layout-flow:vertical-ideographic;">
              <w:txbxContent>
                <w:p>
                  <w:pPr>
                    <w:spacing w:before="0" w:line="216" w:lineRule="auto"/>
                    <w:ind w:left="20" w:right="0" w:firstLine="0"/>
                    <w:jc w:val="left"/>
                    <w:rPr>
                      <w:sz w:val="5"/>
                    </w:rPr>
                  </w:pPr>
                  <w:r>
                    <w:rPr>
                      <w:color w:val="B5B3BD"/>
                      <w:spacing w:val="-42"/>
                      <w:w w:val="99"/>
                      <w:sz w:val="5"/>
                    </w:rPr>
                    <w:t>．</w:t>
                  </w:r>
                  <w:r>
                    <w:rPr>
                      <w:color w:val="91909A"/>
                      <w:w w:val="99"/>
                      <w:position w:val="2"/>
                      <w:sz w:val="5"/>
                    </w:rPr>
                    <w:t>」</w:t>
                  </w:r>
                </w:p>
              </w:txbxContent>
            </v:textbox>
          </v:shape>
        </w:pict>
      </w:r>
      <w:r>
        <w:pict>
          <v:shape id="_x0000_s1027" o:spid="_x0000_s1027" o:spt="202" type="#_x0000_t202" style="position:absolute;left:0pt;margin-left:34.25pt;margin-top:39.25pt;height:9.95pt;width:6.55pt;mso-position-horizontal-relative:page;mso-position-vertical-relative:page;z-index:2048;mso-width-relative:page;mso-height-relative:page;" filled="f" stroked="f" coordsize="21600,21600">
            <v:path/>
            <v:fill on="f" focussize="0,0"/>
            <v:stroke on="f" joinstyle="miter"/>
            <v:imagedata o:title=""/>
            <o:lock v:ext="edit"/>
            <v:textbox inset="0mm,0mm,0mm,0mm" style="layout-flow:vertical-ideographic;">
              <w:txbxContent>
                <w:p>
                  <w:pPr>
                    <w:spacing w:before="0" w:line="192" w:lineRule="auto"/>
                    <w:ind w:left="20" w:right="0" w:firstLine="0"/>
                    <w:jc w:val="left"/>
                    <w:rPr>
                      <w:sz w:val="9"/>
                    </w:rPr>
                  </w:pPr>
                  <w:r>
                    <w:rPr>
                      <w:color w:val="91909A"/>
                      <w:w w:val="99"/>
                      <w:sz w:val="5"/>
                    </w:rPr>
                    <w:t>4</w:t>
                  </w:r>
                  <w:r>
                    <w:rPr>
                      <w:color w:val="91909A"/>
                      <w:sz w:val="5"/>
                    </w:rPr>
                    <w:t xml:space="preserve"> </w:t>
                  </w:r>
                  <w:r>
                    <w:rPr>
                      <w:color w:val="91909A"/>
                      <w:w w:val="99"/>
                      <w:sz w:val="9"/>
                    </w:rPr>
                    <w:t>、</w:t>
                  </w:r>
                </w:p>
              </w:txbxContent>
            </v:textbox>
          </v:shape>
        </w:pic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峨眉山市环境卫生服务中心</w:t>
      </w:r>
    </w:p>
    <w:p>
      <w:pPr>
        <w:spacing w:line="600" w:lineRule="exact"/>
        <w:ind w:firstLine="1320" w:firstLineChars="300"/>
        <w:jc w:val="both"/>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lang w:val="en-US" w:eastAsia="zh-CN"/>
        </w:rPr>
        <w:t>支出</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4586.34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该项目主要用于</w:t>
      </w:r>
      <w:r>
        <w:rPr>
          <w:rFonts w:hint="eastAsia" w:ascii="仿宋_GB2312" w:hAnsi="仿宋_GB2312" w:eastAsia="仿宋_GB2312" w:cs="仿宋_GB2312"/>
          <w:sz w:val="32"/>
          <w:szCs w:val="32"/>
          <w:lang w:val="en-US" w:eastAsia="zh-CN"/>
        </w:rPr>
        <w:t>967名聘用人员工资、五险、住房公积金等相关费用。</w:t>
      </w:r>
    </w:p>
    <w:p>
      <w:pPr>
        <w:numPr>
          <w:ilvl w:val="0"/>
          <w:numId w:val="3"/>
        </w:numPr>
        <w:spacing w:line="580" w:lineRule="exact"/>
        <w:ind w:left="20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环卫车辆运行经费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该项目主要用于</w:t>
      </w:r>
      <w:r>
        <w:rPr>
          <w:rFonts w:hint="eastAsia" w:ascii="仿宋_GB2312" w:hAnsi="仿宋_GB2312" w:eastAsia="仿宋_GB2312" w:cs="仿宋_GB2312"/>
          <w:sz w:val="32"/>
          <w:szCs w:val="32"/>
          <w:lang w:val="en-US" w:eastAsia="zh-CN"/>
        </w:rPr>
        <w:t>58辆环卫专用车辆燃油、修理、保险等运行费用。</w:t>
      </w:r>
    </w:p>
    <w:p>
      <w:pPr>
        <w:numPr>
          <w:ilvl w:val="0"/>
          <w:numId w:val="3"/>
        </w:numPr>
        <w:spacing w:line="580" w:lineRule="exact"/>
        <w:ind w:left="20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环卫设施设备日常维护费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该项目主要用于</w:t>
      </w:r>
      <w:r>
        <w:rPr>
          <w:rFonts w:hint="eastAsia" w:ascii="仿宋_GB2312" w:hAnsi="仿宋_GB2312" w:eastAsia="仿宋_GB2312" w:cs="仿宋_GB2312"/>
          <w:sz w:val="32"/>
          <w:szCs w:val="32"/>
          <w:lang w:val="en-US" w:eastAsia="zh-CN"/>
        </w:rPr>
        <w:t>45座公厕和8座垃圾中转站的水电费及日常维修与维护费、电瓶清运车维修费及保险费、果皮箱及垃圾桶更新维护等。</w:t>
      </w:r>
    </w:p>
    <w:p>
      <w:pPr>
        <w:numPr>
          <w:ilvl w:val="0"/>
          <w:numId w:val="3"/>
        </w:numPr>
        <w:spacing w:line="240" w:lineRule="auto"/>
        <w:ind w:left="20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环卫中心及亮化办临时办公场所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23.88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该项目主要用于环卫中心及亮化办办公、车队及库房等。</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生活垃圾处理费（补贴）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2183.37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该项目主要用于全市生活垃圾无害化处理。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zh-CN" w:eastAsia="zh-CN"/>
        </w:rPr>
        <w:t>劳务费项目</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967名聘用人员工资及补助发放、五险一金缴纳</w:t>
      </w:r>
      <w:r>
        <w:rPr>
          <w:rFonts w:hint="eastAsia" w:ascii="仿宋_GB2312" w:hAnsi="宋体" w:eastAsia="仿宋_GB2312"/>
          <w:sz w:val="32"/>
          <w:szCs w:val="32"/>
          <w:lang w:val="zh-CN"/>
        </w:rPr>
        <w:t>；该项目实施进度据实核查按月向财政申报资金使用计划；该项目申报内容与实际相符，申报目标合理可行。</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2．环卫专用车辆运行经费项目：</w:t>
      </w:r>
      <w:r>
        <w:rPr>
          <w:rFonts w:hint="eastAsia" w:ascii="仿宋_GB2312" w:hAnsi="宋体" w:eastAsia="仿宋_GB2312"/>
          <w:sz w:val="32"/>
          <w:szCs w:val="32"/>
          <w:lang w:val="en-US" w:eastAsia="zh-CN"/>
        </w:rPr>
        <w:t>2019年完成了对58辆环卫车辆燃油费、修理费、保险费等相关费用的支付；该项目</w:t>
      </w:r>
      <w:r>
        <w:rPr>
          <w:rFonts w:hint="eastAsia" w:ascii="仿宋_GB2312" w:hAnsi="宋体" w:eastAsia="仿宋_GB2312"/>
          <w:sz w:val="32"/>
          <w:szCs w:val="32"/>
          <w:lang w:val="zh-CN"/>
        </w:rPr>
        <w:t>进度据实核查，并按月向财政申报资金使用计划；该项目申报内容与实际相符，申报目标合理可行。</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3．环卫设施设备日常维护项目：</w:t>
      </w:r>
      <w:r>
        <w:rPr>
          <w:rFonts w:hint="eastAsia" w:ascii="仿宋_GB2312" w:hAnsi="仿宋_GB2312" w:eastAsia="仿宋_GB2312" w:cs="仿宋_GB2312"/>
          <w:sz w:val="32"/>
          <w:szCs w:val="32"/>
          <w:lang w:val="en-US" w:eastAsia="zh-CN"/>
        </w:rPr>
        <w:t>2019年完成了45座公厕和8座垃圾中转站的水电费及日常维修与维护费、电瓶清运车维修费及保险费、果皮箱及垃圾桶更新维护等费用的支付；</w:t>
      </w:r>
      <w:r>
        <w:rPr>
          <w:rFonts w:hint="eastAsia" w:ascii="仿宋_GB2312" w:hAnsi="宋体" w:eastAsia="仿宋_GB2312"/>
          <w:sz w:val="32"/>
          <w:szCs w:val="32"/>
          <w:lang w:val="en-US" w:eastAsia="zh-CN"/>
        </w:rPr>
        <w:t>该项目</w:t>
      </w:r>
      <w:r>
        <w:rPr>
          <w:rFonts w:hint="eastAsia" w:ascii="仿宋_GB2312" w:hAnsi="宋体" w:eastAsia="仿宋_GB2312"/>
          <w:sz w:val="32"/>
          <w:szCs w:val="32"/>
          <w:lang w:val="zh-CN"/>
        </w:rPr>
        <w:t>进度据实核查，并按月向财政申报资金使用计划；该项目申报内容与实际相符，申报目标合理可行。</w:t>
      </w:r>
      <w:r>
        <w:rPr>
          <w:rFonts w:hint="eastAsia" w:ascii="仿宋_GB2312" w:hAnsi="宋体" w:eastAsia="仿宋_GB2312"/>
          <w:sz w:val="32"/>
          <w:szCs w:val="32"/>
          <w:lang w:val="en-US" w:eastAsia="zh-CN"/>
        </w:rPr>
        <w:t xml:space="preserve"> </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w:t>
      </w:r>
      <w:r>
        <w:rPr>
          <w:rFonts w:hint="eastAsia" w:ascii="仿宋_GB2312" w:hAnsi="仿宋_GB2312" w:eastAsia="仿宋_GB2312" w:cs="仿宋_GB2312"/>
          <w:sz w:val="32"/>
          <w:szCs w:val="32"/>
          <w:lang w:eastAsia="zh-CN"/>
        </w:rPr>
        <w:t>环卫中心及亮化办临时办公场所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环卫中心及亮化办临时办公场所、车库及库房的租金支付；</w:t>
      </w:r>
      <w:r>
        <w:rPr>
          <w:rFonts w:hint="eastAsia" w:ascii="仿宋_GB2312" w:hAnsi="宋体" w:eastAsia="仿宋_GB2312"/>
          <w:sz w:val="32"/>
          <w:szCs w:val="32"/>
          <w:lang w:val="en-US" w:eastAsia="zh-CN"/>
        </w:rPr>
        <w:t>该项目</w:t>
      </w:r>
      <w:r>
        <w:rPr>
          <w:rFonts w:hint="eastAsia" w:ascii="仿宋_GB2312" w:hAnsi="宋体" w:eastAsia="仿宋_GB2312"/>
          <w:sz w:val="32"/>
          <w:szCs w:val="32"/>
          <w:lang w:val="zh-CN"/>
        </w:rPr>
        <w:t>进度</w:t>
      </w:r>
      <w:r>
        <w:rPr>
          <w:rFonts w:hint="eastAsia" w:ascii="仿宋_GB2312" w:hAnsi="宋体" w:eastAsia="仿宋_GB2312"/>
          <w:sz w:val="32"/>
          <w:szCs w:val="32"/>
          <w:lang w:val="en-US" w:eastAsia="zh-CN"/>
        </w:rPr>
        <w:t>按协议约定租金递增5%</w:t>
      </w:r>
      <w:r>
        <w:rPr>
          <w:rFonts w:hint="eastAsia" w:ascii="仿宋_GB2312" w:hAnsi="宋体" w:eastAsia="仿宋_GB2312"/>
          <w:sz w:val="32"/>
          <w:szCs w:val="32"/>
          <w:lang w:val="zh-CN"/>
        </w:rPr>
        <w:t>，并向财政申报资金使用计划；该项目申报内容与实际相符，申报目标合理可行。</w:t>
      </w:r>
      <w:r>
        <w:rPr>
          <w:rFonts w:hint="eastAsia" w:ascii="仿宋_GB2312" w:hAnsi="宋体" w:eastAsia="仿宋_GB2312"/>
          <w:sz w:val="32"/>
          <w:szCs w:val="32"/>
          <w:lang w:val="en-US" w:eastAsia="zh-CN"/>
        </w:rPr>
        <w:t xml:space="preserve"> </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生活垃圾处理费（</w:t>
      </w:r>
      <w:r>
        <w:rPr>
          <w:rFonts w:hint="eastAsia" w:ascii="仿宋_GB2312" w:hAnsi="宋体" w:eastAsia="仿宋_GB2312"/>
          <w:sz w:val="32"/>
          <w:szCs w:val="32"/>
          <w:lang w:val="en-US" w:eastAsia="zh-CN"/>
        </w:rPr>
        <w:t>补贴</w:t>
      </w:r>
      <w:r>
        <w:rPr>
          <w:rFonts w:hint="eastAsia" w:ascii="仿宋_GB2312" w:hAnsi="宋体" w:eastAsia="仿宋_GB2312"/>
          <w:sz w:val="32"/>
          <w:szCs w:val="32"/>
          <w:lang w:val="zh-CN"/>
        </w:rPr>
        <w:t>）：旨在提高全市生活垃圾进行无害化处理；项目实施进度按月按实核查，并按季度向财政申报资金使用计划；该项目申报内容与实际相符，申报目标合理可行。</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项目采取自评与他评相结合方式，成立项目自评小组，结合评价内容，做到有计划、</w:t>
      </w:r>
      <w:r>
        <w:rPr>
          <w:rFonts w:hint="eastAsia" w:ascii="仿宋_GB2312" w:hAnsi="宋体" w:eastAsia="仿宋_GB2312"/>
          <w:sz w:val="32"/>
          <w:szCs w:val="32"/>
          <w:lang w:val="en-US" w:eastAsia="zh-CN"/>
        </w:rPr>
        <w:t>有</w:t>
      </w:r>
      <w:r>
        <w:rPr>
          <w:rFonts w:hint="eastAsia" w:ascii="仿宋_GB2312" w:hAnsi="宋体" w:eastAsia="仿宋_GB2312"/>
          <w:sz w:val="32"/>
          <w:szCs w:val="32"/>
          <w:lang w:val="zh-CN"/>
        </w:rPr>
        <w:t>安排，扎实开展本次自评工作。按照项目支出绩效评价指标体系，自评小组针对申报内容、实施情况、资金兑现、财务管理、社会效益等做出自我评价，认真听取居民建议意见，做好自评工作。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我单位项目经费是根据工作进展情况每月向市财政汇报并申请用款计划。</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2019年市财政拨付</w:t>
      </w:r>
      <w:r>
        <w:rPr>
          <w:rFonts w:hint="eastAsia" w:ascii="仿宋" w:hAnsi="仿宋" w:eastAsia="仿宋" w:cs="仿宋"/>
          <w:sz w:val="32"/>
          <w:szCs w:val="32"/>
          <w:lang w:eastAsia="zh-CN"/>
        </w:rPr>
        <w:t>劳务费</w:t>
      </w:r>
      <w:r>
        <w:rPr>
          <w:rFonts w:hint="eastAsia" w:ascii="仿宋" w:hAnsi="仿宋" w:eastAsia="仿宋" w:cs="仿宋"/>
          <w:sz w:val="32"/>
          <w:szCs w:val="32"/>
        </w:rPr>
        <w:t>项目</w:t>
      </w:r>
      <w:r>
        <w:rPr>
          <w:rFonts w:hint="eastAsia" w:ascii="仿宋_GB2312" w:hAnsi="仿宋_GB2312" w:eastAsia="仿宋_GB2312" w:cs="仿宋_GB2312"/>
          <w:sz w:val="32"/>
          <w:szCs w:val="32"/>
          <w:lang w:val="en-US" w:eastAsia="zh-CN"/>
        </w:rPr>
        <w:t>4586.34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；环卫车辆运行经费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；环卫设施设备日常维护费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；环卫中心及亮化办临时办公场所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23.88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 w:hAnsi="仿宋" w:eastAsia="仿宋" w:cs="仿宋"/>
          <w:b w:val="0"/>
          <w:bCs w:val="0"/>
          <w:sz w:val="32"/>
          <w:szCs w:val="32"/>
          <w:lang w:val="en-US" w:eastAsia="zh-CN"/>
        </w:rPr>
        <w:t>生活垃圾处理费（补贴）2183.37万元。</w:t>
      </w:r>
    </w:p>
    <w:p>
      <w:pPr>
        <w:numPr>
          <w:ilvl w:val="0"/>
          <w:numId w:val="0"/>
        </w:numPr>
        <w:adjustRightInd w:val="0"/>
        <w:snapToGrid w:val="0"/>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资金到位。</w:t>
      </w:r>
    </w:p>
    <w:p>
      <w:pPr>
        <w:numPr>
          <w:ilvl w:val="0"/>
          <w:numId w:val="0"/>
        </w:numPr>
        <w:adjustRightInd w:val="0"/>
        <w:snapToGrid w:val="0"/>
        <w:spacing w:line="600" w:lineRule="exact"/>
        <w:ind w:left="0" w:leftChars="0" w:firstLine="688" w:firstLineChars="215"/>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2019年该项目资金到位率100%。每月市财政根据我单位用款需要均及时拨付。</w:t>
      </w:r>
    </w:p>
    <w:p>
      <w:pPr>
        <w:numPr>
          <w:ilvl w:val="0"/>
          <w:numId w:val="0"/>
        </w:numPr>
        <w:adjustRightInd w:val="0"/>
        <w:snapToGrid w:val="0"/>
        <w:spacing w:line="600" w:lineRule="exact"/>
        <w:ind w:left="640" w:leftChars="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adjustRightInd w:val="0"/>
        <w:snapToGrid w:val="0"/>
        <w:spacing w:line="600" w:lineRule="exact"/>
        <w:ind w:firstLine="720"/>
        <w:rPr>
          <w:rFonts w:hint="eastAsia" w:ascii="仿宋" w:hAnsi="仿宋" w:eastAsia="仿宋" w:cs="仿宋"/>
          <w:b w:val="0"/>
          <w:bCs w:val="0"/>
          <w:sz w:val="32"/>
          <w:szCs w:val="32"/>
          <w:lang w:val="en-US" w:eastAsia="zh-CN"/>
        </w:rPr>
      </w:pPr>
      <w:r>
        <w:rPr>
          <w:rFonts w:hint="eastAsia" w:ascii="仿宋_GB2312" w:hAnsi="宋体" w:eastAsia="仿宋_GB2312"/>
          <w:sz w:val="32"/>
          <w:szCs w:val="32"/>
          <w:lang w:val="zh-CN"/>
        </w:rPr>
        <w:t>该项目资金专款专用，全部用于</w:t>
      </w:r>
      <w:r>
        <w:rPr>
          <w:rFonts w:hint="eastAsia" w:ascii="仿宋" w:hAnsi="仿宋" w:eastAsia="仿宋" w:cs="仿宋"/>
          <w:sz w:val="32"/>
          <w:szCs w:val="32"/>
          <w:lang w:eastAsia="zh-CN"/>
        </w:rPr>
        <w:t>劳务费、</w:t>
      </w:r>
      <w:r>
        <w:rPr>
          <w:rFonts w:hint="eastAsia" w:ascii="仿宋_GB2312" w:hAnsi="仿宋_GB2312" w:eastAsia="仿宋_GB2312" w:cs="仿宋_GB2312"/>
          <w:sz w:val="32"/>
          <w:szCs w:val="32"/>
          <w:lang w:eastAsia="zh-CN"/>
        </w:rPr>
        <w:t>环卫</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lang w:eastAsia="zh-CN"/>
        </w:rPr>
        <w:t>车辆运行、环卫设施设备日常维护费、环卫中心及亮化办临时办公场所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lang w:eastAsia="zh-CN"/>
        </w:rPr>
        <w:t>、</w:t>
      </w:r>
      <w:r>
        <w:rPr>
          <w:rFonts w:hint="eastAsia" w:ascii="仿宋" w:hAnsi="仿宋" w:eastAsia="仿宋" w:cs="仿宋"/>
          <w:b w:val="0"/>
          <w:bCs w:val="0"/>
          <w:sz w:val="32"/>
          <w:szCs w:val="32"/>
          <w:lang w:val="en-US" w:eastAsia="zh-CN"/>
        </w:rPr>
        <w:t>生活垃圾无害化处理等工作。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我单位根据自身情况建立完善了《财务管理制度》、《财务报销制度及报销流程》等规章制度。在资金使用过程中，富和《政府会计制度》的相关规定，无虚列支出、超标准开支、无超预算等情况。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9"/>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numPr>
          <w:ilvl w:val="0"/>
          <w:numId w:val="0"/>
        </w:numPr>
        <w:adjustRightInd w:val="0"/>
        <w:snapToGrid w:val="0"/>
        <w:spacing w:line="600" w:lineRule="exact"/>
        <w:rPr>
          <w:rFonts w:hint="eastAsia" w:ascii="仿宋" w:hAnsi="仿宋" w:eastAsia="仿宋" w:cs="仿宋"/>
          <w:b w:val="0"/>
          <w:bCs/>
          <w:sz w:val="32"/>
          <w:szCs w:val="32"/>
          <w:lang w:val="en-US" w:eastAsia="zh-CN"/>
        </w:rPr>
      </w:pPr>
      <w:r>
        <w:rPr>
          <w:rFonts w:hint="eastAsia" w:ascii="楷体_GB2312" w:hAnsi="宋体" w:eastAsia="楷体_GB2312"/>
          <w:b/>
          <w:sz w:val="32"/>
          <w:szCs w:val="32"/>
          <w:lang w:val="en-US" w:eastAsia="zh-CN"/>
        </w:rPr>
        <w:t xml:space="preserve">     </w:t>
      </w:r>
      <w:r>
        <w:rPr>
          <w:rFonts w:hint="eastAsia" w:ascii="仿宋" w:hAnsi="仿宋" w:eastAsia="仿宋" w:cs="仿宋"/>
          <w:b w:val="0"/>
          <w:bCs/>
          <w:sz w:val="32"/>
          <w:szCs w:val="32"/>
          <w:lang w:val="en-US" w:eastAsia="zh-CN"/>
        </w:rPr>
        <w:t>该项目机构设置健全、分工明确。</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left="239" w:leftChars="114"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严格执行相关法律法规及项目管理制度，建立了较为完善的内部控制管理制度和资金管理实施办法。</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left="191" w:leftChars="91" w:firstLine="533" w:firstLineChars="166"/>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严格遵守各项法律法规及财务规定，并填制用款计划申请表交财政申请拨付资金，资金支付时需经办人、分管领导、财务负责人、主管领导层层审核、签字后进行支付。</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w:t>
      </w:r>
      <w:r>
        <w:rPr>
          <w:rFonts w:hint="eastAsia" w:ascii="仿宋_GB2312" w:hAnsi="宋体" w:eastAsia="仿宋_GB2312"/>
          <w:sz w:val="32"/>
          <w:szCs w:val="32"/>
          <w:lang w:val="en-US" w:eastAsia="zh-CN"/>
        </w:rPr>
        <w:t>按照相关规定</w:t>
      </w:r>
      <w:r>
        <w:rPr>
          <w:rFonts w:hint="eastAsia" w:ascii="仿宋_GB2312" w:hAnsi="宋体" w:eastAsia="仿宋_GB2312"/>
          <w:sz w:val="32"/>
          <w:szCs w:val="32"/>
          <w:lang w:val="zh-CN"/>
        </w:rPr>
        <w:t>据实申报计划并及时支付。</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了环卫清扫清运工作的正常运转、提高了环境质量水平。</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环卫车辆运行经费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了环卫车辆安全高效运转，做到全市生活垃圾日产日清，提高了扬尘污染治理效率，为居民提供了良好的生活环境。</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环卫设施设备日常维护费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全市环卫设施设备保洁工作良好的运转，提高了城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保洁质量水平，促进了社会经济发展。</w:t>
      </w:r>
    </w:p>
    <w:p>
      <w:pPr>
        <w:numPr>
          <w:ilvl w:val="0"/>
          <w:numId w:val="0"/>
        </w:num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环卫中心及亮化办临时办公场所</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环卫工作的正常运行、环卫车辆能够规范停放与有效运转，为环卫工作提供坚实基础。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生活垃圾处理费（补贴）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生活垃圾以无害化处理，促进了城市生活垃圾无害化处理量，较好的解决了二次污染。</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numPr>
          <w:ilvl w:val="0"/>
          <w:numId w:val="0"/>
        </w:numPr>
        <w:adjustRightInd w:val="0"/>
        <w:snapToGrid w:val="0"/>
        <w:spacing w:line="600" w:lineRule="exact"/>
        <w:ind w:left="80" w:leftChars="38" w:firstLine="640" w:firstLineChars="200"/>
        <w:rPr>
          <w:rFonts w:ascii="仿宋_GB2312" w:hAnsi="宋体" w:eastAsia="仿宋_GB2312"/>
          <w:sz w:val="32"/>
          <w:szCs w:val="32"/>
          <w:lang w:val="zh-CN"/>
        </w:rPr>
      </w:pPr>
      <w:r>
        <w:rPr>
          <w:rFonts w:hint="eastAsia" w:ascii="仿宋" w:hAnsi="仿宋" w:eastAsia="仿宋" w:cs="仿宋"/>
          <w:b w:val="0"/>
          <w:bCs w:val="0"/>
          <w:sz w:val="32"/>
          <w:szCs w:val="32"/>
          <w:lang w:val="zh-CN"/>
        </w:rPr>
        <w:t>我单位按照年度工作要求的安排，严格执行资金管理制度，充分合理使用该项目资金，真正做到数出有据、数出有理，确保资金发挥最佳效益。</w:t>
      </w:r>
      <w:r>
        <w:rPr>
          <w:rFonts w:hint="eastAsia" w:ascii="仿宋_GB2312" w:hAnsi="宋体" w:eastAsia="仿宋_GB2312"/>
          <w:sz w:val="32"/>
          <w:szCs w:val="32"/>
          <w:lang w:val="zh-CN"/>
        </w:rPr>
        <w:t>推进城市环境卫生监督管理，全面实施环境卫生整治工作；以无害化处理为重点，促进了城市生活垃圾无害化处理量，为城市居民创造美好的居住环境。</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根据我单位实际情况进一步完善单位内部控制制度，今后对我们的工作要进一步更加精细化的管理。</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5"/>
        <w:spacing w:before="204" w:line="362" w:lineRule="auto"/>
        <w:ind w:left="125" w:right="108" w:firstLine="719"/>
        <w:jc w:val="both"/>
        <w:rPr>
          <w:rFonts w:hint="eastAsia" w:eastAsia="仿宋_GB2312"/>
          <w:sz w:val="32"/>
          <w:szCs w:val="32"/>
          <w:lang w:eastAsia="zh-CN"/>
        </w:rPr>
      </w:pPr>
      <w:r>
        <w:rPr>
          <w:color w:val="0E0E11"/>
          <w:sz w:val="32"/>
          <w:szCs w:val="32"/>
        </w:rPr>
        <w:t>应当进一步加强对部门预决算数据的分析，强化预决算分析结果的反馈和运用，规范和改进财政财务管理。通过部门决算数据分析和实地调研，及时发现预算编制和预算执行中存在的问题，建立健全预算与决算相互反映和相互促进的工作机制；揭示</w:t>
      </w:r>
      <w:r>
        <w:rPr>
          <w:color w:val="0E0E11"/>
          <w:spacing w:val="-1"/>
          <w:sz w:val="32"/>
          <w:szCs w:val="32"/>
        </w:rPr>
        <w:t>财务管理与会计核算中的问题规范行政事业单位财务管理与</w:t>
      </w:r>
      <w:r>
        <w:rPr>
          <w:rFonts w:hint="eastAsia"/>
          <w:color w:val="0E0E11"/>
          <w:spacing w:val="-1"/>
          <w:sz w:val="32"/>
          <w:szCs w:val="32"/>
          <w:lang w:eastAsia="zh-CN"/>
        </w:rPr>
        <w:t>会计核算。</w:t>
      </w: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53" o:spid="_x0000_s205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txbxContent>
          </v:textbox>
        </v:shape>
      </w:pic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D08B8"/>
    <w:multiLevelType w:val="singleLevel"/>
    <w:tmpl w:val="940D08B8"/>
    <w:lvl w:ilvl="0" w:tentative="0">
      <w:start w:val="2"/>
      <w:numFmt w:val="chineseCounting"/>
      <w:suff w:val="nothing"/>
      <w:lvlText w:val="（%1）"/>
      <w:lvlJc w:val="left"/>
      <w:rPr>
        <w:rFonts w:hint="eastAsia"/>
      </w:rPr>
    </w:lvl>
  </w:abstractNum>
  <w:abstractNum w:abstractNumId="1">
    <w:nsid w:val="A35801EA"/>
    <w:multiLevelType w:val="singleLevel"/>
    <w:tmpl w:val="A35801EA"/>
    <w:lvl w:ilvl="0" w:tentative="0">
      <w:start w:val="1"/>
      <w:numFmt w:val="decimal"/>
      <w:lvlText w:val="%1."/>
      <w:lvlJc w:val="left"/>
      <w:pPr>
        <w:tabs>
          <w:tab w:val="left" w:pos="312"/>
        </w:tabs>
      </w:pPr>
    </w:lvl>
  </w:abstractNum>
  <w:abstractNum w:abstractNumId="2">
    <w:nsid w:val="B163EC3F"/>
    <w:multiLevelType w:val="singleLevel"/>
    <w:tmpl w:val="B163EC3F"/>
    <w:lvl w:ilvl="0" w:tentative="0">
      <w:start w:val="1"/>
      <w:numFmt w:val="decimal"/>
      <w:lvlText w:val="%1."/>
      <w:lvlJc w:val="left"/>
      <w:pPr>
        <w:tabs>
          <w:tab w:val="left" w:pos="312"/>
        </w:tabs>
        <w:ind w:left="210"/>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1BBCAD"/>
    <w:multiLevelType w:val="singleLevel"/>
    <w:tmpl w:val="FF1BBCAD"/>
    <w:lvl w:ilvl="0" w:tentative="0">
      <w:start w:val="2"/>
      <w:numFmt w:val="chineseCounting"/>
      <w:suff w:val="nothing"/>
      <w:lvlText w:val="（%1）"/>
      <w:lvlJc w:val="left"/>
      <w:rPr>
        <w:rFonts w:hint="eastAsia"/>
      </w:rPr>
    </w:lvl>
  </w:abstractNum>
  <w:abstractNum w:abstractNumId="5">
    <w:nsid w:val="10AE64B2"/>
    <w:multiLevelType w:val="singleLevel"/>
    <w:tmpl w:val="10AE64B2"/>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67279A9"/>
    <w:multiLevelType w:val="singleLevel"/>
    <w:tmpl w:val="467279A9"/>
    <w:lvl w:ilvl="0" w:tentative="0">
      <w:start w:val="2"/>
      <w:numFmt w:val="chineseCounting"/>
      <w:suff w:val="nothing"/>
      <w:lvlText w:val="（%1）"/>
      <w:lvlJc w:val="left"/>
      <w:rPr>
        <w:rFonts w:hint="eastAsia"/>
      </w:rPr>
    </w:lvl>
  </w:abstractNum>
  <w:abstractNum w:abstractNumId="8">
    <w:nsid w:val="6F6B9FC7"/>
    <w:multiLevelType w:val="singleLevel"/>
    <w:tmpl w:val="6F6B9FC7"/>
    <w:lvl w:ilvl="0" w:tentative="0">
      <w:start w:val="2"/>
      <w:numFmt w:val="chineseCounting"/>
      <w:suff w:val="nothing"/>
      <w:lvlText w:val="%1、"/>
      <w:lvlJc w:val="left"/>
      <w:rPr>
        <w:rFonts w:hint="eastAsia"/>
      </w:rPr>
    </w:lvl>
  </w:abstractNum>
  <w:num w:numId="1">
    <w:abstractNumId w:val="8"/>
  </w:num>
  <w:num w:numId="2">
    <w:abstractNumId w:val="6"/>
  </w:num>
  <w:num w:numId="3">
    <w:abstractNumId w:val="2"/>
  </w:num>
  <w:num w:numId="4">
    <w:abstractNumId w:val="1"/>
  </w:num>
  <w:num w:numId="5">
    <w:abstractNumId w:val="3"/>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0100"/>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C21EE"/>
    <w:rsid w:val="004E0A2D"/>
    <w:rsid w:val="004E206B"/>
    <w:rsid w:val="004E6DF7"/>
    <w:rsid w:val="004F0FBD"/>
    <w:rsid w:val="004F403E"/>
    <w:rsid w:val="00505A47"/>
    <w:rsid w:val="00512FDA"/>
    <w:rsid w:val="00520DA0"/>
    <w:rsid w:val="005664BB"/>
    <w:rsid w:val="00566FFA"/>
    <w:rsid w:val="0057257F"/>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A254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1D1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B6566"/>
    <w:rsid w:val="031C61B4"/>
    <w:rsid w:val="035A4270"/>
    <w:rsid w:val="03826FA0"/>
    <w:rsid w:val="03D94EA7"/>
    <w:rsid w:val="04106E86"/>
    <w:rsid w:val="04315E16"/>
    <w:rsid w:val="04DA2ED6"/>
    <w:rsid w:val="04DD1F3C"/>
    <w:rsid w:val="04F41123"/>
    <w:rsid w:val="05FC3D42"/>
    <w:rsid w:val="075F53BD"/>
    <w:rsid w:val="07B85D23"/>
    <w:rsid w:val="07EC3E9D"/>
    <w:rsid w:val="082B3F6A"/>
    <w:rsid w:val="09173D0D"/>
    <w:rsid w:val="094C45C2"/>
    <w:rsid w:val="096F4493"/>
    <w:rsid w:val="097B5765"/>
    <w:rsid w:val="098D63D0"/>
    <w:rsid w:val="09C06CF2"/>
    <w:rsid w:val="0A8D3FA6"/>
    <w:rsid w:val="0AD34979"/>
    <w:rsid w:val="0B70233A"/>
    <w:rsid w:val="0BCF5A41"/>
    <w:rsid w:val="0C9A1D47"/>
    <w:rsid w:val="0CCE062B"/>
    <w:rsid w:val="0D9B6CC1"/>
    <w:rsid w:val="0E2E5297"/>
    <w:rsid w:val="0EC62C9F"/>
    <w:rsid w:val="0ED174A8"/>
    <w:rsid w:val="0EE35765"/>
    <w:rsid w:val="0F2D24F6"/>
    <w:rsid w:val="0F876E6B"/>
    <w:rsid w:val="0FA87897"/>
    <w:rsid w:val="0FDD0FB7"/>
    <w:rsid w:val="10917FC6"/>
    <w:rsid w:val="10C055FF"/>
    <w:rsid w:val="111A48A3"/>
    <w:rsid w:val="113C3232"/>
    <w:rsid w:val="11474D46"/>
    <w:rsid w:val="11D53045"/>
    <w:rsid w:val="12EB6573"/>
    <w:rsid w:val="13385CF8"/>
    <w:rsid w:val="13636013"/>
    <w:rsid w:val="13CE44C6"/>
    <w:rsid w:val="13DA2961"/>
    <w:rsid w:val="148C5D1C"/>
    <w:rsid w:val="14D77622"/>
    <w:rsid w:val="14F425E2"/>
    <w:rsid w:val="15537FDB"/>
    <w:rsid w:val="15782DAB"/>
    <w:rsid w:val="15C205A3"/>
    <w:rsid w:val="15D4003C"/>
    <w:rsid w:val="15FE04FA"/>
    <w:rsid w:val="16BB723D"/>
    <w:rsid w:val="171A0273"/>
    <w:rsid w:val="1726376A"/>
    <w:rsid w:val="18342F04"/>
    <w:rsid w:val="18521042"/>
    <w:rsid w:val="18C0043C"/>
    <w:rsid w:val="19304B5B"/>
    <w:rsid w:val="196A797E"/>
    <w:rsid w:val="19950720"/>
    <w:rsid w:val="1BF027BA"/>
    <w:rsid w:val="1C8C10F8"/>
    <w:rsid w:val="1CD416A8"/>
    <w:rsid w:val="1CF91CAC"/>
    <w:rsid w:val="1D846762"/>
    <w:rsid w:val="1D896F38"/>
    <w:rsid w:val="1DA10B9D"/>
    <w:rsid w:val="1DAC2660"/>
    <w:rsid w:val="1DB6303C"/>
    <w:rsid w:val="1E5144A6"/>
    <w:rsid w:val="1E5502AF"/>
    <w:rsid w:val="1EDD0F60"/>
    <w:rsid w:val="1F7B19F7"/>
    <w:rsid w:val="1FB45DA6"/>
    <w:rsid w:val="2060665C"/>
    <w:rsid w:val="20FC552A"/>
    <w:rsid w:val="2207616E"/>
    <w:rsid w:val="222C5F6F"/>
    <w:rsid w:val="22610369"/>
    <w:rsid w:val="2279457D"/>
    <w:rsid w:val="22E90037"/>
    <w:rsid w:val="23F75139"/>
    <w:rsid w:val="23F860A6"/>
    <w:rsid w:val="240371BF"/>
    <w:rsid w:val="24044788"/>
    <w:rsid w:val="24DA62E6"/>
    <w:rsid w:val="24EB5DB3"/>
    <w:rsid w:val="26474F32"/>
    <w:rsid w:val="26562680"/>
    <w:rsid w:val="26607556"/>
    <w:rsid w:val="26F620FC"/>
    <w:rsid w:val="28663931"/>
    <w:rsid w:val="287146EC"/>
    <w:rsid w:val="28DC2757"/>
    <w:rsid w:val="28E13D45"/>
    <w:rsid w:val="28E44A99"/>
    <w:rsid w:val="29053273"/>
    <w:rsid w:val="29CD12B8"/>
    <w:rsid w:val="29FD04D3"/>
    <w:rsid w:val="2AE370EF"/>
    <w:rsid w:val="2B534997"/>
    <w:rsid w:val="2B9606A5"/>
    <w:rsid w:val="2BBE5780"/>
    <w:rsid w:val="2C442925"/>
    <w:rsid w:val="2C4E7FC3"/>
    <w:rsid w:val="2D895A13"/>
    <w:rsid w:val="2DD718DE"/>
    <w:rsid w:val="2F356776"/>
    <w:rsid w:val="2F4C5389"/>
    <w:rsid w:val="2F882DDC"/>
    <w:rsid w:val="2FBE26A8"/>
    <w:rsid w:val="303B5F48"/>
    <w:rsid w:val="30B60260"/>
    <w:rsid w:val="30CC157C"/>
    <w:rsid w:val="319F7F4E"/>
    <w:rsid w:val="31C50088"/>
    <w:rsid w:val="32770DD4"/>
    <w:rsid w:val="33E65BDB"/>
    <w:rsid w:val="35C9143A"/>
    <w:rsid w:val="362B4307"/>
    <w:rsid w:val="36396D31"/>
    <w:rsid w:val="379C16CA"/>
    <w:rsid w:val="37F01092"/>
    <w:rsid w:val="382E2DC9"/>
    <w:rsid w:val="383E514D"/>
    <w:rsid w:val="386C1DBB"/>
    <w:rsid w:val="388E6B61"/>
    <w:rsid w:val="389E6F61"/>
    <w:rsid w:val="38BB184F"/>
    <w:rsid w:val="391F5CE9"/>
    <w:rsid w:val="3ADD10FB"/>
    <w:rsid w:val="3AFD4D60"/>
    <w:rsid w:val="3C6565A3"/>
    <w:rsid w:val="3C662371"/>
    <w:rsid w:val="3D6C752C"/>
    <w:rsid w:val="3D7118F5"/>
    <w:rsid w:val="3DB82011"/>
    <w:rsid w:val="3DC842CF"/>
    <w:rsid w:val="3E9B200D"/>
    <w:rsid w:val="3F07154E"/>
    <w:rsid w:val="3F120346"/>
    <w:rsid w:val="3F5B66F0"/>
    <w:rsid w:val="3F5F1373"/>
    <w:rsid w:val="40051F7C"/>
    <w:rsid w:val="40202620"/>
    <w:rsid w:val="414A4485"/>
    <w:rsid w:val="41567410"/>
    <w:rsid w:val="41D7598D"/>
    <w:rsid w:val="41F86CC3"/>
    <w:rsid w:val="425A3260"/>
    <w:rsid w:val="43914E15"/>
    <w:rsid w:val="43BF4901"/>
    <w:rsid w:val="444A1025"/>
    <w:rsid w:val="445E13B4"/>
    <w:rsid w:val="447A32FC"/>
    <w:rsid w:val="44F1683F"/>
    <w:rsid w:val="45020649"/>
    <w:rsid w:val="45593F79"/>
    <w:rsid w:val="459352F7"/>
    <w:rsid w:val="465272FC"/>
    <w:rsid w:val="4655475F"/>
    <w:rsid w:val="467D778A"/>
    <w:rsid w:val="46CF746A"/>
    <w:rsid w:val="47362C44"/>
    <w:rsid w:val="47983AC4"/>
    <w:rsid w:val="47993D58"/>
    <w:rsid w:val="4848251F"/>
    <w:rsid w:val="4854377B"/>
    <w:rsid w:val="48BC7BBF"/>
    <w:rsid w:val="48E5766B"/>
    <w:rsid w:val="48F972B6"/>
    <w:rsid w:val="49050D24"/>
    <w:rsid w:val="49BB231A"/>
    <w:rsid w:val="49DD3EC0"/>
    <w:rsid w:val="49F77906"/>
    <w:rsid w:val="4A554DF8"/>
    <w:rsid w:val="4A6A06A7"/>
    <w:rsid w:val="4A817753"/>
    <w:rsid w:val="4AA1442E"/>
    <w:rsid w:val="4AC47F42"/>
    <w:rsid w:val="4B63551D"/>
    <w:rsid w:val="4C0B4AAB"/>
    <w:rsid w:val="4DA41B21"/>
    <w:rsid w:val="4DEB67DF"/>
    <w:rsid w:val="4E2F24D0"/>
    <w:rsid w:val="4EB0657B"/>
    <w:rsid w:val="4ECE2238"/>
    <w:rsid w:val="4EFB67C5"/>
    <w:rsid w:val="4F006847"/>
    <w:rsid w:val="4F1F3650"/>
    <w:rsid w:val="4FA61F4D"/>
    <w:rsid w:val="50BA5F61"/>
    <w:rsid w:val="52F62B9A"/>
    <w:rsid w:val="52F87FA3"/>
    <w:rsid w:val="532427E8"/>
    <w:rsid w:val="535F3DF6"/>
    <w:rsid w:val="537504C6"/>
    <w:rsid w:val="53C73BEC"/>
    <w:rsid w:val="54685269"/>
    <w:rsid w:val="549B4335"/>
    <w:rsid w:val="54E14915"/>
    <w:rsid w:val="54E90741"/>
    <w:rsid w:val="55707D87"/>
    <w:rsid w:val="558231F8"/>
    <w:rsid w:val="55D60E3D"/>
    <w:rsid w:val="56444D01"/>
    <w:rsid w:val="56712C53"/>
    <w:rsid w:val="56A57420"/>
    <w:rsid w:val="56C06C48"/>
    <w:rsid w:val="56DB5B41"/>
    <w:rsid w:val="56F3478E"/>
    <w:rsid w:val="58067A59"/>
    <w:rsid w:val="582E3352"/>
    <w:rsid w:val="588F1C5A"/>
    <w:rsid w:val="592258AC"/>
    <w:rsid w:val="596F18BB"/>
    <w:rsid w:val="59CB0247"/>
    <w:rsid w:val="59FD77A0"/>
    <w:rsid w:val="5BB96C8D"/>
    <w:rsid w:val="5C306FC4"/>
    <w:rsid w:val="5E287671"/>
    <w:rsid w:val="5F3C0416"/>
    <w:rsid w:val="5F6A30A2"/>
    <w:rsid w:val="604307D9"/>
    <w:rsid w:val="60450B3C"/>
    <w:rsid w:val="619C1EEB"/>
    <w:rsid w:val="61E74B1D"/>
    <w:rsid w:val="61F41BD1"/>
    <w:rsid w:val="628F0403"/>
    <w:rsid w:val="63342CB3"/>
    <w:rsid w:val="6342052D"/>
    <w:rsid w:val="63B37152"/>
    <w:rsid w:val="63C9109C"/>
    <w:rsid w:val="63D9753E"/>
    <w:rsid w:val="640E6E03"/>
    <w:rsid w:val="6415422A"/>
    <w:rsid w:val="64277A23"/>
    <w:rsid w:val="643538BB"/>
    <w:rsid w:val="647E48AD"/>
    <w:rsid w:val="64DE161B"/>
    <w:rsid w:val="6606199B"/>
    <w:rsid w:val="66375521"/>
    <w:rsid w:val="665A02B8"/>
    <w:rsid w:val="666E0CB6"/>
    <w:rsid w:val="666F3B7B"/>
    <w:rsid w:val="66792C09"/>
    <w:rsid w:val="6743700A"/>
    <w:rsid w:val="67966584"/>
    <w:rsid w:val="67E85F60"/>
    <w:rsid w:val="68071180"/>
    <w:rsid w:val="685D79A1"/>
    <w:rsid w:val="68AD1FF3"/>
    <w:rsid w:val="690150B5"/>
    <w:rsid w:val="69881DFA"/>
    <w:rsid w:val="69C5667C"/>
    <w:rsid w:val="6CFC22CA"/>
    <w:rsid w:val="6CFE1215"/>
    <w:rsid w:val="6DA709A3"/>
    <w:rsid w:val="6E1331D3"/>
    <w:rsid w:val="6E2F225B"/>
    <w:rsid w:val="6E6C0F4B"/>
    <w:rsid w:val="6EA13C75"/>
    <w:rsid w:val="6EC11512"/>
    <w:rsid w:val="6F852940"/>
    <w:rsid w:val="6FE347B8"/>
    <w:rsid w:val="70203444"/>
    <w:rsid w:val="70DE5083"/>
    <w:rsid w:val="71857B01"/>
    <w:rsid w:val="718D6A14"/>
    <w:rsid w:val="72714061"/>
    <w:rsid w:val="72734D90"/>
    <w:rsid w:val="72DC26CA"/>
    <w:rsid w:val="72DF0B50"/>
    <w:rsid w:val="733B5F5E"/>
    <w:rsid w:val="73555969"/>
    <w:rsid w:val="73595BC6"/>
    <w:rsid w:val="735F4499"/>
    <w:rsid w:val="740B7531"/>
    <w:rsid w:val="74167562"/>
    <w:rsid w:val="74C62D87"/>
    <w:rsid w:val="750466FB"/>
    <w:rsid w:val="76DC1786"/>
    <w:rsid w:val="778F1F73"/>
    <w:rsid w:val="77CF0ED7"/>
    <w:rsid w:val="7851413B"/>
    <w:rsid w:val="785B5CD7"/>
    <w:rsid w:val="790D5481"/>
    <w:rsid w:val="7974504C"/>
    <w:rsid w:val="79905964"/>
    <w:rsid w:val="79C94F3A"/>
    <w:rsid w:val="7A08265D"/>
    <w:rsid w:val="7A6A31B1"/>
    <w:rsid w:val="7AD5285B"/>
    <w:rsid w:val="7AE2326C"/>
    <w:rsid w:val="7B352E8B"/>
    <w:rsid w:val="7B936C58"/>
    <w:rsid w:val="7BA86D4D"/>
    <w:rsid w:val="7BFE371C"/>
    <w:rsid w:val="7C862A4A"/>
    <w:rsid w:val="7F6A707B"/>
    <w:rsid w:val="7FA97399"/>
    <w:rsid w:val="7FD41300"/>
    <w:rsid w:val="7FDD7C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7441.71</c:v>
                </c:pt>
                <c:pt idx="1">
                  <c:v>9591.54</c:v>
                </c:pt>
              </c:numCache>
            </c:numRef>
          </c:val>
        </c:ser>
        <c:dLbls>
          <c:showLegendKey val="0"/>
          <c:showVal val="0"/>
          <c:showCatName val="0"/>
          <c:showSerName val="0"/>
          <c:showPercent val="0"/>
          <c:showBubbleSize val="0"/>
        </c:dLbls>
        <c:gapWidth val="219"/>
        <c:overlap val="-27"/>
        <c:axId val="620380919"/>
        <c:axId val="68353891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ext>
        </c:extLst>
      </c:barChart>
      <c:catAx>
        <c:axId val="6203809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538915"/>
        <c:crosses val="autoZero"/>
        <c:auto val="1"/>
        <c:lblAlgn val="ctr"/>
        <c:lblOffset val="100"/>
        <c:noMultiLvlLbl val="0"/>
      </c:catAx>
      <c:valAx>
        <c:axId val="6835389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3809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dLblPos val="inEnd"/>
              <c:showLegendKey val="0"/>
              <c:showVal val="0"/>
              <c:showCatName val="0"/>
              <c:showSerName val="0"/>
              <c:showPercent val="1"/>
              <c:showBubbleSize val="0"/>
              <c:extLst>
                <c:ext xmlns:c15="http://schemas.microsoft.com/office/drawing/2012/chart" uri="{CE6537A1-D6FC-4f65-9D91-7224C49458BB}">
                  <c15:layout>
                    <c:manualLayout>
                      <c:w val="0.198"/>
                      <c:h val="0.126833333333333"/>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479.73</c:v>
                </c:pt>
                <c:pt idx="1">
                  <c:v>9111.81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支出决算结构图</a:t>
            </a:r>
            <a:endParaRPr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421.14</c:v>
                </c:pt>
                <c:pt idx="1">
                  <c:v>9170.4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r>
              <a:rPr lang="en-US" altLang="zh-CN"/>
              <a:t>(</a:t>
            </a:r>
            <a:r>
              <a:rPr altLang="zh-CN"/>
              <a:t>万元）</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7441.71</c:v>
                </c:pt>
                <c:pt idx="1">
                  <c:v>9591.54</c:v>
                </c:pt>
              </c:numCache>
            </c:numRef>
          </c:val>
        </c:ser>
        <c:dLbls>
          <c:showLegendKey val="0"/>
          <c:showVal val="0"/>
          <c:showCatName val="0"/>
          <c:showSerName val="0"/>
          <c:showPercent val="0"/>
          <c:showBubbleSize val="0"/>
        </c:dLbls>
        <c:gapWidth val="219"/>
        <c:overlap val="-27"/>
        <c:axId val="538643824"/>
        <c:axId val="26712020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ext>
        </c:extLst>
      </c:barChart>
      <c:catAx>
        <c:axId val="538643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120200"/>
        <c:crosses val="autoZero"/>
        <c:auto val="1"/>
        <c:lblAlgn val="ctr"/>
        <c:lblOffset val="100"/>
        <c:noMultiLvlLbl val="0"/>
      </c:catAx>
      <c:valAx>
        <c:axId val="26712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3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471.59</c:v>
                </c:pt>
                <c:pt idx="1">
                  <c:v>479.73</c:v>
                </c:pt>
              </c:numCache>
            </c:numRef>
          </c:val>
        </c:ser>
        <c:dLbls>
          <c:showLegendKey val="0"/>
          <c:showVal val="0"/>
          <c:showCatName val="0"/>
          <c:showSerName val="0"/>
          <c:showPercent val="0"/>
          <c:showBubbleSize val="0"/>
        </c:dLbls>
        <c:gapWidth val="219"/>
        <c:overlap val="-27"/>
        <c:axId val="15373817"/>
        <c:axId val="795549503"/>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ext>
        </c:extLst>
      </c:barChart>
      <c:catAx>
        <c:axId val="153738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549503"/>
        <c:crosses val="autoZero"/>
        <c:auto val="1"/>
        <c:lblAlgn val="ctr"/>
        <c:lblOffset val="100"/>
        <c:noMultiLvlLbl val="0"/>
      </c:catAx>
      <c:valAx>
        <c:axId val="795549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738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46.78</c:v>
                </c:pt>
                <c:pt idx="1">
                  <c:v>8.96</c:v>
                </c:pt>
                <c:pt idx="2">
                  <c:v>395.03</c:v>
                </c:pt>
                <c:pt idx="3">
                  <c:v>28.96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经费财政拨款支出决算</a:t>
            </a:r>
            <a:endParaRPr altLang="en-US"/>
          </a:p>
        </c:rich>
      </c:tx>
      <c:layout>
        <c:manualLayout>
          <c:xMode val="edge"/>
          <c:yMode val="edge"/>
          <c:x val="0.228625"/>
          <c:y val="0.039182242990654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pt idx="3">
                  <c:v>三公经费</c:v>
                </c:pt>
              </c:strCache>
            </c:strRef>
          </c:cat>
          <c:val>
            <c:numRef>
              <c:f>Sheet1!$B$2:$B$5</c:f>
              <c:numCache>
                <c:formatCode>General</c:formatCode>
                <c:ptCount val="4"/>
                <c:pt idx="0">
                  <c:v>0</c:v>
                </c:pt>
                <c:pt idx="1">
                  <c:v>0</c:v>
                </c:pt>
                <c:pt idx="2">
                  <c:v>0</c:v>
                </c:pt>
                <c:pt idx="3">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18</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2020-10-29T03:18:50Z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