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outlineLvl w:val="0"/>
        <w:rPr>
          <w:rFonts w:hint="eastAsia" w:ascii="方正小标宋简体" w:hAnsi="宋体" w:eastAsia="方正小标宋简体"/>
          <w:b/>
          <w:bCs/>
          <w:color w:val="000000"/>
          <w:sz w:val="52"/>
          <w:szCs w:val="52"/>
        </w:rPr>
      </w:pPr>
      <w:bookmarkStart w:id="0" w:name="_Toc15378441"/>
      <w:bookmarkStart w:id="1" w:name="_Toc15306267"/>
      <w:bookmarkStart w:id="2" w:name="_Toc15396597"/>
      <w:bookmarkStart w:id="3" w:name="_Toc15377193"/>
      <w:bookmarkStart w:id="4" w:name="_Toc15377425"/>
      <w:bookmarkStart w:id="5" w:name="_Toc15396475"/>
      <w:r>
        <w:rPr>
          <w:rFonts w:ascii="黑体" w:hAnsi="黑体" w:eastAsia="黑体"/>
          <w:b/>
          <w:bCs/>
          <w:color w:val="000000"/>
          <w:sz w:val="52"/>
          <w:szCs w:val="52"/>
        </w:rPr>
        <w:t>201</w:t>
      </w:r>
      <w:r>
        <w:rPr>
          <w:rFonts w:hint="eastAsia" w:ascii="黑体" w:hAnsi="黑体" w:eastAsia="黑体"/>
          <w:b/>
          <w:bCs/>
          <w:color w:val="000000"/>
          <w:sz w:val="52"/>
          <w:szCs w:val="52"/>
        </w:rPr>
        <w:t>9</w:t>
      </w:r>
      <w:r>
        <w:rPr>
          <w:rFonts w:hint="eastAsia" w:ascii="方正小标宋简体" w:hAnsi="宋体" w:eastAsia="方正小标宋简体"/>
          <w:b/>
          <w:bCs/>
          <w:color w:val="000000"/>
          <w:sz w:val="52"/>
          <w:szCs w:val="52"/>
        </w:rPr>
        <w:t>年度</w:t>
      </w:r>
      <w:bookmarkEnd w:id="0"/>
      <w:bookmarkEnd w:id="1"/>
      <w:bookmarkEnd w:id="2"/>
      <w:bookmarkEnd w:id="3"/>
      <w:bookmarkEnd w:id="4"/>
      <w:bookmarkEnd w:id="5"/>
      <w:bookmarkStart w:id="6" w:name="_Toc15378442"/>
      <w:bookmarkStart w:id="7" w:name="_Toc15377426"/>
      <w:bookmarkStart w:id="8" w:name="_Toc15396598"/>
      <w:bookmarkStart w:id="9" w:name="_Toc15377194"/>
      <w:bookmarkStart w:id="10" w:name="_Toc15396476"/>
      <w:bookmarkStart w:id="11" w:name="_Toc15306268"/>
      <w:r>
        <w:rPr>
          <w:rFonts w:hint="eastAsia" w:ascii="方正小标宋简体" w:hAnsi="宋体" w:eastAsia="方正小标宋简体"/>
          <w:b/>
          <w:bCs/>
          <w:color w:val="000000"/>
          <w:sz w:val="52"/>
          <w:szCs w:val="52"/>
        </w:rPr>
        <w:t>峨眉山市</w:t>
      </w:r>
    </w:p>
    <w:p>
      <w:pPr>
        <w:adjustRightInd w:val="0"/>
        <w:snapToGrid w:val="0"/>
        <w:spacing w:line="360" w:lineRule="auto"/>
        <w:jc w:val="center"/>
        <w:outlineLvl w:val="0"/>
        <w:rPr>
          <w:rFonts w:hint="eastAsia" w:ascii="方正小标宋简体" w:hAnsi="宋体" w:eastAsia="方正小标宋简体"/>
          <w:b/>
          <w:bCs/>
          <w:color w:val="000000"/>
          <w:sz w:val="52"/>
          <w:szCs w:val="52"/>
          <w:lang w:eastAsia="zh-CN"/>
        </w:rPr>
      </w:pPr>
      <w:r>
        <w:rPr>
          <w:rFonts w:hint="eastAsia" w:ascii="方正小标宋简体" w:hAnsi="宋体" w:eastAsia="方正小标宋简体"/>
          <w:b/>
          <w:bCs/>
          <w:color w:val="000000"/>
          <w:sz w:val="52"/>
          <w:szCs w:val="52"/>
          <w:lang w:eastAsia="zh-CN"/>
        </w:rPr>
        <w:t>大为镇人民政府</w:t>
      </w:r>
      <w:r>
        <w:rPr>
          <w:rFonts w:hint="eastAsia" w:ascii="方正小标宋简体" w:hAnsi="宋体" w:eastAsia="方正小标宋简体"/>
          <w:b/>
          <w:bCs/>
          <w:color w:val="000000"/>
          <w:sz w:val="52"/>
          <w:szCs w:val="52"/>
        </w:rPr>
        <w:t>部门决算</w:t>
      </w:r>
      <w:bookmarkEnd w:id="6"/>
      <w:bookmarkEnd w:id="7"/>
      <w:bookmarkEnd w:id="8"/>
      <w:bookmarkEnd w:id="9"/>
      <w:bookmarkEnd w:id="10"/>
      <w:bookmarkEnd w:id="11"/>
      <w:r>
        <w:rPr>
          <w:rFonts w:hint="eastAsia" w:ascii="方正小标宋简体" w:hAnsi="宋体" w:eastAsia="方正小标宋简体"/>
          <w:b/>
          <w:bCs/>
          <w:color w:val="000000"/>
          <w:sz w:val="52"/>
          <w:szCs w:val="52"/>
          <w:lang w:eastAsia="zh-CN"/>
        </w:rPr>
        <w:t>编制说明</w:t>
      </w:r>
      <w:bookmarkStart w:id="12" w:name="_Toc15396599"/>
      <w:bookmarkStart w:id="13" w:name="_Toc15377196"/>
    </w:p>
    <w:p>
      <w:pPr>
        <w:adjustRightInd w:val="0"/>
        <w:snapToGrid w:val="0"/>
        <w:spacing w:line="360" w:lineRule="auto"/>
        <w:jc w:val="center"/>
        <w:outlineLvl w:val="0"/>
        <w:rPr>
          <w:rFonts w:ascii="黑体" w:eastAsia="黑体"/>
          <w:color w:val="000000"/>
          <w:sz w:val="44"/>
          <w:szCs w:val="44"/>
        </w:rPr>
      </w:pPr>
      <w:r>
        <w:rPr>
          <w:rFonts w:hint="eastAsia" w:ascii="黑体" w:hAnsi="黑体" w:eastAsia="黑体"/>
          <w:b w:val="0"/>
          <w:sz w:val="44"/>
          <w:szCs w:val="44"/>
        </w:rPr>
        <w:t xml:space="preserve">第一部分 </w:t>
      </w:r>
      <w:r>
        <w:rPr>
          <w:rStyle w:val="24"/>
          <w:rFonts w:hint="eastAsia" w:ascii="黑体" w:hAnsi="黑体" w:eastAsia="黑体"/>
          <w:b w:val="0"/>
          <w:bCs w:val="0"/>
          <w:sz w:val="44"/>
          <w:szCs w:val="44"/>
        </w:rPr>
        <w:t>部门概况</w:t>
      </w:r>
      <w:bookmarkEnd w:id="12"/>
      <w:bookmarkEnd w:id="13"/>
    </w:p>
    <w:p>
      <w:pPr>
        <w:pStyle w:val="3"/>
        <w:rPr>
          <w:rStyle w:val="25"/>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pPr>
        <w:numPr>
          <w:ilvl w:val="0"/>
          <w:numId w:val="0"/>
        </w:numPr>
        <w:snapToGrid w:val="0"/>
        <w:spacing w:line="520" w:lineRule="exact"/>
        <w:ind w:firstLine="640" w:firstLineChars="200"/>
        <w:rPr>
          <w:rFonts w:hint="eastAsia" w:ascii="仿宋_GB2312" w:hAnsi="黑体" w:eastAsia="仿宋_GB2312"/>
          <w:b w:val="0"/>
          <w:bCs/>
          <w:sz w:val="32"/>
          <w:szCs w:val="32"/>
        </w:rPr>
      </w:pPr>
      <w:bookmarkStart w:id="16" w:name="_Toc15378446"/>
      <w:bookmarkStart w:id="17" w:name="_Toc15377199"/>
      <w:r>
        <w:rPr>
          <w:rFonts w:hint="eastAsia" w:ascii="仿宋_GB2312" w:hAnsi="黑体" w:eastAsia="仿宋_GB2312"/>
          <w:b w:val="0"/>
          <w:bCs/>
          <w:sz w:val="32"/>
          <w:szCs w:val="32"/>
        </w:rPr>
        <w:t>按照额编发[2007]117文件精神，按照职能归口，设立2个行政机构、2个事业机构。行政机构设党政办公室、社会事务办公室；事业机构设社会事业服务中心和农业技术服务中心。</w:t>
      </w:r>
    </w:p>
    <w:p>
      <w:pPr>
        <w:numPr>
          <w:ilvl w:val="0"/>
          <w:numId w:val="0"/>
        </w:numPr>
        <w:snapToGrid w:val="0"/>
        <w:spacing w:line="520" w:lineRule="exact"/>
        <w:ind w:firstLine="640" w:firstLineChars="200"/>
        <w:rPr>
          <w:rFonts w:hint="eastAsia" w:ascii="仿宋_GB2312" w:hAnsi="黑体" w:eastAsia="仿宋_GB2312"/>
          <w:b w:val="0"/>
          <w:bCs/>
          <w:sz w:val="32"/>
          <w:szCs w:val="32"/>
        </w:rPr>
      </w:pPr>
      <w:r>
        <w:rPr>
          <w:rFonts w:hint="eastAsia" w:ascii="仿宋_GB2312" w:hAnsi="黑体" w:eastAsia="仿宋_GB2312"/>
          <w:b w:val="0"/>
          <w:bCs/>
          <w:sz w:val="32"/>
          <w:szCs w:val="32"/>
        </w:rPr>
        <w:t>行政机构主要职责：（一）负责党委、政府、人大的日常事务工作；负责组织、人事、宣传、宗教、统战、督查、考核工作；负责组织、文电管理、秘书事务、档案、保密、后勤和应急等工作；负责机关退休人员服务管理及便民中心规范管理运行工作。（二）贯彻执行各项财经法律、法规和制度，健全财政资金监督管理机制，实施各类财政资金全程监管，按月清理核对资金账户，确保财政资金安全；负责各项强农惠农补贴资金的公开公示、审核发放；负责项目建设资金的监督管理，强化项目资金监管，建立项目资金台账；负责管理乡镇国有资产和政府性债权债务；负责乡镇财务信息公开。（三）负责协助实施辖区内规划、设计、建设管理工作；负责辖区内规划行政许可，建筑合格证初审；负责公益设施、公共基础设施规划建设维护管理；负责国土资源存量土地权属管理、农村宅基地审批、地灾防治、征地拆迁等工作。（四）负责产业发展规划和年度计划并实施；负责招商引资、商务商贸和经济信息工作；负责内外投资、统计、环保、安全等工作。（五）负责综治、维稳、防邪、司法、大调解、信访和群众工作。</w:t>
      </w:r>
    </w:p>
    <w:p>
      <w:pPr>
        <w:numPr>
          <w:ilvl w:val="0"/>
          <w:numId w:val="0"/>
        </w:numPr>
        <w:snapToGrid w:val="0"/>
        <w:spacing w:line="520" w:lineRule="exact"/>
        <w:ind w:firstLine="640" w:firstLineChars="200"/>
        <w:rPr>
          <w:rFonts w:hint="eastAsia" w:ascii="仿宋_GB2312" w:hAnsi="黑体" w:eastAsia="仿宋_GB2312"/>
          <w:b w:val="0"/>
          <w:bCs/>
          <w:sz w:val="32"/>
          <w:szCs w:val="32"/>
        </w:rPr>
      </w:pPr>
      <w:r>
        <w:rPr>
          <w:rFonts w:hint="eastAsia" w:ascii="仿宋_GB2312" w:hAnsi="黑体" w:eastAsia="仿宋_GB2312"/>
          <w:b w:val="0"/>
          <w:bCs/>
          <w:sz w:val="32"/>
          <w:szCs w:val="32"/>
        </w:rPr>
        <w:t>事业机构主要职责：（一）负责民政、残联、劳动、就业、社会保障、计生与卫生等工作。（二）负责宣传、教育、文化、体育、广播电视、老龄、老协、老体协、关工委等工作。（三）负责农业、林业、水利、畜牧、农机、防汛、抗旱、新农村建设、移民与扶贫、农村交通等工作。（四）负责旅游、资源发掘保护和依规建设，宣传管理并提升乡村农家乐品质等工作。（五）负责城镇管理、镇村规划、安全生产、农业管理、环境保护、交通安全、文化卫生等方面的监督检查，协助查处违法行为。</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6"/>
      <w:bookmarkEnd w:id="17"/>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val="en-US" w:eastAsia="zh-CN"/>
        </w:rPr>
        <w:t>1、推动</w:t>
      </w:r>
      <w:r>
        <w:rPr>
          <w:rFonts w:hint="eastAsia" w:ascii="楷体_GB2312" w:hAnsi="楷体_GB2312" w:eastAsia="楷体_GB2312" w:cs="楷体_GB2312"/>
          <w:b/>
          <w:bCs/>
          <w:sz w:val="32"/>
          <w:szCs w:val="32"/>
          <w:lang w:eastAsia="zh-CN"/>
        </w:rPr>
        <w:t>项目建设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楷体_GB2312" w:eastAsia="楷体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扶贫</w:t>
      </w:r>
      <w:r>
        <w:rPr>
          <w:rFonts w:hint="eastAsia" w:ascii="仿宋_GB2312" w:hAnsi="仿宋_GB2312" w:eastAsia="仿宋_GB2312" w:cs="仿宋_GB2312"/>
          <w:sz w:val="32"/>
          <w:szCs w:val="32"/>
        </w:rPr>
        <w:t>项目保障有力。201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我镇</w:t>
      </w:r>
      <w:r>
        <w:rPr>
          <w:rFonts w:hint="eastAsia" w:ascii="仿宋_GB2312" w:hAnsi="仿宋_GB2312" w:eastAsia="仿宋_GB2312" w:cs="仿宋_GB2312"/>
          <w:sz w:val="32"/>
          <w:szCs w:val="32"/>
        </w:rPr>
        <w:t>争取</w:t>
      </w:r>
      <w:r>
        <w:rPr>
          <w:rFonts w:hint="eastAsia" w:ascii="仿宋_GB2312" w:hAnsi="仿宋_GB2312" w:eastAsia="仿宋_GB2312" w:cs="仿宋_GB2312"/>
          <w:sz w:val="32"/>
          <w:szCs w:val="32"/>
          <w:lang w:eastAsia="zh-CN"/>
        </w:rPr>
        <w:t>扶贫</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个，总投资约</w:t>
      </w:r>
      <w:r>
        <w:rPr>
          <w:rFonts w:hint="eastAsia" w:ascii="仿宋_GB2312" w:hAnsi="仿宋_GB2312" w:eastAsia="仿宋_GB2312" w:cs="仿宋_GB2312"/>
          <w:color w:val="333333"/>
          <w:sz w:val="32"/>
          <w:szCs w:val="32"/>
          <w:lang w:val="en-US" w:eastAsia="zh-CN"/>
        </w:rPr>
        <w:t>425</w:t>
      </w:r>
      <w:r>
        <w:rPr>
          <w:rFonts w:hint="eastAsia" w:ascii="仿宋_GB2312" w:hAnsi="仿宋_GB2312" w:eastAsia="仿宋_GB2312" w:cs="仿宋_GB2312"/>
          <w:color w:val="333333"/>
          <w:sz w:val="32"/>
          <w:szCs w:val="32"/>
        </w:rPr>
        <w:t>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现顺利</w:t>
      </w:r>
      <w:r>
        <w:rPr>
          <w:rFonts w:hint="eastAsia" w:ascii="仿宋_GB2312" w:hAnsi="仿宋_GB2312" w:eastAsia="仿宋_GB2312" w:cs="仿宋_GB2312"/>
          <w:sz w:val="32"/>
          <w:szCs w:val="32"/>
        </w:rPr>
        <w:t>完成</w:t>
      </w:r>
      <w:r>
        <w:rPr>
          <w:rFonts w:hint="eastAsia" w:ascii="仿宋_GB2312" w:hAnsi="仿宋_GB2312" w:eastAsia="仿宋_GB2312" w:cs="仿宋_GB2312"/>
          <w:sz w:val="32"/>
          <w:szCs w:val="32"/>
          <w:lang w:val="en-US" w:eastAsia="zh-CN"/>
        </w:rPr>
        <w:t>巨新村7、8、9组通组道路硬化工程、桃花村通村道路硬化工程和泉水村至中山村泥结碎石道路工程，</w:t>
      </w:r>
      <w:r>
        <w:rPr>
          <w:rFonts w:hint="eastAsia" w:ascii="仿宋_GB2312" w:hAnsi="仿宋_GB2312" w:eastAsia="仿宋_GB2312" w:cs="仿宋_GB2312"/>
          <w:sz w:val="32"/>
          <w:szCs w:val="32"/>
        </w:rPr>
        <w:t>硬化</w:t>
      </w:r>
      <w:r>
        <w:rPr>
          <w:rFonts w:hint="eastAsia" w:ascii="仿宋_GB2312" w:hAnsi="仿宋_GB2312" w:eastAsia="仿宋_GB2312" w:cs="仿宋_GB2312"/>
          <w:sz w:val="32"/>
          <w:szCs w:val="32"/>
          <w:lang w:eastAsia="zh-CN"/>
        </w:rPr>
        <w:t>道路</w:t>
      </w:r>
      <w:r>
        <w:rPr>
          <w:rFonts w:hint="eastAsia" w:ascii="仿宋_GB2312" w:hAnsi="仿宋_GB2312" w:eastAsia="仿宋_GB2312" w:cs="仿宋_GB2312"/>
          <w:sz w:val="32"/>
          <w:szCs w:val="32"/>
          <w:lang w:val="en-US" w:eastAsia="zh-CN"/>
        </w:rPr>
        <w:t>9.6</w:t>
      </w:r>
      <w:r>
        <w:rPr>
          <w:rFonts w:hint="eastAsia" w:ascii="仿宋_GB2312" w:hAnsi="仿宋_GB2312" w:eastAsia="仿宋_GB2312" w:cs="仿宋_GB2312"/>
          <w:sz w:val="32"/>
          <w:szCs w:val="32"/>
        </w:rPr>
        <w:t>公里</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挂图作战有</w:t>
      </w:r>
      <w:r>
        <w:rPr>
          <w:rFonts w:hint="eastAsia" w:ascii="仿宋_GB2312" w:hAnsi="仿宋_GB2312" w:eastAsia="仿宋_GB2312" w:cs="仿宋_GB2312"/>
          <w:sz w:val="32"/>
          <w:szCs w:val="32"/>
          <w:lang w:val="en-US" w:eastAsia="zh-CN"/>
        </w:rPr>
        <w:t>序</w:t>
      </w:r>
      <w:r>
        <w:rPr>
          <w:rFonts w:hint="eastAsia" w:ascii="仿宋_GB2312" w:hAnsi="仿宋_GB2312" w:eastAsia="仿宋_GB2312" w:cs="仿宋_GB2312"/>
          <w:sz w:val="32"/>
          <w:szCs w:val="32"/>
          <w:lang w:eastAsia="zh-CN"/>
        </w:rPr>
        <w:t>推进</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积极推进市“</w:t>
      </w:r>
      <w:r>
        <w:rPr>
          <w:rFonts w:hint="eastAsia" w:ascii="仿宋_GB2312" w:hAnsi="仿宋_GB2312" w:eastAsia="仿宋_GB2312" w:cs="仿宋_GB2312"/>
          <w:sz w:val="32"/>
          <w:szCs w:val="32"/>
          <w:lang w:eastAsia="zh-CN"/>
        </w:rPr>
        <w:t>挂图作战”项目</w:t>
      </w:r>
      <w:r>
        <w:rPr>
          <w:rFonts w:hint="eastAsia" w:ascii="仿宋_GB2312" w:hAnsi="仿宋_GB2312" w:eastAsia="仿宋_GB2312" w:cs="仿宋_GB2312"/>
          <w:sz w:val="32"/>
          <w:szCs w:val="32"/>
        </w:rPr>
        <w:t>峨汉高速</w:t>
      </w:r>
      <w:r>
        <w:rPr>
          <w:rFonts w:hint="eastAsia" w:ascii="仿宋_GB2312" w:hAnsi="仿宋_GB2312" w:eastAsia="仿宋_GB2312" w:cs="仿宋_GB2312"/>
          <w:sz w:val="32"/>
          <w:szCs w:val="32"/>
          <w:lang w:val="en-US" w:eastAsia="zh-CN"/>
        </w:rPr>
        <w:t>建设，</w:t>
      </w:r>
      <w:r>
        <w:rPr>
          <w:rFonts w:hint="eastAsia" w:ascii="仿宋_GB2312" w:hAnsi="仿宋_GB2312" w:eastAsia="仿宋_GB2312" w:cs="仿宋_GB2312"/>
          <w:color w:val="auto"/>
          <w:sz w:val="32"/>
          <w:szCs w:val="32"/>
          <w:lang w:val="en-US" w:eastAsia="zh-CN"/>
        </w:rPr>
        <w:t>双河、林家、大为、楠香、双桥共5个村，涉及土地421.54亩，应拆迁77户，目前征地工作已全部完成，累计完成拆迁安置69户，</w:t>
      </w:r>
      <w:r>
        <w:rPr>
          <w:rFonts w:hint="eastAsia" w:ascii="仿宋_GB2312" w:hAnsi="仿宋_GB2312" w:eastAsia="仿宋_GB2312" w:cs="仿宋_GB2312"/>
          <w:sz w:val="32"/>
          <w:szCs w:val="32"/>
        </w:rPr>
        <w:t>项目标段已分段进场施工。</w:t>
      </w:r>
    </w:p>
    <w:p>
      <w:pPr>
        <w:numPr>
          <w:ilvl w:val="0"/>
          <w:numId w:val="0"/>
        </w:numPr>
        <w:snapToGrid w:val="0"/>
        <w:spacing w:line="520" w:lineRule="exact"/>
        <w:rPr>
          <w:rFonts w:hint="eastAsia" w:ascii="仿宋" w:hAnsi="仿宋" w:eastAsia="仿宋" w:cs="仿宋"/>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民生工程</w:t>
      </w:r>
      <w:r>
        <w:rPr>
          <w:rFonts w:hint="eastAsia" w:ascii="仿宋_GB2312" w:hAnsi="仿宋_GB2312" w:eastAsia="仿宋_GB2312" w:cs="仿宋_GB2312"/>
          <w:sz w:val="32"/>
          <w:szCs w:val="32"/>
          <w:lang w:val="en-US" w:eastAsia="zh-CN"/>
        </w:rPr>
        <w:t>逐步</w:t>
      </w:r>
      <w:r>
        <w:rPr>
          <w:rFonts w:hint="eastAsia" w:ascii="仿宋_GB2312" w:hAnsi="仿宋_GB2312" w:eastAsia="仿宋_GB2312" w:cs="仿宋_GB2312"/>
          <w:sz w:val="32"/>
          <w:szCs w:val="32"/>
          <w:lang w:eastAsia="zh-CN"/>
        </w:rPr>
        <w:t>完善。</w:t>
      </w:r>
      <w:r>
        <w:rPr>
          <w:rFonts w:hint="eastAsia" w:ascii="仿宋_GB2312" w:hAnsi="仿宋_GB2312" w:eastAsia="仿宋_GB2312" w:cs="仿宋_GB2312"/>
          <w:sz w:val="32"/>
          <w:szCs w:val="32"/>
        </w:rPr>
        <w:t>新建大为镇污水处理厂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完成约5km配套管网建设，设备安装，调试运行</w:t>
      </w:r>
      <w:r>
        <w:rPr>
          <w:rFonts w:hint="eastAsia" w:ascii="仿宋_GB2312" w:hAnsi="仿宋_GB2312" w:eastAsia="仿宋_GB2312" w:cs="仿宋_GB2312"/>
          <w:sz w:val="32"/>
          <w:szCs w:val="32"/>
          <w:lang w:eastAsia="zh-CN"/>
        </w:rPr>
        <w:t>良好</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val="en-US" w:eastAsia="zh-CN"/>
        </w:rPr>
        <w:t>2</w:t>
      </w:r>
      <w:r>
        <w:rPr>
          <w:rFonts w:hint="eastAsia" w:ascii="楷体_GB2312" w:hAnsi="楷体_GB2312" w:eastAsia="楷体_GB2312" w:cs="楷体_GB2312"/>
          <w:b/>
          <w:bCs/>
          <w:sz w:val="32"/>
          <w:szCs w:val="32"/>
          <w:lang w:eastAsia="zh-CN"/>
        </w:rPr>
        <w:t>、改善民生福祉，生活水平稳中有升</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——社会保障不断完善。今年我镇城镇新增就业</w:t>
      </w:r>
      <w:r>
        <w:rPr>
          <w:rFonts w:hint="eastAsia" w:ascii="仿宋_GB2312" w:hAnsi="仿宋_GB2312" w:eastAsia="仿宋_GB2312" w:cs="仿宋_GB2312"/>
          <w:sz w:val="32"/>
          <w:szCs w:val="32"/>
          <w:lang w:val="en-US" w:eastAsia="zh-CN"/>
        </w:rPr>
        <w:t>300</w:t>
      </w:r>
      <w:r>
        <w:rPr>
          <w:rFonts w:hint="eastAsia" w:ascii="仿宋_GB2312" w:hAnsi="仿宋_GB2312" w:eastAsia="仿宋_GB2312" w:cs="仿宋_GB2312"/>
          <w:sz w:val="32"/>
          <w:szCs w:val="32"/>
        </w:rPr>
        <w:t>人，城镇失业人员再就业</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人，就业困难人员再就业</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人，城镇登记失业率低于</w:t>
      </w:r>
      <w:r>
        <w:rPr>
          <w:rFonts w:hint="eastAsia" w:ascii="仿宋_GB2312" w:hAnsi="仿宋_GB2312" w:eastAsia="仿宋_GB2312" w:cs="仿宋_GB2312"/>
          <w:sz w:val="32"/>
          <w:szCs w:val="32"/>
          <w:lang w:val="en-US" w:eastAsia="zh-CN"/>
        </w:rPr>
        <w:t>4.4</w:t>
      </w:r>
      <w:r>
        <w:rPr>
          <w:rFonts w:hint="eastAsia" w:ascii="仿宋_GB2312" w:hAnsi="仿宋_GB2312" w:eastAsia="仿宋_GB2312" w:cs="仿宋_GB2312"/>
          <w:sz w:val="32"/>
          <w:szCs w:val="32"/>
        </w:rPr>
        <w:t>%，城乡居民社会养老保险参保缴费人数2400</w:t>
      </w:r>
      <w:r>
        <w:rPr>
          <w:rFonts w:hint="eastAsia" w:ascii="仿宋_GB2312" w:hAnsi="仿宋_GB2312" w:eastAsia="仿宋_GB2312" w:cs="仿宋_GB2312"/>
          <w:sz w:val="32"/>
          <w:szCs w:val="32"/>
          <w:lang w:eastAsia="zh-CN"/>
        </w:rPr>
        <w:t>人，参保率逐年递增。</w:t>
      </w:r>
      <w:r>
        <w:rPr>
          <w:rFonts w:hint="eastAsia" w:ascii="仿宋_GB2312" w:hAnsi="仿宋_GB2312" w:eastAsia="仿宋_GB2312" w:cs="仿宋_GB2312"/>
          <w:sz w:val="32"/>
          <w:szCs w:val="32"/>
        </w:rPr>
        <w:t>着力提升公共卫生服务质量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辖区基本公共卫生服务项目、家庭医生签约</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lang w:val="en-US" w:eastAsia="zh-CN"/>
        </w:rPr>
        <w:t>力度不断加大，</w:t>
      </w:r>
      <w:r>
        <w:rPr>
          <w:rFonts w:hint="eastAsia" w:ascii="仿宋_GB2312" w:hAnsi="仿宋_GB2312" w:eastAsia="仿宋_GB2312" w:cs="仿宋_GB2312"/>
          <w:sz w:val="32"/>
          <w:szCs w:val="32"/>
          <w:lang w:eastAsia="zh-CN"/>
        </w:rPr>
        <w:t>协助完成贫困白内障患者复明手术30例。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农业发展</w:t>
      </w:r>
      <w:r>
        <w:rPr>
          <w:rFonts w:hint="eastAsia" w:ascii="仿宋_GB2312" w:hAnsi="仿宋_GB2312" w:eastAsia="仿宋_GB2312" w:cs="仿宋_GB2312"/>
          <w:sz w:val="32"/>
          <w:szCs w:val="32"/>
          <w:lang w:val="en-US" w:eastAsia="zh-CN"/>
        </w:rPr>
        <w:t>提质增效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积极推动</w:t>
      </w:r>
      <w:r>
        <w:rPr>
          <w:rFonts w:hint="eastAsia" w:ascii="仿宋_GB2312" w:hAnsi="仿宋_GB2312" w:eastAsia="仿宋_GB2312" w:cs="仿宋_GB2312"/>
          <w:sz w:val="32"/>
          <w:szCs w:val="32"/>
          <w:lang w:eastAsia="zh-CN"/>
        </w:rPr>
        <w:t>现代农业产业园建设，新植茶苗</w:t>
      </w:r>
      <w:r>
        <w:rPr>
          <w:rFonts w:hint="eastAsia" w:ascii="仿宋_GB2312" w:hAnsi="仿宋_GB2312" w:eastAsia="仿宋_GB2312" w:cs="仿宋_GB2312"/>
          <w:sz w:val="32"/>
          <w:szCs w:val="32"/>
          <w:lang w:val="en-US" w:eastAsia="zh-CN"/>
        </w:rPr>
        <w:t>700余</w:t>
      </w:r>
      <w:r>
        <w:rPr>
          <w:rFonts w:hint="eastAsia" w:ascii="仿宋_GB2312" w:hAnsi="仿宋_GB2312" w:eastAsia="仿宋_GB2312" w:cs="仿宋_GB2312"/>
          <w:sz w:val="32"/>
          <w:szCs w:val="32"/>
        </w:rPr>
        <w:t>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农业产业进一步壮大。切实加强</w:t>
      </w:r>
      <w:r>
        <w:rPr>
          <w:rFonts w:hint="eastAsia" w:ascii="仿宋_GB2312" w:hAnsi="仿宋_GB2312" w:eastAsia="仿宋_GB2312" w:cs="仿宋_GB2312"/>
          <w:sz w:val="32"/>
          <w:szCs w:val="32"/>
        </w:rPr>
        <w:t>辖区内重大动物疫病防控</w:t>
      </w:r>
      <w:r>
        <w:rPr>
          <w:rFonts w:hint="eastAsia" w:ascii="仿宋_GB2312" w:hAnsi="仿宋_GB2312" w:eastAsia="仿宋_GB2312" w:cs="仿宋_GB2312"/>
          <w:sz w:val="32"/>
          <w:szCs w:val="32"/>
          <w:lang w:val="en-US" w:eastAsia="zh-CN"/>
        </w:rPr>
        <w:t>力度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完成抗体检测工作，</w:t>
      </w:r>
      <w:r>
        <w:rPr>
          <w:rFonts w:hint="eastAsia" w:ascii="仿宋_GB2312" w:hAnsi="仿宋_GB2312" w:eastAsia="仿宋_GB2312" w:cs="仿宋_GB2312"/>
          <w:sz w:val="32"/>
          <w:szCs w:val="32"/>
          <w:lang w:val="en-US" w:eastAsia="zh-CN"/>
        </w:rPr>
        <w:t>重大动物疫病免疫有效抗体合格率达85%，未发生“非洲猪瘟”疫情。加强农产品质量安全监管，</w:t>
      </w:r>
      <w:r>
        <w:rPr>
          <w:rFonts w:hint="eastAsia" w:ascii="仿宋_GB2312" w:hAnsi="仿宋_GB2312" w:eastAsia="仿宋_GB2312" w:cs="仿宋_GB2312"/>
          <w:sz w:val="32"/>
          <w:szCs w:val="32"/>
          <w:lang w:eastAsia="zh-CN"/>
        </w:rPr>
        <w:t>完成抽样速测</w:t>
      </w:r>
      <w:r>
        <w:rPr>
          <w:rFonts w:hint="eastAsia" w:ascii="仿宋_GB2312" w:hAnsi="仿宋_GB2312" w:eastAsia="仿宋_GB2312" w:cs="仿宋_GB2312"/>
          <w:sz w:val="32"/>
          <w:szCs w:val="32"/>
          <w:lang w:val="en-US" w:eastAsia="zh-CN"/>
        </w:rPr>
        <w:t>468个，</w:t>
      </w:r>
      <w:r>
        <w:rPr>
          <w:rFonts w:hint="eastAsia" w:ascii="仿宋_GB2312" w:hAnsi="仿宋_GB2312" w:eastAsia="仿宋_GB2312" w:cs="仿宋_GB2312"/>
          <w:sz w:val="32"/>
          <w:szCs w:val="32"/>
        </w:rPr>
        <w:t>产地巡查50多次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安全监测合格率达100%，未发生农产品质量安全事故。</w:t>
      </w:r>
      <w:r>
        <w:rPr>
          <w:rFonts w:hint="eastAsia" w:ascii="仿宋_GB2312" w:hAnsi="仿宋_GB2312" w:eastAsia="仿宋_GB2312" w:cs="仿宋_GB2312"/>
          <w:sz w:val="32"/>
          <w:szCs w:val="32"/>
        </w:rPr>
        <w:t>辖区内无违法违规销售、使用禁限用农（兽、鱼）药、饲料行为，病死畜禽无害化处理率达100%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巩固提升</w:t>
      </w:r>
      <w:r>
        <w:rPr>
          <w:rFonts w:hint="eastAsia" w:ascii="仿宋_GB2312" w:hAnsi="仿宋_GB2312" w:eastAsia="仿宋_GB2312" w:cs="仿宋_GB2312"/>
          <w:sz w:val="32"/>
          <w:szCs w:val="32"/>
          <w:lang w:val="en-US" w:eastAsia="zh-CN"/>
        </w:rPr>
        <w:t>了</w:t>
      </w:r>
      <w:r>
        <w:rPr>
          <w:rFonts w:hint="eastAsia" w:ascii="仿宋_GB2312" w:hAnsi="仿宋_GB2312" w:eastAsia="仿宋_GB2312" w:cs="仿宋_GB2312"/>
          <w:sz w:val="32"/>
          <w:szCs w:val="32"/>
        </w:rPr>
        <w:t>国家农产品质量安全县创建成果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pPr>
        <w:numPr>
          <w:ilvl w:val="0"/>
          <w:numId w:val="0"/>
        </w:numPr>
        <w:snapToGrid w:val="0"/>
        <w:spacing w:line="520" w:lineRule="exact"/>
        <w:ind w:firstLine="640" w:firstLineChars="200"/>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sz w:val="32"/>
          <w:szCs w:val="32"/>
        </w:rPr>
        <w:t>——精准扶贫</w:t>
      </w:r>
      <w:r>
        <w:rPr>
          <w:rFonts w:hint="eastAsia" w:ascii="仿宋_GB2312" w:hAnsi="仿宋_GB2312" w:eastAsia="仿宋_GB2312" w:cs="仿宋_GB2312"/>
          <w:sz w:val="32"/>
          <w:szCs w:val="32"/>
          <w:lang w:val="en-US" w:eastAsia="zh-CN"/>
        </w:rPr>
        <w:t>巩固提升。</w:t>
      </w:r>
      <w:r>
        <w:rPr>
          <w:rFonts w:hint="eastAsia" w:ascii="仿宋_GB2312" w:hAnsi="仿宋_GB2312" w:eastAsia="仿宋_GB2312" w:cs="仿宋_GB2312"/>
          <w:b w:val="0"/>
          <w:bCs w:val="0"/>
          <w:color w:val="auto"/>
          <w:kern w:val="0"/>
          <w:sz w:val="32"/>
          <w:szCs w:val="32"/>
          <w:lang w:val="en-US" w:eastAsia="zh-CN"/>
        </w:rPr>
        <w:t>实施2019年贫困户奋进计划，完成扶贫产业验收，申请产业补助 253户共计34.74万元；申请贫困家庭奋进计划务工补助49户共计62700元。申请卫生扶贫基金22人次共计2.24万元，申报春季雨露计划21人，申请教育扶贫救助基金9户1.2万元，确保医疗、教育有保障。扎实开展“防致贫返贫”“两不愁三保障”回头看大排查”工作，共排查出问题501个，目前已完成所有问题的整改。全镇无致贫返贫现象，顺利通过乐山市、四川省级脱贫攻坚交叉检查。创新推出贫困户“积分制管理办法”，以建档立卡贫困户为“积分管理”主体，激发贫困户内生动力，消除等靠要思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3" w:firstLineChars="200"/>
        <w:jc w:val="both"/>
        <w:textAlignment w:val="auto"/>
        <w:outlineLvl w:val="9"/>
        <w:rPr>
          <w:rFonts w:hint="default" w:ascii="仿宋" w:hAnsi="仿宋" w:eastAsia="黑体" w:cs="仿宋"/>
          <w:b w:val="0"/>
          <w:bCs w:val="0"/>
          <w:color w:val="auto"/>
          <w:kern w:val="0"/>
          <w:sz w:val="28"/>
          <w:szCs w:val="28"/>
          <w:lang w:val="en-US" w:eastAsia="zh-CN"/>
        </w:rPr>
      </w:pPr>
      <w:r>
        <w:rPr>
          <w:rFonts w:hint="eastAsia" w:ascii="楷体_GB2312" w:hAnsi="楷体_GB2312" w:eastAsia="楷体_GB2312" w:cs="楷体_GB2312"/>
          <w:b/>
          <w:bCs/>
          <w:sz w:val="32"/>
          <w:szCs w:val="32"/>
          <w:lang w:val="en-US" w:eastAsia="zh-CN"/>
        </w:rPr>
        <w:t>3</w:t>
      </w:r>
      <w:r>
        <w:rPr>
          <w:rFonts w:hint="eastAsia" w:ascii="楷体_GB2312" w:hAnsi="楷体_GB2312" w:eastAsia="楷体_GB2312" w:cs="楷体_GB2312"/>
          <w:b/>
          <w:bCs/>
          <w:sz w:val="32"/>
          <w:szCs w:val="32"/>
          <w:lang w:eastAsia="zh-CN"/>
        </w:rPr>
        <w:t>、统筹乡村振兴，</w:t>
      </w:r>
      <w:r>
        <w:rPr>
          <w:rFonts w:hint="eastAsia" w:ascii="楷体_GB2312" w:hAnsi="楷体_GB2312" w:eastAsia="楷体_GB2312" w:cs="楷体_GB2312"/>
          <w:b/>
          <w:bCs/>
          <w:sz w:val="32"/>
          <w:szCs w:val="32"/>
          <w:lang w:val="en-US" w:eastAsia="zh-CN"/>
        </w:rPr>
        <w:t>环境秩序</w:t>
      </w:r>
      <w:r>
        <w:rPr>
          <w:rFonts w:hint="eastAsia" w:ascii="楷体_GB2312" w:hAnsi="楷体_GB2312" w:eastAsia="楷体_GB2312" w:cs="楷体_GB2312"/>
          <w:b/>
          <w:bCs/>
          <w:sz w:val="32"/>
          <w:szCs w:val="32"/>
          <w:lang w:eastAsia="zh-CN"/>
        </w:rPr>
        <w:t>不断</w:t>
      </w:r>
      <w:r>
        <w:rPr>
          <w:rFonts w:hint="eastAsia" w:ascii="楷体_GB2312" w:hAnsi="楷体_GB2312" w:eastAsia="楷体_GB2312" w:cs="楷体_GB2312"/>
          <w:b/>
          <w:bCs/>
          <w:sz w:val="32"/>
          <w:szCs w:val="32"/>
          <w:lang w:val="en-US" w:eastAsia="zh-CN"/>
        </w:rPr>
        <w:t>改善</w:t>
      </w:r>
    </w:p>
    <w:p>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大力整治人居环境，</w:t>
      </w:r>
      <w:r>
        <w:rPr>
          <w:rFonts w:hint="eastAsia" w:ascii="仿宋_GB2312" w:hAnsi="仿宋_GB2312" w:eastAsia="仿宋_GB2312" w:cs="仿宋_GB2312"/>
          <w:sz w:val="32"/>
          <w:szCs w:val="32"/>
          <w:lang w:eastAsia="zh-CN"/>
        </w:rPr>
        <w:t>严格落实“一岗双责”、“党政同责”的工作机制。印发《大为镇人居环境综合治理八条禁令十条规范的通知》，发放宣传资料500余份，</w:t>
      </w:r>
      <w:r>
        <w:rPr>
          <w:rFonts w:hint="eastAsia" w:ascii="仿宋_GB2312" w:hAnsi="仿宋_GB2312" w:eastAsia="仿宋_GB2312" w:cs="仿宋_GB2312"/>
          <w:sz w:val="32"/>
          <w:szCs w:val="32"/>
          <w:lang w:val="en-US" w:eastAsia="zh-CN"/>
        </w:rPr>
        <w:t>环境保护意识不断增强。</w:t>
      </w:r>
      <w:r>
        <w:rPr>
          <w:rFonts w:hint="eastAsia" w:ascii="仿宋_GB2312" w:hAnsi="仿宋_GB2312" w:eastAsia="仿宋_GB2312" w:cs="仿宋_GB2312"/>
          <w:sz w:val="32"/>
          <w:szCs w:val="32"/>
          <w:lang w:eastAsia="zh-CN"/>
        </w:rPr>
        <w:t>开展散乱污治理6次，开展村庄清洁行动6次，共清理农村垃圾515吨、村沟塘淤泥108吨、村内残垣断壁34处。</w:t>
      </w:r>
      <w:r>
        <w:rPr>
          <w:rFonts w:hint="eastAsia" w:ascii="仿宋_GB2312" w:hAnsi="仿宋_GB2312" w:eastAsia="仿宋_GB2312" w:cs="仿宋_GB2312"/>
          <w:sz w:val="32"/>
          <w:szCs w:val="32"/>
        </w:rPr>
        <w:t>压实河</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长制责任，制定大为镇河长制巡查6个制度和考核办法并分解落实到位，河长、段长、小段长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全年不间断巡查，发现</w:t>
      </w:r>
      <w:r>
        <w:rPr>
          <w:rFonts w:hint="eastAsia" w:ascii="仿宋_GB2312" w:hAnsi="仿宋_GB2312" w:eastAsia="仿宋_GB2312" w:cs="仿宋_GB2312"/>
          <w:sz w:val="32"/>
          <w:szCs w:val="32"/>
          <w:lang w:val="en-US" w:eastAsia="zh-CN"/>
        </w:rPr>
        <w:t>并处理</w:t>
      </w:r>
      <w:r>
        <w:rPr>
          <w:rFonts w:hint="eastAsia" w:ascii="仿宋_GB2312" w:hAnsi="仿宋_GB2312" w:eastAsia="仿宋_GB2312" w:cs="仿宋_GB2312"/>
          <w:sz w:val="32"/>
          <w:szCs w:val="32"/>
        </w:rPr>
        <w:t>问题100余个。加强农村面源污染</w:t>
      </w:r>
      <w:r>
        <w:rPr>
          <w:rFonts w:hint="eastAsia" w:ascii="仿宋_GB2312" w:hAnsi="仿宋_GB2312" w:eastAsia="仿宋_GB2312" w:cs="仿宋_GB2312"/>
          <w:sz w:val="32"/>
          <w:szCs w:val="32"/>
          <w:lang w:val="en-US" w:eastAsia="zh-CN"/>
        </w:rPr>
        <w:t>治理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大力推进</w:t>
      </w:r>
      <w:r>
        <w:rPr>
          <w:rFonts w:hint="eastAsia" w:ascii="仿宋_GB2312" w:hAnsi="仿宋_GB2312" w:eastAsia="仿宋_GB2312" w:cs="仿宋_GB2312"/>
          <w:sz w:val="32"/>
          <w:szCs w:val="32"/>
          <w:lang w:eastAsia="zh-CN"/>
        </w:rPr>
        <w:t>厕污共治，</w:t>
      </w:r>
      <w:r>
        <w:rPr>
          <w:rFonts w:hint="eastAsia" w:ascii="仿宋_GB2312" w:hAnsi="仿宋_GB2312" w:eastAsia="仿宋_GB2312" w:cs="仿宋_GB2312"/>
          <w:sz w:val="32"/>
          <w:szCs w:val="32"/>
          <w:lang w:val="en-US" w:eastAsia="zh-CN"/>
        </w:rPr>
        <w:t>全年厕所改造</w:t>
      </w:r>
      <w:r>
        <w:rPr>
          <w:rFonts w:hint="eastAsia" w:ascii="仿宋_GB2312" w:hAnsi="仿宋_GB2312" w:eastAsia="仿宋_GB2312" w:cs="仿宋_GB2312"/>
          <w:sz w:val="32"/>
          <w:szCs w:val="32"/>
          <w:lang w:eastAsia="zh-CN"/>
        </w:rPr>
        <w:t>动工583户、完工563户；污水处理动工577户、完工560户。通过以上工作，我镇人居环境得到了有效的治理和提升。</w:t>
      </w:r>
      <w:r>
        <w:rPr>
          <w:rFonts w:hint="eastAsia" w:ascii="仿宋_GB2312" w:hAnsi="仿宋_GB2312" w:eastAsia="仿宋_GB2312" w:cs="仿宋_GB2312"/>
          <w:sz w:val="32"/>
          <w:szCs w:val="32"/>
          <w:lang w:val="en-US" w:eastAsia="zh-CN"/>
        </w:rPr>
        <w:t>引导我镇17个村开展农村集体资产股份合作制改革，为今后村级集体经济发展壮大奠定基础。</w:t>
      </w:r>
    </w:p>
    <w:p>
      <w:pPr>
        <w:numPr>
          <w:ilvl w:val="0"/>
          <w:numId w:val="0"/>
        </w:numPr>
        <w:snapToGrid w:val="0"/>
        <w:spacing w:line="520" w:lineRule="exact"/>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val="en-US" w:eastAsia="zh-CN"/>
        </w:rPr>
        <w:t xml:space="preserve">   4、</w:t>
      </w:r>
      <w:r>
        <w:rPr>
          <w:rFonts w:hint="eastAsia" w:ascii="楷体_GB2312" w:hAnsi="楷体_GB2312" w:eastAsia="楷体_GB2312" w:cs="楷体_GB2312"/>
          <w:b/>
          <w:bCs/>
          <w:sz w:val="32"/>
          <w:szCs w:val="32"/>
          <w:lang w:eastAsia="zh-CN"/>
        </w:rPr>
        <w:t>不忘初心使命，为民服务</w:t>
      </w:r>
    </w:p>
    <w:p>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sz w:val="32"/>
          <w:szCs w:val="32"/>
          <w:lang w:val="en-US" w:eastAsia="zh-CN"/>
        </w:rPr>
      </w:pPr>
      <w:r>
        <w:rPr>
          <w:rFonts w:hint="eastAsia" w:ascii="楷体_GB2312" w:eastAsia="楷体_GB2312"/>
          <w:sz w:val="32"/>
          <w:szCs w:val="32"/>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积极</w:t>
      </w:r>
      <w:r>
        <w:rPr>
          <w:rFonts w:hint="eastAsia" w:ascii="仿宋_GB2312" w:hAnsi="仿宋_GB2312" w:eastAsia="仿宋_GB2312" w:cs="仿宋_GB2312"/>
          <w:sz w:val="32"/>
          <w:szCs w:val="32"/>
          <w:lang w:val="en-US" w:eastAsia="zh-CN"/>
        </w:rPr>
        <w:t>落实“大走访大服务”。今年完成了两轮大走访任务，第一轮全镇共118名镇村干部参与走访，走访群众3284户，解决群众反映诉求58个；第二轮共116名镇村干部参与走访，走访群众3305户，解决群众反映诉求204个；帮助77名群众成功申请并使用纾难解困资金52800元。通过走访，我们及时收集村情民意，化解矛盾纠纷，打通了面对群众的“最后一公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color w:val="000000"/>
          <w:kern w:val="0"/>
          <w:sz w:val="32"/>
          <w:szCs w:val="32"/>
        </w:rPr>
        <w:t>及时办理人大代表意见、建议。全年接到</w:t>
      </w:r>
      <w:r>
        <w:rPr>
          <w:rFonts w:hint="eastAsia" w:ascii="仿宋_GB2312" w:hAnsi="仿宋_GB2312" w:eastAsia="仿宋_GB2312" w:cs="仿宋_GB2312"/>
          <w:color w:val="000000"/>
          <w:kern w:val="0"/>
          <w:sz w:val="32"/>
          <w:szCs w:val="32"/>
          <w:lang w:val="en-US" w:eastAsia="zh-CN"/>
        </w:rPr>
        <w:t>11</w:t>
      </w:r>
      <w:r>
        <w:rPr>
          <w:rFonts w:hint="eastAsia" w:ascii="仿宋_GB2312" w:hAnsi="仿宋_GB2312" w:eastAsia="仿宋_GB2312" w:cs="仿宋_GB2312"/>
          <w:color w:val="000000"/>
          <w:kern w:val="0"/>
          <w:sz w:val="32"/>
          <w:szCs w:val="32"/>
        </w:rPr>
        <w:t>件人大代表建议，及时办理并答复代表，基本满意率为100%。镇人大代表视察提出的道路建设、饮水、医疗卫生、教育等民生发展建议得到全面落实。</w:t>
      </w:r>
    </w:p>
    <w:p>
      <w:pPr>
        <w:numPr>
          <w:ilvl w:val="0"/>
          <w:numId w:val="0"/>
        </w:numPr>
        <w:snapToGrid w:val="0"/>
        <w:spacing w:line="520" w:lineRule="exact"/>
        <w:rPr>
          <w:rFonts w:hint="eastAsia" w:ascii="楷体_GB2312" w:hAnsi="楷体_GB2312" w:eastAsia="楷体_GB2312" w:cs="楷体_GB2312"/>
          <w:b/>
          <w:bCs/>
          <w:sz w:val="32"/>
          <w:szCs w:val="32"/>
          <w:lang w:eastAsia="zh-CN"/>
        </w:rPr>
      </w:pPr>
      <w:r>
        <w:rPr>
          <w:rFonts w:hint="eastAsia" w:ascii="黑体" w:hAnsi="黑体" w:eastAsia="黑体" w:cs="黑体"/>
          <w:sz w:val="32"/>
          <w:szCs w:val="32"/>
          <w:lang w:val="en-US" w:eastAsia="zh-CN"/>
        </w:rPr>
        <w:t xml:space="preserve"> </w:t>
      </w:r>
      <w:r>
        <w:rPr>
          <w:rFonts w:hint="eastAsia" w:ascii="黑体" w:hAnsi="黑体" w:eastAsia="黑体" w:cs="黑体"/>
          <w:b/>
          <w:bCs/>
          <w:sz w:val="32"/>
          <w:szCs w:val="32"/>
          <w:lang w:val="en-US" w:eastAsia="zh-CN"/>
        </w:rPr>
        <w:t xml:space="preserve"> </w:t>
      </w:r>
      <w:r>
        <w:rPr>
          <w:rFonts w:hint="eastAsia" w:ascii="楷体_GB2312" w:hAnsi="楷体_GB2312" w:eastAsia="楷体_GB2312" w:cs="楷体_GB2312"/>
          <w:b/>
          <w:bCs/>
          <w:sz w:val="32"/>
          <w:szCs w:val="32"/>
          <w:lang w:val="en-US" w:eastAsia="zh-CN"/>
        </w:rPr>
        <w:t xml:space="preserve"> 5</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聚焦重点难点，社会大局</w:t>
      </w:r>
      <w:r>
        <w:rPr>
          <w:rFonts w:hint="eastAsia" w:ascii="楷体_GB2312" w:hAnsi="楷体_GB2312" w:eastAsia="楷体_GB2312" w:cs="楷体_GB2312"/>
          <w:b/>
          <w:bCs/>
          <w:sz w:val="32"/>
          <w:szCs w:val="32"/>
          <w:lang w:eastAsia="zh-CN"/>
        </w:rPr>
        <w:t>安全稳定</w:t>
      </w:r>
    </w:p>
    <w:p>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不断强化</w:t>
      </w:r>
      <w:r>
        <w:rPr>
          <w:rFonts w:hint="eastAsia" w:ascii="仿宋_GB2312" w:hAnsi="仿宋_GB2312" w:eastAsia="仿宋_GB2312" w:cs="仿宋_GB2312"/>
          <w:sz w:val="32"/>
          <w:szCs w:val="32"/>
        </w:rPr>
        <w:t>安全监管。一是抓能力提升。</w:t>
      </w:r>
      <w:r>
        <w:rPr>
          <w:rFonts w:hint="eastAsia" w:ascii="仿宋_GB2312" w:hAnsi="仿宋_GB2312" w:eastAsia="仿宋_GB2312" w:cs="仿宋_GB2312"/>
          <w:sz w:val="32"/>
          <w:szCs w:val="32"/>
          <w:lang w:eastAsia="zh-CN"/>
        </w:rPr>
        <w:t>今年</w:t>
      </w:r>
      <w:r>
        <w:rPr>
          <w:rFonts w:hint="eastAsia" w:ascii="仿宋_GB2312" w:hAnsi="仿宋_GB2312" w:eastAsia="仿宋_GB2312" w:cs="仿宋_GB2312"/>
          <w:sz w:val="32"/>
          <w:szCs w:val="32"/>
        </w:rPr>
        <w:t>召开安全生产专题会、培训会10次，同镇村干部、企业负责人签订安全生产责任书44份，组织28名安监员、安全协管员进行岗前培训，提升安全执法能力。二是抓重点监管。会同派出所、市场监管等部门组成联合检查组，检查交通运输、非煤矿山等重点行业18次，排查问题12个，已全部完成整改。三是抓宣传教育。向180名企业负责人和工人送去安全生产知识，发放宣传资料500余份，接待群众咨询120人次，增强企业和群众安全生产意识。</w:t>
      </w:r>
    </w:p>
    <w:p>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 w:hAnsi="仿宋" w:eastAsia="仿宋"/>
          <w:bCs/>
          <w:color w:val="000000"/>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持续着力道路交通。一是压实责任。制定道路交通安全应急预案，联合交警、公安等部门组建17个专项小组，包片负责6个片区，明确各方职责，确保响应及时。二是广泛教育。组织重点企业、在建工地负责人，开展道路交通安全专题培训4次，敦促企业自觉抓好安全生产运输；利用赶场天，发放交通安全宣传资料500余份，在主要道路悬挂警示标语20余条，提高群众安全出行意识。三是加强巡查。落实5支巡查队伍，不定时排查主干道路、校园周边等重点区域安全隐患，及时更换安全标识牌30余块，整治车辆超载、违章停车等违法违规行为15起。交通安全形势明显好转。</w:t>
      </w:r>
    </w:p>
    <w:p>
      <w:pPr>
        <w:pStyle w:val="3"/>
        <w:numPr>
          <w:ilvl w:val="0"/>
          <w:numId w:val="1"/>
        </w:numPr>
        <w:rPr>
          <w:rStyle w:val="25"/>
          <w:rFonts w:hint="eastAsia" w:ascii="黑体" w:hAnsi="黑体" w:eastAsia="黑体"/>
          <w:b w:val="0"/>
          <w:bCs w:val="0"/>
        </w:rPr>
      </w:pPr>
      <w:bookmarkStart w:id="18" w:name="_Toc15377200"/>
      <w:bookmarkStart w:id="19" w:name="_Toc15396601"/>
      <w:r>
        <w:rPr>
          <w:rFonts w:hint="eastAsia" w:ascii="黑体" w:hAnsi="黑体" w:eastAsia="黑体"/>
          <w:b w:val="0"/>
          <w:color w:val="000000"/>
        </w:rPr>
        <w:t>机</w:t>
      </w:r>
      <w:r>
        <w:rPr>
          <w:rStyle w:val="25"/>
          <w:rFonts w:hint="eastAsia" w:ascii="黑体" w:hAnsi="黑体" w:eastAsia="黑体"/>
          <w:b w:val="0"/>
          <w:bCs w:val="0"/>
        </w:rPr>
        <w:t>构设置</w:t>
      </w:r>
      <w:bookmarkEnd w:id="18"/>
      <w:bookmarkEnd w:id="19"/>
    </w:p>
    <w:p>
      <w:pPr>
        <w:pStyle w:val="3"/>
        <w:numPr>
          <w:ilvl w:val="0"/>
          <w:numId w:val="0"/>
        </w:numPr>
        <w:rPr>
          <w:rFonts w:ascii="仿宋" w:hAnsi="仿宋" w:eastAsia="仿宋"/>
          <w:sz w:val="32"/>
          <w:szCs w:val="32"/>
        </w:rPr>
      </w:pPr>
      <w:r>
        <w:rPr>
          <w:rFonts w:hint="eastAsia" w:ascii="仿宋_GB2312" w:hAnsi="黑体" w:eastAsia="仿宋_GB2312"/>
          <w:b w:val="0"/>
          <w:bCs/>
          <w:sz w:val="32"/>
          <w:szCs w:val="32"/>
          <w:lang w:val="en-US" w:eastAsia="zh-CN"/>
        </w:rPr>
        <w:t xml:space="preserve">   </w:t>
      </w:r>
      <w:r>
        <w:rPr>
          <w:rFonts w:hint="eastAsia" w:ascii="仿宋_GB2312" w:hAnsi="黑体" w:eastAsia="仿宋_GB2312"/>
          <w:b w:val="0"/>
          <w:bCs/>
          <w:sz w:val="32"/>
          <w:szCs w:val="32"/>
        </w:rPr>
        <w:t>我镇设置一个行政机关，2个事业部门为农业</w:t>
      </w:r>
      <w:r>
        <w:rPr>
          <w:rFonts w:hint="eastAsia" w:ascii="仿宋_GB2312" w:hAnsi="黑体" w:eastAsia="仿宋_GB2312"/>
          <w:b w:val="0"/>
          <w:bCs/>
          <w:sz w:val="32"/>
          <w:szCs w:val="32"/>
          <w:lang w:eastAsia="zh-CN"/>
        </w:rPr>
        <w:t>服务中心</w:t>
      </w:r>
      <w:r>
        <w:rPr>
          <w:rFonts w:hint="eastAsia" w:ascii="仿宋_GB2312" w:hAnsi="黑体" w:eastAsia="仿宋_GB2312"/>
          <w:b w:val="0"/>
          <w:bCs/>
          <w:sz w:val="32"/>
          <w:szCs w:val="32"/>
        </w:rPr>
        <w:t>和社</w:t>
      </w:r>
      <w:r>
        <w:rPr>
          <w:rFonts w:hint="eastAsia" w:ascii="仿宋_GB2312" w:hAnsi="黑体" w:eastAsia="仿宋_GB2312"/>
          <w:b w:val="0"/>
          <w:bCs/>
          <w:sz w:val="32"/>
          <w:szCs w:val="32"/>
          <w:lang w:eastAsia="zh-CN"/>
        </w:rPr>
        <w:t>会事业服务中心。</w:t>
      </w:r>
    </w:p>
    <w:p>
      <w:pPr>
        <w:pStyle w:val="2"/>
        <w:ind w:right="440"/>
        <w:jc w:val="right"/>
      </w:pPr>
      <w:bookmarkStart w:id="20" w:name="_Toc15377204"/>
      <w:bookmarkStart w:id="21" w:name="_Toc15396602"/>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2019年度部门决算情况说明</w:t>
      </w:r>
      <w:bookmarkEnd w:id="20"/>
      <w:bookmarkEnd w:id="21"/>
    </w:p>
    <w:p>
      <w:pPr>
        <w:pStyle w:val="23"/>
        <w:numPr>
          <w:ilvl w:val="0"/>
          <w:numId w:val="2"/>
        </w:numPr>
        <w:spacing w:line="600" w:lineRule="exact"/>
        <w:ind w:firstLineChars="0"/>
        <w:outlineLvl w:val="1"/>
        <w:rPr>
          <w:rStyle w:val="25"/>
          <w:rFonts w:ascii="黑体" w:hAnsi="黑体" w:eastAsia="黑体"/>
          <w:b w:val="0"/>
        </w:rPr>
      </w:pPr>
      <w:bookmarkStart w:id="22" w:name="_Toc15396603"/>
      <w:bookmarkStart w:id="23" w:name="_Toc15377205"/>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2"/>
      <w:bookmarkEnd w:id="23"/>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2019年度收入总计2493.49万元，与2018年收入总计4940.44万元相比，减少了2446.95万元，下降了49.53%，原因为</w:t>
      </w:r>
      <w:r>
        <w:rPr>
          <w:rFonts w:hint="eastAsia" w:ascii="仿宋" w:hAnsi="仿宋" w:eastAsia="仿宋"/>
          <w:color w:val="000000"/>
          <w:sz w:val="32"/>
          <w:szCs w:val="32"/>
          <w:lang w:eastAsia="zh-CN"/>
        </w:rPr>
        <w:t>项目拆迁和征地经费减少</w:t>
      </w:r>
      <w:r>
        <w:rPr>
          <w:rFonts w:hint="eastAsia" w:ascii="仿宋" w:hAnsi="仿宋" w:eastAsia="仿宋"/>
          <w:color w:val="000000"/>
          <w:sz w:val="32"/>
          <w:szCs w:val="32"/>
        </w:rPr>
        <w:t>等内容；2019年度支出总计2841.15万元，与2018年支出总计3958.82万元相比，减少了1117.67万元，下降了28.23%，原因为</w:t>
      </w:r>
      <w:r>
        <w:rPr>
          <w:rFonts w:hint="eastAsia" w:ascii="仿宋" w:hAnsi="仿宋" w:eastAsia="仿宋"/>
          <w:color w:val="000000"/>
          <w:sz w:val="32"/>
          <w:szCs w:val="32"/>
          <w:lang w:eastAsia="zh-CN"/>
        </w:rPr>
        <w:t>项目拆迁和征地经费减少</w:t>
      </w:r>
      <w:r>
        <w:rPr>
          <w:rFonts w:hint="eastAsia" w:ascii="仿宋" w:hAnsi="仿宋" w:eastAsia="仿宋"/>
          <w:color w:val="000000"/>
          <w:sz w:val="32"/>
          <w:szCs w:val="32"/>
        </w:rPr>
        <w:t>等内容。</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：收、支决算总计变动情况图）（柱状图）</w:t>
      </w: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jc w:val="left"/>
        <w:rPr>
          <w:rFonts w:ascii="仿宋_GB2312" w:eastAsia="仿宋_GB2312"/>
          <w:color w:val="000000"/>
          <w:sz w:val="32"/>
          <w:szCs w:val="32"/>
        </w:rPr>
      </w:pPr>
    </w:p>
    <w:p>
      <w:pPr>
        <w:spacing w:line="600" w:lineRule="exact"/>
        <w:ind w:firstLine="420" w:firstLineChars="200"/>
        <w:jc w:val="left"/>
        <w:rPr>
          <w:rFonts w:ascii="仿宋_GB2312" w:eastAsia="仿宋_GB2312"/>
          <w:color w:val="000000"/>
          <w:sz w:val="32"/>
          <w:szCs w:val="32"/>
        </w:rPr>
      </w:pPr>
      <w:r>
        <w:drawing>
          <wp:anchor distT="0" distB="0" distL="114300" distR="114300" simplePos="0" relativeHeight="251659264" behindDoc="0" locked="0" layoutInCell="1" allowOverlap="1">
            <wp:simplePos x="0" y="0"/>
            <wp:positionH relativeFrom="column">
              <wp:posOffset>38735</wp:posOffset>
            </wp:positionH>
            <wp:positionV relativeFrom="paragraph">
              <wp:posOffset>203835</wp:posOffset>
            </wp:positionV>
            <wp:extent cx="5181600" cy="3419475"/>
            <wp:effectExtent l="4445" t="4445" r="14605" b="5080"/>
            <wp:wrapNone/>
            <wp:docPr id="165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jc w:val="left"/>
        <w:rPr>
          <w:rFonts w:ascii="仿宋_GB2312" w:eastAsia="仿宋_GB2312"/>
          <w:color w:val="000000"/>
          <w:sz w:val="32"/>
          <w:szCs w:val="32"/>
        </w:rPr>
      </w:pPr>
    </w:p>
    <w:p>
      <w:pPr>
        <w:spacing w:line="600" w:lineRule="exact"/>
        <w:ind w:firstLine="420" w:firstLineChars="200"/>
        <w:jc w:val="left"/>
        <w:rPr>
          <w:rFonts w:ascii="仿宋_GB2312" w:eastAsia="仿宋_GB2312"/>
          <w:color w:val="000000"/>
          <w:sz w:val="32"/>
          <w:szCs w:val="32"/>
        </w:rPr>
      </w:pPr>
      <w:r>
        <w:drawing>
          <wp:anchor distT="0" distB="0" distL="114300" distR="114300" simplePos="0" relativeHeight="251660288" behindDoc="0" locked="0" layoutInCell="1" allowOverlap="1">
            <wp:simplePos x="0" y="0"/>
            <wp:positionH relativeFrom="column">
              <wp:posOffset>335280</wp:posOffset>
            </wp:positionH>
            <wp:positionV relativeFrom="paragraph">
              <wp:posOffset>181610</wp:posOffset>
            </wp:positionV>
            <wp:extent cx="4438650" cy="2943225"/>
            <wp:effectExtent l="4445" t="4445" r="14605" b="5080"/>
            <wp:wrapNone/>
            <wp:docPr id="166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jc w:val="left"/>
        <w:rPr>
          <w:rFonts w:ascii="仿宋_GB2312" w:eastAsia="仿宋_GB2312"/>
          <w:color w:val="000000"/>
          <w:sz w:val="32"/>
          <w:szCs w:val="32"/>
        </w:rPr>
      </w:pPr>
    </w:p>
    <w:p>
      <w:pPr>
        <w:pStyle w:val="23"/>
        <w:numPr>
          <w:ilvl w:val="0"/>
          <w:numId w:val="2"/>
        </w:numPr>
        <w:spacing w:line="600" w:lineRule="exact"/>
        <w:ind w:firstLineChars="0"/>
        <w:outlineLvl w:val="1"/>
        <w:rPr>
          <w:rStyle w:val="25"/>
          <w:rFonts w:ascii="黑体" w:hAnsi="黑体" w:eastAsia="黑体"/>
          <w:b w:val="0"/>
        </w:rPr>
      </w:pPr>
      <w:bookmarkStart w:id="24" w:name="_Toc15396604"/>
      <w:bookmarkStart w:id="25" w:name="_Toc15377206"/>
      <w:r>
        <w:rPr>
          <w:rFonts w:hint="eastAsia" w:ascii="黑体" w:hAnsi="黑体" w:eastAsia="黑体"/>
          <w:color w:val="000000"/>
          <w:sz w:val="32"/>
          <w:szCs w:val="32"/>
        </w:rPr>
        <w:t>收</w:t>
      </w:r>
      <w:r>
        <w:rPr>
          <w:rStyle w:val="25"/>
          <w:rFonts w:hint="eastAsia" w:ascii="黑体" w:hAnsi="黑体" w:eastAsia="黑体"/>
          <w:b w:val="0"/>
        </w:rPr>
        <w:t>入决算情况说明</w:t>
      </w:r>
      <w:bookmarkEnd w:id="24"/>
      <w:bookmarkEnd w:id="25"/>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9年本年收入合计2493.49万元，其中：一般公共预算财政拨款收入1331.20万元，占总收入的53.39</w:t>
      </w:r>
      <w:r>
        <w:rPr>
          <w:rFonts w:ascii="仿宋" w:hAnsi="仿宋" w:eastAsia="仿宋"/>
          <w:color w:val="000000"/>
          <w:sz w:val="32"/>
          <w:szCs w:val="32"/>
        </w:rPr>
        <w:t>%</w:t>
      </w:r>
      <w:r>
        <w:rPr>
          <w:rFonts w:hint="eastAsia" w:ascii="仿宋" w:hAnsi="仿宋" w:eastAsia="仿宋"/>
          <w:color w:val="000000"/>
          <w:sz w:val="32"/>
          <w:szCs w:val="32"/>
        </w:rPr>
        <w:t>；政府性基金预算财政拨款收入 855.14万元，占总收入的34.29</w:t>
      </w:r>
      <w:r>
        <w:rPr>
          <w:rFonts w:ascii="仿宋" w:hAnsi="仿宋" w:eastAsia="仿宋"/>
          <w:color w:val="000000"/>
          <w:sz w:val="32"/>
          <w:szCs w:val="32"/>
        </w:rPr>
        <w:t>%</w:t>
      </w:r>
      <w:r>
        <w:rPr>
          <w:rFonts w:hint="eastAsia" w:ascii="仿宋" w:hAnsi="仿宋" w:eastAsia="仿宋"/>
          <w:color w:val="000000"/>
          <w:sz w:val="32"/>
          <w:szCs w:val="32"/>
        </w:rPr>
        <w:t>；其他收入307.15万元，占总收入的12.32</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（图2：收入决算结构图）（饼状图）</w:t>
      </w:r>
    </w:p>
    <w:p>
      <w:pPr>
        <w:spacing w:line="600" w:lineRule="exact"/>
        <w:ind w:firstLine="420" w:firstLineChars="200"/>
        <w:rPr>
          <w:rFonts w:ascii="仿宋_GB2312" w:eastAsia="仿宋_GB2312"/>
          <w:color w:val="FF0000"/>
          <w:sz w:val="32"/>
          <w:szCs w:val="32"/>
        </w:rPr>
      </w:pPr>
      <w:r>
        <w:drawing>
          <wp:anchor distT="0" distB="0" distL="114300" distR="114300" simplePos="0" relativeHeight="251661312" behindDoc="0" locked="0" layoutInCell="1" allowOverlap="1">
            <wp:simplePos x="0" y="0"/>
            <wp:positionH relativeFrom="column">
              <wp:posOffset>-35560</wp:posOffset>
            </wp:positionH>
            <wp:positionV relativeFrom="paragraph">
              <wp:posOffset>200660</wp:posOffset>
            </wp:positionV>
            <wp:extent cx="5269865" cy="3016250"/>
            <wp:effectExtent l="4445" t="4445" r="21590" b="8255"/>
            <wp:wrapNone/>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pStyle w:val="23"/>
        <w:numPr>
          <w:ilvl w:val="0"/>
          <w:numId w:val="2"/>
        </w:numPr>
        <w:spacing w:line="600" w:lineRule="exact"/>
        <w:ind w:firstLineChars="0"/>
        <w:outlineLvl w:val="1"/>
        <w:rPr>
          <w:rStyle w:val="25"/>
          <w:rFonts w:ascii="黑体" w:hAnsi="黑体" w:eastAsia="黑体"/>
          <w:b w:val="0"/>
        </w:rPr>
      </w:pPr>
      <w:bookmarkStart w:id="26" w:name="_Toc15396605"/>
      <w:bookmarkStart w:id="27" w:name="_Toc15377207"/>
      <w:r>
        <w:rPr>
          <w:rFonts w:hint="eastAsia" w:ascii="黑体" w:hAnsi="黑体" w:eastAsia="黑体"/>
          <w:color w:val="000000"/>
          <w:sz w:val="32"/>
          <w:szCs w:val="32"/>
        </w:rPr>
        <w:t>支</w:t>
      </w:r>
      <w:r>
        <w:rPr>
          <w:rStyle w:val="25"/>
          <w:rFonts w:hint="eastAsia" w:ascii="黑体" w:hAnsi="黑体" w:eastAsia="黑体"/>
          <w:b w:val="0"/>
        </w:rPr>
        <w:t>出决算情况说明</w:t>
      </w:r>
      <w:bookmarkEnd w:id="26"/>
      <w:bookmarkEnd w:id="27"/>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9年本年支出合计2841.15万元，其中：基本支出612.87万元，占总支出的21.57</w:t>
      </w:r>
      <w:r>
        <w:rPr>
          <w:rFonts w:ascii="仿宋" w:hAnsi="仿宋" w:eastAsia="仿宋"/>
          <w:color w:val="000000"/>
          <w:sz w:val="32"/>
          <w:szCs w:val="32"/>
        </w:rPr>
        <w:t>%</w:t>
      </w:r>
      <w:r>
        <w:rPr>
          <w:rFonts w:hint="eastAsia" w:ascii="仿宋" w:hAnsi="仿宋" w:eastAsia="仿宋"/>
          <w:color w:val="000000"/>
          <w:sz w:val="32"/>
          <w:szCs w:val="32"/>
        </w:rPr>
        <w:t>；项目支出2228.28万元，占总支出的78.43</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（图3：支出决算结构图）（饼状图）</w:t>
      </w:r>
    </w:p>
    <w:p>
      <w:pPr>
        <w:spacing w:line="600" w:lineRule="exact"/>
        <w:ind w:firstLine="420" w:firstLineChars="200"/>
        <w:rPr>
          <w:rFonts w:ascii="仿宋_GB2312" w:eastAsia="仿宋_GB2312"/>
          <w:color w:val="FF0000"/>
          <w:sz w:val="32"/>
          <w:szCs w:val="32"/>
        </w:rPr>
      </w:pPr>
      <w:r>
        <w:drawing>
          <wp:anchor distT="0" distB="0" distL="114300" distR="114300" simplePos="0" relativeHeight="251662336" behindDoc="0" locked="0" layoutInCell="1" allowOverlap="1">
            <wp:simplePos x="0" y="0"/>
            <wp:positionH relativeFrom="column">
              <wp:posOffset>-15240</wp:posOffset>
            </wp:positionH>
            <wp:positionV relativeFrom="paragraph">
              <wp:posOffset>137795</wp:posOffset>
            </wp:positionV>
            <wp:extent cx="5191125" cy="3105150"/>
            <wp:effectExtent l="4445" t="4445" r="5080" b="14605"/>
            <wp:wrapNone/>
            <wp:docPr id="165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25"/>
          <w:rFonts w:ascii="黑体" w:hAnsi="黑体" w:eastAsia="黑体"/>
          <w:b w:val="0"/>
        </w:rPr>
      </w:pPr>
      <w:bookmarkStart w:id="28" w:name="_Toc15396606"/>
      <w:bookmarkStart w:id="29" w:name="_Toc15377208"/>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28"/>
      <w:bookmarkEnd w:id="29"/>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9年财政拨款收入总计2186.34万元，与2018年财政拨款收入总计3036.34万元相比，减少了850.00万元，下降了27.99%，原因为</w:t>
      </w:r>
      <w:r>
        <w:rPr>
          <w:rFonts w:hint="eastAsia" w:ascii="仿宋" w:hAnsi="仿宋" w:eastAsia="仿宋"/>
          <w:color w:val="000000"/>
          <w:sz w:val="32"/>
          <w:szCs w:val="32"/>
          <w:lang w:eastAsia="zh-CN"/>
        </w:rPr>
        <w:t>项目拆迁和征地经费减少</w:t>
      </w:r>
      <w:r>
        <w:rPr>
          <w:rFonts w:hint="eastAsia" w:ascii="仿宋" w:hAnsi="仿宋" w:eastAsia="仿宋"/>
          <w:color w:val="000000"/>
          <w:sz w:val="32"/>
          <w:szCs w:val="32"/>
        </w:rPr>
        <w:t>等内容；</w:t>
      </w:r>
      <w:r>
        <w:rPr>
          <w:rFonts w:ascii="仿宋" w:hAnsi="仿宋" w:eastAsia="仿宋"/>
          <w:color w:val="000000"/>
          <w:sz w:val="32"/>
          <w:szCs w:val="32"/>
        </w:rPr>
        <w:t>201</w:t>
      </w:r>
      <w:r>
        <w:rPr>
          <w:rFonts w:hint="eastAsia" w:ascii="仿宋" w:hAnsi="仿宋" w:eastAsia="仿宋"/>
          <w:color w:val="000000"/>
          <w:sz w:val="32"/>
          <w:szCs w:val="32"/>
        </w:rPr>
        <w:t>9年财政拨款支出总计2176.73万元，与</w:t>
      </w:r>
      <w:r>
        <w:rPr>
          <w:rFonts w:ascii="仿宋" w:hAnsi="仿宋" w:eastAsia="仿宋"/>
          <w:color w:val="000000"/>
          <w:sz w:val="32"/>
          <w:szCs w:val="32"/>
        </w:rPr>
        <w:t>201</w:t>
      </w:r>
      <w:r>
        <w:rPr>
          <w:rFonts w:hint="eastAsia" w:ascii="仿宋" w:hAnsi="仿宋" w:eastAsia="仿宋"/>
          <w:color w:val="000000"/>
          <w:sz w:val="32"/>
          <w:szCs w:val="32"/>
        </w:rPr>
        <w:t>8年财政拨款支出总计2767.65万元相比，减少了590.92万元，下降了21.35%，原因为</w:t>
      </w:r>
      <w:r>
        <w:rPr>
          <w:rFonts w:hint="eastAsia" w:ascii="仿宋" w:hAnsi="仿宋" w:eastAsia="仿宋"/>
          <w:color w:val="000000"/>
          <w:sz w:val="32"/>
          <w:szCs w:val="32"/>
          <w:lang w:eastAsia="zh-CN"/>
        </w:rPr>
        <w:t>项目拆迁和征地经费减少</w:t>
      </w:r>
      <w:r>
        <w:rPr>
          <w:rFonts w:hint="eastAsia" w:ascii="仿宋" w:hAnsi="仿宋" w:eastAsia="仿宋"/>
          <w:color w:val="000000"/>
          <w:sz w:val="32"/>
          <w:szCs w:val="32"/>
        </w:rPr>
        <w:t>等内容。</w:t>
      </w:r>
    </w:p>
    <w:p>
      <w:pPr>
        <w:spacing w:line="600" w:lineRule="exact"/>
        <w:ind w:firstLine="640"/>
        <w:rPr>
          <w:rFonts w:ascii="仿宋" w:hAnsi="仿宋" w:eastAsia="仿宋"/>
          <w:color w:val="000000"/>
          <w:sz w:val="32"/>
          <w:szCs w:val="32"/>
        </w:rPr>
      </w:pP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（图4：财政拨款收、支决算总计变动情况）（柱状图）</w:t>
      </w:r>
    </w:p>
    <w:p>
      <w:pPr>
        <w:spacing w:line="600" w:lineRule="exact"/>
        <w:ind w:firstLine="640"/>
        <w:rPr>
          <w:rFonts w:ascii="仿宋" w:hAnsi="仿宋" w:eastAsia="仿宋"/>
          <w:b/>
          <w:color w:val="00B050"/>
          <w:sz w:val="32"/>
          <w:szCs w:val="32"/>
        </w:rPr>
      </w:pPr>
      <w:r>
        <w:drawing>
          <wp:anchor distT="0" distB="0" distL="114300" distR="114300" simplePos="0" relativeHeight="251663360" behindDoc="0" locked="0" layoutInCell="1" allowOverlap="1">
            <wp:simplePos x="0" y="0"/>
            <wp:positionH relativeFrom="column">
              <wp:posOffset>464185</wp:posOffset>
            </wp:positionH>
            <wp:positionV relativeFrom="paragraph">
              <wp:posOffset>140335</wp:posOffset>
            </wp:positionV>
            <wp:extent cx="4572000" cy="2743200"/>
            <wp:effectExtent l="4445" t="4445" r="14605" b="14605"/>
            <wp:wrapNone/>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rPr>
          <w:rFonts w:ascii="仿宋" w:hAnsi="仿宋" w:eastAsia="仿宋"/>
          <w:b/>
          <w:color w:val="00B050"/>
          <w:sz w:val="32"/>
          <w:szCs w:val="32"/>
        </w:rPr>
      </w:pPr>
    </w:p>
    <w:p>
      <w:pPr>
        <w:spacing w:line="600" w:lineRule="exact"/>
        <w:ind w:firstLine="640" w:firstLineChars="200"/>
        <w:outlineLvl w:val="1"/>
        <w:rPr>
          <w:rStyle w:val="25"/>
          <w:rFonts w:ascii="黑体" w:hAnsi="黑体" w:eastAsia="黑体"/>
          <w:b w:val="0"/>
        </w:rPr>
      </w:pPr>
      <w:bookmarkStart w:id="30" w:name="_Toc15377209"/>
      <w:bookmarkStart w:id="31"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0"/>
      <w:bookmarkEnd w:id="31"/>
    </w:p>
    <w:p>
      <w:pPr>
        <w:spacing w:line="600" w:lineRule="exact"/>
        <w:ind w:firstLine="643" w:firstLineChars="200"/>
        <w:outlineLvl w:val="2"/>
        <w:rPr>
          <w:rFonts w:ascii="仿宋" w:hAnsi="仿宋" w:eastAsia="仿宋"/>
          <w:b/>
          <w:color w:val="000000"/>
          <w:sz w:val="32"/>
          <w:szCs w:val="32"/>
        </w:rPr>
      </w:pPr>
      <w:bookmarkStart w:id="32" w:name="_Toc15377210"/>
      <w:r>
        <w:rPr>
          <w:rFonts w:hint="eastAsia" w:ascii="仿宋" w:hAnsi="仿宋" w:eastAsia="仿宋"/>
          <w:b/>
          <w:color w:val="000000"/>
          <w:sz w:val="32"/>
          <w:szCs w:val="32"/>
        </w:rPr>
        <w:t>（一）一般公共预算财政拨款支出决算总体情况</w:t>
      </w:r>
      <w:bookmarkEnd w:id="32"/>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9年一般公共预算财政拨款支出1599.16万元，占本年支出合计的56.29</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8年一般公共预算财政拨款支出1210.55万元相比，增了388.61万元，增长了32.10%，原因为</w:t>
      </w:r>
      <w:r>
        <w:rPr>
          <w:rFonts w:hint="eastAsia" w:ascii="仿宋" w:hAnsi="仿宋" w:eastAsia="仿宋"/>
          <w:color w:val="000000"/>
          <w:sz w:val="32"/>
          <w:szCs w:val="32"/>
          <w:lang w:eastAsia="zh-CN"/>
        </w:rPr>
        <w:t>项目拆迁补偿经费增加</w:t>
      </w:r>
      <w:r>
        <w:rPr>
          <w:rFonts w:hint="eastAsia" w:ascii="仿宋" w:hAnsi="仿宋" w:eastAsia="仿宋"/>
          <w:color w:val="000000"/>
          <w:sz w:val="32"/>
          <w:szCs w:val="32"/>
        </w:rPr>
        <w:t>等内容。</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（图5：一般公共预算财政拨款支出决算变动情况）（柱状图）</w:t>
      </w:r>
    </w:p>
    <w:p>
      <w:pPr>
        <w:spacing w:line="600" w:lineRule="exact"/>
        <w:ind w:firstLine="420" w:firstLineChars="200"/>
        <w:rPr>
          <w:rFonts w:ascii="仿宋" w:hAnsi="仿宋" w:eastAsia="仿宋"/>
          <w:color w:val="000000" w:themeColor="text1"/>
          <w:sz w:val="32"/>
          <w:szCs w:val="32"/>
        </w:rPr>
      </w:pPr>
      <w:r>
        <w:drawing>
          <wp:anchor distT="0" distB="0" distL="114300" distR="114300" simplePos="0" relativeHeight="251664384" behindDoc="0" locked="0" layoutInCell="1" allowOverlap="1">
            <wp:simplePos x="0" y="0"/>
            <wp:positionH relativeFrom="column">
              <wp:posOffset>525145</wp:posOffset>
            </wp:positionH>
            <wp:positionV relativeFrom="paragraph">
              <wp:posOffset>97790</wp:posOffset>
            </wp:positionV>
            <wp:extent cx="4438650" cy="2943225"/>
            <wp:effectExtent l="4445" t="4445" r="14605" b="5080"/>
            <wp:wrapNone/>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3" w:firstLineChars="200"/>
        <w:outlineLvl w:val="2"/>
        <w:rPr>
          <w:rFonts w:ascii="仿宋" w:hAnsi="仿宋" w:eastAsia="仿宋"/>
          <w:b/>
          <w:color w:val="000000"/>
          <w:sz w:val="32"/>
          <w:szCs w:val="32"/>
        </w:rPr>
      </w:pPr>
      <w:bookmarkStart w:id="33" w:name="_Toc15377211"/>
      <w:r>
        <w:rPr>
          <w:rFonts w:hint="eastAsia" w:ascii="仿宋" w:hAnsi="仿宋" w:eastAsia="仿宋"/>
          <w:b/>
          <w:color w:val="000000"/>
          <w:sz w:val="32"/>
          <w:szCs w:val="32"/>
        </w:rPr>
        <w:t>（二）一般公共预算财政拨款支出决算结构情况</w:t>
      </w:r>
      <w:bookmarkEnd w:id="33"/>
    </w:p>
    <w:p>
      <w:pPr>
        <w:spacing w:line="600" w:lineRule="exact"/>
        <w:ind w:firstLine="640"/>
        <w:rPr>
          <w:rFonts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w:t>
      </w:r>
      <w:r>
        <w:rPr>
          <w:rFonts w:hint="eastAsia" w:ascii="仿宋" w:hAnsi="仿宋" w:eastAsia="仿宋"/>
          <w:color w:val="000000"/>
          <w:sz w:val="32"/>
          <w:szCs w:val="32"/>
        </w:rPr>
        <w:t>1599.16</w:t>
      </w:r>
      <w:r>
        <w:rPr>
          <w:rFonts w:hint="eastAsia" w:ascii="仿宋" w:hAnsi="仿宋" w:eastAsia="仿宋"/>
          <w:color w:val="000000" w:themeColor="text1"/>
          <w:sz w:val="32"/>
          <w:szCs w:val="32"/>
        </w:rPr>
        <w:t>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一般公共服务（201）</w:t>
      </w:r>
      <w:r>
        <w:rPr>
          <w:rFonts w:hint="eastAsia" w:ascii="仿宋" w:hAnsi="仿宋" w:eastAsia="仿宋"/>
          <w:color w:val="000000" w:themeColor="text1"/>
          <w:sz w:val="32"/>
          <w:szCs w:val="32"/>
        </w:rPr>
        <w:t>支出639.43万元，占</w:t>
      </w:r>
      <w:r>
        <w:rPr>
          <w:rFonts w:hint="eastAsia" w:ascii="仿宋" w:hAnsi="仿宋" w:eastAsia="仿宋"/>
          <w:color w:val="000000"/>
          <w:sz w:val="32"/>
          <w:szCs w:val="32"/>
        </w:rPr>
        <w:t>一般公共预算财</w:t>
      </w:r>
      <w:r>
        <w:rPr>
          <w:rFonts w:hint="eastAsia" w:ascii="仿宋" w:hAnsi="仿宋" w:eastAsia="仿宋"/>
          <w:color w:val="000000" w:themeColor="text1"/>
          <w:sz w:val="32"/>
          <w:szCs w:val="32"/>
        </w:rPr>
        <w:t>政拨款支出的39.99</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国防支出（203）</w:t>
      </w:r>
      <w:r>
        <w:rPr>
          <w:rFonts w:hint="eastAsia" w:ascii="仿宋" w:hAnsi="仿宋" w:eastAsia="仿宋"/>
          <w:color w:val="000000" w:themeColor="text1"/>
          <w:sz w:val="32"/>
          <w:szCs w:val="32"/>
        </w:rPr>
        <w:t>支出2.69万元，占</w:t>
      </w:r>
      <w:r>
        <w:rPr>
          <w:rFonts w:hint="eastAsia" w:ascii="仿宋" w:hAnsi="仿宋" w:eastAsia="仿宋"/>
          <w:color w:val="000000"/>
          <w:sz w:val="32"/>
          <w:szCs w:val="32"/>
        </w:rPr>
        <w:t>一般公共预算财</w:t>
      </w:r>
      <w:r>
        <w:rPr>
          <w:rFonts w:hint="eastAsia" w:ascii="仿宋" w:hAnsi="仿宋" w:eastAsia="仿宋"/>
          <w:color w:val="000000" w:themeColor="text1"/>
          <w:sz w:val="32"/>
          <w:szCs w:val="32"/>
        </w:rPr>
        <w:t>政拨款支出的0.17</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文化旅游体育与传媒（207）</w:t>
      </w:r>
      <w:r>
        <w:rPr>
          <w:rFonts w:hint="eastAsia" w:ascii="仿宋" w:hAnsi="仿宋" w:eastAsia="仿宋"/>
          <w:color w:val="000000" w:themeColor="text1"/>
          <w:sz w:val="32"/>
          <w:szCs w:val="32"/>
        </w:rPr>
        <w:t>支出104.81万元，占</w:t>
      </w:r>
      <w:r>
        <w:rPr>
          <w:rFonts w:hint="eastAsia" w:ascii="仿宋" w:hAnsi="仿宋" w:eastAsia="仿宋"/>
          <w:color w:val="000000"/>
          <w:sz w:val="32"/>
          <w:szCs w:val="32"/>
        </w:rPr>
        <w:t>一般公共预算财</w:t>
      </w:r>
      <w:r>
        <w:rPr>
          <w:rFonts w:hint="eastAsia" w:ascii="仿宋" w:hAnsi="仿宋" w:eastAsia="仿宋"/>
          <w:color w:val="000000" w:themeColor="text1"/>
          <w:sz w:val="32"/>
          <w:szCs w:val="32"/>
        </w:rPr>
        <w:t>政拨款支出的6.55</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社会保障和就业（208）</w:t>
      </w:r>
      <w:r>
        <w:rPr>
          <w:rFonts w:hint="eastAsia" w:ascii="仿宋" w:hAnsi="仿宋" w:eastAsia="仿宋"/>
          <w:color w:val="000000" w:themeColor="text1"/>
          <w:sz w:val="32"/>
          <w:szCs w:val="32"/>
        </w:rPr>
        <w:t>支出29.16万元，占</w:t>
      </w:r>
      <w:r>
        <w:rPr>
          <w:rFonts w:hint="eastAsia" w:ascii="仿宋" w:hAnsi="仿宋" w:eastAsia="仿宋"/>
          <w:color w:val="000000"/>
          <w:sz w:val="32"/>
          <w:szCs w:val="32"/>
        </w:rPr>
        <w:t>一般公共预算财</w:t>
      </w:r>
      <w:r>
        <w:rPr>
          <w:rFonts w:hint="eastAsia" w:ascii="仿宋" w:hAnsi="仿宋" w:eastAsia="仿宋"/>
          <w:color w:val="000000" w:themeColor="text1"/>
          <w:sz w:val="32"/>
          <w:szCs w:val="32"/>
        </w:rPr>
        <w:t>政拨款支出的1.82</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卫生健康（210）支出</w:t>
      </w:r>
      <w:r>
        <w:rPr>
          <w:rFonts w:hint="eastAsia" w:ascii="仿宋" w:hAnsi="仿宋" w:eastAsia="仿宋"/>
          <w:color w:val="000000" w:themeColor="text1"/>
          <w:sz w:val="32"/>
          <w:szCs w:val="32"/>
        </w:rPr>
        <w:t>4.34万元，占</w:t>
      </w:r>
      <w:r>
        <w:rPr>
          <w:rFonts w:hint="eastAsia" w:ascii="仿宋" w:hAnsi="仿宋" w:eastAsia="仿宋"/>
          <w:color w:val="000000"/>
          <w:sz w:val="32"/>
          <w:szCs w:val="32"/>
        </w:rPr>
        <w:t>一般公共预算财</w:t>
      </w:r>
      <w:r>
        <w:rPr>
          <w:rFonts w:hint="eastAsia" w:ascii="仿宋" w:hAnsi="仿宋" w:eastAsia="仿宋"/>
          <w:color w:val="000000" w:themeColor="text1"/>
          <w:sz w:val="32"/>
          <w:szCs w:val="32"/>
        </w:rPr>
        <w:t>政拨款支出的0.27</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城乡社区（212）</w:t>
      </w:r>
      <w:r>
        <w:rPr>
          <w:rFonts w:hint="eastAsia" w:ascii="仿宋" w:hAnsi="仿宋" w:eastAsia="仿宋"/>
          <w:color w:val="000000" w:themeColor="text1"/>
          <w:sz w:val="32"/>
          <w:szCs w:val="32"/>
        </w:rPr>
        <w:t>支出6.89万元，占</w:t>
      </w:r>
      <w:r>
        <w:rPr>
          <w:rFonts w:hint="eastAsia" w:ascii="仿宋" w:hAnsi="仿宋" w:eastAsia="仿宋"/>
          <w:color w:val="000000"/>
          <w:sz w:val="32"/>
          <w:szCs w:val="32"/>
        </w:rPr>
        <w:t>一般公共预算财</w:t>
      </w:r>
      <w:r>
        <w:rPr>
          <w:rFonts w:hint="eastAsia" w:ascii="仿宋" w:hAnsi="仿宋" w:eastAsia="仿宋"/>
          <w:color w:val="000000" w:themeColor="text1"/>
          <w:sz w:val="32"/>
          <w:szCs w:val="32"/>
        </w:rPr>
        <w:t>政拨款支出的0.43</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农林水（213）</w:t>
      </w:r>
      <w:r>
        <w:rPr>
          <w:rFonts w:hint="eastAsia" w:ascii="仿宋" w:hAnsi="仿宋" w:eastAsia="仿宋"/>
          <w:color w:val="000000" w:themeColor="text1"/>
          <w:sz w:val="32"/>
          <w:szCs w:val="32"/>
        </w:rPr>
        <w:t>支出696.18万元，占</w:t>
      </w:r>
      <w:r>
        <w:rPr>
          <w:rFonts w:hint="eastAsia" w:ascii="仿宋" w:hAnsi="仿宋" w:eastAsia="仿宋"/>
          <w:color w:val="000000"/>
          <w:sz w:val="32"/>
          <w:szCs w:val="32"/>
        </w:rPr>
        <w:t>一般公共预算财</w:t>
      </w:r>
      <w:r>
        <w:rPr>
          <w:rFonts w:hint="eastAsia" w:ascii="仿宋" w:hAnsi="仿宋" w:eastAsia="仿宋"/>
          <w:color w:val="000000" w:themeColor="text1"/>
          <w:sz w:val="32"/>
          <w:szCs w:val="32"/>
        </w:rPr>
        <w:t>政拨款支出的43.53</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住房保障（221）</w:t>
      </w:r>
      <w:r>
        <w:rPr>
          <w:rFonts w:hint="eastAsia" w:ascii="仿宋" w:hAnsi="仿宋" w:eastAsia="仿宋"/>
          <w:color w:val="000000" w:themeColor="text1"/>
          <w:sz w:val="32"/>
          <w:szCs w:val="32"/>
        </w:rPr>
        <w:t>支出101.16万元，占</w:t>
      </w:r>
      <w:r>
        <w:rPr>
          <w:rFonts w:hint="eastAsia" w:ascii="仿宋" w:hAnsi="仿宋" w:eastAsia="仿宋"/>
          <w:color w:val="000000"/>
          <w:sz w:val="32"/>
          <w:szCs w:val="32"/>
        </w:rPr>
        <w:t>一般公共预算财</w:t>
      </w:r>
      <w:r>
        <w:rPr>
          <w:rFonts w:hint="eastAsia" w:ascii="仿宋" w:hAnsi="仿宋" w:eastAsia="仿宋"/>
          <w:color w:val="000000" w:themeColor="text1"/>
          <w:sz w:val="32"/>
          <w:szCs w:val="32"/>
        </w:rPr>
        <w:t>政拨款支出的6.33</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灾害防治及应急管理</w:t>
      </w:r>
      <w:r>
        <w:rPr>
          <w:rFonts w:hint="eastAsia" w:ascii="仿宋" w:hAnsi="仿宋" w:eastAsia="仿宋"/>
          <w:color w:val="000000" w:themeColor="text1"/>
          <w:sz w:val="32"/>
          <w:szCs w:val="32"/>
        </w:rPr>
        <w:t>（224）支出14.50万元，占</w:t>
      </w:r>
      <w:r>
        <w:rPr>
          <w:rFonts w:hint="eastAsia" w:ascii="仿宋" w:hAnsi="仿宋" w:eastAsia="仿宋"/>
          <w:color w:val="000000"/>
          <w:sz w:val="32"/>
          <w:szCs w:val="32"/>
        </w:rPr>
        <w:t>一般公共预算财</w:t>
      </w:r>
      <w:r>
        <w:rPr>
          <w:rFonts w:hint="eastAsia" w:ascii="仿宋" w:hAnsi="仿宋" w:eastAsia="仿宋"/>
          <w:color w:val="000000" w:themeColor="text1"/>
          <w:sz w:val="32"/>
          <w:szCs w:val="32"/>
        </w:rPr>
        <w:t>政拨款支出的0.91</w:t>
      </w:r>
      <w:r>
        <w:rPr>
          <w:rFonts w:ascii="仿宋" w:hAnsi="仿宋" w:eastAsia="仿宋"/>
          <w:color w:val="000000" w:themeColor="text1"/>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pPr>
        <w:spacing w:line="600" w:lineRule="exact"/>
        <w:ind w:firstLine="420" w:firstLineChars="200"/>
        <w:rPr>
          <w:rFonts w:ascii="仿宋" w:hAnsi="仿宋" w:eastAsia="仿宋"/>
          <w:color w:val="000000"/>
          <w:sz w:val="32"/>
          <w:szCs w:val="32"/>
        </w:rPr>
      </w:pPr>
      <w:r>
        <w:drawing>
          <wp:anchor distT="0" distB="0" distL="114300" distR="114300" simplePos="0" relativeHeight="251665408" behindDoc="0" locked="0" layoutInCell="1" allowOverlap="1">
            <wp:simplePos x="0" y="0"/>
            <wp:positionH relativeFrom="column">
              <wp:posOffset>218440</wp:posOffset>
            </wp:positionH>
            <wp:positionV relativeFrom="paragraph">
              <wp:posOffset>116840</wp:posOffset>
            </wp:positionV>
            <wp:extent cx="5080635" cy="3683000"/>
            <wp:effectExtent l="4445" t="4445" r="20320" b="8255"/>
            <wp:wrapNone/>
            <wp:docPr id="1658"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34" w:name="_Toc15377212"/>
      <w:r>
        <w:rPr>
          <w:rFonts w:hint="eastAsia" w:ascii="仿宋" w:hAnsi="仿宋" w:eastAsia="仿宋"/>
          <w:b/>
          <w:color w:val="000000"/>
          <w:sz w:val="32"/>
          <w:szCs w:val="32"/>
        </w:rPr>
        <w:t>（三）一般公共预算财政拨款支出决算具体情况</w:t>
      </w:r>
      <w:bookmarkEnd w:id="34"/>
    </w:p>
    <w:p>
      <w:pPr>
        <w:spacing w:line="600" w:lineRule="exact"/>
        <w:ind w:firstLine="643" w:firstLineChars="200"/>
        <w:outlineLvl w:val="2"/>
        <w:rPr>
          <w:rFonts w:ascii="仿宋" w:hAnsi="仿宋" w:eastAsia="仿宋"/>
          <w:color w:val="FF0000"/>
          <w:sz w:val="32"/>
          <w:szCs w:val="32"/>
        </w:rPr>
      </w:pPr>
      <w:bookmarkStart w:id="35" w:name="_Toc15377444"/>
      <w:bookmarkStart w:id="36" w:name="_Toc15378460"/>
      <w:bookmarkStart w:id="37" w:name="_Toc15377213"/>
      <w:r>
        <w:rPr>
          <w:rFonts w:hint="eastAsia" w:ascii="仿宋" w:hAnsi="仿宋" w:eastAsia="仿宋"/>
          <w:b/>
          <w:color w:val="000000" w:themeColor="text1"/>
          <w:sz w:val="32"/>
          <w:szCs w:val="32"/>
        </w:rPr>
        <w:t>2019年一般公共预算支出决算数为1599.16万元</w:t>
      </w:r>
      <w:r>
        <w:rPr>
          <w:rFonts w:hint="eastAsia" w:ascii="仿宋" w:hAnsi="仿宋" w:eastAsia="仿宋"/>
          <w:color w:val="000000" w:themeColor="text1"/>
          <w:sz w:val="32"/>
          <w:szCs w:val="32"/>
        </w:rPr>
        <w:t>，</w:t>
      </w:r>
      <w:r>
        <w:rPr>
          <w:rStyle w:val="14"/>
          <w:rFonts w:hint="eastAsia" w:ascii="仿宋" w:hAnsi="仿宋" w:eastAsia="仿宋"/>
          <w:bCs/>
          <w:color w:val="000000" w:themeColor="text1"/>
          <w:sz w:val="32"/>
          <w:szCs w:val="32"/>
        </w:rPr>
        <w:t>完成</w:t>
      </w:r>
      <w:r>
        <w:rPr>
          <w:rFonts w:hint="eastAsia" w:ascii="仿宋" w:hAnsi="仿宋" w:eastAsia="仿宋"/>
          <w:b/>
          <w:color w:val="000000" w:themeColor="text1"/>
          <w:sz w:val="32"/>
          <w:szCs w:val="32"/>
        </w:rPr>
        <w:t>一般公共</w:t>
      </w:r>
      <w:r>
        <w:rPr>
          <w:rStyle w:val="14"/>
          <w:rFonts w:hint="eastAsia" w:ascii="仿宋" w:hAnsi="仿宋" w:eastAsia="仿宋"/>
          <w:bCs/>
          <w:color w:val="000000"/>
          <w:sz w:val="32"/>
          <w:szCs w:val="32"/>
        </w:rPr>
        <w:t>预算的97.08</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5"/>
      <w:bookmarkEnd w:id="36"/>
      <w:bookmarkEnd w:id="37"/>
    </w:p>
    <w:p>
      <w:pPr>
        <w:spacing w:line="600" w:lineRule="exact"/>
        <w:ind w:firstLine="643" w:firstLineChars="200"/>
        <w:rPr>
          <w:rStyle w:val="14"/>
          <w:rFonts w:hint="eastAsia" w:ascii="仿宋" w:hAnsi="仿宋" w:eastAsia="仿宋"/>
          <w:bCs/>
          <w:color w:val="000000"/>
          <w:sz w:val="32"/>
          <w:szCs w:val="32"/>
        </w:rPr>
      </w:pPr>
      <w:r>
        <w:rPr>
          <w:rStyle w:val="14"/>
          <w:rFonts w:ascii="仿宋" w:hAnsi="仿宋" w:eastAsia="仿宋"/>
          <w:bCs/>
          <w:color w:val="000000"/>
          <w:sz w:val="32"/>
          <w:szCs w:val="32"/>
        </w:rPr>
        <w:t>1.</w:t>
      </w:r>
      <w:r>
        <w:rPr>
          <w:rStyle w:val="14"/>
          <w:rFonts w:hint="eastAsia" w:ascii="仿宋" w:hAnsi="仿宋" w:eastAsia="仿宋"/>
          <w:bCs/>
          <w:color w:val="000000"/>
          <w:sz w:val="32"/>
          <w:szCs w:val="32"/>
        </w:rPr>
        <w:t>一般公共服务</w:t>
      </w:r>
    </w:p>
    <w:p>
      <w:pPr>
        <w:spacing w:line="600" w:lineRule="exact"/>
        <w:ind w:firstLine="643" w:firstLineChars="200"/>
        <w:rPr>
          <w:rStyle w:val="14"/>
          <w:rFonts w:hint="eastAsia" w:ascii="仿宋" w:hAnsi="仿宋" w:eastAsia="仿宋"/>
          <w:b w:val="0"/>
          <w:bCs/>
          <w:color w:val="000000"/>
          <w:sz w:val="32"/>
          <w:szCs w:val="32"/>
        </w:rPr>
      </w:pPr>
      <w:r>
        <w:rPr>
          <w:rStyle w:val="14"/>
          <w:rFonts w:hint="eastAsia" w:ascii="仿宋" w:hAnsi="仿宋" w:eastAsia="仿宋"/>
          <w:bCs/>
          <w:color w:val="000000"/>
          <w:sz w:val="32"/>
          <w:szCs w:val="32"/>
        </w:rPr>
        <w:t>A</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行政运行（类）201（款）03（项）01</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支出决算为358.33万元，完成预算100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rPr>
        <w:t>B</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 xml:space="preserve">  一般行政管理事务（类）201（款）03（项）02</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支出决算为58.76万元，完成预算100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rPr>
        <w:t>C</w:t>
      </w:r>
      <w:r>
        <w:rPr>
          <w:rStyle w:val="14"/>
          <w:rFonts w:ascii="仿宋" w:hAnsi="仿宋" w:eastAsia="仿宋"/>
          <w:bCs/>
          <w:color w:val="000000"/>
          <w:sz w:val="32"/>
          <w:szCs w:val="32"/>
        </w:rPr>
        <w:t>.</w:t>
      </w:r>
      <w:r>
        <w:rPr>
          <w:rFonts w:hint="eastAsia"/>
        </w:rPr>
        <w:t xml:space="preserve"> </w:t>
      </w:r>
      <w:r>
        <w:rPr>
          <w:rStyle w:val="14"/>
          <w:rFonts w:hint="eastAsia" w:ascii="仿宋" w:hAnsi="仿宋" w:eastAsia="仿宋"/>
          <w:bCs/>
          <w:color w:val="000000"/>
          <w:sz w:val="32"/>
          <w:szCs w:val="32"/>
        </w:rPr>
        <w:t>其他政府办公厅（室）及相关机构事务支出（类）201（款）03（项）99</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支出决算为209.37万元，完成预算100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hint="eastAsia" w:ascii="仿宋" w:hAnsi="仿宋" w:eastAsia="仿宋"/>
          <w:b w:val="0"/>
          <w:bCs/>
          <w:color w:val="000000"/>
          <w:sz w:val="32"/>
          <w:szCs w:val="32"/>
        </w:rPr>
      </w:pPr>
      <w:r>
        <w:rPr>
          <w:rStyle w:val="14"/>
          <w:rFonts w:hint="eastAsia" w:ascii="仿宋" w:hAnsi="仿宋" w:eastAsia="仿宋"/>
          <w:bCs/>
          <w:color w:val="000000"/>
          <w:sz w:val="32"/>
          <w:szCs w:val="32"/>
        </w:rPr>
        <w:t>D</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事业运行（类）201（款）06（项）50</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支出决算为12.97万元，完成预算100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hint="eastAsia" w:ascii="仿宋" w:hAnsi="仿宋" w:eastAsia="仿宋"/>
          <w:bCs/>
          <w:color w:val="000000"/>
          <w:sz w:val="32"/>
          <w:szCs w:val="32"/>
        </w:rPr>
      </w:pPr>
      <w:r>
        <w:rPr>
          <w:rStyle w:val="14"/>
          <w:rFonts w:hint="eastAsia" w:ascii="仿宋" w:hAnsi="仿宋" w:eastAsia="仿宋"/>
          <w:bCs/>
          <w:color w:val="000000"/>
          <w:sz w:val="32"/>
          <w:szCs w:val="32"/>
        </w:rPr>
        <w:t>2</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国防支出</w:t>
      </w:r>
    </w:p>
    <w:p>
      <w:pPr>
        <w:spacing w:line="600" w:lineRule="exact"/>
        <w:ind w:firstLine="643" w:firstLineChars="200"/>
        <w:rPr>
          <w:rStyle w:val="14"/>
          <w:rFonts w:hint="eastAsia" w:ascii="仿宋" w:hAnsi="仿宋" w:eastAsia="仿宋"/>
          <w:b w:val="0"/>
          <w:bCs/>
          <w:color w:val="000000"/>
          <w:sz w:val="32"/>
          <w:szCs w:val="32"/>
        </w:rPr>
      </w:pPr>
      <w:r>
        <w:rPr>
          <w:rStyle w:val="14"/>
          <w:rFonts w:hint="eastAsia" w:ascii="仿宋" w:hAnsi="仿宋" w:eastAsia="仿宋"/>
          <w:bCs/>
          <w:color w:val="000000"/>
          <w:sz w:val="32"/>
          <w:szCs w:val="32"/>
        </w:rPr>
        <w:t>A</w:t>
      </w:r>
      <w:r>
        <w:rPr>
          <w:rStyle w:val="14"/>
          <w:rFonts w:ascii="仿宋" w:hAnsi="仿宋" w:eastAsia="仿宋"/>
          <w:bCs/>
          <w:color w:val="000000"/>
          <w:sz w:val="32"/>
          <w:szCs w:val="32"/>
        </w:rPr>
        <w:t>.</w:t>
      </w:r>
      <w:r>
        <w:rPr>
          <w:rFonts w:hint="eastAsia"/>
        </w:rPr>
        <w:t xml:space="preserve"> </w:t>
      </w:r>
      <w:r>
        <w:rPr>
          <w:rStyle w:val="14"/>
          <w:rFonts w:hint="eastAsia" w:ascii="仿宋" w:hAnsi="仿宋" w:eastAsia="仿宋"/>
          <w:bCs/>
          <w:color w:val="000000"/>
          <w:sz w:val="32"/>
          <w:szCs w:val="32"/>
        </w:rPr>
        <w:t>民兵(类）203（款）06（项）07</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支出决算为0.35万元，完成预算100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hint="eastAsia" w:ascii="仿宋" w:hAnsi="仿宋" w:eastAsia="仿宋"/>
          <w:b w:val="0"/>
          <w:bCs/>
          <w:color w:val="000000"/>
          <w:sz w:val="32"/>
          <w:szCs w:val="32"/>
        </w:rPr>
      </w:pPr>
      <w:r>
        <w:rPr>
          <w:rStyle w:val="14"/>
          <w:rFonts w:hint="eastAsia" w:ascii="仿宋" w:hAnsi="仿宋" w:eastAsia="仿宋"/>
          <w:bCs/>
          <w:color w:val="000000"/>
          <w:sz w:val="32"/>
          <w:szCs w:val="32"/>
        </w:rPr>
        <w:t>B</w:t>
      </w:r>
      <w:r>
        <w:rPr>
          <w:rStyle w:val="14"/>
          <w:rFonts w:ascii="仿宋" w:hAnsi="仿宋" w:eastAsia="仿宋"/>
          <w:bCs/>
          <w:color w:val="000000"/>
          <w:sz w:val="32"/>
          <w:szCs w:val="32"/>
        </w:rPr>
        <w:t>.</w:t>
      </w:r>
      <w:r>
        <w:rPr>
          <w:rFonts w:hint="eastAsia"/>
        </w:rPr>
        <w:t xml:space="preserve">  </w:t>
      </w:r>
      <w:r>
        <w:rPr>
          <w:rFonts w:hint="eastAsia"/>
          <w:b/>
          <w:sz w:val="32"/>
          <w:szCs w:val="32"/>
        </w:rPr>
        <w:t>其他国防动员支出</w:t>
      </w:r>
      <w:r>
        <w:rPr>
          <w:rStyle w:val="14"/>
          <w:rFonts w:hint="eastAsia" w:ascii="仿宋" w:hAnsi="仿宋" w:eastAsia="仿宋"/>
          <w:bCs/>
          <w:color w:val="000000"/>
          <w:sz w:val="32"/>
          <w:szCs w:val="32"/>
        </w:rPr>
        <w:t>（类）203（款）06（项）07</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支出决算为2.34万元，完成预算100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hint="eastAsia" w:ascii="仿宋" w:hAnsi="仿宋" w:eastAsia="仿宋"/>
          <w:b/>
          <w:color w:val="000000" w:themeColor="text1"/>
          <w:sz w:val="32"/>
          <w:szCs w:val="32"/>
        </w:rPr>
      </w:pPr>
      <w:r>
        <w:rPr>
          <w:rStyle w:val="14"/>
          <w:rFonts w:hint="eastAsia" w:ascii="仿宋" w:hAnsi="仿宋" w:eastAsia="仿宋"/>
          <w:bCs/>
          <w:color w:val="000000"/>
          <w:sz w:val="32"/>
          <w:szCs w:val="32"/>
        </w:rPr>
        <w:t>2</w:t>
      </w:r>
      <w:r>
        <w:rPr>
          <w:rStyle w:val="14"/>
          <w:rFonts w:ascii="仿宋" w:hAnsi="仿宋" w:eastAsia="仿宋"/>
          <w:bCs/>
          <w:color w:val="000000"/>
          <w:sz w:val="32"/>
          <w:szCs w:val="32"/>
        </w:rPr>
        <w:t>.</w:t>
      </w:r>
      <w:r>
        <w:rPr>
          <w:rFonts w:hint="eastAsia" w:ascii="仿宋" w:hAnsi="仿宋" w:eastAsia="仿宋"/>
          <w:b/>
          <w:color w:val="000000" w:themeColor="text1"/>
          <w:sz w:val="32"/>
          <w:szCs w:val="32"/>
        </w:rPr>
        <w:t>文化旅游体育与传媒</w:t>
      </w:r>
    </w:p>
    <w:p>
      <w:pPr>
        <w:spacing w:line="600" w:lineRule="exact"/>
        <w:ind w:firstLine="643" w:firstLineChars="200"/>
        <w:rPr>
          <w:rStyle w:val="14"/>
          <w:rFonts w:hint="eastAsia" w:ascii="仿宋" w:hAnsi="仿宋" w:eastAsia="仿宋"/>
          <w:color w:val="000000"/>
          <w:sz w:val="32"/>
          <w:szCs w:val="32"/>
        </w:rPr>
      </w:pPr>
      <w:r>
        <w:rPr>
          <w:rFonts w:hint="eastAsia" w:ascii="仿宋" w:hAnsi="仿宋" w:eastAsia="仿宋"/>
          <w:b/>
          <w:color w:val="000000" w:themeColor="text1"/>
          <w:sz w:val="32"/>
          <w:szCs w:val="32"/>
        </w:rPr>
        <w:t>群众文化</w:t>
      </w:r>
      <w:r>
        <w:rPr>
          <w:rStyle w:val="14"/>
          <w:rFonts w:hint="eastAsia" w:ascii="仿宋" w:hAnsi="仿宋" w:eastAsia="仿宋"/>
          <w:bCs/>
          <w:color w:val="000000"/>
          <w:sz w:val="32"/>
          <w:szCs w:val="32"/>
        </w:rPr>
        <w:t>（类）207（款）01（项）09</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支出决算为104.81万元，完成预算100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hint="eastAsia" w:ascii="仿宋" w:hAnsi="仿宋" w:eastAsia="仿宋"/>
          <w:bCs/>
          <w:color w:val="000000"/>
          <w:sz w:val="32"/>
          <w:szCs w:val="32"/>
        </w:rPr>
      </w:pPr>
      <w:r>
        <w:rPr>
          <w:rStyle w:val="14"/>
          <w:rFonts w:hint="eastAsia" w:ascii="仿宋" w:hAnsi="仿宋" w:eastAsia="仿宋"/>
          <w:bCs/>
          <w:color w:val="000000"/>
          <w:sz w:val="32"/>
          <w:szCs w:val="32"/>
        </w:rPr>
        <w:t>3</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社会保障和就业</w:t>
      </w:r>
    </w:p>
    <w:p>
      <w:pPr>
        <w:spacing w:line="600" w:lineRule="exact"/>
        <w:ind w:firstLine="643" w:firstLineChars="200"/>
        <w:rPr>
          <w:rStyle w:val="14"/>
          <w:rFonts w:hint="eastAsia" w:ascii="仿宋" w:hAnsi="仿宋" w:eastAsia="仿宋"/>
          <w:b w:val="0"/>
          <w:bCs/>
          <w:color w:val="000000"/>
          <w:sz w:val="32"/>
          <w:szCs w:val="32"/>
        </w:rPr>
      </w:pPr>
      <w:r>
        <w:rPr>
          <w:rStyle w:val="14"/>
          <w:rFonts w:hint="eastAsia" w:ascii="仿宋" w:hAnsi="仿宋" w:eastAsia="仿宋"/>
          <w:bCs/>
          <w:color w:val="000000"/>
          <w:sz w:val="32"/>
          <w:szCs w:val="32"/>
        </w:rPr>
        <w:t>A</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 xml:space="preserve">  机关事业单位基本养老保险缴费支出（类）208（款）05（项）05</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支出决算为7.39万元，完成预算100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rPr>
        <w:t>B</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机关事业单位职业年金缴费支出（类）208（款）05（项）06</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支出决算为15.86万元，完成预算100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 xml:space="preserve"> </w:t>
      </w:r>
      <w:r>
        <w:rPr>
          <w:rStyle w:val="14"/>
          <w:rFonts w:hint="eastAsia" w:ascii="仿宋" w:hAnsi="仿宋" w:eastAsia="仿宋"/>
          <w:bCs/>
          <w:color w:val="000000"/>
          <w:sz w:val="32"/>
          <w:szCs w:val="32"/>
        </w:rPr>
        <w:t>C</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 xml:space="preserve">  其他优抚支出（类）208（款）08（项）99</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支出决算为5.91万元，完成预算100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hint="eastAsia" w:ascii="仿宋" w:hAnsi="仿宋" w:eastAsia="仿宋"/>
          <w:b/>
          <w:bCs/>
          <w:color w:val="000000" w:themeColor="text1"/>
          <w:sz w:val="32"/>
          <w:szCs w:val="32"/>
        </w:rPr>
      </w:pPr>
      <w:r>
        <w:rPr>
          <w:rStyle w:val="14"/>
          <w:rFonts w:hint="eastAsia" w:ascii="仿宋" w:hAnsi="仿宋" w:eastAsia="仿宋"/>
          <w:bCs/>
          <w:color w:val="000000"/>
          <w:sz w:val="32"/>
          <w:szCs w:val="32"/>
        </w:rPr>
        <w:t>4</w:t>
      </w:r>
      <w:r>
        <w:rPr>
          <w:rStyle w:val="14"/>
          <w:rFonts w:ascii="仿宋" w:hAnsi="仿宋" w:eastAsia="仿宋"/>
          <w:bCs/>
          <w:color w:val="000000"/>
          <w:sz w:val="32"/>
          <w:szCs w:val="32"/>
        </w:rPr>
        <w:t>.</w:t>
      </w:r>
      <w:r>
        <w:rPr>
          <w:rFonts w:hint="eastAsia" w:ascii="仿宋" w:hAnsi="仿宋" w:eastAsia="仿宋"/>
          <w:b/>
          <w:bCs/>
          <w:color w:val="000000" w:themeColor="text1"/>
          <w:sz w:val="32"/>
          <w:szCs w:val="32"/>
        </w:rPr>
        <w:t>卫生健康支出</w:t>
      </w:r>
    </w:p>
    <w:p>
      <w:pPr>
        <w:spacing w:line="600" w:lineRule="exact"/>
        <w:ind w:firstLine="643" w:firstLineChars="200"/>
        <w:rPr>
          <w:rStyle w:val="14"/>
          <w:rFonts w:hint="eastAsia" w:ascii="仿宋" w:hAnsi="仿宋" w:eastAsia="仿宋"/>
          <w:b w:val="0"/>
          <w:bCs/>
          <w:color w:val="000000"/>
          <w:sz w:val="32"/>
          <w:szCs w:val="32"/>
        </w:rPr>
      </w:pPr>
      <w:r>
        <w:rPr>
          <w:rFonts w:hint="eastAsia" w:ascii="仿宋" w:hAnsi="仿宋" w:eastAsia="仿宋"/>
          <w:b/>
          <w:bCs/>
          <w:color w:val="000000" w:themeColor="text1"/>
          <w:sz w:val="32"/>
          <w:szCs w:val="32"/>
        </w:rPr>
        <w:t xml:space="preserve">  城乡社区环境卫生</w:t>
      </w:r>
      <w:r>
        <w:rPr>
          <w:rStyle w:val="14"/>
          <w:rFonts w:hint="eastAsia" w:ascii="仿宋" w:hAnsi="仿宋" w:eastAsia="仿宋"/>
          <w:bCs/>
          <w:color w:val="000000"/>
          <w:sz w:val="32"/>
          <w:szCs w:val="32"/>
        </w:rPr>
        <w:t>（类）212（款）05（项）01</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支出决算为6.89万元，完成预算100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hint="eastAsia" w:ascii="仿宋" w:hAnsi="仿宋" w:eastAsia="仿宋"/>
          <w:b/>
          <w:bCs/>
          <w:color w:val="000000" w:themeColor="text1"/>
          <w:sz w:val="32"/>
          <w:szCs w:val="32"/>
        </w:rPr>
      </w:pPr>
      <w:r>
        <w:rPr>
          <w:rStyle w:val="14"/>
          <w:rFonts w:hint="eastAsia" w:ascii="仿宋" w:hAnsi="仿宋" w:eastAsia="仿宋"/>
          <w:bCs/>
          <w:color w:val="000000"/>
          <w:sz w:val="32"/>
          <w:szCs w:val="32"/>
        </w:rPr>
        <w:t>5</w:t>
      </w:r>
      <w:r>
        <w:rPr>
          <w:rStyle w:val="14"/>
          <w:rFonts w:ascii="仿宋" w:hAnsi="仿宋" w:eastAsia="仿宋"/>
          <w:bCs/>
          <w:color w:val="000000"/>
          <w:sz w:val="32"/>
          <w:szCs w:val="32"/>
        </w:rPr>
        <w:t>.</w:t>
      </w:r>
      <w:r>
        <w:rPr>
          <w:rFonts w:hint="eastAsia" w:ascii="仿宋" w:hAnsi="仿宋" w:eastAsia="仿宋"/>
          <w:b/>
          <w:bCs/>
          <w:color w:val="000000" w:themeColor="text1"/>
          <w:sz w:val="32"/>
          <w:szCs w:val="32"/>
        </w:rPr>
        <w:t>城乡社区支出</w:t>
      </w:r>
    </w:p>
    <w:p>
      <w:pPr>
        <w:spacing w:line="600" w:lineRule="exact"/>
        <w:ind w:firstLine="643" w:firstLineChars="200"/>
        <w:rPr>
          <w:rFonts w:ascii="仿宋" w:hAnsi="仿宋" w:eastAsia="仿宋"/>
          <w:bCs/>
          <w:color w:val="000000"/>
          <w:sz w:val="32"/>
          <w:szCs w:val="32"/>
        </w:rPr>
      </w:pPr>
      <w:r>
        <w:rPr>
          <w:rFonts w:hint="eastAsia" w:ascii="仿宋" w:hAnsi="仿宋" w:eastAsia="仿宋"/>
          <w:b/>
          <w:bCs/>
          <w:color w:val="000000" w:themeColor="text1"/>
          <w:sz w:val="32"/>
          <w:szCs w:val="32"/>
        </w:rPr>
        <w:t>行政单位医疗</w:t>
      </w:r>
      <w:r>
        <w:rPr>
          <w:rStyle w:val="14"/>
          <w:rFonts w:hint="eastAsia" w:ascii="仿宋" w:hAnsi="仿宋" w:eastAsia="仿宋"/>
          <w:bCs/>
          <w:color w:val="000000"/>
          <w:sz w:val="32"/>
          <w:szCs w:val="32"/>
        </w:rPr>
        <w:t>（类）210（款）11（项）01</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支出决算为4.34万元，完成预算100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firstLineChars="200"/>
        <w:rPr>
          <w:rFonts w:hint="eastAsia" w:ascii="仿宋" w:hAnsi="仿宋" w:eastAsia="仿宋"/>
          <w:b/>
          <w:color w:val="000000"/>
          <w:sz w:val="32"/>
          <w:szCs w:val="32"/>
        </w:rPr>
      </w:pPr>
      <w:r>
        <w:rPr>
          <w:rFonts w:hint="eastAsia" w:ascii="仿宋" w:hAnsi="仿宋" w:eastAsia="仿宋"/>
          <w:color w:val="000000"/>
          <w:sz w:val="32"/>
          <w:szCs w:val="32"/>
        </w:rPr>
        <w:t>6.</w:t>
      </w:r>
      <w:r>
        <w:rPr>
          <w:rFonts w:hint="eastAsia" w:ascii="仿宋" w:hAnsi="仿宋" w:eastAsia="仿宋"/>
          <w:b/>
          <w:color w:val="000000"/>
          <w:sz w:val="32"/>
          <w:szCs w:val="32"/>
        </w:rPr>
        <w:t>农林水支出</w:t>
      </w:r>
    </w:p>
    <w:p>
      <w:pPr>
        <w:spacing w:line="600" w:lineRule="exact"/>
        <w:ind w:firstLine="640" w:firstLineChars="200"/>
        <w:rPr>
          <w:rStyle w:val="14"/>
          <w:rFonts w:hint="eastAsia" w:ascii="仿宋" w:hAnsi="仿宋" w:eastAsia="仿宋"/>
          <w:b w:val="0"/>
          <w:bCs/>
          <w:color w:val="000000"/>
          <w:sz w:val="32"/>
          <w:szCs w:val="32"/>
        </w:rPr>
      </w:pPr>
      <w:r>
        <w:rPr>
          <w:rFonts w:hint="eastAsia" w:ascii="仿宋" w:hAnsi="仿宋" w:eastAsia="仿宋"/>
          <w:color w:val="000000"/>
          <w:sz w:val="32"/>
          <w:szCs w:val="32"/>
        </w:rPr>
        <w:t>A.</w:t>
      </w:r>
      <w:r>
        <w:rPr>
          <w:rStyle w:val="14"/>
          <w:rFonts w:hint="eastAsia" w:ascii="仿宋" w:hAnsi="仿宋" w:eastAsia="仿宋"/>
          <w:bCs/>
          <w:color w:val="000000"/>
          <w:sz w:val="32"/>
          <w:szCs w:val="32"/>
        </w:rPr>
        <w:t>事业运行（类）213（款）01（项）04:</w:t>
      </w:r>
      <w:r>
        <w:rPr>
          <w:rStyle w:val="14"/>
          <w:rFonts w:hint="eastAsia" w:ascii="仿宋" w:hAnsi="仿宋" w:eastAsia="仿宋"/>
          <w:b w:val="0"/>
          <w:bCs/>
          <w:color w:val="000000"/>
          <w:sz w:val="32"/>
          <w:szCs w:val="32"/>
        </w:rPr>
        <w:t xml:space="preserve"> 支出决算为55.65万元，完成预算100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firstLineChars="200"/>
        <w:rPr>
          <w:rStyle w:val="14"/>
          <w:rFonts w:hint="eastAsia" w:ascii="仿宋" w:hAnsi="仿宋" w:eastAsia="仿宋"/>
          <w:b w:val="0"/>
          <w:bCs/>
          <w:color w:val="000000"/>
          <w:sz w:val="32"/>
          <w:szCs w:val="32"/>
        </w:rPr>
      </w:pPr>
      <w:r>
        <w:rPr>
          <w:rFonts w:hint="eastAsia" w:ascii="仿宋" w:hAnsi="仿宋" w:eastAsia="仿宋"/>
          <w:color w:val="000000"/>
          <w:sz w:val="32"/>
          <w:szCs w:val="32"/>
        </w:rPr>
        <w:t>B.</w:t>
      </w:r>
      <w:r>
        <w:rPr>
          <w:rFonts w:hint="eastAsia"/>
        </w:rPr>
        <w:t xml:space="preserve"> </w:t>
      </w:r>
      <w:r>
        <w:rPr>
          <w:rStyle w:val="14"/>
          <w:rFonts w:hint="eastAsia" w:ascii="仿宋" w:hAnsi="仿宋" w:eastAsia="仿宋"/>
          <w:bCs/>
          <w:color w:val="000000"/>
          <w:sz w:val="32"/>
          <w:szCs w:val="32"/>
        </w:rPr>
        <w:t>农村道路建设（类）213（款）01（项）42:</w:t>
      </w:r>
      <w:r>
        <w:rPr>
          <w:rStyle w:val="14"/>
          <w:rFonts w:hint="eastAsia" w:ascii="仿宋" w:hAnsi="仿宋" w:eastAsia="仿宋"/>
          <w:b w:val="0"/>
          <w:bCs/>
          <w:color w:val="000000"/>
          <w:sz w:val="32"/>
          <w:szCs w:val="32"/>
        </w:rPr>
        <w:t xml:space="preserve"> 支出决算为5.00万元，完成预算100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firstLineChars="200"/>
        <w:rPr>
          <w:rStyle w:val="14"/>
          <w:rFonts w:hint="eastAsia" w:ascii="仿宋" w:hAnsi="仿宋" w:eastAsia="仿宋"/>
          <w:b w:val="0"/>
          <w:bCs/>
          <w:color w:val="000000"/>
          <w:sz w:val="32"/>
          <w:szCs w:val="32"/>
        </w:rPr>
      </w:pPr>
      <w:r>
        <w:rPr>
          <w:rFonts w:hint="eastAsia" w:ascii="仿宋" w:hAnsi="仿宋" w:eastAsia="仿宋"/>
          <w:color w:val="000000"/>
          <w:sz w:val="32"/>
          <w:szCs w:val="32"/>
        </w:rPr>
        <w:t>C.</w:t>
      </w:r>
      <w:r>
        <w:rPr>
          <w:rFonts w:hint="eastAsia"/>
        </w:rPr>
        <w:t xml:space="preserve"> </w:t>
      </w:r>
      <w:r>
        <w:rPr>
          <w:rStyle w:val="14"/>
          <w:rFonts w:hint="eastAsia" w:ascii="仿宋" w:hAnsi="仿宋" w:eastAsia="仿宋"/>
          <w:bCs/>
          <w:color w:val="000000"/>
          <w:sz w:val="32"/>
          <w:szCs w:val="32"/>
        </w:rPr>
        <w:t>其他农业支出（类）213（款）01（项）99:</w:t>
      </w:r>
      <w:r>
        <w:rPr>
          <w:rStyle w:val="14"/>
          <w:rFonts w:hint="eastAsia" w:ascii="仿宋" w:hAnsi="仿宋" w:eastAsia="仿宋"/>
          <w:b w:val="0"/>
          <w:bCs/>
          <w:color w:val="000000"/>
          <w:sz w:val="32"/>
          <w:szCs w:val="32"/>
        </w:rPr>
        <w:t xml:space="preserve"> 支出决算为0.98万元，完成预算100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firstLineChars="200"/>
        <w:rPr>
          <w:rStyle w:val="14"/>
          <w:rFonts w:hint="eastAsia" w:ascii="仿宋" w:hAnsi="仿宋" w:eastAsia="仿宋"/>
          <w:b w:val="0"/>
          <w:bCs/>
          <w:color w:val="000000"/>
          <w:sz w:val="32"/>
          <w:szCs w:val="32"/>
        </w:rPr>
      </w:pPr>
      <w:r>
        <w:rPr>
          <w:rFonts w:hint="eastAsia" w:ascii="仿宋" w:hAnsi="仿宋" w:eastAsia="仿宋"/>
          <w:color w:val="000000"/>
          <w:sz w:val="32"/>
          <w:szCs w:val="32"/>
        </w:rPr>
        <w:t>D.</w:t>
      </w:r>
      <w:r>
        <w:rPr>
          <w:rFonts w:hint="eastAsia"/>
        </w:rPr>
        <w:t xml:space="preserve"> </w:t>
      </w:r>
      <w:r>
        <w:rPr>
          <w:rStyle w:val="14"/>
          <w:rFonts w:hint="eastAsia" w:ascii="仿宋" w:hAnsi="仿宋" w:eastAsia="仿宋"/>
          <w:bCs/>
          <w:color w:val="000000"/>
          <w:sz w:val="32"/>
          <w:szCs w:val="32"/>
        </w:rPr>
        <w:t>其他扶贫支出（类）213（款）05（项）99:</w:t>
      </w:r>
      <w:r>
        <w:rPr>
          <w:rStyle w:val="14"/>
          <w:rFonts w:hint="eastAsia" w:ascii="仿宋" w:hAnsi="仿宋" w:eastAsia="仿宋"/>
          <w:b w:val="0"/>
          <w:bCs/>
          <w:color w:val="000000"/>
          <w:sz w:val="32"/>
          <w:szCs w:val="32"/>
        </w:rPr>
        <w:t xml:space="preserve"> 支出决算为47.65万元，完成预算100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firstLineChars="200"/>
        <w:rPr>
          <w:rStyle w:val="14"/>
          <w:rFonts w:hint="eastAsia" w:ascii="仿宋" w:hAnsi="仿宋" w:eastAsia="仿宋"/>
          <w:b w:val="0"/>
          <w:bCs/>
          <w:color w:val="000000"/>
          <w:sz w:val="32"/>
          <w:szCs w:val="32"/>
        </w:rPr>
      </w:pPr>
      <w:r>
        <w:rPr>
          <w:rFonts w:hint="eastAsia" w:ascii="仿宋" w:hAnsi="仿宋" w:eastAsia="仿宋"/>
          <w:color w:val="000000"/>
          <w:sz w:val="32"/>
          <w:szCs w:val="32"/>
        </w:rPr>
        <w:t>E.</w:t>
      </w:r>
      <w:r>
        <w:rPr>
          <w:rFonts w:hint="eastAsia"/>
        </w:rPr>
        <w:t xml:space="preserve"> </w:t>
      </w:r>
      <w:r>
        <w:rPr>
          <w:rStyle w:val="14"/>
          <w:rFonts w:hint="eastAsia" w:ascii="仿宋" w:hAnsi="仿宋" w:eastAsia="仿宋"/>
          <w:bCs/>
          <w:color w:val="000000"/>
          <w:sz w:val="32"/>
          <w:szCs w:val="32"/>
        </w:rPr>
        <w:t>对村级一事一议的补助（类）213（款）07（项）01:</w:t>
      </w:r>
      <w:r>
        <w:rPr>
          <w:rStyle w:val="14"/>
          <w:rFonts w:hint="eastAsia" w:ascii="仿宋" w:hAnsi="仿宋" w:eastAsia="仿宋"/>
          <w:b w:val="0"/>
          <w:bCs/>
          <w:color w:val="000000"/>
          <w:sz w:val="32"/>
          <w:szCs w:val="32"/>
        </w:rPr>
        <w:t xml:space="preserve"> 支出决算为54.00万元，完成预算100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firstLineChars="200"/>
        <w:rPr>
          <w:rStyle w:val="14"/>
          <w:rFonts w:hint="eastAsia" w:ascii="仿宋" w:hAnsi="仿宋" w:eastAsia="仿宋"/>
          <w:b w:val="0"/>
          <w:bCs/>
          <w:color w:val="000000"/>
          <w:sz w:val="32"/>
          <w:szCs w:val="32"/>
        </w:rPr>
      </w:pPr>
      <w:r>
        <w:rPr>
          <w:rFonts w:hint="eastAsia" w:ascii="仿宋" w:hAnsi="仿宋" w:eastAsia="仿宋"/>
          <w:color w:val="000000"/>
          <w:sz w:val="32"/>
          <w:szCs w:val="32"/>
        </w:rPr>
        <w:t>F.</w:t>
      </w:r>
      <w:r>
        <w:rPr>
          <w:rStyle w:val="14"/>
          <w:rFonts w:hint="eastAsia" w:ascii="仿宋" w:hAnsi="仿宋" w:eastAsia="仿宋"/>
          <w:bCs/>
          <w:color w:val="000000"/>
          <w:sz w:val="32"/>
          <w:szCs w:val="32"/>
        </w:rPr>
        <w:t xml:space="preserve">  对村民委员会和村党支部的补助（类）213（款）07（项）05:</w:t>
      </w:r>
      <w:r>
        <w:rPr>
          <w:rStyle w:val="14"/>
          <w:rFonts w:hint="eastAsia" w:ascii="仿宋" w:hAnsi="仿宋" w:eastAsia="仿宋"/>
          <w:b w:val="0"/>
          <w:bCs/>
          <w:color w:val="000000"/>
          <w:sz w:val="32"/>
          <w:szCs w:val="32"/>
        </w:rPr>
        <w:t xml:space="preserve"> 支出决算为490.50万元，完成预算91.08</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firstLineChars="200"/>
        <w:rPr>
          <w:rStyle w:val="14"/>
          <w:rFonts w:hint="eastAsia" w:ascii="仿宋" w:hAnsi="仿宋" w:eastAsia="仿宋"/>
          <w:b w:val="0"/>
          <w:bCs/>
          <w:color w:val="000000"/>
          <w:sz w:val="32"/>
          <w:szCs w:val="32"/>
        </w:rPr>
      </w:pPr>
      <w:r>
        <w:rPr>
          <w:rFonts w:hint="eastAsia" w:ascii="仿宋" w:hAnsi="仿宋" w:eastAsia="仿宋"/>
          <w:color w:val="000000"/>
          <w:sz w:val="32"/>
          <w:szCs w:val="32"/>
        </w:rPr>
        <w:t>G.</w:t>
      </w:r>
      <w:r>
        <w:rPr>
          <w:rStyle w:val="14"/>
          <w:rFonts w:hint="eastAsia" w:ascii="仿宋" w:hAnsi="仿宋" w:eastAsia="仿宋"/>
          <w:bCs/>
          <w:color w:val="000000"/>
          <w:sz w:val="32"/>
          <w:szCs w:val="32"/>
        </w:rPr>
        <w:t xml:space="preserve">  农村综合改革示范试点补助（类）213（款）07（项）07:</w:t>
      </w:r>
      <w:r>
        <w:rPr>
          <w:rStyle w:val="14"/>
          <w:rFonts w:hint="eastAsia" w:ascii="仿宋" w:hAnsi="仿宋" w:eastAsia="仿宋"/>
          <w:b w:val="0"/>
          <w:bCs/>
          <w:color w:val="000000"/>
          <w:sz w:val="32"/>
          <w:szCs w:val="32"/>
        </w:rPr>
        <w:t xml:space="preserve"> 支出决算为42.40万元，完成预算100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firstLineChars="200"/>
        <w:rPr>
          <w:rFonts w:ascii="仿宋" w:hAnsi="仿宋" w:eastAsia="仿宋"/>
          <w:bCs/>
          <w:color w:val="000000"/>
          <w:sz w:val="32"/>
          <w:szCs w:val="32"/>
        </w:rPr>
      </w:pPr>
    </w:p>
    <w:p>
      <w:pPr>
        <w:spacing w:line="600" w:lineRule="exact"/>
        <w:ind w:firstLine="640" w:firstLineChars="200"/>
        <w:rPr>
          <w:rFonts w:hint="eastAsia" w:ascii="仿宋" w:hAnsi="仿宋" w:eastAsia="仿宋"/>
          <w:b/>
          <w:color w:val="000000"/>
          <w:sz w:val="32"/>
          <w:szCs w:val="32"/>
        </w:rPr>
      </w:pPr>
      <w:r>
        <w:rPr>
          <w:rFonts w:hint="eastAsia" w:ascii="仿宋" w:hAnsi="仿宋" w:eastAsia="仿宋"/>
          <w:color w:val="000000"/>
          <w:sz w:val="32"/>
          <w:szCs w:val="32"/>
        </w:rPr>
        <w:t>7.</w:t>
      </w:r>
      <w:r>
        <w:rPr>
          <w:rFonts w:hint="eastAsia" w:ascii="仿宋" w:hAnsi="仿宋" w:eastAsia="仿宋"/>
          <w:b/>
          <w:color w:val="000000"/>
          <w:sz w:val="32"/>
          <w:szCs w:val="32"/>
        </w:rPr>
        <w:t>住房保障</w:t>
      </w:r>
    </w:p>
    <w:p>
      <w:pPr>
        <w:spacing w:line="600" w:lineRule="exact"/>
        <w:ind w:firstLine="640" w:firstLineChars="200"/>
        <w:rPr>
          <w:rFonts w:ascii="仿宋" w:hAnsi="仿宋" w:eastAsia="仿宋"/>
          <w:b/>
          <w:color w:val="000000"/>
          <w:sz w:val="32"/>
          <w:szCs w:val="32"/>
        </w:rPr>
      </w:pPr>
      <w:r>
        <w:rPr>
          <w:rFonts w:hint="eastAsia" w:ascii="仿宋" w:hAnsi="仿宋" w:eastAsia="仿宋"/>
          <w:color w:val="000000"/>
          <w:sz w:val="32"/>
          <w:szCs w:val="32"/>
        </w:rPr>
        <w:t>A.</w:t>
      </w:r>
      <w:r>
        <w:rPr>
          <w:rStyle w:val="14"/>
          <w:rFonts w:hint="eastAsia" w:ascii="仿宋" w:hAnsi="仿宋" w:eastAsia="仿宋"/>
          <w:bCs/>
          <w:color w:val="000000"/>
          <w:sz w:val="32"/>
          <w:szCs w:val="32"/>
        </w:rPr>
        <w:t>其他保障性安居工程支出（类）221（款）01(项）99:</w:t>
      </w:r>
      <w:r>
        <w:rPr>
          <w:rStyle w:val="14"/>
          <w:rFonts w:hint="eastAsia" w:ascii="仿宋" w:hAnsi="仿宋" w:eastAsia="仿宋"/>
          <w:b w:val="0"/>
          <w:bCs/>
          <w:color w:val="000000"/>
          <w:sz w:val="32"/>
          <w:szCs w:val="32"/>
        </w:rPr>
        <w:t xml:space="preserve"> 支出决算为53.55万元，完成预算100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firstLineChars="200"/>
        <w:rPr>
          <w:rFonts w:ascii="仿宋" w:hAnsi="仿宋" w:eastAsia="仿宋"/>
          <w:b/>
          <w:color w:val="000000"/>
          <w:sz w:val="32"/>
          <w:szCs w:val="32"/>
        </w:rPr>
      </w:pPr>
      <w:r>
        <w:rPr>
          <w:rFonts w:hint="eastAsia" w:ascii="仿宋" w:hAnsi="仿宋" w:eastAsia="仿宋"/>
          <w:color w:val="000000"/>
          <w:sz w:val="32"/>
          <w:szCs w:val="32"/>
        </w:rPr>
        <w:t>B.</w:t>
      </w:r>
      <w:r>
        <w:rPr>
          <w:rStyle w:val="14"/>
          <w:rFonts w:hint="eastAsia" w:ascii="仿宋" w:hAnsi="仿宋" w:eastAsia="仿宋"/>
          <w:bCs/>
          <w:color w:val="000000"/>
          <w:sz w:val="32"/>
          <w:szCs w:val="32"/>
        </w:rPr>
        <w:t xml:space="preserve"> 住房公积金（类）221（款）02(项）01:</w:t>
      </w:r>
      <w:r>
        <w:rPr>
          <w:rStyle w:val="14"/>
          <w:rFonts w:hint="eastAsia" w:ascii="仿宋" w:hAnsi="仿宋" w:eastAsia="仿宋"/>
          <w:b w:val="0"/>
          <w:bCs/>
          <w:color w:val="000000"/>
          <w:sz w:val="32"/>
          <w:szCs w:val="32"/>
        </w:rPr>
        <w:t xml:space="preserve"> 支出决算为47.61万元，完成预算100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firstLineChars="200"/>
        <w:rPr>
          <w:rFonts w:hint="eastAsia" w:ascii="仿宋" w:hAnsi="仿宋" w:eastAsia="仿宋"/>
          <w:b/>
          <w:color w:val="000000"/>
          <w:sz w:val="32"/>
          <w:szCs w:val="32"/>
        </w:rPr>
      </w:pPr>
      <w:r>
        <w:rPr>
          <w:rFonts w:hint="eastAsia" w:ascii="仿宋" w:hAnsi="仿宋" w:eastAsia="仿宋"/>
          <w:color w:val="000000"/>
          <w:sz w:val="32"/>
          <w:szCs w:val="32"/>
        </w:rPr>
        <w:t>8.</w:t>
      </w:r>
      <w:r>
        <w:rPr>
          <w:rFonts w:hint="eastAsia" w:ascii="仿宋" w:hAnsi="仿宋" w:eastAsia="仿宋"/>
          <w:b/>
          <w:color w:val="000000"/>
          <w:sz w:val="32"/>
          <w:szCs w:val="32"/>
        </w:rPr>
        <w:t>灾害防治及应急管理支出</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rPr>
        <w:t xml:space="preserve">  中央自然灾害生活补助（类）224（款）07(项）01:</w:t>
      </w:r>
      <w:r>
        <w:rPr>
          <w:rStyle w:val="14"/>
          <w:rFonts w:hint="eastAsia" w:ascii="仿宋" w:hAnsi="仿宋" w:eastAsia="仿宋"/>
          <w:b w:val="0"/>
          <w:bCs/>
          <w:color w:val="000000"/>
          <w:sz w:val="32"/>
          <w:szCs w:val="32"/>
        </w:rPr>
        <w:t xml:space="preserve"> 支出决算为14.50万元，完成预算100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rPr>
          <w:rFonts w:ascii="仿宋" w:hAnsi="仿宋" w:eastAsia="仿宋"/>
          <w:b/>
          <w:color w:val="000000"/>
          <w:sz w:val="32"/>
          <w:szCs w:val="32"/>
        </w:rPr>
      </w:pPr>
    </w:p>
    <w:p>
      <w:pPr>
        <w:tabs>
          <w:tab w:val="right" w:pos="8306"/>
        </w:tabs>
        <w:spacing w:line="600" w:lineRule="exact"/>
        <w:ind w:firstLine="640"/>
        <w:outlineLvl w:val="1"/>
        <w:rPr>
          <w:rStyle w:val="25"/>
        </w:rPr>
      </w:pPr>
      <w:bookmarkStart w:id="38" w:name="_Toc15396608"/>
      <w:bookmarkStart w:id="39"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38"/>
      <w:bookmarkEnd w:id="39"/>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9年一般公共预算财政拨款基本支出582.55万元，其中：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496.28万元，主要包括：基本工资114.91万元、津贴补贴238.80万元、奖金5.83万元、伙食补助费7.55万元、绩效工资33.79万元、机关事业单位基本养老保险缴费7.39万元、职业年金缴费15.86万元、其他社会保障缴费3.28万元、奖励金0.14万元、生活补助16.62万元、医疗保险缴费4.34万元、住房公积金47.61万元、其他个人和家庭的补助支出0.16万元。</w:t>
      </w:r>
      <w:r>
        <w:rPr>
          <w:rFonts w:ascii="仿宋" w:hAnsi="仿宋" w:eastAsia="仿宋"/>
          <w:color w:val="000000"/>
          <w:sz w:val="32"/>
          <w:szCs w:val="32"/>
        </w:rPr>
        <w:br w:type="textWrapping"/>
      </w:r>
      <w:r>
        <w:rPr>
          <w:rFonts w:hint="eastAsia" w:ascii="仿宋" w:hAnsi="仿宋" w:eastAsia="仿宋"/>
          <w:color w:val="000000"/>
          <w:sz w:val="32"/>
          <w:szCs w:val="32"/>
        </w:rPr>
        <w:t>　　日常公用经费116.59万元，主要包括：办公费4.06万元、水费0.31万元、电费2.56万元、邮电费6.50万元、差旅费24.37万元、维修（护）费2.00万元、会议费1.71万元、培训费0.29万元、专用材料费1.44万元、劳务费32.73万元、工会经费5.70万元、福利费0.80万元、公务用车运行维护费15.34万元、其他交通费13.40万元、其他商品和服务支出2.99万元、办公设备购置费2.39万元。</w:t>
      </w:r>
    </w:p>
    <w:p>
      <w:pPr>
        <w:spacing w:line="600" w:lineRule="exact"/>
        <w:ind w:firstLine="640"/>
        <w:outlineLvl w:val="1"/>
        <w:rPr>
          <w:rStyle w:val="25"/>
          <w:rFonts w:ascii="黑体" w:hAnsi="黑体" w:eastAsia="黑体"/>
          <w:b w:val="0"/>
        </w:rPr>
      </w:pPr>
      <w:bookmarkStart w:id="40" w:name="_Toc15377215"/>
      <w:bookmarkStart w:id="41" w:name="_Toc15396609"/>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0"/>
      <w:bookmarkEnd w:id="41"/>
    </w:p>
    <w:p>
      <w:pPr>
        <w:spacing w:line="600" w:lineRule="exact"/>
        <w:ind w:firstLine="640"/>
        <w:outlineLvl w:val="2"/>
        <w:rPr>
          <w:rFonts w:ascii="仿宋" w:hAnsi="仿宋" w:eastAsia="仿宋"/>
          <w:b/>
          <w:color w:val="000000"/>
          <w:sz w:val="32"/>
          <w:szCs w:val="32"/>
        </w:rPr>
      </w:pPr>
      <w:bookmarkStart w:id="42" w:name="_Toc15377216"/>
      <w:r>
        <w:rPr>
          <w:rFonts w:hint="eastAsia" w:ascii="仿宋" w:hAnsi="仿宋" w:eastAsia="仿宋"/>
          <w:b/>
          <w:color w:val="000000"/>
          <w:sz w:val="32"/>
          <w:szCs w:val="32"/>
        </w:rPr>
        <w:t>（一）“三公”经费财政拨款支出决算总体情况说明</w:t>
      </w:r>
      <w:bookmarkEnd w:id="42"/>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9年“三公”经费财政拨款支出决算为34.15万元，完成预算100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bookmarkStart w:id="43" w:name="_Toc15377217"/>
      <w:r>
        <w:rPr>
          <w:rFonts w:hint="eastAsia" w:ascii="仿宋" w:hAnsi="仿宋" w:eastAsia="仿宋"/>
          <w:b/>
          <w:color w:val="000000"/>
          <w:sz w:val="32"/>
          <w:szCs w:val="32"/>
        </w:rPr>
        <w:t>（二）“三公”经费财政拨款支出决算具体情况说明</w:t>
      </w:r>
      <w:bookmarkEnd w:id="43"/>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9年“三公”经费财政拨款支出决算中，公务用车购置及运行维护费支出决算34.15万元，占预算数100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万元，占预算数</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rPr>
        <w:t>（图7：“三公”经费财政拨款支出结构）（饼状图）</w:t>
      </w: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r>
        <w:drawing>
          <wp:anchor distT="0" distB="0" distL="114300" distR="114300" simplePos="0" relativeHeight="251666432" behindDoc="0" locked="0" layoutInCell="1" allowOverlap="1">
            <wp:simplePos x="0" y="0"/>
            <wp:positionH relativeFrom="column">
              <wp:posOffset>410845</wp:posOffset>
            </wp:positionH>
            <wp:positionV relativeFrom="paragraph">
              <wp:posOffset>-2453005</wp:posOffset>
            </wp:positionV>
            <wp:extent cx="4570730" cy="2743200"/>
            <wp:effectExtent l="4445" t="4445" r="15875" b="14605"/>
            <wp:wrapNone/>
            <wp:docPr id="1659"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ascii="仿宋_GB2312" w:eastAsia="仿宋_GB2312"/>
          <w:b/>
          <w:color w:val="000000"/>
          <w:sz w:val="32"/>
          <w:szCs w:val="32"/>
        </w:rPr>
      </w:pPr>
      <w:r>
        <w:rPr>
          <w:rFonts w:hint="eastAsia" w:ascii="仿宋_GB2312" w:eastAsia="仿宋_GB2312"/>
          <w:b/>
          <w:color w:val="000000"/>
          <w:sz w:val="32"/>
          <w:szCs w:val="32"/>
        </w:rPr>
        <w:t>1</w:t>
      </w:r>
      <w:r>
        <w:rPr>
          <w:rFonts w:ascii="仿宋_GB2312" w:eastAsia="仿宋_GB2312"/>
          <w:b/>
          <w:color w:val="000000"/>
          <w:sz w:val="32"/>
          <w:szCs w:val="32"/>
        </w:rPr>
        <w:t>.</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34.15万元,</w:t>
      </w:r>
      <w:r>
        <w:rPr>
          <w:rStyle w:val="14"/>
          <w:rFonts w:hint="eastAsia" w:ascii="仿宋" w:hAnsi="仿宋" w:eastAsia="仿宋"/>
          <w:b w:val="0"/>
          <w:bCs/>
          <w:color w:val="000000"/>
          <w:sz w:val="32"/>
          <w:szCs w:val="32"/>
        </w:rPr>
        <w:t>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8年增加14.35万元，增加了72.47</w:t>
      </w:r>
      <w:r>
        <w:rPr>
          <w:rFonts w:ascii="仿宋_GB2312" w:eastAsia="仿宋_GB2312"/>
          <w:color w:val="000000"/>
          <w:sz w:val="32"/>
          <w:szCs w:val="32"/>
        </w:rPr>
        <w:t>%</w:t>
      </w:r>
      <w:r>
        <w:rPr>
          <w:rFonts w:hint="eastAsia" w:ascii="仿宋_GB2312" w:eastAsia="仿宋_GB2312"/>
          <w:color w:val="000000"/>
          <w:sz w:val="32"/>
          <w:szCs w:val="32"/>
        </w:rPr>
        <w:t>。主要原因是征地拆迁项目增加。</w:t>
      </w:r>
    </w:p>
    <w:p>
      <w:pPr>
        <w:spacing w:line="60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 执法执勤用车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，一般公务用车</w:t>
      </w:r>
      <w:r>
        <w:rPr>
          <w:rFonts w:hint="eastAsia" w:ascii="仿宋_GB2312" w:eastAsia="仿宋_GB2312"/>
          <w:color w:val="000000"/>
          <w:sz w:val="32"/>
          <w:szCs w:val="32"/>
          <w:lang w:val="en-US" w:eastAsia="zh-CN"/>
        </w:rPr>
        <w:t>3辆。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34.15万元。主要用于</w:t>
      </w:r>
      <w:r>
        <w:rPr>
          <w:rFonts w:hint="eastAsia" w:ascii="仿宋_GB2312" w:eastAsia="仿宋_GB2312"/>
          <w:color w:val="000000"/>
          <w:sz w:val="32"/>
          <w:szCs w:val="32"/>
          <w:lang w:eastAsia="zh-CN"/>
        </w:rPr>
        <w:t>峨胜项目泉水二组整体搬迁、租地、峨汉高速房屋搬迁和征地</w:t>
      </w:r>
      <w:r>
        <w:rPr>
          <w:rFonts w:hint="eastAsia" w:ascii="仿宋_GB2312" w:eastAsia="仿宋_GB2312"/>
          <w:color w:val="000000"/>
          <w:sz w:val="32"/>
          <w:szCs w:val="32"/>
        </w:rPr>
        <w:t>等所需的公务用车燃料费、维修费、过路过桥费、保险费等支出。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万元，主要用于……(执行公务、开展业务活动开支的交通费、住宿费、用餐费等)。国内公务接待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outlineLvl w:val="1"/>
        <w:rPr>
          <w:rFonts w:ascii="黑体" w:eastAsia="黑体"/>
          <w:color w:val="000000"/>
          <w:sz w:val="32"/>
          <w:szCs w:val="32"/>
        </w:rPr>
      </w:pPr>
      <w:bookmarkStart w:id="44" w:name="_Toc15396610"/>
      <w:bookmarkStart w:id="45" w:name="_Toc15377218"/>
    </w:p>
    <w:p>
      <w:pPr>
        <w:spacing w:line="600" w:lineRule="exact"/>
        <w:ind w:firstLine="640"/>
        <w:outlineLvl w:val="1"/>
        <w:rPr>
          <w:rStyle w:val="25"/>
          <w:rFonts w:ascii="黑体" w:hAnsi="黑体" w:eastAsia="黑体"/>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4"/>
      <w:bookmarkEnd w:id="45"/>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9年政府性基金预算拨款支出577.57万元。</w:t>
      </w:r>
    </w:p>
    <w:p>
      <w:pPr>
        <w:spacing w:line="600" w:lineRule="exact"/>
        <w:ind w:firstLine="640"/>
        <w:rPr>
          <w:rFonts w:ascii="仿宋_GB2312" w:eastAsia="仿宋_GB2312"/>
          <w:color w:val="000000"/>
          <w:sz w:val="32"/>
          <w:szCs w:val="32"/>
        </w:rPr>
      </w:pPr>
    </w:p>
    <w:p>
      <w:pPr>
        <w:numPr>
          <w:ilvl w:val="0"/>
          <w:numId w:val="3"/>
        </w:numPr>
        <w:spacing w:line="600" w:lineRule="exact"/>
        <w:ind w:firstLine="640"/>
        <w:outlineLvl w:val="1"/>
        <w:rPr>
          <w:rStyle w:val="25"/>
          <w:rFonts w:ascii="黑体" w:hAnsi="黑体" w:eastAsia="黑体"/>
          <w:b w:val="0"/>
        </w:rPr>
      </w:pPr>
      <w:bookmarkStart w:id="46" w:name="_Toc15377219"/>
      <w:bookmarkStart w:id="47" w:name="_Toc15396611"/>
      <w:r>
        <w:rPr>
          <w:rStyle w:val="25"/>
          <w:rFonts w:hint="eastAsia" w:ascii="黑体" w:hAnsi="黑体" w:eastAsia="黑体"/>
          <w:b w:val="0"/>
        </w:rPr>
        <w:t>国有资本经营预算支出决算情况说明</w:t>
      </w:r>
      <w:bookmarkEnd w:id="46"/>
      <w:bookmarkEnd w:id="47"/>
      <w:r>
        <w:rPr>
          <w:rStyle w:val="25"/>
          <w:rFonts w:hint="eastAsia" w:ascii="黑体" w:hAnsi="黑体" w:eastAsia="黑体"/>
          <w:b w:val="0"/>
        </w:rPr>
        <w:t>(无）</w:t>
      </w:r>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25"/>
          <w:rFonts w:ascii="黑体" w:hAnsi="黑体" w:eastAsia="黑体"/>
        </w:rPr>
      </w:pPr>
      <w:bookmarkStart w:id="48" w:name="_Toc15396612"/>
      <w:bookmarkStart w:id="49" w:name="_Toc15377221"/>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48"/>
      <w:bookmarkEnd w:id="49"/>
    </w:p>
    <w:p>
      <w:pPr>
        <w:spacing w:line="600" w:lineRule="exact"/>
        <w:ind w:firstLine="643" w:firstLineChars="200"/>
        <w:outlineLvl w:val="2"/>
        <w:rPr>
          <w:rFonts w:ascii="仿宋" w:hAnsi="仿宋" w:eastAsia="仿宋"/>
          <w:color w:val="000000"/>
          <w:sz w:val="32"/>
          <w:szCs w:val="32"/>
        </w:rPr>
      </w:pPr>
      <w:bookmarkStart w:id="50" w:name="_Toc15377222"/>
      <w:r>
        <w:rPr>
          <w:rFonts w:hint="eastAsia" w:ascii="仿宋" w:hAnsi="仿宋" w:eastAsia="仿宋"/>
          <w:b/>
          <w:color w:val="000000"/>
          <w:sz w:val="32"/>
          <w:szCs w:val="32"/>
        </w:rPr>
        <w:t>（一）机关运行经费支出情况</w:t>
      </w:r>
      <w:bookmarkEnd w:id="50"/>
    </w:p>
    <w:p>
      <w:pPr>
        <w:spacing w:line="600" w:lineRule="exact"/>
        <w:ind w:firstLine="640" w:firstLineChars="200"/>
        <w:rPr>
          <w:rFonts w:ascii="仿宋_GB2312" w:eastAsia="仿宋_GB2312"/>
          <w:color w:val="000000" w:themeColor="text1"/>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大为镇</w:t>
      </w:r>
      <w:r>
        <w:rPr>
          <w:rFonts w:hint="eastAsia" w:ascii="仿宋_GB2312" w:eastAsia="仿宋_GB2312"/>
          <w:color w:val="000000"/>
          <w:sz w:val="32"/>
          <w:szCs w:val="32"/>
        </w:rPr>
        <w:t>机关运行经费支出116.59万元，比</w:t>
      </w:r>
      <w:r>
        <w:rPr>
          <w:rFonts w:ascii="仿宋_GB2312" w:eastAsia="仿宋_GB2312"/>
          <w:color w:val="000000"/>
          <w:sz w:val="32"/>
          <w:szCs w:val="32"/>
        </w:rPr>
        <w:t>201</w:t>
      </w:r>
      <w:r>
        <w:rPr>
          <w:rFonts w:hint="eastAsia" w:ascii="仿宋_GB2312" w:eastAsia="仿宋_GB2312"/>
          <w:color w:val="000000"/>
          <w:sz w:val="32"/>
          <w:szCs w:val="32"/>
        </w:rPr>
        <w:t>8年增加70.07万元，增长150.62</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rPr>
        <w:t>主要原因是</w:t>
      </w:r>
      <w:r>
        <w:rPr>
          <w:rFonts w:hint="eastAsia" w:ascii="仿宋_GB2312" w:eastAsia="仿宋_GB2312"/>
          <w:color w:val="000000" w:themeColor="text1"/>
          <w:sz w:val="32"/>
          <w:szCs w:val="32"/>
          <w:lang w:eastAsia="zh-CN"/>
        </w:rPr>
        <w:t>聘用人员调入和环卫工人人员的调入增加等</w:t>
      </w:r>
      <w:r>
        <w:rPr>
          <w:rFonts w:hint="eastAsia" w:ascii="仿宋_GB2312" w:eastAsia="仿宋_GB2312"/>
          <w:color w:val="000000" w:themeColor="text1"/>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1" w:name="_Toc15377223"/>
      <w:r>
        <w:rPr>
          <w:rFonts w:hint="eastAsia" w:ascii="仿宋" w:hAnsi="仿宋" w:eastAsia="仿宋"/>
          <w:b/>
          <w:color w:val="000000"/>
          <w:sz w:val="32"/>
          <w:szCs w:val="32"/>
        </w:rPr>
        <w:t>（二）政府采购支出情况</w:t>
      </w:r>
      <w:bookmarkEnd w:id="51"/>
      <w:r>
        <w:rPr>
          <w:rFonts w:hint="eastAsia" w:ascii="仿宋" w:hAnsi="仿宋" w:eastAsia="仿宋"/>
          <w:b/>
          <w:color w:val="000000"/>
          <w:sz w:val="32"/>
          <w:szCs w:val="32"/>
        </w:rPr>
        <w:t>（无）</w:t>
      </w:r>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w:t>
      </w:r>
      <w:r>
        <w:rPr>
          <w:rFonts w:hint="eastAsia" w:ascii="仿宋_GB2312" w:eastAsia="仿宋_GB2312"/>
          <w:color w:val="000000"/>
          <w:sz w:val="32"/>
          <w:szCs w:val="32"/>
        </w:rPr>
        <w:t>政府采购支出总额</w:t>
      </w:r>
      <w:r>
        <w:rPr>
          <w:rFonts w:ascii="仿宋_GB2312" w:eastAsia="仿宋_GB2312"/>
          <w:color w:val="000000"/>
          <w:sz w:val="32"/>
          <w:szCs w:val="32"/>
        </w:rPr>
        <w:t>**</w:t>
      </w:r>
      <w:r>
        <w:rPr>
          <w:rFonts w:hint="eastAsia" w:ascii="仿宋_GB2312" w:eastAsia="仿宋_GB2312"/>
          <w:color w:val="000000"/>
          <w:sz w:val="32"/>
          <w:szCs w:val="32"/>
        </w:rPr>
        <w:t>万元，其中：政府采购货物支出</w:t>
      </w:r>
      <w:r>
        <w:rPr>
          <w:rFonts w:ascii="仿宋_GB2312" w:eastAsia="仿宋_GB2312"/>
          <w:color w:val="000000"/>
          <w:sz w:val="32"/>
          <w:szCs w:val="32"/>
        </w:rPr>
        <w:t>**</w:t>
      </w:r>
      <w:r>
        <w:rPr>
          <w:rFonts w:hint="eastAsia" w:ascii="仿宋_GB2312" w:eastAsia="仿宋_GB2312"/>
          <w:color w:val="000000"/>
          <w:sz w:val="32"/>
          <w:szCs w:val="32"/>
        </w:rPr>
        <w:t>万元、政府采购工程支出</w:t>
      </w:r>
      <w:r>
        <w:rPr>
          <w:rFonts w:ascii="仿宋_GB2312" w:eastAsia="仿宋_GB2312"/>
          <w:color w:val="000000"/>
          <w:sz w:val="32"/>
          <w:szCs w:val="32"/>
        </w:rPr>
        <w:t>**</w:t>
      </w:r>
      <w:r>
        <w:rPr>
          <w:rFonts w:hint="eastAsia" w:ascii="仿宋_GB2312" w:eastAsia="仿宋_GB2312"/>
          <w:color w:val="000000"/>
          <w:sz w:val="32"/>
          <w:szCs w:val="32"/>
        </w:rPr>
        <w:t>万元、政府采购服务支出</w:t>
      </w:r>
      <w:r>
        <w:rPr>
          <w:rFonts w:ascii="仿宋_GB2312" w:eastAsia="仿宋_GB2312"/>
          <w:color w:val="000000"/>
          <w:sz w:val="32"/>
          <w:szCs w:val="32"/>
        </w:rPr>
        <w:t>**</w:t>
      </w:r>
      <w:r>
        <w:rPr>
          <w:rFonts w:hint="eastAsia" w:ascii="仿宋_GB2312" w:eastAsia="仿宋_GB2312"/>
          <w:color w:val="000000"/>
          <w:sz w:val="32"/>
          <w:szCs w:val="32"/>
        </w:rPr>
        <w:t>万元。主要用于</w:t>
      </w:r>
      <w:r>
        <w:rPr>
          <w:rFonts w:ascii="仿宋_GB2312" w:eastAsia="仿宋_GB2312"/>
          <w:color w:val="000000"/>
          <w:sz w:val="32"/>
          <w:szCs w:val="32"/>
        </w:rPr>
        <w:t>…</w:t>
      </w:r>
      <w:r>
        <w:rPr>
          <w:rFonts w:hint="eastAsia" w:ascii="仿宋_GB2312" w:eastAsia="仿宋_GB2312"/>
          <w:color w:val="000000"/>
          <w:sz w:val="32"/>
          <w:szCs w:val="32"/>
        </w:rPr>
        <w:t>（具体工作）。授予中小企业合同金额</w:t>
      </w:r>
      <w:r>
        <w:rPr>
          <w:rFonts w:ascii="仿宋_GB2312" w:eastAsia="仿宋_GB2312"/>
          <w:color w:val="000000"/>
          <w:sz w:val="32"/>
          <w:szCs w:val="32"/>
        </w:rPr>
        <w:t>**</w:t>
      </w:r>
      <w:r>
        <w:rPr>
          <w:rFonts w:hint="eastAsia" w:ascii="仿宋_GB2312" w:eastAsia="仿宋_GB2312"/>
          <w:color w:val="000000"/>
          <w:sz w:val="32"/>
          <w:szCs w:val="32"/>
        </w:rPr>
        <w:t>万元，占政府采购支出总额的</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ascii="仿宋_GB2312" w:eastAsia="仿宋_GB2312"/>
          <w:color w:val="000000"/>
          <w:sz w:val="32"/>
          <w:szCs w:val="32"/>
        </w:rPr>
        <w:t>**</w:t>
      </w:r>
      <w:r>
        <w:rPr>
          <w:rFonts w:hint="eastAsia" w:ascii="仿宋_GB2312" w:eastAsia="仿宋_GB2312"/>
          <w:color w:val="000000"/>
          <w:sz w:val="32"/>
          <w:szCs w:val="32"/>
        </w:rPr>
        <w:t>万元，占政府采购支出总额的</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2" w:name="_Toc15377224"/>
      <w:r>
        <w:rPr>
          <w:rFonts w:hint="eastAsia" w:ascii="仿宋" w:hAnsi="仿宋" w:eastAsia="仿宋"/>
          <w:b/>
          <w:color w:val="000000"/>
          <w:sz w:val="32"/>
          <w:szCs w:val="32"/>
        </w:rPr>
        <w:t>（三）国有资产占有使用情况</w:t>
      </w:r>
      <w:bookmarkEnd w:id="52"/>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日，共有车辆4辆，其中：均为公务用车。</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pStyle w:val="30"/>
        <w:ind w:firstLine="560" w:firstLineChars="200"/>
        <w:rPr>
          <w:rFonts w:hint="eastAsia" w:ascii="宋体" w:hAnsi="宋体"/>
          <w:szCs w:val="28"/>
        </w:rPr>
      </w:pPr>
      <w:r>
        <w:rPr>
          <w:rFonts w:hint="eastAsia" w:ascii="宋体" w:hAnsi="宋体"/>
          <w:szCs w:val="28"/>
        </w:rPr>
        <w:t>行政机构设置3个综合性办公室：党政综合办公室，职责是负责党务、安全生产、文书档案、人事、机关后勤、社会治安综合治理和对突发事件的预警和管理、加强民事纠纷调解、化解农村社会矛盾等工作。 社会事务办公室，职责是负责教科文卫管理、民政、法律服务、农村劳动力技能培训、转移、就业、计划生育工作。财政所办公室，职责是负责编报乡镇年度财政收支预算、决算并组织预算执行，负责各项强农惠农补贴资金的审核发放和项目建设资金的监督管理。</w:t>
      </w:r>
    </w:p>
    <w:p>
      <w:pPr>
        <w:pStyle w:val="30"/>
        <w:ind w:firstLine="560" w:firstLineChars="200"/>
        <w:rPr>
          <w:rFonts w:hint="eastAsia" w:ascii="宋体" w:hAnsi="宋体"/>
          <w:szCs w:val="28"/>
        </w:rPr>
      </w:pPr>
      <w:r>
        <w:rPr>
          <w:rFonts w:hint="eastAsia" w:ascii="宋体" w:hAnsi="宋体"/>
          <w:szCs w:val="28"/>
        </w:rPr>
        <w:t>镇事业单位机构设置2个：农业技术服务中心，职责：农林牧业生产中关键技术和新品种、新农具的引进、试验、示范；农作物和林木病虫害、及农业灾害的监测、预报防治和处置；乡村机耕道的规划、建设；农村集体资产财务管理等工作。社会事业服务中心， 职责：城镇登记失业人员和农村劳动力转移就业人员的职业培训、劳务输出和就业管理服务；广播电视“村村通”工程的建设、运行、维护和节目的安全播出；开展多种形式的文娱体育活动和宣传教育活动。</w:t>
      </w:r>
    </w:p>
    <w:p>
      <w:pPr>
        <w:pStyle w:val="30"/>
        <w:ind w:firstLine="584" w:firstLineChars="200"/>
        <w:rPr>
          <w:rFonts w:hint="eastAsia" w:ascii="宋体" w:hAnsi="宋体"/>
          <w:szCs w:val="28"/>
        </w:rPr>
      </w:pPr>
      <w:r>
        <w:rPr>
          <w:rFonts w:hint="eastAsia" w:ascii="仿宋_GB2312" w:hAnsi="仿宋_GB2312"/>
          <w:spacing w:val="6"/>
          <w:szCs w:val="32"/>
        </w:rPr>
        <w:t>大为镇行政编制21人（包括2名工勤人员），事业编制13人，共34个编制，</w:t>
      </w:r>
      <w:r>
        <w:rPr>
          <w:rFonts w:hint="eastAsia" w:ascii="宋体" w:hAnsi="宋体"/>
          <w:szCs w:val="28"/>
        </w:rPr>
        <w:t>2019年机关干部在职32人，其中行政在职19人，事业干部13人。本</w:t>
      </w:r>
      <w:r>
        <w:rPr>
          <w:rFonts w:hint="eastAsia" w:ascii="仿宋_GB2312"/>
          <w:szCs w:val="28"/>
        </w:rPr>
        <w:t>年度公务员调出1人</w:t>
      </w:r>
      <w:r>
        <w:rPr>
          <w:rFonts w:hint="eastAsia" w:ascii="宋体" w:hAnsi="宋体"/>
          <w:szCs w:val="28"/>
        </w:rPr>
        <w:t xml:space="preserve"> 。</w:t>
      </w:r>
    </w:p>
    <w:p>
      <w:pPr>
        <w:widowControl/>
        <w:adjustRightInd w:val="0"/>
        <w:snapToGrid w:val="0"/>
        <w:spacing w:line="540" w:lineRule="exact"/>
        <w:ind w:firstLine="720"/>
        <w:jc w:val="left"/>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二、部门收支情况</w:t>
      </w:r>
    </w:p>
    <w:p>
      <w:pPr>
        <w:pStyle w:val="30"/>
        <w:ind w:firstLine="560" w:firstLineChars="200"/>
        <w:rPr>
          <w:rFonts w:hint="eastAsia" w:ascii="宋体" w:hAnsi="宋体"/>
          <w:szCs w:val="28"/>
        </w:rPr>
      </w:pPr>
      <w:r>
        <w:rPr>
          <w:rFonts w:hint="eastAsia" w:ascii="宋体" w:hAnsi="宋体"/>
          <w:szCs w:val="28"/>
        </w:rPr>
        <w:t>（一）政府财政资金收入情况。</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2019年总收入 2493.48 万元，其中：财政拨款收入2186.33元，占总收入的87.68%，（其中基本支出拨款612.87万元，项目支出拨款718.33万元，基金拨款收入855.13万元）。 </w:t>
      </w:r>
      <w:r>
        <w:rPr>
          <w:rFonts w:hint="eastAsia" w:ascii="宋体" w:hAnsi="宋体" w:eastAsia="宋体" w:cs="宋体"/>
          <w:spacing w:val="6"/>
          <w:sz w:val="28"/>
          <w:szCs w:val="28"/>
        </w:rPr>
        <w:t>其他收入307.15万元，占总收入的12.32% 。</w:t>
      </w:r>
    </w:p>
    <w:p>
      <w:pPr>
        <w:pStyle w:val="30"/>
        <w:ind w:firstLine="560" w:firstLineChars="200"/>
        <w:rPr>
          <w:rFonts w:hint="eastAsia" w:ascii="宋体" w:hAnsi="宋体"/>
          <w:szCs w:val="28"/>
        </w:rPr>
      </w:pPr>
      <w:r>
        <w:rPr>
          <w:rFonts w:hint="eastAsia" w:ascii="宋体" w:hAnsi="宋体"/>
          <w:szCs w:val="28"/>
        </w:rPr>
        <w:t>（二）部门财政资金支出情况。</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2019年总支出 2841.15 万元，其中：财政拨款支出2176.73万元，占总支出的76.61%，（其中基本支出612.87万元，项目支出986.29万元，基金支出577.57万元）。其他支出664.42万元，占总支出的23.39%。</w:t>
      </w:r>
    </w:p>
    <w:p>
      <w:pPr>
        <w:widowControl/>
        <w:adjustRightInd w:val="0"/>
        <w:snapToGrid w:val="0"/>
        <w:spacing w:line="540" w:lineRule="exact"/>
        <w:ind w:firstLine="720"/>
        <w:jc w:val="left"/>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t>三、部门财政支出管理情况</w:t>
      </w:r>
    </w:p>
    <w:p>
      <w:pPr>
        <w:widowControl/>
        <w:adjustRightInd w:val="0"/>
        <w:snapToGrid w:val="0"/>
        <w:spacing w:line="540" w:lineRule="exact"/>
        <w:ind w:firstLine="720"/>
        <w:jc w:val="left"/>
        <w:rPr>
          <w:rFonts w:hint="eastAsia" w:ascii="宋体" w:hAnsi="宋体" w:eastAsia="宋体" w:cs="宋体"/>
          <w:color w:val="000000"/>
          <w:kern w:val="0"/>
          <w:sz w:val="28"/>
          <w:szCs w:val="28"/>
          <w:shd w:val="clear" w:color="auto" w:fill="FFFFFF"/>
          <w:lang w:val="zh-CN"/>
        </w:rPr>
      </w:pPr>
      <w:r>
        <w:rPr>
          <w:rFonts w:hint="eastAsia" w:ascii="宋体" w:hAnsi="宋体" w:eastAsia="宋体" w:cs="宋体"/>
          <w:color w:val="000000"/>
          <w:kern w:val="0"/>
          <w:sz w:val="28"/>
          <w:szCs w:val="28"/>
          <w:shd w:val="clear" w:color="auto" w:fill="FFFFFF"/>
          <w:lang w:val="zh-CN"/>
        </w:rPr>
        <w:t>（一）预决算编制情况。</w:t>
      </w:r>
    </w:p>
    <w:p>
      <w:pPr>
        <w:widowControl/>
        <w:adjustRightInd w:val="0"/>
        <w:snapToGrid w:val="0"/>
        <w:spacing w:line="540" w:lineRule="exact"/>
        <w:ind w:firstLine="720"/>
        <w:jc w:val="left"/>
        <w:rPr>
          <w:rFonts w:hint="eastAsia" w:ascii="宋体" w:hAnsi="宋体" w:eastAsia="宋体" w:cs="宋体"/>
          <w:color w:val="000000"/>
          <w:kern w:val="0"/>
          <w:sz w:val="28"/>
          <w:szCs w:val="28"/>
          <w:shd w:val="clear" w:color="auto" w:fill="FFFFFF"/>
          <w:lang w:val="zh-CN"/>
        </w:rPr>
      </w:pPr>
      <w:r>
        <w:rPr>
          <w:rFonts w:hint="eastAsia" w:ascii="宋体" w:hAnsi="宋体" w:eastAsia="宋体" w:cs="宋体"/>
          <w:color w:val="000000"/>
          <w:kern w:val="0"/>
          <w:sz w:val="28"/>
          <w:szCs w:val="28"/>
          <w:shd w:val="clear" w:color="auto" w:fill="FFFFFF"/>
          <w:lang w:val="zh-CN"/>
        </w:rPr>
        <w:t>按照部门预算编制通知以及市财政局要求，按时完成预算基础库、项目库报送工作，无中期评估调整取消资金和预算结余注销资金；因精准扶贫等项目原因导致追加预算远远大于年初预算，预算执行调整较大；在预算审查中对一些依据不全的项目进行去除；对村、社区干部报酬纳入绩效考核，促进村社干部工作的自觉性，积极性；将各项目进行细化，明确，便于支付。对年度预算收到批复后及时公示。</w:t>
      </w:r>
    </w:p>
    <w:p>
      <w:pPr>
        <w:widowControl/>
        <w:adjustRightInd w:val="0"/>
        <w:snapToGrid w:val="0"/>
        <w:spacing w:line="540" w:lineRule="exact"/>
        <w:ind w:firstLine="720"/>
        <w:jc w:val="left"/>
        <w:rPr>
          <w:rFonts w:hint="eastAsia" w:ascii="宋体" w:hAnsi="宋体" w:eastAsia="宋体" w:cs="宋体"/>
          <w:color w:val="000000"/>
          <w:kern w:val="0"/>
          <w:sz w:val="28"/>
          <w:szCs w:val="28"/>
          <w:shd w:val="clear" w:color="auto" w:fill="FFFFFF"/>
          <w:lang w:val="zh-CN"/>
        </w:rPr>
      </w:pPr>
      <w:r>
        <w:rPr>
          <w:rFonts w:hint="eastAsia" w:ascii="宋体" w:hAnsi="宋体" w:eastAsia="宋体" w:cs="宋体"/>
          <w:color w:val="000000"/>
          <w:kern w:val="0"/>
          <w:sz w:val="28"/>
          <w:szCs w:val="28"/>
          <w:shd w:val="clear" w:color="auto" w:fill="FFFFFF"/>
          <w:lang w:val="zh-CN"/>
        </w:rPr>
        <w:t>（二）执行管理情况。</w:t>
      </w:r>
    </w:p>
    <w:p>
      <w:pPr>
        <w:widowControl/>
        <w:adjustRightInd w:val="0"/>
        <w:snapToGrid w:val="0"/>
        <w:spacing w:line="540" w:lineRule="exact"/>
        <w:ind w:firstLine="720"/>
        <w:jc w:val="left"/>
        <w:rPr>
          <w:rFonts w:hint="eastAsia" w:ascii="宋体" w:hAnsi="宋体" w:eastAsia="宋体" w:cs="宋体"/>
          <w:color w:val="000000"/>
          <w:kern w:val="0"/>
          <w:sz w:val="28"/>
          <w:szCs w:val="28"/>
          <w:shd w:val="clear" w:color="auto" w:fill="FFFFFF"/>
          <w:lang w:val="zh-CN"/>
        </w:rPr>
      </w:pPr>
      <w:r>
        <w:rPr>
          <w:rFonts w:hint="eastAsia" w:ascii="宋体" w:hAnsi="宋体" w:eastAsia="宋体" w:cs="宋体"/>
          <w:color w:val="000000"/>
          <w:kern w:val="0"/>
          <w:sz w:val="28"/>
          <w:szCs w:val="28"/>
          <w:shd w:val="clear" w:color="auto" w:fill="FFFFFF"/>
          <w:lang w:val="zh-CN"/>
        </w:rPr>
        <w:t>在预算执行中对均衡计划按时支付，切实保障单位正常运转。项目资金按照管理要求按时支入，不延期支付，不挪用项目资金。严格按照年初预算执行。</w:t>
      </w:r>
    </w:p>
    <w:p>
      <w:pPr>
        <w:widowControl/>
        <w:adjustRightInd w:val="0"/>
        <w:snapToGrid w:val="0"/>
        <w:spacing w:line="540" w:lineRule="exact"/>
        <w:ind w:firstLine="720"/>
        <w:jc w:val="left"/>
        <w:rPr>
          <w:rFonts w:hint="eastAsia" w:ascii="宋体" w:hAnsi="宋体" w:eastAsia="宋体" w:cs="宋体"/>
          <w:color w:val="000000"/>
          <w:kern w:val="0"/>
          <w:sz w:val="28"/>
          <w:szCs w:val="28"/>
          <w:shd w:val="clear" w:color="auto" w:fill="FFFFFF"/>
          <w:lang w:val="zh-CN"/>
        </w:rPr>
      </w:pPr>
      <w:r>
        <w:rPr>
          <w:rFonts w:hint="eastAsia" w:ascii="宋体" w:hAnsi="宋体" w:eastAsia="宋体" w:cs="宋体"/>
          <w:color w:val="000000"/>
          <w:kern w:val="0"/>
          <w:sz w:val="28"/>
          <w:szCs w:val="28"/>
          <w:shd w:val="clear" w:color="auto" w:fill="FFFFFF"/>
          <w:lang w:val="zh-CN"/>
        </w:rPr>
        <w:t>（三）支出绩效情况。</w:t>
      </w:r>
    </w:p>
    <w:p>
      <w:pPr>
        <w:widowControl/>
        <w:adjustRightInd w:val="0"/>
        <w:snapToGrid w:val="0"/>
        <w:spacing w:line="540" w:lineRule="exact"/>
        <w:ind w:firstLine="720"/>
        <w:jc w:val="left"/>
        <w:rPr>
          <w:rFonts w:hint="eastAsia" w:ascii="宋体" w:hAnsi="宋体" w:eastAsia="宋体" w:cs="宋体"/>
          <w:color w:val="000000"/>
          <w:kern w:val="0"/>
          <w:sz w:val="28"/>
          <w:szCs w:val="28"/>
          <w:shd w:val="clear" w:color="auto" w:fill="FFFFFF"/>
          <w:lang w:val="zh-CN"/>
        </w:rPr>
      </w:pPr>
      <w:r>
        <w:rPr>
          <w:rFonts w:hint="eastAsia" w:ascii="宋体" w:hAnsi="宋体" w:eastAsia="宋体" w:cs="宋体"/>
          <w:color w:val="000000"/>
          <w:kern w:val="0"/>
          <w:sz w:val="28"/>
          <w:szCs w:val="28"/>
          <w:shd w:val="clear" w:color="auto" w:fill="FFFFFF"/>
          <w:lang w:val="zh-CN"/>
        </w:rPr>
        <w:t>1、部门支出绩效。</w:t>
      </w:r>
    </w:p>
    <w:p>
      <w:pPr>
        <w:widowControl/>
        <w:adjustRightInd w:val="0"/>
        <w:snapToGrid w:val="0"/>
        <w:spacing w:line="540" w:lineRule="exact"/>
        <w:ind w:firstLine="720"/>
        <w:jc w:val="left"/>
        <w:rPr>
          <w:rFonts w:hint="eastAsia" w:ascii="宋体" w:hAnsi="宋体" w:eastAsia="宋体" w:cs="宋体"/>
          <w:color w:val="000000"/>
          <w:kern w:val="0"/>
          <w:sz w:val="28"/>
          <w:szCs w:val="28"/>
          <w:shd w:val="clear" w:color="auto" w:fill="FFFFFF"/>
          <w:lang w:val="zh-CN"/>
        </w:rPr>
      </w:pPr>
      <w:r>
        <w:rPr>
          <w:rFonts w:hint="eastAsia" w:ascii="宋体" w:hAnsi="宋体" w:eastAsia="宋体" w:cs="宋体"/>
          <w:color w:val="000000"/>
          <w:kern w:val="0"/>
          <w:sz w:val="28"/>
          <w:szCs w:val="28"/>
          <w:shd w:val="clear" w:color="auto" w:fill="FFFFFF"/>
          <w:lang w:val="zh-CN"/>
        </w:rPr>
        <w:t>（1）行政运转保障。</w:t>
      </w:r>
    </w:p>
    <w:p>
      <w:pPr>
        <w:widowControl/>
        <w:adjustRightInd w:val="0"/>
        <w:snapToGrid w:val="0"/>
        <w:spacing w:line="540" w:lineRule="exact"/>
        <w:ind w:firstLine="720"/>
        <w:jc w:val="left"/>
        <w:rPr>
          <w:rFonts w:hint="eastAsia" w:ascii="宋体" w:hAnsi="宋体" w:eastAsia="宋体" w:cs="宋体"/>
          <w:color w:val="000000"/>
          <w:kern w:val="0"/>
          <w:sz w:val="28"/>
          <w:szCs w:val="28"/>
          <w:shd w:val="clear" w:color="auto" w:fill="FFFFFF"/>
          <w:lang w:val="zh-CN"/>
        </w:rPr>
      </w:pPr>
      <w:r>
        <w:rPr>
          <w:rFonts w:hint="eastAsia" w:ascii="宋体" w:hAnsi="宋体" w:eastAsia="宋体" w:cs="宋体"/>
          <w:color w:val="000000"/>
          <w:kern w:val="0"/>
          <w:sz w:val="28"/>
          <w:szCs w:val="28"/>
          <w:shd w:val="clear" w:color="auto" w:fill="FFFFFF"/>
          <w:lang w:val="zh-CN"/>
        </w:rPr>
        <w:t>各类人员工资及时足额发放缴存，保险，公积及时缴纳；办公支出优先保障，确保单位正常运转；按需购置设备，确保工作开展。</w:t>
      </w:r>
    </w:p>
    <w:p>
      <w:pPr>
        <w:widowControl/>
        <w:adjustRightInd w:val="0"/>
        <w:snapToGrid w:val="0"/>
        <w:spacing w:line="540" w:lineRule="exact"/>
        <w:ind w:firstLine="720"/>
        <w:jc w:val="left"/>
        <w:rPr>
          <w:rFonts w:hint="eastAsia" w:ascii="宋体" w:hAnsi="宋体" w:eastAsia="宋体" w:cs="宋体"/>
          <w:color w:val="000000"/>
          <w:kern w:val="0"/>
          <w:sz w:val="28"/>
          <w:szCs w:val="28"/>
          <w:shd w:val="clear" w:color="auto" w:fill="FFFFFF"/>
          <w:lang w:val="zh-CN"/>
        </w:rPr>
      </w:pPr>
      <w:r>
        <w:rPr>
          <w:rFonts w:hint="eastAsia" w:ascii="宋体" w:hAnsi="宋体" w:eastAsia="宋体" w:cs="宋体"/>
          <w:color w:val="000000"/>
          <w:kern w:val="0"/>
          <w:sz w:val="28"/>
          <w:szCs w:val="28"/>
          <w:shd w:val="clear" w:color="auto" w:fill="FFFFFF"/>
          <w:lang w:val="zh-CN"/>
        </w:rPr>
        <w:t>（2）机关厉行节约。</w:t>
      </w:r>
    </w:p>
    <w:p>
      <w:pPr>
        <w:widowControl/>
        <w:adjustRightInd w:val="0"/>
        <w:snapToGrid w:val="0"/>
        <w:spacing w:line="540" w:lineRule="exact"/>
        <w:ind w:firstLine="720"/>
        <w:jc w:val="left"/>
        <w:rPr>
          <w:rFonts w:hint="eastAsia" w:ascii="宋体" w:hAnsi="宋体" w:eastAsia="宋体" w:cs="宋体"/>
          <w:color w:val="000000"/>
          <w:kern w:val="0"/>
          <w:sz w:val="28"/>
          <w:szCs w:val="28"/>
          <w:shd w:val="clear" w:color="auto" w:fill="FFFFFF"/>
          <w:lang w:val="zh-CN"/>
        </w:rPr>
      </w:pPr>
      <w:r>
        <w:rPr>
          <w:rFonts w:hint="eastAsia" w:ascii="宋体" w:hAnsi="宋体" w:eastAsia="宋体" w:cs="宋体"/>
          <w:color w:val="000000"/>
          <w:kern w:val="0"/>
          <w:sz w:val="28"/>
          <w:szCs w:val="28"/>
          <w:shd w:val="clear" w:color="auto" w:fill="FFFFFF"/>
          <w:lang w:val="zh-CN"/>
        </w:rPr>
        <w:t>全年未按排出国出境；未进行公务用车购置，因公车改革公务用车运行维护费比上年减少很多；按规定进行公务接待，无接待函一律不按排接待用餐，只在食堂安排工作餐，接待费用大幅下降，会议开支基本为发放给村组干部补助，与上年相比基本持平。</w:t>
      </w:r>
    </w:p>
    <w:p>
      <w:pPr>
        <w:widowControl/>
        <w:adjustRightInd w:val="0"/>
        <w:snapToGrid w:val="0"/>
        <w:spacing w:line="540" w:lineRule="exact"/>
        <w:ind w:firstLine="720"/>
        <w:jc w:val="left"/>
        <w:rPr>
          <w:rFonts w:hint="eastAsia" w:ascii="宋体" w:hAnsi="宋体" w:eastAsia="宋体" w:cs="宋体"/>
          <w:color w:val="000000"/>
          <w:kern w:val="0"/>
          <w:sz w:val="28"/>
          <w:szCs w:val="28"/>
          <w:shd w:val="clear" w:color="auto" w:fill="FFFFFF"/>
          <w:lang w:val="zh-CN"/>
        </w:rPr>
      </w:pPr>
      <w:r>
        <w:rPr>
          <w:rFonts w:hint="eastAsia" w:ascii="宋体" w:hAnsi="宋体" w:eastAsia="宋体" w:cs="宋体"/>
          <w:color w:val="000000"/>
          <w:kern w:val="0"/>
          <w:sz w:val="28"/>
          <w:szCs w:val="28"/>
          <w:shd w:val="clear" w:color="auto" w:fill="FFFFFF"/>
          <w:lang w:val="zh-CN"/>
        </w:rPr>
        <w:t>（3）机关节能降耗。</w:t>
      </w:r>
    </w:p>
    <w:p>
      <w:pPr>
        <w:widowControl/>
        <w:adjustRightInd w:val="0"/>
        <w:snapToGrid w:val="0"/>
        <w:spacing w:line="540" w:lineRule="exact"/>
        <w:ind w:firstLine="720"/>
        <w:jc w:val="left"/>
        <w:rPr>
          <w:rFonts w:hint="eastAsia" w:ascii="宋体" w:hAnsi="宋体" w:eastAsia="宋体" w:cs="宋体"/>
          <w:color w:val="000000"/>
          <w:kern w:val="0"/>
          <w:sz w:val="28"/>
          <w:szCs w:val="28"/>
          <w:shd w:val="clear" w:color="auto" w:fill="FFFFFF"/>
          <w:lang w:val="zh-CN"/>
        </w:rPr>
      </w:pPr>
      <w:r>
        <w:rPr>
          <w:rFonts w:hint="eastAsia" w:ascii="宋体" w:hAnsi="宋体" w:eastAsia="宋体" w:cs="宋体"/>
          <w:color w:val="000000"/>
          <w:kern w:val="0"/>
          <w:sz w:val="28"/>
          <w:szCs w:val="28"/>
          <w:shd w:val="clear" w:color="auto" w:fill="FFFFFF"/>
          <w:lang w:val="zh-CN"/>
        </w:rPr>
        <w:t>机关用水支出与上年持平；因公车改革公务用车燃修费支出较上年增长下降很多。</w:t>
      </w:r>
    </w:p>
    <w:p>
      <w:pPr>
        <w:widowControl/>
        <w:adjustRightInd w:val="0"/>
        <w:snapToGrid w:val="0"/>
        <w:spacing w:line="540" w:lineRule="exact"/>
        <w:ind w:firstLine="720"/>
        <w:jc w:val="left"/>
        <w:rPr>
          <w:rFonts w:hint="eastAsia" w:ascii="宋体" w:hAnsi="宋体" w:eastAsia="宋体" w:cs="宋体"/>
          <w:color w:val="000000"/>
          <w:kern w:val="0"/>
          <w:sz w:val="28"/>
          <w:szCs w:val="28"/>
          <w:shd w:val="clear" w:color="auto" w:fill="FFFFFF"/>
          <w:lang w:val="zh-CN"/>
        </w:rPr>
      </w:pPr>
      <w:r>
        <w:rPr>
          <w:rFonts w:hint="eastAsia" w:ascii="宋体" w:hAnsi="宋体" w:eastAsia="宋体" w:cs="宋体"/>
          <w:color w:val="000000"/>
          <w:kern w:val="0"/>
          <w:sz w:val="28"/>
          <w:szCs w:val="28"/>
          <w:shd w:val="clear" w:color="auto" w:fill="FFFFFF"/>
          <w:lang w:val="zh-CN"/>
        </w:rPr>
        <w:t>2、专项预算项目支出绩效。</w:t>
      </w:r>
    </w:p>
    <w:p>
      <w:pPr>
        <w:widowControl/>
        <w:adjustRightInd w:val="0"/>
        <w:snapToGrid w:val="0"/>
        <w:spacing w:line="540" w:lineRule="exact"/>
        <w:ind w:firstLine="720"/>
        <w:jc w:val="left"/>
        <w:rPr>
          <w:rFonts w:hint="eastAsia" w:ascii="宋体" w:hAnsi="宋体" w:eastAsia="宋体" w:cs="宋体"/>
          <w:color w:val="000000"/>
          <w:kern w:val="0"/>
          <w:sz w:val="28"/>
          <w:szCs w:val="28"/>
          <w:shd w:val="clear" w:color="auto" w:fill="FFFFFF"/>
          <w:lang w:val="zh-CN"/>
        </w:rPr>
      </w:pPr>
      <w:r>
        <w:rPr>
          <w:rFonts w:hint="eastAsia" w:ascii="宋体" w:hAnsi="宋体" w:eastAsia="宋体" w:cs="宋体"/>
          <w:color w:val="000000"/>
          <w:kern w:val="0"/>
          <w:sz w:val="28"/>
          <w:szCs w:val="28"/>
          <w:shd w:val="clear" w:color="auto" w:fill="FFFFFF"/>
          <w:lang w:val="zh-CN"/>
        </w:rPr>
        <w:t>（1）资金绩效分配情况。</w:t>
      </w:r>
    </w:p>
    <w:p>
      <w:pPr>
        <w:widowControl/>
        <w:adjustRightInd w:val="0"/>
        <w:snapToGrid w:val="0"/>
        <w:spacing w:line="540" w:lineRule="exact"/>
        <w:ind w:firstLine="720"/>
        <w:jc w:val="left"/>
        <w:rPr>
          <w:rFonts w:hint="eastAsia" w:ascii="宋体" w:hAnsi="宋体" w:eastAsia="宋体" w:cs="宋体"/>
          <w:color w:val="000000"/>
          <w:kern w:val="0"/>
          <w:sz w:val="28"/>
          <w:szCs w:val="28"/>
          <w:shd w:val="clear" w:color="auto" w:fill="FFFFFF"/>
          <w:lang w:val="zh-CN"/>
        </w:rPr>
      </w:pPr>
      <w:r>
        <w:rPr>
          <w:rFonts w:hint="eastAsia" w:ascii="宋体" w:hAnsi="宋体" w:eastAsia="宋体" w:cs="宋体"/>
          <w:color w:val="000000"/>
          <w:kern w:val="0"/>
          <w:sz w:val="28"/>
          <w:szCs w:val="28"/>
          <w:shd w:val="clear" w:color="auto" w:fill="FFFFFF"/>
          <w:lang w:val="zh-CN"/>
        </w:rPr>
        <w:t>对可自行分配项目资金比如春灌经费、道路维护奖励经费等结合以前年度项目执行情况安排给各村，结合实际对完成较好的村多安排，对问题多的村少安排，。</w:t>
      </w:r>
    </w:p>
    <w:p>
      <w:pPr>
        <w:widowControl/>
        <w:adjustRightInd w:val="0"/>
        <w:snapToGrid w:val="0"/>
        <w:spacing w:line="540" w:lineRule="exact"/>
        <w:ind w:firstLine="720"/>
        <w:jc w:val="left"/>
        <w:rPr>
          <w:rFonts w:hint="eastAsia" w:ascii="宋体" w:hAnsi="宋体" w:eastAsia="宋体" w:cs="宋体"/>
          <w:color w:val="000000"/>
          <w:kern w:val="0"/>
          <w:sz w:val="28"/>
          <w:szCs w:val="28"/>
          <w:shd w:val="clear" w:color="auto" w:fill="FFFFFF"/>
          <w:lang w:val="zh-CN"/>
        </w:rPr>
      </w:pPr>
      <w:r>
        <w:rPr>
          <w:rFonts w:hint="eastAsia" w:ascii="宋体" w:hAnsi="宋体" w:eastAsia="宋体" w:cs="宋体"/>
          <w:color w:val="000000"/>
          <w:kern w:val="0"/>
          <w:sz w:val="28"/>
          <w:szCs w:val="28"/>
          <w:shd w:val="clear" w:color="auto" w:fill="FFFFFF"/>
          <w:lang w:val="zh-CN"/>
        </w:rPr>
        <w:t>（2）项目资金管理情况。</w:t>
      </w:r>
    </w:p>
    <w:p>
      <w:pPr>
        <w:widowControl/>
        <w:adjustRightInd w:val="0"/>
        <w:snapToGrid w:val="0"/>
        <w:spacing w:line="540" w:lineRule="exact"/>
        <w:ind w:firstLine="720"/>
        <w:jc w:val="left"/>
        <w:rPr>
          <w:rFonts w:hint="eastAsia" w:ascii="宋体" w:hAnsi="宋体" w:eastAsia="宋体" w:cs="宋体"/>
          <w:color w:val="000000"/>
          <w:kern w:val="0"/>
          <w:sz w:val="28"/>
          <w:szCs w:val="28"/>
          <w:shd w:val="clear" w:color="auto" w:fill="FFFFFF"/>
          <w:lang w:val="zh-CN"/>
        </w:rPr>
      </w:pPr>
      <w:r>
        <w:rPr>
          <w:rFonts w:hint="eastAsia" w:ascii="宋体" w:hAnsi="宋体" w:eastAsia="宋体" w:cs="宋体"/>
          <w:color w:val="000000"/>
          <w:kern w:val="0"/>
          <w:sz w:val="28"/>
          <w:szCs w:val="28"/>
          <w:shd w:val="clear" w:color="auto" w:fill="FFFFFF"/>
          <w:lang w:val="zh-CN"/>
        </w:rPr>
        <w:t>对行政项目类资金结合以前年度纳入预算，根据项目情况进行支付，确保项目完成。对其他专项资金，以上级文件及党政办公会决定纳主预算，对不能纳入当年预算的纳入备选项目库。因特殊原因未能纳入预算当年也必须实施的，报财政追加。对工程内项目根据工作进度进行监管，完工作以据评审等相关手续进行支付。</w:t>
      </w:r>
    </w:p>
    <w:p>
      <w:pPr>
        <w:widowControl/>
        <w:adjustRightInd w:val="0"/>
        <w:snapToGrid w:val="0"/>
        <w:spacing w:line="540" w:lineRule="exact"/>
        <w:ind w:firstLine="720"/>
        <w:jc w:val="left"/>
        <w:rPr>
          <w:rFonts w:hint="eastAsia" w:ascii="宋体" w:hAnsi="宋体" w:eastAsia="宋体" w:cs="宋体"/>
          <w:color w:val="000000"/>
          <w:kern w:val="0"/>
          <w:sz w:val="28"/>
          <w:szCs w:val="28"/>
          <w:shd w:val="clear" w:color="auto" w:fill="FFFFFF"/>
          <w:lang w:val="zh-CN"/>
        </w:rPr>
      </w:pPr>
      <w:r>
        <w:rPr>
          <w:rFonts w:hint="eastAsia" w:ascii="宋体" w:hAnsi="宋体" w:eastAsia="宋体" w:cs="宋体"/>
          <w:color w:val="000000"/>
          <w:kern w:val="0"/>
          <w:sz w:val="28"/>
          <w:szCs w:val="28"/>
          <w:shd w:val="clear" w:color="auto" w:fill="FFFFFF"/>
          <w:lang w:val="zh-CN"/>
        </w:rPr>
        <w:t>（3）绩效目标完成情况。</w:t>
      </w:r>
    </w:p>
    <w:p>
      <w:pPr>
        <w:widowControl/>
        <w:adjustRightInd w:val="0"/>
        <w:snapToGrid w:val="0"/>
        <w:spacing w:line="540" w:lineRule="exact"/>
        <w:ind w:firstLine="720"/>
        <w:jc w:val="left"/>
        <w:rPr>
          <w:rFonts w:hint="eastAsia" w:ascii="宋体" w:hAnsi="宋体" w:eastAsia="宋体" w:cs="宋体"/>
          <w:color w:val="000000"/>
          <w:kern w:val="0"/>
          <w:sz w:val="28"/>
          <w:szCs w:val="28"/>
          <w:shd w:val="clear" w:color="auto" w:fill="FFFFFF"/>
          <w:lang w:val="zh-CN"/>
        </w:rPr>
      </w:pPr>
      <w:r>
        <w:rPr>
          <w:rFonts w:hint="eastAsia" w:ascii="宋体" w:hAnsi="宋体" w:eastAsia="宋体" w:cs="宋体"/>
          <w:color w:val="000000"/>
          <w:kern w:val="0"/>
          <w:sz w:val="28"/>
          <w:szCs w:val="28"/>
          <w:shd w:val="clear" w:color="auto" w:fill="FFFFFF"/>
          <w:lang w:val="zh-CN"/>
        </w:rPr>
        <w:t>本年绩效目标基本完成，达到了项目要求，现就几项重点情况汇报如下：</w:t>
      </w:r>
    </w:p>
    <w:p>
      <w:pPr>
        <w:widowControl/>
        <w:numPr>
          <w:ilvl w:val="0"/>
          <w:numId w:val="4"/>
        </w:numPr>
        <w:adjustRightInd w:val="0"/>
        <w:snapToGrid w:val="0"/>
        <w:spacing w:line="540" w:lineRule="exact"/>
        <w:ind w:left="0" w:firstLine="720"/>
        <w:jc w:val="left"/>
        <w:rPr>
          <w:rFonts w:hint="eastAsia" w:ascii="宋体" w:hAnsi="宋体" w:eastAsia="宋体" w:cs="宋体"/>
          <w:color w:val="000000"/>
          <w:kern w:val="0"/>
          <w:sz w:val="28"/>
          <w:szCs w:val="28"/>
          <w:shd w:val="clear" w:color="auto" w:fill="FFFFFF"/>
          <w:lang w:val="zh-CN"/>
        </w:rPr>
      </w:pPr>
      <w:r>
        <w:rPr>
          <w:rFonts w:hint="eastAsia" w:ascii="宋体" w:hAnsi="宋体" w:eastAsia="宋体" w:cs="宋体"/>
          <w:color w:val="000000"/>
          <w:kern w:val="0"/>
          <w:sz w:val="28"/>
          <w:szCs w:val="28"/>
          <w:shd w:val="clear" w:color="auto" w:fill="FFFFFF"/>
          <w:lang w:val="zh-CN"/>
        </w:rPr>
        <w:t>基层政权和社区建设支出：社区办公经费，按进度及时拨付社区，保障社区正常运转，社区干部报酬每月足额发放，确保社区正常运行。</w:t>
      </w:r>
    </w:p>
    <w:p>
      <w:pPr>
        <w:widowControl/>
        <w:numPr>
          <w:ilvl w:val="0"/>
          <w:numId w:val="4"/>
        </w:numPr>
        <w:adjustRightInd w:val="0"/>
        <w:snapToGrid w:val="0"/>
        <w:spacing w:line="540" w:lineRule="exact"/>
        <w:ind w:left="0" w:firstLine="720"/>
        <w:jc w:val="left"/>
        <w:rPr>
          <w:rFonts w:hint="eastAsia" w:ascii="宋体" w:hAnsi="宋体" w:eastAsia="宋体" w:cs="宋体"/>
          <w:color w:val="000000"/>
          <w:kern w:val="0"/>
          <w:sz w:val="28"/>
          <w:szCs w:val="28"/>
          <w:shd w:val="clear" w:color="auto" w:fill="FFFFFF"/>
          <w:lang w:val="zh-CN"/>
        </w:rPr>
      </w:pPr>
      <w:r>
        <w:rPr>
          <w:rFonts w:hint="eastAsia" w:ascii="宋体" w:hAnsi="宋体" w:eastAsia="宋体" w:cs="宋体"/>
          <w:color w:val="000000"/>
          <w:kern w:val="0"/>
          <w:sz w:val="28"/>
          <w:szCs w:val="28"/>
          <w:shd w:val="clear" w:color="auto" w:fill="FFFFFF"/>
          <w:lang w:val="zh-CN"/>
        </w:rPr>
        <w:t>对村民委员会和村党支部的补助：村办公经费，按照市组织部要求，所有的村办公经费都不再拔付到村，实行报帐制，按照规定的支出范围由各村定时到镇报销办公经费，其余资金按进度及时拨付各村，村组干部报酬每月足额发放，保障了村务正常运转。对民政临时困难救助资金通常由各村上报，按照审批权限进行审批，救济金通过一卡通发放到救助对象手中，对个别特殊对象经党政办公会决定，进行发放。民政项目及时完成，保障全镇经济社会的稳定发展。</w:t>
      </w:r>
    </w:p>
    <w:p>
      <w:pPr>
        <w:widowControl/>
        <w:adjustRightInd w:val="0"/>
        <w:snapToGrid w:val="0"/>
        <w:spacing w:line="540" w:lineRule="exact"/>
        <w:ind w:left="720"/>
        <w:jc w:val="left"/>
        <w:rPr>
          <w:rFonts w:hint="eastAsia" w:ascii="宋体" w:hAnsi="宋体" w:eastAsia="宋体" w:cs="宋体"/>
          <w:color w:val="000000"/>
          <w:kern w:val="0"/>
          <w:sz w:val="28"/>
          <w:szCs w:val="28"/>
          <w:shd w:val="clear" w:color="auto" w:fill="FFFFFF"/>
          <w:lang w:val="zh-CN"/>
        </w:rPr>
      </w:pPr>
      <w:r>
        <w:rPr>
          <w:rFonts w:hint="eastAsia" w:ascii="宋体" w:hAnsi="宋体" w:eastAsia="宋体" w:cs="宋体"/>
          <w:color w:val="000000"/>
          <w:kern w:val="0"/>
          <w:sz w:val="28"/>
          <w:szCs w:val="28"/>
          <w:shd w:val="clear" w:color="auto" w:fill="FFFFFF"/>
          <w:lang w:val="zh-CN"/>
        </w:rPr>
        <w:t>总体上我镇各项目标完成情况良好，促进全镇经济的稳定和发展。</w:t>
      </w:r>
    </w:p>
    <w:p>
      <w:pPr>
        <w:widowControl/>
        <w:adjustRightInd w:val="0"/>
        <w:snapToGrid w:val="0"/>
        <w:spacing w:line="540" w:lineRule="exact"/>
        <w:ind w:firstLine="560" w:firstLineChars="200"/>
        <w:jc w:val="left"/>
        <w:rPr>
          <w:rFonts w:hint="eastAsia" w:ascii="宋体" w:hAnsi="宋体" w:eastAsia="宋体" w:cs="宋体"/>
          <w:color w:val="000000"/>
          <w:kern w:val="0"/>
          <w:sz w:val="28"/>
          <w:szCs w:val="28"/>
          <w:shd w:val="clear" w:color="auto" w:fill="FFFFFF"/>
          <w:lang w:val="zh-CN"/>
        </w:rPr>
      </w:pPr>
      <w:r>
        <w:rPr>
          <w:rFonts w:hint="eastAsia" w:ascii="宋体" w:hAnsi="宋体" w:eastAsia="宋体" w:cs="宋体"/>
          <w:color w:val="000000"/>
          <w:kern w:val="0"/>
          <w:sz w:val="28"/>
          <w:szCs w:val="28"/>
          <w:shd w:val="clear" w:color="auto" w:fill="FFFFFF"/>
          <w:lang w:val="zh-CN"/>
        </w:rPr>
        <w:t>（四）财务管理情况。</w:t>
      </w:r>
    </w:p>
    <w:p>
      <w:pPr>
        <w:widowControl/>
        <w:adjustRightInd w:val="0"/>
        <w:snapToGrid w:val="0"/>
        <w:spacing w:line="540" w:lineRule="exact"/>
        <w:ind w:firstLine="720"/>
        <w:jc w:val="left"/>
        <w:rPr>
          <w:rFonts w:hint="eastAsia" w:ascii="宋体" w:hAnsi="宋体" w:eastAsia="宋体" w:cs="宋体"/>
          <w:color w:val="000000"/>
          <w:kern w:val="0"/>
          <w:sz w:val="28"/>
          <w:szCs w:val="28"/>
          <w:shd w:val="clear" w:color="auto" w:fill="FFFFFF"/>
          <w:lang w:val="zh-CN"/>
        </w:rPr>
      </w:pPr>
      <w:r>
        <w:rPr>
          <w:rFonts w:hint="eastAsia" w:ascii="宋体" w:hAnsi="宋体" w:eastAsia="宋体" w:cs="宋体"/>
          <w:color w:val="000000"/>
          <w:kern w:val="0"/>
          <w:sz w:val="28"/>
          <w:szCs w:val="28"/>
          <w:shd w:val="clear" w:color="auto" w:fill="FFFFFF"/>
          <w:lang w:val="zh-CN"/>
        </w:rPr>
        <w:t>完善制度建设：通过对以前制度的梳理完善良建立了《大为镇财政管理工作规序》、《大为镇财政内部控制制度》、《大为镇资金管理办法》、《财政票据管理制度》、《大为镇财政应急保障预案》等规章制度；会计核算和账务管理情况：</w:t>
      </w:r>
      <w:r>
        <w:rPr>
          <w:rFonts w:hint="eastAsia" w:ascii="宋体" w:hAnsi="宋体" w:eastAsia="宋体" w:cs="宋体"/>
          <w:color w:val="000000"/>
          <w:kern w:val="0"/>
          <w:sz w:val="28"/>
          <w:szCs w:val="28"/>
        </w:rPr>
        <w:t>反映经济业务的合法原始凭证，经经办人、分管领导、领导签字后交出纳人员统一收集，属现金支付的用备用金支付，属转账支付的转账支付，能转账的一律转账，现金支付无特殊情况当日支付，转账支付一周内支付，并定期将凭证交会计；会计根据凭证进行会计核算，并依据资金用途录入大平台系统，经财政所长审核后打出支票，交财政所长加盖个人印章，再交出纳加盖私章，填写支付密码，并到银行办理收支业务，最后由会计及时进行会计核算；</w:t>
      </w:r>
      <w:r>
        <w:rPr>
          <w:rFonts w:hint="eastAsia" w:ascii="宋体" w:hAnsi="宋体" w:eastAsia="宋体" w:cs="宋体"/>
          <w:color w:val="000000"/>
          <w:kern w:val="0"/>
          <w:sz w:val="28"/>
          <w:szCs w:val="28"/>
          <w:shd w:val="clear" w:color="auto" w:fill="FFFFFF"/>
          <w:lang w:val="zh-CN"/>
        </w:rPr>
        <w:t>政府采购制度执行情况：严格按照采购目标及金额要求，对应当办政府采购的一律办理，再凭采购及相关手续办理支付。</w:t>
      </w:r>
    </w:p>
    <w:p>
      <w:pPr>
        <w:widowControl/>
        <w:adjustRightInd w:val="0"/>
        <w:snapToGrid w:val="0"/>
        <w:spacing w:line="540" w:lineRule="exact"/>
        <w:ind w:firstLine="720"/>
        <w:jc w:val="left"/>
        <w:rPr>
          <w:rFonts w:hint="eastAsia" w:ascii="宋体" w:hAnsi="宋体" w:eastAsia="宋体" w:cs="宋体"/>
          <w:color w:val="000000"/>
          <w:kern w:val="0"/>
          <w:szCs w:val="32"/>
          <w:shd w:val="clear" w:color="auto" w:fill="FFFFFF"/>
        </w:rPr>
      </w:pPr>
      <w:r>
        <w:rPr>
          <w:rFonts w:hint="eastAsia" w:ascii="宋体" w:hAnsi="宋体" w:eastAsia="宋体" w:cs="宋体"/>
          <w:color w:val="000000"/>
          <w:kern w:val="0"/>
          <w:szCs w:val="32"/>
          <w:shd w:val="clear" w:color="auto" w:fill="FFFFFF"/>
        </w:rPr>
        <w:t>四、评价结论及建议</w:t>
      </w:r>
    </w:p>
    <w:p>
      <w:pPr>
        <w:widowControl/>
        <w:adjustRightInd w:val="0"/>
        <w:snapToGrid w:val="0"/>
        <w:spacing w:line="540" w:lineRule="exact"/>
        <w:ind w:firstLine="720"/>
        <w:jc w:val="left"/>
        <w:rPr>
          <w:rFonts w:hint="eastAsia" w:ascii="宋体" w:hAnsi="宋体" w:eastAsia="宋体" w:cs="宋体"/>
          <w:color w:val="000000"/>
          <w:kern w:val="0"/>
          <w:szCs w:val="32"/>
          <w:shd w:val="clear" w:color="auto" w:fill="FFFFFF"/>
          <w:lang w:val="zh-CN"/>
        </w:rPr>
      </w:pPr>
      <w:r>
        <w:rPr>
          <w:rFonts w:hint="eastAsia" w:ascii="宋体" w:hAnsi="宋体" w:eastAsia="宋体" w:cs="宋体"/>
          <w:color w:val="000000"/>
          <w:kern w:val="0"/>
          <w:szCs w:val="32"/>
          <w:shd w:val="clear" w:color="auto" w:fill="FFFFFF"/>
          <w:lang w:val="zh-CN"/>
        </w:rPr>
        <w:t>（一）评价结论。</w:t>
      </w:r>
    </w:p>
    <w:p>
      <w:pPr>
        <w:widowControl/>
        <w:adjustRightInd w:val="0"/>
        <w:snapToGrid w:val="0"/>
        <w:spacing w:line="540" w:lineRule="exact"/>
        <w:ind w:firstLine="720"/>
        <w:jc w:val="left"/>
        <w:rPr>
          <w:rFonts w:hint="eastAsia" w:ascii="宋体" w:hAnsi="宋体" w:eastAsia="宋体" w:cs="宋体"/>
          <w:color w:val="333333"/>
          <w:kern w:val="0"/>
          <w:sz w:val="28"/>
          <w:szCs w:val="28"/>
          <w:shd w:val="clear" w:color="auto" w:fill="FFFFFF"/>
        </w:rPr>
      </w:pPr>
      <w:r>
        <w:rPr>
          <w:rFonts w:hint="eastAsia" w:ascii="宋体" w:hAnsi="宋体" w:eastAsia="宋体" w:cs="宋体"/>
          <w:color w:val="333333"/>
          <w:kern w:val="0"/>
          <w:sz w:val="28"/>
          <w:szCs w:val="28"/>
          <w:shd w:val="clear" w:color="auto" w:fill="FFFFFF"/>
        </w:rPr>
        <w:t>2019年，我镇预算整体支出情况较好，在市财政局的大力支持下，完成了民政救助补助、城乡环境整治、水毁道路整治、防汛等工作，推动了全镇经济社会发展，顺利完成市委、市政政府下达的各项工作任务。所设立的整体绩效目标，符合客观实际，符合国家法律法规，国民经济和社会发展总体规划，符合部门“三定”方案确定的职责，同时，我镇依据整体绩效目标所设定的绩效指标清晰、细化、可衡量，与部门年度的任务数或计划数相对应；与本年度部门预算资金相匹配。</w:t>
      </w:r>
    </w:p>
    <w:p>
      <w:pPr>
        <w:widowControl/>
        <w:adjustRightInd w:val="0"/>
        <w:snapToGrid w:val="0"/>
        <w:spacing w:line="540" w:lineRule="exact"/>
        <w:ind w:firstLine="720"/>
        <w:jc w:val="left"/>
        <w:rPr>
          <w:rFonts w:hint="eastAsia" w:ascii="宋体" w:hAnsi="宋体" w:eastAsia="宋体" w:cs="宋体"/>
          <w:color w:val="000000"/>
          <w:kern w:val="0"/>
          <w:sz w:val="28"/>
          <w:szCs w:val="28"/>
          <w:shd w:val="clear" w:color="auto" w:fill="FFFFFF"/>
          <w:lang w:val="zh-CN"/>
        </w:rPr>
      </w:pPr>
      <w:r>
        <w:rPr>
          <w:rFonts w:hint="eastAsia" w:ascii="宋体" w:hAnsi="宋体" w:eastAsia="宋体" w:cs="宋体"/>
          <w:color w:val="000000"/>
          <w:kern w:val="0"/>
          <w:sz w:val="28"/>
          <w:szCs w:val="28"/>
          <w:shd w:val="clear" w:color="auto" w:fill="FFFFFF"/>
          <w:lang w:val="zh-CN"/>
        </w:rPr>
        <w:t>（三）改进建议</w:t>
      </w:r>
    </w:p>
    <w:p>
      <w:pPr>
        <w:widowControl/>
        <w:shd w:val="clear" w:color="auto" w:fill="FFFFFF"/>
        <w:wordWrap w:val="0"/>
        <w:spacing w:line="520" w:lineRule="atLeast"/>
        <w:ind w:firstLine="640"/>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（1）加强学习，提高思想认识。组织单位人员认真学习《预算法》等相关法规、制度，提高单位领导对全面预算管理的重视程度，增强财务人员的预算意识，坚持先有预算、后有支出，没有预算不得支出。</w:t>
      </w:r>
    </w:p>
    <w:p>
      <w:pPr>
        <w:widowControl/>
        <w:shd w:val="clear" w:color="auto" w:fill="FFFFFF"/>
        <w:wordWrap w:val="0"/>
        <w:spacing w:line="520" w:lineRule="atLeast"/>
        <w:ind w:firstLine="640"/>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2）细化指标，提高预算科学性。预算编制前根据年度内单位可预见的工作任务，确定单位年度预算目标，细化预算指标，科学合理编制部门预算，推进预算编制科学化、准确化。年度预算编制后，根据实际情况，定期做好预算执行分析，掌握预算执行进度，及时找出预算实际执行情况与预算目标之间存在的差距，纠正偏差，为下一次科学、准确地编制部门预算积累经验。</w:t>
      </w:r>
    </w:p>
    <w:p>
      <w:pPr>
        <w:widowControl/>
        <w:shd w:val="clear" w:color="auto" w:fill="FFFFFF"/>
        <w:wordWrap w:val="0"/>
        <w:spacing w:line="520" w:lineRule="atLeast"/>
        <w:ind w:firstLine="640"/>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（3）严格管理，控制“三公”经费和公用经费支出。严格落实中央八项规定和省“压缩一般性支出”要求，</w:t>
      </w:r>
      <w:r>
        <w:rPr>
          <w:rFonts w:hint="eastAsia" w:ascii="宋体" w:hAnsi="宋体" w:eastAsia="宋体" w:cs="宋体"/>
          <w:color w:val="000000"/>
          <w:kern w:val="0"/>
          <w:sz w:val="28"/>
          <w:szCs w:val="28"/>
        </w:rPr>
        <w:t>切实加强“三公”经费和会议费、培训费管理，严格按照规定开支有关经费，</w:t>
      </w:r>
      <w:r>
        <w:rPr>
          <w:rFonts w:hint="eastAsia" w:ascii="宋体" w:hAnsi="宋体" w:eastAsia="宋体" w:cs="宋体"/>
          <w:color w:val="333333"/>
          <w:kern w:val="0"/>
          <w:sz w:val="28"/>
          <w:szCs w:val="28"/>
        </w:rPr>
        <w:t>确保单位“三公”经费只减不增。</w:t>
      </w:r>
    </w:p>
    <w:p>
      <w:pPr>
        <w:widowControl/>
        <w:shd w:val="clear" w:color="auto" w:fill="FFFFFF"/>
        <w:wordWrap w:val="0"/>
        <w:spacing w:line="520" w:lineRule="atLeast"/>
        <w:ind w:firstLine="640"/>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4）规范财务运行，加强预算支出管理。严格遵循“先有预算、后有支出”的原则，在资金支付管理方面，严格按照规定程序向财政部门申请用款，在财政部门批复的支出预算资金范围内申请使用一般预算支出经费。建立健全并认真执行各项资金使用管理制度，建立内部控制机制，资金使用严格履行审批程序，确保资金支出合法、真实。严格落实会计核算、报销审批制度，加强对资金使用环节的监督。</w:t>
      </w:r>
    </w:p>
    <w:p>
      <w:pPr>
        <w:numPr>
          <w:ilvl w:val="0"/>
          <w:numId w:val="5"/>
        </w:numPr>
        <w:spacing w:line="600" w:lineRule="exact"/>
        <w:ind w:firstLine="660" w:firstLineChars="150"/>
        <w:jc w:val="center"/>
        <w:outlineLvl w:val="0"/>
        <w:rPr>
          <w:rStyle w:val="24"/>
          <w:rFonts w:ascii="黑体" w:hAnsi="黑体" w:eastAsia="黑体"/>
          <w:b w:val="0"/>
        </w:rPr>
      </w:pPr>
      <w:bookmarkStart w:id="53" w:name="_Toc15377225"/>
      <w:bookmarkStart w:id="54" w:name="_Toc15396613"/>
      <w:r>
        <w:rPr>
          <w:rFonts w:hint="eastAsia" w:ascii="黑体" w:hAnsi="黑体" w:eastAsia="黑体"/>
          <w:color w:val="000000"/>
          <w:sz w:val="44"/>
          <w:szCs w:val="44"/>
        </w:rPr>
        <w:t>名</w:t>
      </w:r>
      <w:r>
        <w:rPr>
          <w:rStyle w:val="24"/>
          <w:rFonts w:hint="eastAsia" w:ascii="黑体" w:hAnsi="黑体" w:eastAsia="黑体"/>
          <w:b w:val="0"/>
        </w:rPr>
        <w:t>词解释</w:t>
      </w:r>
      <w:bookmarkEnd w:id="53"/>
      <w:bookmarkEnd w:id="54"/>
    </w:p>
    <w:p>
      <w:pPr>
        <w:spacing w:line="600" w:lineRule="exact"/>
        <w:jc w:val="left"/>
        <w:rPr>
          <w:rFonts w:ascii="宋体"/>
          <w:b/>
          <w:color w:val="000000"/>
          <w:sz w:val="44"/>
          <w:szCs w:val="44"/>
        </w:rPr>
      </w:pPr>
    </w:p>
    <w:p>
      <w:pPr>
        <w:pStyle w:val="2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w:t>
      </w:r>
      <w:bookmarkStart w:id="55" w:name="_GoBack"/>
      <w:bookmarkEnd w:id="55"/>
      <w:r>
        <w:rPr>
          <w:rFonts w:hint="eastAsia" w:ascii="仿宋_GB2312" w:eastAsia="仿宋_GB2312"/>
          <w:sz w:val="32"/>
          <w:szCs w:val="32"/>
        </w:rPr>
        <w:t>政部门取得的财政预算资金。</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外交（类）…（款）…（项）：指……。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公共安全（类）…（款）…（项）：指……。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教育（类）…（款）…（项）：指……。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科学技术（类）…（款）…（项）：指……。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文化体育与传媒（类）…（款）…（项）：指……。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社会保障和就业（类）…（款）…（项）：指……。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rPr>
        <w:t>医疗卫生与计划生育（类）…（款）…（项）：指……。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17.</w:t>
      </w:r>
      <w:r>
        <w:rPr>
          <w:rFonts w:hint="eastAsia" w:ascii="仿宋_GB2312" w:eastAsia="仿宋_GB2312"/>
          <w:color w:val="000000"/>
          <w:sz w:val="32"/>
          <w:szCs w:val="32"/>
        </w:rPr>
        <w:t>节能环保（类）…（款）…（项）：指……。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18.</w:t>
      </w:r>
      <w:r>
        <w:rPr>
          <w:rFonts w:hint="eastAsia" w:ascii="仿宋_GB2312" w:eastAsia="仿宋_GB2312"/>
          <w:color w:val="000000"/>
          <w:sz w:val="32"/>
          <w:szCs w:val="32"/>
        </w:rPr>
        <w:t>城乡社区（类）…（款）…（项）：指……。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19.</w:t>
      </w:r>
      <w:r>
        <w:rPr>
          <w:rFonts w:hint="eastAsia" w:ascii="仿宋_GB2312" w:eastAsia="仿宋_GB2312"/>
          <w:color w:val="000000"/>
          <w:sz w:val="32"/>
          <w:szCs w:val="32"/>
        </w:rPr>
        <w:t>农林水（类）…（款）…（项）：指……。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交通运输（类）…（款）…（项）：指……。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21.</w:t>
      </w:r>
      <w:r>
        <w:rPr>
          <w:rFonts w:hint="eastAsia" w:ascii="仿宋_GB2312" w:eastAsia="仿宋_GB2312"/>
          <w:color w:val="000000"/>
          <w:sz w:val="32"/>
          <w:szCs w:val="32"/>
        </w:rPr>
        <w:t>资源勘探信息等（类）…（款）…（项）：指……。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22.</w:t>
      </w:r>
      <w:r>
        <w:rPr>
          <w:rFonts w:hint="eastAsia" w:ascii="仿宋_GB2312" w:eastAsia="仿宋_GB2312"/>
          <w:color w:val="000000"/>
          <w:sz w:val="32"/>
          <w:szCs w:val="32"/>
        </w:rPr>
        <w:t>商业服务业（类）…（款）…（项）：指……。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23.</w:t>
      </w:r>
      <w:r>
        <w:rPr>
          <w:rFonts w:hint="eastAsia" w:ascii="仿宋_GB2312" w:eastAsia="仿宋_GB2312"/>
          <w:color w:val="000000"/>
          <w:sz w:val="32"/>
          <w:szCs w:val="32"/>
        </w:rPr>
        <w:t>金融（类）…（款）…（项）：指……。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24.</w:t>
      </w:r>
      <w:r>
        <w:rPr>
          <w:rFonts w:hint="eastAsia" w:ascii="仿宋_GB2312" w:eastAsia="仿宋_GB2312"/>
          <w:color w:val="000000"/>
          <w:sz w:val="32"/>
          <w:szCs w:val="32"/>
        </w:rPr>
        <w:t>国土海洋气象等（类）…（款）…（项）：指……。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25.</w:t>
      </w:r>
      <w:r>
        <w:rPr>
          <w:rFonts w:hint="eastAsia" w:ascii="仿宋_GB2312" w:eastAsia="仿宋_GB2312"/>
          <w:color w:val="000000"/>
          <w:sz w:val="32"/>
          <w:szCs w:val="32"/>
        </w:rPr>
        <w:t>住房保障（类）…（款）…（项）：指……。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26.</w:t>
      </w:r>
      <w:r>
        <w:rPr>
          <w:rFonts w:hint="eastAsia" w:ascii="仿宋_GB2312" w:eastAsia="仿宋_GB2312"/>
          <w:color w:val="000000"/>
          <w:sz w:val="32"/>
          <w:szCs w:val="32"/>
        </w:rPr>
        <w:t>粮油物资储备（类）…（款）…（项）：指……。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27.</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ascii="仿宋_GB2312" w:eastAsia="仿宋_GB2312"/>
          <w:color w:val="000000"/>
          <w:sz w:val="32"/>
          <w:szCs w:val="32"/>
        </w:rPr>
        <w:t>28.</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ascii="仿宋_GB2312" w:eastAsia="仿宋_GB2312"/>
          <w:color w:val="000000"/>
          <w:sz w:val="32"/>
          <w:szCs w:val="32"/>
        </w:rPr>
        <w:t>29.</w:t>
      </w:r>
      <w:r>
        <w:rPr>
          <w:rFonts w:hint="eastAsia" w:ascii="仿宋_GB2312" w:eastAsia="仿宋_GB2312"/>
          <w:color w:val="000000"/>
          <w:sz w:val="32"/>
          <w:szCs w:val="32"/>
        </w:rPr>
        <w:t>经营支出：指事业单位在专业业务活动及其辅助活动之外开展非独立核算经营活动发生的支出。</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30.</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31.</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3"/>
        <w:rPr>
          <w:rFonts w:ascii="仿宋" w:hAnsi="仿宋" w:eastAsia="仿宋"/>
          <w:color w:val="000000" w:themeColor="text1"/>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12</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BA4597"/>
    <w:multiLevelType w:val="singleLevel"/>
    <w:tmpl w:val="B2BA4597"/>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49DC4315"/>
    <w:multiLevelType w:val="multilevel"/>
    <w:tmpl w:val="49DC4315"/>
    <w:lvl w:ilvl="0" w:tentative="0">
      <w:start w:val="1"/>
      <w:numFmt w:val="decimalEnclosedCircle"/>
      <w:lvlText w:val="%1"/>
      <w:lvlJc w:val="left"/>
      <w:pPr>
        <w:ind w:left="1080" w:hanging="36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01CD2"/>
    <w:rsid w:val="00010DDE"/>
    <w:rsid w:val="000222C6"/>
    <w:rsid w:val="0002549F"/>
    <w:rsid w:val="00035928"/>
    <w:rsid w:val="00036FE1"/>
    <w:rsid w:val="00040F24"/>
    <w:rsid w:val="000468DB"/>
    <w:rsid w:val="00054C14"/>
    <w:rsid w:val="00055A58"/>
    <w:rsid w:val="0006487A"/>
    <w:rsid w:val="00065F8F"/>
    <w:rsid w:val="00070A43"/>
    <w:rsid w:val="00074192"/>
    <w:rsid w:val="000768F2"/>
    <w:rsid w:val="0009184B"/>
    <w:rsid w:val="000928BC"/>
    <w:rsid w:val="00094236"/>
    <w:rsid w:val="0009593C"/>
    <w:rsid w:val="00097322"/>
    <w:rsid w:val="000A6A92"/>
    <w:rsid w:val="000B047F"/>
    <w:rsid w:val="000B4D68"/>
    <w:rsid w:val="000B5923"/>
    <w:rsid w:val="000B5A48"/>
    <w:rsid w:val="000B6F63"/>
    <w:rsid w:val="000B6FF3"/>
    <w:rsid w:val="000C20BE"/>
    <w:rsid w:val="000C3467"/>
    <w:rsid w:val="000C3CA6"/>
    <w:rsid w:val="000C78EB"/>
    <w:rsid w:val="000D1267"/>
    <w:rsid w:val="000D1D50"/>
    <w:rsid w:val="000D2655"/>
    <w:rsid w:val="000D3DBC"/>
    <w:rsid w:val="000D5782"/>
    <w:rsid w:val="000E4F58"/>
    <w:rsid w:val="000E6613"/>
    <w:rsid w:val="000E7119"/>
    <w:rsid w:val="00114E9B"/>
    <w:rsid w:val="00117459"/>
    <w:rsid w:val="001362ED"/>
    <w:rsid w:val="00142216"/>
    <w:rsid w:val="001434F0"/>
    <w:rsid w:val="00144D6A"/>
    <w:rsid w:val="001454E8"/>
    <w:rsid w:val="0014729F"/>
    <w:rsid w:val="00157BAB"/>
    <w:rsid w:val="0016294E"/>
    <w:rsid w:val="001654D1"/>
    <w:rsid w:val="00174518"/>
    <w:rsid w:val="0018106D"/>
    <w:rsid w:val="001877A7"/>
    <w:rsid w:val="00191536"/>
    <w:rsid w:val="00193415"/>
    <w:rsid w:val="00196687"/>
    <w:rsid w:val="001C0962"/>
    <w:rsid w:val="001D0988"/>
    <w:rsid w:val="001D37C5"/>
    <w:rsid w:val="001D7531"/>
    <w:rsid w:val="001E737D"/>
    <w:rsid w:val="001E73DB"/>
    <w:rsid w:val="001F0592"/>
    <w:rsid w:val="001F7506"/>
    <w:rsid w:val="002006CD"/>
    <w:rsid w:val="00201E65"/>
    <w:rsid w:val="00202B36"/>
    <w:rsid w:val="00204B7A"/>
    <w:rsid w:val="00204CDE"/>
    <w:rsid w:val="0021101A"/>
    <w:rsid w:val="00220536"/>
    <w:rsid w:val="002328AE"/>
    <w:rsid w:val="00235629"/>
    <w:rsid w:val="00260C38"/>
    <w:rsid w:val="002616C0"/>
    <w:rsid w:val="002636BA"/>
    <w:rsid w:val="00265372"/>
    <w:rsid w:val="002662AA"/>
    <w:rsid w:val="0026790B"/>
    <w:rsid w:val="00280496"/>
    <w:rsid w:val="00284C39"/>
    <w:rsid w:val="00294DC9"/>
    <w:rsid w:val="00295495"/>
    <w:rsid w:val="002A2E34"/>
    <w:rsid w:val="002A31DE"/>
    <w:rsid w:val="002B2613"/>
    <w:rsid w:val="002B37CD"/>
    <w:rsid w:val="002B7215"/>
    <w:rsid w:val="002C3681"/>
    <w:rsid w:val="002C54FB"/>
    <w:rsid w:val="002D19B0"/>
    <w:rsid w:val="002D338F"/>
    <w:rsid w:val="002D6D05"/>
    <w:rsid w:val="002E1000"/>
    <w:rsid w:val="002F1818"/>
    <w:rsid w:val="002F19A3"/>
    <w:rsid w:val="002F567B"/>
    <w:rsid w:val="002F5A18"/>
    <w:rsid w:val="00314E31"/>
    <w:rsid w:val="0031797A"/>
    <w:rsid w:val="003216A9"/>
    <w:rsid w:val="00334480"/>
    <w:rsid w:val="00335A74"/>
    <w:rsid w:val="00347707"/>
    <w:rsid w:val="00352E20"/>
    <w:rsid w:val="00363F3C"/>
    <w:rsid w:val="0036561B"/>
    <w:rsid w:val="0037013F"/>
    <w:rsid w:val="0037237D"/>
    <w:rsid w:val="00374C63"/>
    <w:rsid w:val="00376692"/>
    <w:rsid w:val="0037693B"/>
    <w:rsid w:val="00380C92"/>
    <w:rsid w:val="00397975"/>
    <w:rsid w:val="003A410C"/>
    <w:rsid w:val="003A484F"/>
    <w:rsid w:val="003A4883"/>
    <w:rsid w:val="003B0BE0"/>
    <w:rsid w:val="003B0C1B"/>
    <w:rsid w:val="003B688C"/>
    <w:rsid w:val="003B7270"/>
    <w:rsid w:val="003C0291"/>
    <w:rsid w:val="003C39AE"/>
    <w:rsid w:val="003C7B60"/>
    <w:rsid w:val="003D0C0F"/>
    <w:rsid w:val="003D17F4"/>
    <w:rsid w:val="003D1FB2"/>
    <w:rsid w:val="003D3BF9"/>
    <w:rsid w:val="003D66DA"/>
    <w:rsid w:val="003D7353"/>
    <w:rsid w:val="003E1310"/>
    <w:rsid w:val="003E2411"/>
    <w:rsid w:val="003E6F55"/>
    <w:rsid w:val="003F285F"/>
    <w:rsid w:val="003F6C47"/>
    <w:rsid w:val="00406254"/>
    <w:rsid w:val="00411365"/>
    <w:rsid w:val="00416CD4"/>
    <w:rsid w:val="00417F0C"/>
    <w:rsid w:val="004223DE"/>
    <w:rsid w:val="0042579E"/>
    <w:rsid w:val="00434489"/>
    <w:rsid w:val="0043478E"/>
    <w:rsid w:val="00437085"/>
    <w:rsid w:val="0044157B"/>
    <w:rsid w:val="004418D3"/>
    <w:rsid w:val="00443880"/>
    <w:rsid w:val="004464F4"/>
    <w:rsid w:val="004531B0"/>
    <w:rsid w:val="00460668"/>
    <w:rsid w:val="00471401"/>
    <w:rsid w:val="00473F31"/>
    <w:rsid w:val="004815A7"/>
    <w:rsid w:val="0048263A"/>
    <w:rsid w:val="0048384B"/>
    <w:rsid w:val="00487E5D"/>
    <w:rsid w:val="004A389E"/>
    <w:rsid w:val="004A711F"/>
    <w:rsid w:val="004B199D"/>
    <w:rsid w:val="004B4690"/>
    <w:rsid w:val="004E0A2D"/>
    <w:rsid w:val="004E206B"/>
    <w:rsid w:val="004E6DF7"/>
    <w:rsid w:val="004F0FBD"/>
    <w:rsid w:val="004F403E"/>
    <w:rsid w:val="00505A47"/>
    <w:rsid w:val="005128A5"/>
    <w:rsid w:val="00512FDA"/>
    <w:rsid w:val="005166EB"/>
    <w:rsid w:val="00520DA0"/>
    <w:rsid w:val="00531537"/>
    <w:rsid w:val="00545BFE"/>
    <w:rsid w:val="0054735B"/>
    <w:rsid w:val="005664BB"/>
    <w:rsid w:val="00566FFA"/>
    <w:rsid w:val="0057481D"/>
    <w:rsid w:val="00574F60"/>
    <w:rsid w:val="00575F0B"/>
    <w:rsid w:val="0058486E"/>
    <w:rsid w:val="0058505A"/>
    <w:rsid w:val="00585B33"/>
    <w:rsid w:val="0059014D"/>
    <w:rsid w:val="0059349D"/>
    <w:rsid w:val="005B5C64"/>
    <w:rsid w:val="005B728D"/>
    <w:rsid w:val="005C6BD0"/>
    <w:rsid w:val="005C6C4C"/>
    <w:rsid w:val="005D1956"/>
    <w:rsid w:val="005D1C8B"/>
    <w:rsid w:val="005D468D"/>
    <w:rsid w:val="005D5CED"/>
    <w:rsid w:val="005D6FA4"/>
    <w:rsid w:val="005F1A4C"/>
    <w:rsid w:val="005F2DDB"/>
    <w:rsid w:val="005F5D69"/>
    <w:rsid w:val="005F6A59"/>
    <w:rsid w:val="005F76FB"/>
    <w:rsid w:val="00605688"/>
    <w:rsid w:val="006070AF"/>
    <w:rsid w:val="00607E6C"/>
    <w:rsid w:val="006101B1"/>
    <w:rsid w:val="00614E44"/>
    <w:rsid w:val="0062270A"/>
    <w:rsid w:val="00622830"/>
    <w:rsid w:val="00623229"/>
    <w:rsid w:val="00623DA0"/>
    <w:rsid w:val="00630AEF"/>
    <w:rsid w:val="006325F8"/>
    <w:rsid w:val="00633463"/>
    <w:rsid w:val="00634C9A"/>
    <w:rsid w:val="00641F02"/>
    <w:rsid w:val="006440E4"/>
    <w:rsid w:val="0065085B"/>
    <w:rsid w:val="0066343B"/>
    <w:rsid w:val="00664777"/>
    <w:rsid w:val="006748A4"/>
    <w:rsid w:val="00681A31"/>
    <w:rsid w:val="00683E73"/>
    <w:rsid w:val="006A3141"/>
    <w:rsid w:val="006A5E34"/>
    <w:rsid w:val="006B2422"/>
    <w:rsid w:val="006B2B9A"/>
    <w:rsid w:val="006C1937"/>
    <w:rsid w:val="006D3EF1"/>
    <w:rsid w:val="006E7A2E"/>
    <w:rsid w:val="006F020C"/>
    <w:rsid w:val="00710275"/>
    <w:rsid w:val="007121C2"/>
    <w:rsid w:val="007127B7"/>
    <w:rsid w:val="0071798E"/>
    <w:rsid w:val="00727533"/>
    <w:rsid w:val="007416B6"/>
    <w:rsid w:val="00745CDF"/>
    <w:rsid w:val="00746F48"/>
    <w:rsid w:val="0075118F"/>
    <w:rsid w:val="0075404D"/>
    <w:rsid w:val="0076182A"/>
    <w:rsid w:val="00761873"/>
    <w:rsid w:val="00767B7E"/>
    <w:rsid w:val="007770C3"/>
    <w:rsid w:val="00782763"/>
    <w:rsid w:val="00784D24"/>
    <w:rsid w:val="00785FBA"/>
    <w:rsid w:val="00786E4A"/>
    <w:rsid w:val="007875EB"/>
    <w:rsid w:val="00787725"/>
    <w:rsid w:val="0079426B"/>
    <w:rsid w:val="007A0EB8"/>
    <w:rsid w:val="007A3DF4"/>
    <w:rsid w:val="007A3FF3"/>
    <w:rsid w:val="007B065D"/>
    <w:rsid w:val="007B2464"/>
    <w:rsid w:val="007B3DA0"/>
    <w:rsid w:val="007C3C9E"/>
    <w:rsid w:val="007C6474"/>
    <w:rsid w:val="007D1682"/>
    <w:rsid w:val="007D312A"/>
    <w:rsid w:val="007D3F19"/>
    <w:rsid w:val="007D4349"/>
    <w:rsid w:val="007D6E92"/>
    <w:rsid w:val="007E23B0"/>
    <w:rsid w:val="007E5947"/>
    <w:rsid w:val="007F1991"/>
    <w:rsid w:val="007F2C2F"/>
    <w:rsid w:val="007F55FC"/>
    <w:rsid w:val="007F5665"/>
    <w:rsid w:val="00800112"/>
    <w:rsid w:val="008068AA"/>
    <w:rsid w:val="00813348"/>
    <w:rsid w:val="00814181"/>
    <w:rsid w:val="008253BB"/>
    <w:rsid w:val="00832816"/>
    <w:rsid w:val="00833962"/>
    <w:rsid w:val="0083706E"/>
    <w:rsid w:val="008408F6"/>
    <w:rsid w:val="008423A5"/>
    <w:rsid w:val="00850625"/>
    <w:rsid w:val="00853718"/>
    <w:rsid w:val="00855221"/>
    <w:rsid w:val="00860645"/>
    <w:rsid w:val="00871F71"/>
    <w:rsid w:val="00872FD8"/>
    <w:rsid w:val="00885AF4"/>
    <w:rsid w:val="008939CD"/>
    <w:rsid w:val="00897FCF"/>
    <w:rsid w:val="008B71C6"/>
    <w:rsid w:val="008B768C"/>
    <w:rsid w:val="008C4DB1"/>
    <w:rsid w:val="008C4EAF"/>
    <w:rsid w:val="008C5176"/>
    <w:rsid w:val="008C7FD0"/>
    <w:rsid w:val="008D0119"/>
    <w:rsid w:val="008D370C"/>
    <w:rsid w:val="008E1DE7"/>
    <w:rsid w:val="008E312B"/>
    <w:rsid w:val="008E707C"/>
    <w:rsid w:val="008F00BC"/>
    <w:rsid w:val="008F6EB2"/>
    <w:rsid w:val="00900B08"/>
    <w:rsid w:val="00902155"/>
    <w:rsid w:val="00902FA3"/>
    <w:rsid w:val="00906CA4"/>
    <w:rsid w:val="00923564"/>
    <w:rsid w:val="0092392E"/>
    <w:rsid w:val="009315F9"/>
    <w:rsid w:val="00933499"/>
    <w:rsid w:val="00935C98"/>
    <w:rsid w:val="009412B8"/>
    <w:rsid w:val="00946945"/>
    <w:rsid w:val="00947E16"/>
    <w:rsid w:val="00951248"/>
    <w:rsid w:val="0095152F"/>
    <w:rsid w:val="00952E4F"/>
    <w:rsid w:val="00954C49"/>
    <w:rsid w:val="00955E37"/>
    <w:rsid w:val="0097099F"/>
    <w:rsid w:val="00971997"/>
    <w:rsid w:val="00971FFC"/>
    <w:rsid w:val="0097797F"/>
    <w:rsid w:val="00977B9F"/>
    <w:rsid w:val="00986205"/>
    <w:rsid w:val="0098660A"/>
    <w:rsid w:val="009931C3"/>
    <w:rsid w:val="00996972"/>
    <w:rsid w:val="009B2C43"/>
    <w:rsid w:val="009B4EAE"/>
    <w:rsid w:val="009B7573"/>
    <w:rsid w:val="009C22F4"/>
    <w:rsid w:val="009C2E98"/>
    <w:rsid w:val="009C34DA"/>
    <w:rsid w:val="009C37FB"/>
    <w:rsid w:val="009D3447"/>
    <w:rsid w:val="009D4711"/>
    <w:rsid w:val="009F1185"/>
    <w:rsid w:val="009F18CD"/>
    <w:rsid w:val="009F2A13"/>
    <w:rsid w:val="009F7527"/>
    <w:rsid w:val="00A039ED"/>
    <w:rsid w:val="00A04EB0"/>
    <w:rsid w:val="00A117F6"/>
    <w:rsid w:val="00A13CC1"/>
    <w:rsid w:val="00A16847"/>
    <w:rsid w:val="00A17A03"/>
    <w:rsid w:val="00A237D8"/>
    <w:rsid w:val="00A24A4B"/>
    <w:rsid w:val="00A25D35"/>
    <w:rsid w:val="00A268C4"/>
    <w:rsid w:val="00A27E39"/>
    <w:rsid w:val="00A307CD"/>
    <w:rsid w:val="00A331C8"/>
    <w:rsid w:val="00A35117"/>
    <w:rsid w:val="00A40A00"/>
    <w:rsid w:val="00A4142F"/>
    <w:rsid w:val="00A422EB"/>
    <w:rsid w:val="00A45BB7"/>
    <w:rsid w:val="00A56C7B"/>
    <w:rsid w:val="00A56DF2"/>
    <w:rsid w:val="00A56E6E"/>
    <w:rsid w:val="00A57C06"/>
    <w:rsid w:val="00A60B00"/>
    <w:rsid w:val="00A67AB5"/>
    <w:rsid w:val="00A707E6"/>
    <w:rsid w:val="00A7219E"/>
    <w:rsid w:val="00A733B2"/>
    <w:rsid w:val="00A741C2"/>
    <w:rsid w:val="00A91760"/>
    <w:rsid w:val="00A93B00"/>
    <w:rsid w:val="00A93C21"/>
    <w:rsid w:val="00AB64C9"/>
    <w:rsid w:val="00AC3C6A"/>
    <w:rsid w:val="00AD0F83"/>
    <w:rsid w:val="00AD409E"/>
    <w:rsid w:val="00AD5620"/>
    <w:rsid w:val="00AD656B"/>
    <w:rsid w:val="00AD7C1B"/>
    <w:rsid w:val="00AE16BA"/>
    <w:rsid w:val="00AE1EBE"/>
    <w:rsid w:val="00B03524"/>
    <w:rsid w:val="00B03C9D"/>
    <w:rsid w:val="00B060AE"/>
    <w:rsid w:val="00B10517"/>
    <w:rsid w:val="00B14E76"/>
    <w:rsid w:val="00B161B8"/>
    <w:rsid w:val="00B2048C"/>
    <w:rsid w:val="00B310B9"/>
    <w:rsid w:val="00B35F3F"/>
    <w:rsid w:val="00B36CBB"/>
    <w:rsid w:val="00B377AE"/>
    <w:rsid w:val="00B425E0"/>
    <w:rsid w:val="00B440AA"/>
    <w:rsid w:val="00B44B70"/>
    <w:rsid w:val="00B47E1B"/>
    <w:rsid w:val="00B50052"/>
    <w:rsid w:val="00B53C56"/>
    <w:rsid w:val="00B57DAF"/>
    <w:rsid w:val="00B75A11"/>
    <w:rsid w:val="00B77EA6"/>
    <w:rsid w:val="00B81598"/>
    <w:rsid w:val="00B841F1"/>
    <w:rsid w:val="00B944D6"/>
    <w:rsid w:val="00BB4DF0"/>
    <w:rsid w:val="00BB6B43"/>
    <w:rsid w:val="00BC289F"/>
    <w:rsid w:val="00BC2D50"/>
    <w:rsid w:val="00BC5361"/>
    <w:rsid w:val="00BC5460"/>
    <w:rsid w:val="00BC6B50"/>
    <w:rsid w:val="00BD0E25"/>
    <w:rsid w:val="00BD12C8"/>
    <w:rsid w:val="00BF5BD6"/>
    <w:rsid w:val="00C00D96"/>
    <w:rsid w:val="00C03E31"/>
    <w:rsid w:val="00C04D94"/>
    <w:rsid w:val="00C16599"/>
    <w:rsid w:val="00C30E69"/>
    <w:rsid w:val="00C33E72"/>
    <w:rsid w:val="00C354B2"/>
    <w:rsid w:val="00C35554"/>
    <w:rsid w:val="00C42709"/>
    <w:rsid w:val="00C533CC"/>
    <w:rsid w:val="00C5751C"/>
    <w:rsid w:val="00C5763C"/>
    <w:rsid w:val="00C61BFC"/>
    <w:rsid w:val="00C62B85"/>
    <w:rsid w:val="00C63313"/>
    <w:rsid w:val="00C63CE3"/>
    <w:rsid w:val="00C65438"/>
    <w:rsid w:val="00C658BD"/>
    <w:rsid w:val="00C747D0"/>
    <w:rsid w:val="00C8339A"/>
    <w:rsid w:val="00C91CBB"/>
    <w:rsid w:val="00C92BB2"/>
    <w:rsid w:val="00CB4E70"/>
    <w:rsid w:val="00CB5526"/>
    <w:rsid w:val="00CC09B6"/>
    <w:rsid w:val="00CC3976"/>
    <w:rsid w:val="00CC666F"/>
    <w:rsid w:val="00CC6EF1"/>
    <w:rsid w:val="00CD1E3F"/>
    <w:rsid w:val="00CD517B"/>
    <w:rsid w:val="00CD7235"/>
    <w:rsid w:val="00CE0EE7"/>
    <w:rsid w:val="00CE44F6"/>
    <w:rsid w:val="00CE49DA"/>
    <w:rsid w:val="00CE7B61"/>
    <w:rsid w:val="00CF3531"/>
    <w:rsid w:val="00CF3602"/>
    <w:rsid w:val="00D00095"/>
    <w:rsid w:val="00D014C3"/>
    <w:rsid w:val="00D114F0"/>
    <w:rsid w:val="00D203D4"/>
    <w:rsid w:val="00D20620"/>
    <w:rsid w:val="00D24F80"/>
    <w:rsid w:val="00D254F7"/>
    <w:rsid w:val="00D26091"/>
    <w:rsid w:val="00D2685C"/>
    <w:rsid w:val="00D339DE"/>
    <w:rsid w:val="00D34E7C"/>
    <w:rsid w:val="00D35489"/>
    <w:rsid w:val="00D36AFE"/>
    <w:rsid w:val="00D51276"/>
    <w:rsid w:val="00D515C1"/>
    <w:rsid w:val="00D52570"/>
    <w:rsid w:val="00D55406"/>
    <w:rsid w:val="00D65844"/>
    <w:rsid w:val="00D67EC8"/>
    <w:rsid w:val="00D7035F"/>
    <w:rsid w:val="00D81F04"/>
    <w:rsid w:val="00D940C0"/>
    <w:rsid w:val="00D96BEA"/>
    <w:rsid w:val="00DA634F"/>
    <w:rsid w:val="00DA65AC"/>
    <w:rsid w:val="00DB01DD"/>
    <w:rsid w:val="00DB12DC"/>
    <w:rsid w:val="00DB1913"/>
    <w:rsid w:val="00DC0963"/>
    <w:rsid w:val="00DC3415"/>
    <w:rsid w:val="00DC410D"/>
    <w:rsid w:val="00DC5A81"/>
    <w:rsid w:val="00DC68CA"/>
    <w:rsid w:val="00DC7CBA"/>
    <w:rsid w:val="00DD73B7"/>
    <w:rsid w:val="00DE1159"/>
    <w:rsid w:val="00DF28BC"/>
    <w:rsid w:val="00DF34B9"/>
    <w:rsid w:val="00DF4B42"/>
    <w:rsid w:val="00E01053"/>
    <w:rsid w:val="00E07ACF"/>
    <w:rsid w:val="00E108D0"/>
    <w:rsid w:val="00E21807"/>
    <w:rsid w:val="00E331A1"/>
    <w:rsid w:val="00E33202"/>
    <w:rsid w:val="00E336A9"/>
    <w:rsid w:val="00E40428"/>
    <w:rsid w:val="00E419E5"/>
    <w:rsid w:val="00E472B1"/>
    <w:rsid w:val="00E50624"/>
    <w:rsid w:val="00E568DF"/>
    <w:rsid w:val="00E60ED0"/>
    <w:rsid w:val="00E64269"/>
    <w:rsid w:val="00E66797"/>
    <w:rsid w:val="00E82267"/>
    <w:rsid w:val="00E853CE"/>
    <w:rsid w:val="00E867B6"/>
    <w:rsid w:val="00E87F08"/>
    <w:rsid w:val="00E96263"/>
    <w:rsid w:val="00EA010F"/>
    <w:rsid w:val="00EA2758"/>
    <w:rsid w:val="00EA39F9"/>
    <w:rsid w:val="00EB193E"/>
    <w:rsid w:val="00EB3A61"/>
    <w:rsid w:val="00ED05DB"/>
    <w:rsid w:val="00ED1B63"/>
    <w:rsid w:val="00ED3C1F"/>
    <w:rsid w:val="00ED4085"/>
    <w:rsid w:val="00ED420E"/>
    <w:rsid w:val="00ED6FBE"/>
    <w:rsid w:val="00EE2E14"/>
    <w:rsid w:val="00EE2F57"/>
    <w:rsid w:val="00EF2669"/>
    <w:rsid w:val="00EF4C34"/>
    <w:rsid w:val="00EF52C2"/>
    <w:rsid w:val="00EF77C6"/>
    <w:rsid w:val="00F05438"/>
    <w:rsid w:val="00F1214F"/>
    <w:rsid w:val="00F12A33"/>
    <w:rsid w:val="00F1361C"/>
    <w:rsid w:val="00F156F0"/>
    <w:rsid w:val="00F160C7"/>
    <w:rsid w:val="00F17649"/>
    <w:rsid w:val="00F2408F"/>
    <w:rsid w:val="00F240E9"/>
    <w:rsid w:val="00F36D8F"/>
    <w:rsid w:val="00F417B1"/>
    <w:rsid w:val="00F45853"/>
    <w:rsid w:val="00F602DF"/>
    <w:rsid w:val="00F61ACA"/>
    <w:rsid w:val="00F67927"/>
    <w:rsid w:val="00F754A1"/>
    <w:rsid w:val="00F81FD9"/>
    <w:rsid w:val="00F841AA"/>
    <w:rsid w:val="00F84A94"/>
    <w:rsid w:val="00F87E96"/>
    <w:rsid w:val="00F922C7"/>
    <w:rsid w:val="00FA23E8"/>
    <w:rsid w:val="00FB19C7"/>
    <w:rsid w:val="00FB4812"/>
    <w:rsid w:val="00FD3CC1"/>
    <w:rsid w:val="00FE687E"/>
    <w:rsid w:val="00FF1E02"/>
    <w:rsid w:val="00FF30B4"/>
    <w:rsid w:val="04495F15"/>
    <w:rsid w:val="10C055FF"/>
    <w:rsid w:val="16BB723D"/>
    <w:rsid w:val="220C27A4"/>
    <w:rsid w:val="240371BF"/>
    <w:rsid w:val="29FD04D3"/>
    <w:rsid w:val="319F7F4E"/>
    <w:rsid w:val="42BF6210"/>
    <w:rsid w:val="4ECE2238"/>
    <w:rsid w:val="72734D90"/>
    <w:rsid w:val="7F3271B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0">
    <w:name w:val="四号正文"/>
    <w:basedOn w:val="1"/>
    <w:qFormat/>
    <w:uiPriority w:val="0"/>
    <w:pPr>
      <w:spacing w:line="360" w:lineRule="auto"/>
    </w:pPr>
    <w:rPr>
      <w:rFonts w:ascii="??" w:hAnsi="??" w:eastAsia="宋体" w:cs="宋体"/>
      <w:color w:val="000000"/>
      <w:kern w:val="0"/>
      <w:sz w:val="28"/>
      <w:szCs w:val="21"/>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Documents\Desktop\2019&#20915;&#31639;&#35828;&#26126;&#22270;&#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Documents\Desktop\2019&#20915;&#31639;&#35828;&#26126;&#22270;&#34920;.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Documents\Desktop\2019&#20915;&#31639;&#35828;&#26126;&#22270;&#349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Documents\Desktop\2019&#20915;&#31639;&#35828;&#26126;&#22270;&#34920;.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Documents\Desktop\2019&#20915;&#31639;&#35828;&#26126;&#22270;&#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Documents\Desktop\2019&#20915;&#31639;&#35828;&#26126;&#22270;&#34920;.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Documents\Desktop\2019&#20915;&#31639;&#35828;&#26126;&#22270;&#34920;.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Documents\Desktop\2019&#20915;&#31639;&#35828;&#26126;&#22270;&#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sz="1400" b="0" i="0" u="none" strike="noStrike" baseline="0">
                <a:solidFill>
                  <a:srgbClr val="808080"/>
                </a:solidFill>
                <a:latin typeface="方正小标宋简体" panose="02010601030101010101" pitchFamily="4" charset="-122"/>
                <a:ea typeface="方正小标宋简体" panose="02010601030101010101" pitchFamily="4" charset="-122"/>
                <a:cs typeface="方正小标宋简体" panose="02010601030101010101" pitchFamily="4" charset="-122"/>
              </a:rPr>
              <a:t>201</a:t>
            </a:r>
            <a:r>
              <a:rPr lang="en-US" altLang="zh-CN" sz="1400" b="0" i="0" u="none" strike="noStrike" baseline="0">
                <a:solidFill>
                  <a:srgbClr val="808080"/>
                </a:solidFill>
                <a:latin typeface="方正小标宋简体" panose="02010601030101010101" pitchFamily="4" charset="-122"/>
                <a:ea typeface="方正小标宋简体" panose="02010601030101010101" pitchFamily="4" charset="-122"/>
                <a:cs typeface="方正小标宋简体" panose="02010601030101010101" pitchFamily="4" charset="-122"/>
              </a:rPr>
              <a:t>8</a:t>
            </a:r>
            <a:r>
              <a:rPr sz="1400" b="0" i="0" u="none" strike="noStrike" baseline="0">
                <a:solidFill>
                  <a:srgbClr val="808080"/>
                </a:solidFill>
                <a:latin typeface="方正小标宋简体" panose="02010601030101010101" pitchFamily="4" charset="-122"/>
                <a:ea typeface="方正小标宋简体" panose="02010601030101010101" pitchFamily="4" charset="-122"/>
                <a:cs typeface="方正小标宋简体" panose="02010601030101010101" pitchFamily="4" charset="-122"/>
              </a:rPr>
              <a:t>、201</a:t>
            </a:r>
            <a:r>
              <a:rPr lang="en-US" altLang="zh-CN" sz="1400" b="0" i="0" u="none" strike="noStrike" baseline="0">
                <a:solidFill>
                  <a:srgbClr val="808080"/>
                </a:solidFill>
                <a:latin typeface="方正小标宋简体" panose="02010601030101010101" pitchFamily="4" charset="-122"/>
                <a:ea typeface="方正小标宋简体" panose="02010601030101010101" pitchFamily="4" charset="-122"/>
                <a:cs typeface="方正小标宋简体" panose="02010601030101010101" pitchFamily="4" charset="-122"/>
              </a:rPr>
              <a:t>9</a:t>
            </a:r>
            <a:r>
              <a:rPr sz="1400" b="0" i="0" u="none" strike="noStrike" baseline="0">
                <a:solidFill>
                  <a:srgbClr val="808080"/>
                </a:solidFill>
                <a:latin typeface="方正小标宋简体" panose="02010601030101010101" pitchFamily="4" charset="-122"/>
                <a:ea typeface="方正小标宋简体" panose="02010601030101010101" pitchFamily="4" charset="-122"/>
                <a:cs typeface="方正小标宋简体" panose="02010601030101010101" pitchFamily="4" charset="-122"/>
              </a:rPr>
              <a:t>年财政拨款收支总计对比图</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181996680561988"/>
          <c:y val="0.0329376180488445"/>
        </c:manualLayout>
      </c:layout>
      <c:overlay val="0"/>
    </c:title>
    <c:autoTitleDeleted val="0"/>
    <c:plotArea>
      <c:layout>
        <c:manualLayout>
          <c:layoutTarget val="inner"/>
          <c:xMode val="edge"/>
          <c:yMode val="edge"/>
          <c:x val="0.158088377190424"/>
          <c:y val="0.353466459896664"/>
          <c:w val="0.659927062922815"/>
          <c:h val="0.445682451253482"/>
        </c:manualLayout>
      </c:layout>
      <c:barChart>
        <c:barDir val="col"/>
        <c:grouping val="clustered"/>
        <c:varyColors val="0"/>
        <c:ser>
          <c:idx val="0"/>
          <c:order val="0"/>
          <c:spPr>
            <a:solidFill>
              <a:srgbClr val="5B9BD5">
                <a:alpha val="100000"/>
              </a:srgbClr>
            </a:solidFill>
            <a:ln w="3175">
              <a:noFill/>
            </a:ln>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[2019决算说明图表.xls]Sheet1!$B$44:$B$45</c:f>
              <c:strCache>
                <c:ptCount val="2"/>
                <c:pt idx="0">
                  <c:v>2018年</c:v>
                </c:pt>
                <c:pt idx="1">
                  <c:v>2019年</c:v>
                </c:pt>
              </c:strCache>
            </c:strRef>
          </c:cat>
          <c:val>
            <c:numRef>
              <c:f>[2019决算说明图表.xls]Sheet1!$C$44:$C$45</c:f>
              <c:numCache>
                <c:formatCode>General</c:formatCode>
                <c:ptCount val="2"/>
                <c:pt idx="0">
                  <c:v>4940.44</c:v>
                </c:pt>
                <c:pt idx="1">
                  <c:v>2493.49</c:v>
                </c:pt>
              </c:numCache>
            </c:numRef>
          </c:val>
        </c:ser>
        <c:dLbls>
          <c:showLegendKey val="0"/>
          <c:showVal val="1"/>
          <c:showCatName val="0"/>
          <c:showSerName val="0"/>
          <c:showPercent val="0"/>
          <c:showBubbleSize val="0"/>
        </c:dLbls>
        <c:gapWidth val="219"/>
        <c:overlap val="-27"/>
        <c:axId val="177847089"/>
        <c:axId val="849539713"/>
      </c:barChart>
      <c:catAx>
        <c:axId val="177847089"/>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crossAx val="849539713"/>
        <c:crosses val="autoZero"/>
        <c:auto val="1"/>
        <c:lblAlgn val="ctr"/>
        <c:lblOffset val="100"/>
        <c:noMultiLvlLbl val="0"/>
      </c:catAx>
      <c:valAx>
        <c:axId val="849539713"/>
        <c:scaling>
          <c:orientation val="minMax"/>
        </c:scaling>
        <c:delete val="0"/>
        <c:axPos val="l"/>
        <c:majorGridlines>
          <c:spPr>
            <a:ln w="9525" cap="flat" cmpd="sng" algn="ctr">
              <a:solidFill>
                <a:schemeClr val="tx1">
                  <a:lumMod val="15000"/>
                  <a:lumOff val="85000"/>
                </a:schemeClr>
              </a:solidFill>
              <a:prstDash val="solid"/>
              <a:round/>
            </a:ln>
            <a:effectLst/>
          </c:spPr>
        </c:majorGridlines>
        <c:title>
          <c:layout>
            <c:manualLayout>
              <c:xMode val="edge"/>
              <c:yMode val="edge"/>
              <c:x val="0.026521923730122"/>
              <c:y val="0.122873540528882"/>
            </c:manualLayout>
          </c:layout>
          <c:overlay val="0"/>
          <c:spPr>
            <a:noFill/>
            <a:ln w="3175">
              <a:noFill/>
            </a:ln>
          </c:spPr>
          <c:txPr>
            <a:bodyPr rot="-5400000" spcFirstLastPara="0" vertOverflow="ellipsis" vert="horz" wrap="square" anchor="ctr" anchorCtr="1"/>
            <a:lstStyle/>
            <a:p>
              <a:pPr>
                <a:defRPr lang="zh-CN" sz="10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title>
        <c:numFmt formatCode="General" sourceLinked="1"/>
        <c:majorTickMark val="none"/>
        <c:minorTickMark val="none"/>
        <c:tickLblPos val="nextTo"/>
        <c:spPr>
          <a:ln w="3175" cap="flat" cmpd="sng" algn="ctr">
            <a:noFill/>
            <a:prstDash val="solid"/>
            <a:round/>
          </a:ln>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crossAx val="177847089"/>
        <c:crosses val="autoZero"/>
        <c:crossBetween val="between"/>
      </c:valAx>
      <c:spPr>
        <a:noFill/>
        <a:ln w="3175">
          <a:noFill/>
        </a:ln>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94849785407725"/>
          <c:y val="0.0929634124415678"/>
          <c:w val="0.882"/>
          <c:h val="0.732268518518518"/>
        </c:manualLayout>
      </c:layout>
      <c:barChart>
        <c:barDir val="col"/>
        <c:grouping val="clustered"/>
        <c:varyColors val="0"/>
        <c:ser>
          <c:idx val="0"/>
          <c:order val="0"/>
          <c:tx>
            <c:strRef>
              <c:f>[2019决算说明图表.xls]Sheet1!$B$66</c:f>
              <c:strCache>
                <c:ptCount val="1"/>
                <c:pt idx="0">
                  <c:v>本年支出合计</c:v>
                </c:pt>
              </c:strCache>
            </c:strRef>
          </c:tx>
          <c:spPr>
            <a:solidFill>
              <a:srgbClr val="5B9BD5">
                <a:alpha val="100000"/>
              </a:srgbClr>
            </a:solidFill>
            <a:ln w="3175">
              <a:noFill/>
            </a:ln>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[2019决算说明图表.xls]Sheet1!$C$65:$D$65</c:f>
              <c:strCache>
                <c:ptCount val="2"/>
                <c:pt idx="0">
                  <c:v>2018年</c:v>
                </c:pt>
                <c:pt idx="1">
                  <c:v>2019年</c:v>
                </c:pt>
              </c:strCache>
            </c:strRef>
          </c:cat>
          <c:val>
            <c:numRef>
              <c:f>[2019决算说明图表.xls]Sheet1!$C$66:$D$66</c:f>
              <c:numCache>
                <c:formatCode>General</c:formatCode>
                <c:ptCount val="2"/>
                <c:pt idx="0">
                  <c:v>3958.82</c:v>
                </c:pt>
                <c:pt idx="1">
                  <c:v>2841.15</c:v>
                </c:pt>
              </c:numCache>
            </c:numRef>
          </c:val>
        </c:ser>
        <c:ser>
          <c:idx val="1"/>
          <c:order val="1"/>
          <c:tx>
            <c:strRef>
              <c:f>[2019决算说明图表.xls]Sheet1!$B$67</c:f>
              <c:strCache>
                <c:ptCount val="1"/>
                <c:pt idx="0">
                  <c:v>一般公共预算财政拨款支出</c:v>
                </c:pt>
              </c:strCache>
            </c:strRef>
          </c:tx>
          <c:spPr>
            <a:solidFill>
              <a:srgbClr val="ED7D31">
                <a:alpha val="100000"/>
              </a:srgbClr>
            </a:solidFill>
            <a:ln w="3175">
              <a:noFill/>
            </a:ln>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[2019决算说明图表.xls]Sheet1!$C$65:$D$65</c:f>
              <c:strCache>
                <c:ptCount val="2"/>
                <c:pt idx="0">
                  <c:v>2018年</c:v>
                </c:pt>
                <c:pt idx="1">
                  <c:v>2019年</c:v>
                </c:pt>
              </c:strCache>
            </c:strRef>
          </c:cat>
          <c:val>
            <c:numRef>
              <c:f>[2019决算说明图表.xls]Sheet1!$C$67:$D$67</c:f>
              <c:numCache>
                <c:formatCode>General</c:formatCode>
                <c:ptCount val="2"/>
                <c:pt idx="0">
                  <c:v>1210.55</c:v>
                </c:pt>
                <c:pt idx="1">
                  <c:v>1599.16</c:v>
                </c:pt>
              </c:numCache>
            </c:numRef>
          </c:val>
        </c:ser>
        <c:dLbls>
          <c:showLegendKey val="0"/>
          <c:showVal val="1"/>
          <c:showCatName val="0"/>
          <c:showSerName val="0"/>
          <c:showPercent val="0"/>
          <c:showBubbleSize val="0"/>
        </c:dLbls>
        <c:gapWidth val="219"/>
        <c:overlap val="-27"/>
        <c:axId val="565626777"/>
        <c:axId val="150252382"/>
      </c:barChart>
      <c:catAx>
        <c:axId val="565626777"/>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crossAx val="150252382"/>
        <c:crosses val="autoZero"/>
        <c:auto val="1"/>
        <c:lblAlgn val="ctr"/>
        <c:lblOffset val="100"/>
        <c:noMultiLvlLbl val="0"/>
      </c:catAx>
      <c:valAx>
        <c:axId val="15025238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3175" cap="flat" cmpd="sng" algn="ctr">
            <a:noFill/>
            <a:prstDash val="solid"/>
            <a:round/>
          </a:ln>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crossAx val="565626777"/>
        <c:crosses val="autoZero"/>
        <c:crossBetween val="between"/>
      </c:valAx>
      <c:spPr>
        <a:noFill/>
        <a:ln w="3175">
          <a:noFill/>
        </a:ln>
      </c:spPr>
    </c:plotArea>
    <c:legend>
      <c:legendPos val="r"/>
      <c:layout>
        <c:manualLayout>
          <c:xMode val="edge"/>
          <c:yMode val="edge"/>
          <c:x val="0.2465"/>
          <c:y val="0.91575"/>
          <c:w val="0.53725"/>
          <c:h val="0.06475"/>
        </c:manualLayout>
      </c:layout>
      <c:overlay val="0"/>
      <c:spPr>
        <a:noFill/>
        <a:ln w="3175">
          <a:noFill/>
        </a:ln>
      </c:spPr>
      <c:txPr>
        <a:bodyPr rot="0" spcFirstLastPara="0" vertOverflow="ellipsis" vert="horz" wrap="square" anchor="ctr" anchorCtr="1"/>
        <a:lstStyle/>
        <a:p>
          <a:pPr>
            <a:defRPr lang="zh-CN" sz="825"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2019</a:t>
            </a:r>
            <a:r>
              <a:rPr altLang="en-US"/>
              <a:t>收入情况</a:t>
            </a:r>
            <a:endParaRPr alt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[2019决算说明图表.xls]Sheet1!$C$4:$C$5</c:f>
              <c:strCache>
                <c:ptCount val="2"/>
                <c:pt idx="0">
                  <c:v>财政拨款收入</c:v>
                </c:pt>
                <c:pt idx="1">
                  <c:v>其他收入</c:v>
                </c:pt>
              </c:strCache>
            </c:strRef>
          </c:cat>
          <c:val>
            <c:numRef>
              <c:f>[2019决算说明图表.xls]Sheet1!$D$4:$D$5</c:f>
              <c:numCache>
                <c:formatCode>General</c:formatCode>
                <c:ptCount val="2"/>
                <c:pt idx="0">
                  <c:v>1331.2</c:v>
                </c:pt>
                <c:pt idx="1">
                  <c:v>307.15</c:v>
                </c:pt>
              </c:numCache>
            </c:numRef>
          </c:val>
        </c:ser>
        <c:dLbls>
          <c:showLegendKey val="0"/>
          <c:showVal val="1"/>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sz="1200" b="0" i="0" u="none" strike="noStrike" baseline="0">
                <a:solidFill>
                  <a:srgbClr val="808080"/>
                </a:solidFill>
                <a:latin typeface="方正小标宋简体" panose="02010601030101010101" pitchFamily="4" charset="-122"/>
                <a:ea typeface="方正小标宋简体" panose="02010601030101010101" pitchFamily="4" charset="-122"/>
                <a:cs typeface="方正小标宋简体" panose="02010601030101010101" pitchFamily="4" charset="-122"/>
              </a:rPr>
              <a:t>201</a:t>
            </a:r>
            <a:r>
              <a:rPr lang="en-US" altLang="zh-CN" sz="1200" b="0" i="0" u="none" strike="noStrike" baseline="0">
                <a:solidFill>
                  <a:srgbClr val="808080"/>
                </a:solidFill>
                <a:latin typeface="方正小标宋简体" panose="02010601030101010101" pitchFamily="4" charset="-122"/>
                <a:ea typeface="方正小标宋简体" panose="02010601030101010101" pitchFamily="4" charset="-122"/>
                <a:cs typeface="方正小标宋简体" panose="02010601030101010101" pitchFamily="4" charset="-122"/>
              </a:rPr>
              <a:t>9</a:t>
            </a:r>
            <a:r>
              <a:rPr sz="1200" b="0" i="0" u="none" strike="noStrike" baseline="0">
                <a:solidFill>
                  <a:srgbClr val="808080"/>
                </a:solidFill>
                <a:latin typeface="方正小标宋简体" panose="02010601030101010101" pitchFamily="4" charset="-122"/>
                <a:ea typeface="方正小标宋简体" panose="02010601030101010101" pitchFamily="4" charset="-122"/>
                <a:cs typeface="方正小标宋简体" panose="02010601030101010101" pitchFamily="4" charset="-122"/>
              </a:rPr>
              <a:t>支出情况</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375555587661634"/>
          <c:y val="0.0555554482070109"/>
        </c:manualLayout>
      </c:layout>
      <c:overlay val="0"/>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1"/>
            <c:spPr>
              <a:solidFill>
                <a:schemeClr val="accent2"/>
              </a:solidFill>
              <a:ln w="19050">
                <a:solidFill>
                  <a:schemeClr val="lt1"/>
                </a:solidFill>
              </a:ln>
              <a:effectLst/>
            </c:spPr>
          </c:dPt>
          <c:dLbls>
            <c:dLbl>
              <c:idx val="0"/>
              <c:layout>
                <c:manualLayout>
                  <c:x val="-0.115274320626944"/>
                  <c:y val="0.152843430151534"/>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1"/>
              <c:layout>
                <c:manualLayout>
                  <c:x val="0.173286521377318"/>
                  <c:y val="-0.117465564819846"/>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in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[2019决算说明图表.xls]Sheet1!$B$23:$B$24</c:f>
              <c:strCache>
                <c:ptCount val="2"/>
                <c:pt idx="0">
                  <c:v>基本支出</c:v>
                </c:pt>
                <c:pt idx="1">
                  <c:v>项目支出</c:v>
                </c:pt>
              </c:strCache>
            </c:strRef>
          </c:cat>
          <c:val>
            <c:numRef>
              <c:f>[2019决算说明图表.xls]Sheet1!$C$23:$C$24</c:f>
              <c:numCache>
                <c:formatCode>General</c:formatCode>
                <c:ptCount val="2"/>
                <c:pt idx="0">
                  <c:v>612.87</c:v>
                </c:pt>
                <c:pt idx="1">
                  <c:v>2228.28</c:v>
                </c:pt>
              </c:numCache>
            </c:numRef>
          </c:val>
        </c:ser>
        <c:dLbls>
          <c:showLegendKey val="0"/>
          <c:showVal val="1"/>
          <c:showCatName val="0"/>
          <c:showSerName val="0"/>
          <c:showPercent val="0"/>
          <c:showBubbleSize val="0"/>
          <c:showLeaderLines val="1"/>
        </c:dLbls>
        <c:firstSliceAng val="0"/>
      </c:pieChart>
      <c:spPr>
        <a:noFill/>
        <a:ln w="3175">
          <a:noFill/>
        </a:ln>
      </c:spPr>
    </c:plotArea>
    <c:legend>
      <c:legendPos val="r"/>
      <c:layout>
        <c:manualLayout>
          <c:xMode val="edge"/>
          <c:yMode val="edge"/>
          <c:x val="0.7895"/>
          <c:y val="0.4625"/>
          <c:w val="0.12225"/>
          <c:h val="0.1195"/>
        </c:manualLayout>
      </c:layout>
      <c:overlay val="0"/>
      <c:spPr>
        <a:noFill/>
        <a:ln w="3175">
          <a:noFill/>
        </a:ln>
      </c:spPr>
      <c:txPr>
        <a:bodyPr rot="0" spcFirstLastPara="0" vertOverflow="ellipsis" vert="horz" wrap="square" anchor="ctr" anchorCtr="1"/>
        <a:lstStyle/>
        <a:p>
          <a:pPr>
            <a:defRPr lang="zh-CN" sz="825"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777222222222222"/>
          <c:y val="0.0864484126984127"/>
          <c:w val="0.882732919254658"/>
          <c:h val="0.595571428571429"/>
        </c:manualLayout>
      </c:layout>
      <c:barChart>
        <c:barDir val="col"/>
        <c:grouping val="clustered"/>
        <c:varyColors val="0"/>
        <c:ser>
          <c:idx val="0"/>
          <c:order val="0"/>
          <c:tx>
            <c:strRef>
              <c:f>[2019决算说明图表.xls]Sheet1!$B$143</c:f>
              <c:strCache>
                <c:ptCount val="1"/>
                <c:pt idx="0">
                  <c:v>本年收入合计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[2019决算说明图表.xls]Sheet1!$C$142:$D$142</c:f>
              <c:strCache>
                <c:ptCount val="2"/>
                <c:pt idx="0">
                  <c:v>2018年</c:v>
                </c:pt>
                <c:pt idx="1">
                  <c:v>2019年</c:v>
                </c:pt>
              </c:strCache>
            </c:strRef>
          </c:cat>
          <c:val>
            <c:numRef>
              <c:f>[2019决算说明图表.xls]Sheet1!$C$143:$D$143</c:f>
              <c:numCache>
                <c:formatCode>General</c:formatCode>
                <c:ptCount val="2"/>
                <c:pt idx="0">
                  <c:v>3036.34</c:v>
                </c:pt>
                <c:pt idx="1">
                  <c:v>2186.34</c:v>
                </c:pt>
              </c:numCache>
            </c:numRef>
          </c:val>
        </c:ser>
        <c:ser>
          <c:idx val="1"/>
          <c:order val="1"/>
          <c:tx>
            <c:strRef>
              <c:f>[2019决算说明图表.xls]Sheet1!$B$144</c:f>
              <c:strCache>
                <c:ptCount val="1"/>
                <c:pt idx="0">
                  <c:v>本年支出合计</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[2019决算说明图表.xls]Sheet1!$C$142:$D$142</c:f>
              <c:strCache>
                <c:ptCount val="2"/>
                <c:pt idx="0">
                  <c:v>2018年</c:v>
                </c:pt>
                <c:pt idx="1">
                  <c:v>2019年</c:v>
                </c:pt>
              </c:strCache>
            </c:strRef>
          </c:cat>
          <c:val>
            <c:numRef>
              <c:f>[2019决算说明图表.xls]Sheet1!$C$144:$D$144</c:f>
              <c:numCache>
                <c:formatCode>General</c:formatCode>
                <c:ptCount val="2"/>
                <c:pt idx="0">
                  <c:v>2176.73</c:v>
                </c:pt>
                <c:pt idx="1">
                  <c:v>2767.55</c:v>
                </c:pt>
              </c:numCache>
            </c:numRef>
          </c:val>
        </c:ser>
        <c:dLbls>
          <c:showLegendKey val="0"/>
          <c:showVal val="1"/>
          <c:showCatName val="0"/>
          <c:showSerName val="0"/>
          <c:showPercent val="0"/>
          <c:showBubbleSize val="0"/>
        </c:dLbls>
        <c:gapWidth val="219"/>
        <c:overlap val="-27"/>
        <c:axId val="770215390"/>
        <c:axId val="403630379"/>
      </c:barChart>
      <c:catAx>
        <c:axId val="77021539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3630379"/>
        <c:crosses val="autoZero"/>
        <c:auto val="1"/>
        <c:lblAlgn val="ctr"/>
        <c:lblOffset val="100"/>
        <c:noMultiLvlLbl val="0"/>
      </c:catAx>
      <c:valAx>
        <c:axId val="4036303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021539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94849785407725"/>
          <c:y val="0.060816702624955"/>
          <c:w val="0.882"/>
          <c:h val="0.732268518518518"/>
        </c:manualLayout>
      </c:layout>
      <c:barChart>
        <c:barDir val="col"/>
        <c:grouping val="clustered"/>
        <c:varyColors val="0"/>
        <c:ser>
          <c:idx val="0"/>
          <c:order val="0"/>
          <c:tx>
            <c:strRef>
              <c:f>[2019决算说明图表.xls]Sheet1!$B$66</c:f>
              <c:strCache>
                <c:ptCount val="1"/>
                <c:pt idx="0">
                  <c:v>本年支出合计</c:v>
                </c:pt>
              </c:strCache>
            </c:strRef>
          </c:tx>
          <c:spPr>
            <a:solidFill>
              <a:srgbClr val="5B9BD5">
                <a:alpha val="100000"/>
              </a:srgbClr>
            </a:solidFill>
            <a:ln w="3175">
              <a:noFill/>
            </a:ln>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[2019决算说明图表.xls]Sheet1!$C$65:$D$65</c:f>
              <c:strCache>
                <c:ptCount val="2"/>
                <c:pt idx="0">
                  <c:v>2018年</c:v>
                </c:pt>
                <c:pt idx="1">
                  <c:v>2019年</c:v>
                </c:pt>
              </c:strCache>
            </c:strRef>
          </c:cat>
          <c:val>
            <c:numRef>
              <c:f>[2019决算说明图表.xls]Sheet1!$C$66:$D$66</c:f>
              <c:numCache>
                <c:formatCode>General</c:formatCode>
                <c:ptCount val="2"/>
                <c:pt idx="0">
                  <c:v>3958.82</c:v>
                </c:pt>
                <c:pt idx="1">
                  <c:v>2841.15</c:v>
                </c:pt>
              </c:numCache>
            </c:numRef>
          </c:val>
        </c:ser>
        <c:ser>
          <c:idx val="1"/>
          <c:order val="1"/>
          <c:tx>
            <c:strRef>
              <c:f>[2019决算说明图表.xls]Sheet1!$B$67</c:f>
              <c:strCache>
                <c:ptCount val="1"/>
                <c:pt idx="0">
                  <c:v>一般公共预算财政拨款支出</c:v>
                </c:pt>
              </c:strCache>
            </c:strRef>
          </c:tx>
          <c:spPr>
            <a:solidFill>
              <a:srgbClr val="ED7D31">
                <a:alpha val="100000"/>
              </a:srgbClr>
            </a:solidFill>
            <a:ln w="3175">
              <a:noFill/>
            </a:ln>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[2019决算说明图表.xls]Sheet1!$C$65:$D$65</c:f>
              <c:strCache>
                <c:ptCount val="2"/>
                <c:pt idx="0">
                  <c:v>2018年</c:v>
                </c:pt>
                <c:pt idx="1">
                  <c:v>2019年</c:v>
                </c:pt>
              </c:strCache>
            </c:strRef>
          </c:cat>
          <c:val>
            <c:numRef>
              <c:f>[2019决算说明图表.xls]Sheet1!$C$67:$D$67</c:f>
              <c:numCache>
                <c:formatCode>General</c:formatCode>
                <c:ptCount val="2"/>
                <c:pt idx="0">
                  <c:v>1210.55</c:v>
                </c:pt>
                <c:pt idx="1">
                  <c:v>1599.16</c:v>
                </c:pt>
              </c:numCache>
            </c:numRef>
          </c:val>
        </c:ser>
        <c:dLbls>
          <c:showLegendKey val="0"/>
          <c:showVal val="1"/>
          <c:showCatName val="0"/>
          <c:showSerName val="0"/>
          <c:showPercent val="0"/>
          <c:showBubbleSize val="0"/>
        </c:dLbls>
        <c:gapWidth val="219"/>
        <c:overlap val="-27"/>
        <c:axId val="565626777"/>
        <c:axId val="150252382"/>
      </c:barChart>
      <c:catAx>
        <c:axId val="565626777"/>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crossAx val="150252382"/>
        <c:crosses val="autoZero"/>
        <c:auto val="1"/>
        <c:lblAlgn val="ctr"/>
        <c:lblOffset val="100"/>
        <c:noMultiLvlLbl val="0"/>
      </c:catAx>
      <c:valAx>
        <c:axId val="15025238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3175" cap="flat" cmpd="sng" algn="ctr">
            <a:noFill/>
            <a:prstDash val="solid"/>
            <a:round/>
          </a:ln>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crossAx val="565626777"/>
        <c:crosses val="autoZero"/>
        <c:crossBetween val="between"/>
      </c:valAx>
      <c:spPr>
        <a:noFill/>
        <a:ln w="3175">
          <a:noFill/>
        </a:ln>
      </c:spPr>
    </c:plotArea>
    <c:legend>
      <c:legendPos val="r"/>
      <c:layout>
        <c:manualLayout>
          <c:xMode val="edge"/>
          <c:yMode val="edge"/>
          <c:x val="0.2465"/>
          <c:y val="0.91575"/>
          <c:w val="0.53725"/>
          <c:h val="0.06475"/>
        </c:manualLayout>
      </c:layout>
      <c:overlay val="0"/>
      <c:spPr>
        <a:noFill/>
        <a:ln w="3175">
          <a:noFill/>
        </a:ln>
      </c:spPr>
      <c:txPr>
        <a:bodyPr rot="0" spcFirstLastPara="0" vertOverflow="ellipsis" vert="horz" wrap="square" anchor="ctr" anchorCtr="1"/>
        <a:lstStyle/>
        <a:p>
          <a:pPr>
            <a:defRPr lang="zh-CN" sz="825"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baseline="0">
                <a:solidFill>
                  <a:srgbClr val="808080">
                    <a:alpha val="100000"/>
                  </a:srgbClr>
                </a:solidFill>
                <a:latin typeface="方正小标宋简体" panose="02010601030101010101" pitchFamily="4" charset="-122"/>
                <a:ea typeface="方正小标宋简体" panose="02010601030101010101" pitchFamily="4" charset="-122"/>
                <a:cs typeface="方正小标宋简体" panose="02010601030101010101" pitchFamily="4" charset="-122"/>
              </a:defRPr>
            </a:pPr>
            <a:r>
              <a:rPr sz="1200" b="0" i="0" u="none" strike="noStrike" baseline="0">
                <a:solidFill>
                  <a:srgbClr val="808080"/>
                </a:solidFill>
                <a:latin typeface="方正小标宋简体" panose="02010601030101010101" pitchFamily="4" charset="-122"/>
                <a:ea typeface="方正小标宋简体" panose="02010601030101010101" pitchFamily="4" charset="-122"/>
                <a:cs typeface="方正小标宋简体" panose="02010601030101010101" pitchFamily="4" charset="-122"/>
              </a:rPr>
              <a:t>201</a:t>
            </a:r>
            <a:r>
              <a:rPr lang="en-US" altLang="zh-CN" sz="1200" b="0" i="0" u="none" strike="noStrike" baseline="0">
                <a:solidFill>
                  <a:srgbClr val="808080"/>
                </a:solidFill>
                <a:latin typeface="方正小标宋简体" panose="02010601030101010101" pitchFamily="4" charset="-122"/>
                <a:ea typeface="方正小标宋简体" panose="02010601030101010101" pitchFamily="4" charset="-122"/>
                <a:cs typeface="方正小标宋简体" panose="02010601030101010101" pitchFamily="4" charset="-122"/>
              </a:rPr>
              <a:t>9</a:t>
            </a:r>
            <a:r>
              <a:rPr sz="1200" b="0" i="0" u="none" strike="noStrike" baseline="0">
                <a:solidFill>
                  <a:srgbClr val="808080"/>
                </a:solidFill>
                <a:latin typeface="方正小标宋简体" panose="02010601030101010101" pitchFamily="4" charset="-122"/>
                <a:ea typeface="方正小标宋简体" panose="02010601030101010101" pitchFamily="4" charset="-122"/>
                <a:cs typeface="方正小标宋简体" panose="02010601030101010101" pitchFamily="4" charset="-122"/>
              </a:rPr>
              <a:t>年一般公共预算财政拨款支出</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0"/>
      <c:spPr>
        <a:noFill/>
        <a:ln w="3175">
          <a:noFill/>
        </a:ln>
      </c:sp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Pt>
            <c:idx val="3"/>
            <c:bubble3D val="0"/>
            <c:explosion val="0"/>
            <c:spPr>
              <a:solidFill>
                <a:schemeClr val="accent4"/>
              </a:solidFill>
              <a:ln w="19050">
                <a:solidFill>
                  <a:schemeClr val="lt1"/>
                </a:solidFill>
              </a:ln>
              <a:effectLst/>
            </c:spPr>
          </c:dPt>
          <c:dPt>
            <c:idx val="4"/>
            <c:bubble3D val="0"/>
            <c:explosion val="0"/>
            <c:spPr>
              <a:solidFill>
                <a:schemeClr val="accent5"/>
              </a:solidFill>
              <a:ln w="19050">
                <a:solidFill>
                  <a:schemeClr val="lt1"/>
                </a:solidFill>
              </a:ln>
              <a:effectLst/>
            </c:spPr>
          </c:dPt>
          <c:dPt>
            <c:idx val="5"/>
            <c:bubble3D val="0"/>
            <c:explosion val="0"/>
            <c:spPr>
              <a:solidFill>
                <a:schemeClr val="accent6"/>
              </a:solidFill>
              <a:ln w="19050">
                <a:solidFill>
                  <a:schemeClr val="lt1"/>
                </a:solidFill>
              </a:ln>
              <a:effectLst/>
            </c:spPr>
          </c:dPt>
          <c:dPt>
            <c:idx val="6"/>
            <c:bubble3D val="0"/>
            <c:explosion val="0"/>
            <c:spPr>
              <a:solidFill>
                <a:schemeClr val="accent1">
                  <a:lumMod val="60000"/>
                </a:schemeClr>
              </a:solidFill>
              <a:ln w="19050">
                <a:solidFill>
                  <a:schemeClr val="lt1"/>
                </a:solidFill>
              </a:ln>
              <a:effectLst/>
            </c:spPr>
          </c:dPt>
          <c:dPt>
            <c:idx val="7"/>
            <c:bubble3D val="0"/>
            <c:explosion val="0"/>
            <c:spPr>
              <a:solidFill>
                <a:schemeClr val="accent2">
                  <a:lumMod val="60000"/>
                </a:schemeClr>
              </a:solidFill>
              <a:ln w="19050">
                <a:solidFill>
                  <a:schemeClr val="lt1"/>
                </a:solidFill>
              </a:ln>
              <a:effectLst/>
            </c:spPr>
          </c:dPt>
          <c:dPt>
            <c:idx val="8"/>
            <c:bubble3D val="0"/>
            <c:explosion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[2019决算说明图表.xls]Sheet1!$C$88:$C$96</c:f>
              <c:strCache>
                <c:ptCount val="9"/>
                <c:pt idx="0">
                  <c:v>一般公共服务支出</c:v>
                </c:pt>
                <c:pt idx="1">
                  <c:v>文化旅游体育与传媒支出</c:v>
                </c:pt>
                <c:pt idx="2">
                  <c:v>社会保障和就业支出</c:v>
                </c:pt>
                <c:pt idx="3">
                  <c:v>卫生健康支出</c:v>
                </c:pt>
                <c:pt idx="4">
                  <c:v>住房保障支出</c:v>
                </c:pt>
                <c:pt idx="5">
                  <c:v>农林水支出</c:v>
                </c:pt>
                <c:pt idx="6">
                  <c:v>城乡社区事务支出</c:v>
                </c:pt>
                <c:pt idx="7">
                  <c:v>国防支出</c:v>
                </c:pt>
                <c:pt idx="8">
                  <c:v>灾害防治及应急管理支出</c:v>
                </c:pt>
              </c:strCache>
            </c:strRef>
          </c:cat>
          <c:val>
            <c:numRef>
              <c:f>[2019决算说明图表.xls]Sheet1!$D$88:$D$96</c:f>
              <c:numCache>
                <c:formatCode>General</c:formatCode>
                <c:ptCount val="9"/>
                <c:pt idx="0">
                  <c:v>639.43</c:v>
                </c:pt>
                <c:pt idx="1">
                  <c:v>104.81</c:v>
                </c:pt>
                <c:pt idx="2">
                  <c:v>29.16</c:v>
                </c:pt>
                <c:pt idx="3">
                  <c:v>4.34</c:v>
                </c:pt>
                <c:pt idx="4">
                  <c:v>101.16</c:v>
                </c:pt>
                <c:pt idx="5">
                  <c:v>696.18</c:v>
                </c:pt>
                <c:pt idx="6">
                  <c:v>6.89</c:v>
                </c:pt>
                <c:pt idx="7">
                  <c:v>2.69</c:v>
                </c:pt>
                <c:pt idx="8">
                  <c:v>14.5</c:v>
                </c:pt>
              </c:numCache>
            </c:numRef>
          </c:val>
        </c:ser>
        <c:dLbls>
          <c:showLegendKey val="0"/>
          <c:showVal val="1"/>
          <c:showCatName val="0"/>
          <c:showSerName val="0"/>
          <c:showPercent val="0"/>
          <c:showBubbleSize val="0"/>
          <c:showLeaderLines val="1"/>
        </c:dLbls>
        <c:firstSliceAng val="0"/>
      </c:pieChart>
      <c:spPr>
        <a:noFill/>
        <a:ln w="3175">
          <a:noFill/>
        </a:ln>
      </c:spPr>
    </c:plotArea>
    <c:legend>
      <c:legendPos val="r"/>
      <c:layout>
        <c:manualLayout>
          <c:xMode val="edge"/>
          <c:yMode val="edge"/>
          <c:x val="0.661"/>
          <c:y val="0.12375"/>
          <c:w val="0.322"/>
          <c:h val="0.812"/>
        </c:manualLayout>
      </c:layout>
      <c:overlay val="0"/>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baseline="0">
                <a:solidFill>
                  <a:srgbClr val="808080">
                    <a:alpha val="100000"/>
                  </a:srgbClr>
                </a:solidFill>
                <a:latin typeface="方正小标宋简体" panose="02010601030101010101" pitchFamily="4" charset="-122"/>
                <a:ea typeface="方正小标宋简体" panose="02010601030101010101" pitchFamily="4" charset="-122"/>
                <a:cs typeface="方正小标宋简体" panose="02010601030101010101" pitchFamily="4" charset="-122"/>
              </a:defRPr>
            </a:pPr>
            <a:r>
              <a:t>公务用车购置及运行维护费</a:t>
            </a:r>
            <a:endParaRPr sz="1200" b="0" i="0" u="none" strike="noStrike" baseline="0">
              <a:solidFill>
                <a:srgbClr val="808080">
                  <a:alpha val="100000"/>
                </a:srgbClr>
              </a:solidFill>
              <a:latin typeface="方正小标宋简体" panose="02010601030101010101" pitchFamily="4" charset="-122"/>
              <a:ea typeface="方正小标宋简体" panose="02010601030101010101" pitchFamily="4" charset="-122"/>
              <a:cs typeface="方正小标宋简体" panose="02010601030101010101" pitchFamily="4" charset="-122"/>
            </a:endParaRPr>
          </a:p>
        </c:rich>
      </c:tx>
      <c:layout>
        <c:manualLayout>
          <c:xMode val="edge"/>
          <c:yMode val="edge"/>
          <c:x val="0.279722222222222"/>
          <c:y val="0.0625"/>
        </c:manualLayout>
      </c:layout>
      <c:overlay val="0"/>
      <c:spPr>
        <a:noFill/>
        <a:ln w="3175">
          <a:noFill/>
        </a:ln>
      </c:spPr>
    </c:title>
    <c:autoTitleDeleted val="0"/>
    <c:plotArea>
      <c:layout>
        <c:manualLayout>
          <c:layoutTarget val="inner"/>
          <c:xMode val="edge"/>
          <c:yMode val="edge"/>
          <c:x val="0.302434009447069"/>
          <c:y val="0.30412962962963"/>
          <c:w val="0.413470408446791"/>
          <c:h val="0.688925925925926"/>
        </c:manualLayout>
      </c:layout>
      <c:pieChart>
        <c:varyColors val="1"/>
        <c:ser>
          <c:idx val="0"/>
          <c:order val="0"/>
          <c:tx>
            <c:strRef>
              <c:f>[2019决算说明图表.xls]Sheet1!$C$112</c:f>
              <c:strCache>
                <c:ptCount val="1"/>
                <c:pt idx="0">
                  <c:v>公务用车购置及运行维护费</c:v>
                </c:pt>
              </c:strCache>
            </c:strRef>
          </c:tx>
          <c:explosion val="0"/>
          <c:dPt>
            <c:idx val="0"/>
            <c:bubble3D val="0"/>
            <c:explosion val="0"/>
            <c:spPr>
              <a:solidFill>
                <a:schemeClr val="accent4">
                  <a:lumMod val="40000"/>
                  <a:lumOff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val>
            <c:numRef>
              <c:f>[2019决算说明图表.xls]Sheet1!$D$112</c:f>
              <c:numCache>
                <c:formatCode>General</c:formatCode>
                <c:ptCount val="1"/>
                <c:pt idx="0">
                  <c:v>34.15</c:v>
                </c:pt>
              </c:numCache>
            </c:numRef>
          </c:val>
        </c:ser>
        <c:dLbls>
          <c:showLegendKey val="0"/>
          <c:showVal val="1"/>
          <c:showCatName val="0"/>
          <c:showSerName val="0"/>
          <c:showPercent val="0"/>
          <c:showBubbleSize val="0"/>
          <c:showLeaderLines val="1"/>
        </c:dLbls>
        <c:firstSliceAng val="0"/>
      </c:pieChart>
      <c:spPr>
        <a:noFill/>
        <a:ln w="3175">
          <a:noFill/>
        </a:ln>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25</Pages>
  <Words>1423</Words>
  <Characters>8113</Characters>
  <Lines>67</Lines>
  <Paragraphs>19</Paragraphs>
  <TotalTime>1</TotalTime>
  <ScaleCrop>false</ScaleCrop>
  <LinksUpToDate>false</LinksUpToDate>
  <CharactersWithSpaces>9517</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2020-10-15T08:15:00Z</dcterms:created>
  <dc:creator>曹颖</dc:creator>
  <cp:lastModifiedBy>Administrator</cp:lastModifiedBy>
  <cp:lastPrinted>2020-10-29T08:06:00Z</cp:lastPrinted>
  <dcterms:modified xsi:type="dcterms:W3CDTF">2025-07-09T08:40:34Z</dcterms:modified>
  <dc:title>四川省***</dc:title>
  <cp:revision>209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7A0D0396FBDB4501A88D61D441816258</vt:lpwstr>
  </property>
</Properties>
</file>