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仿宋_GB2312" w:hAnsi="仿宋_GB2312" w:eastAsia="仿宋_GB2312" w:cs="仿宋_GB2312"/>
          <w:color w:val="000000"/>
          <w:sz w:val="72"/>
          <w:szCs w:val="72"/>
        </w:rPr>
      </w:pPr>
      <w:bookmarkStart w:id="0" w:name="_Toc15306267"/>
    </w:p>
    <w:p>
      <w:pPr>
        <w:spacing w:line="600" w:lineRule="exact"/>
        <w:jc w:val="center"/>
        <w:outlineLvl w:val="0"/>
        <w:rPr>
          <w:rFonts w:ascii="仿宋_GB2312" w:hAnsi="仿宋_GB2312" w:eastAsia="仿宋_GB2312" w:cs="仿宋_GB2312"/>
          <w:color w:val="000000"/>
          <w:sz w:val="72"/>
          <w:szCs w:val="72"/>
        </w:rPr>
      </w:pPr>
    </w:p>
    <w:p>
      <w:pPr>
        <w:spacing w:line="600" w:lineRule="exact"/>
        <w:jc w:val="center"/>
        <w:outlineLvl w:val="0"/>
        <w:rPr>
          <w:rFonts w:ascii="仿宋_GB2312" w:hAnsi="仿宋_GB2312" w:eastAsia="仿宋_GB2312" w:cs="仿宋_GB2312"/>
          <w:color w:val="000000"/>
          <w:sz w:val="72"/>
          <w:szCs w:val="72"/>
        </w:rPr>
      </w:pPr>
    </w:p>
    <w:p>
      <w:pPr>
        <w:spacing w:line="600" w:lineRule="exact"/>
        <w:jc w:val="center"/>
        <w:outlineLvl w:val="0"/>
        <w:rPr>
          <w:rFonts w:ascii="仿宋_GB2312" w:hAnsi="仿宋_GB2312" w:eastAsia="仿宋_GB2312" w:cs="仿宋_GB2312"/>
          <w:color w:val="000000"/>
          <w:sz w:val="72"/>
          <w:szCs w:val="72"/>
        </w:rPr>
      </w:pPr>
    </w:p>
    <w:p>
      <w:pPr>
        <w:adjustRightInd w:val="0"/>
        <w:snapToGrid w:val="0"/>
        <w:spacing w:line="360" w:lineRule="auto"/>
        <w:jc w:val="center"/>
        <w:outlineLvl w:val="0"/>
        <w:rPr>
          <w:rFonts w:ascii="仿宋_GB2312" w:hAnsi="仿宋_GB2312" w:eastAsia="仿宋_GB2312" w:cs="仿宋_GB2312"/>
          <w:color w:val="000000"/>
          <w:sz w:val="72"/>
          <w:szCs w:val="72"/>
        </w:rPr>
      </w:pPr>
      <w:bookmarkStart w:id="1" w:name="_Toc15396475"/>
      <w:bookmarkStart w:id="2" w:name="_Toc15396597"/>
      <w:bookmarkStart w:id="3" w:name="_Toc15378441"/>
      <w:bookmarkStart w:id="4" w:name="_Toc15377193"/>
      <w:bookmarkStart w:id="5" w:name="_Toc15377425"/>
      <w:r>
        <w:rPr>
          <w:rFonts w:hint="eastAsia" w:ascii="仿宋_GB2312" w:hAnsi="仿宋_GB2312" w:eastAsia="仿宋_GB2312" w:cs="仿宋_GB2312"/>
          <w:color w:val="000000"/>
          <w:sz w:val="72"/>
          <w:szCs w:val="72"/>
        </w:rPr>
        <w:t>2019年度</w:t>
      </w:r>
      <w:bookmarkEnd w:id="1"/>
      <w:bookmarkEnd w:id="2"/>
      <w:bookmarkEnd w:id="3"/>
      <w:bookmarkEnd w:id="4"/>
      <w:bookmarkEnd w:id="5"/>
    </w:p>
    <w:p>
      <w:pPr>
        <w:adjustRightInd w:val="0"/>
        <w:snapToGrid w:val="0"/>
        <w:spacing w:line="360" w:lineRule="auto"/>
        <w:jc w:val="center"/>
        <w:outlineLvl w:val="0"/>
        <w:rPr>
          <w:rFonts w:ascii="仿宋_GB2312" w:hAnsi="仿宋_GB2312" w:eastAsia="仿宋_GB2312" w:cs="仿宋_GB2312"/>
          <w:color w:val="000000" w:themeColor="text1"/>
          <w:sz w:val="72"/>
          <w:szCs w:val="72"/>
        </w:rPr>
      </w:pPr>
      <w:bookmarkStart w:id="6" w:name="_Toc15377194"/>
      <w:bookmarkStart w:id="7" w:name="_Toc15378442"/>
      <w:bookmarkStart w:id="8" w:name="_Toc15377426"/>
      <w:bookmarkStart w:id="9" w:name="_Toc15396476"/>
      <w:bookmarkStart w:id="10" w:name="_Toc15396598"/>
      <w:r>
        <w:rPr>
          <w:rFonts w:hint="eastAsia" w:ascii="仿宋_GB2312" w:hAnsi="仿宋_GB2312" w:eastAsia="仿宋_GB2312" w:cs="仿宋_GB2312"/>
          <w:color w:val="000000"/>
          <w:sz w:val="72"/>
          <w:szCs w:val="72"/>
        </w:rPr>
        <w:t>四川省</w:t>
      </w:r>
      <w:bookmarkEnd w:id="0"/>
      <w:bookmarkStart w:id="11" w:name="_Toc15306268"/>
      <w:r>
        <w:rPr>
          <w:rFonts w:hint="eastAsia" w:ascii="仿宋_GB2312" w:hAnsi="仿宋_GB2312" w:eastAsia="仿宋_GB2312" w:cs="仿宋_GB2312"/>
          <w:color w:val="000000"/>
          <w:sz w:val="72"/>
          <w:szCs w:val="72"/>
        </w:rPr>
        <w:t>乐山市</w:t>
      </w:r>
      <w:r>
        <w:rPr>
          <w:rFonts w:hint="eastAsia" w:ascii="仿宋_GB2312" w:hAnsi="仿宋_GB2312" w:eastAsia="仿宋_GB2312" w:cs="仿宋_GB2312"/>
          <w:color w:val="000000" w:themeColor="text1"/>
          <w:sz w:val="72"/>
          <w:szCs w:val="72"/>
        </w:rPr>
        <w:t>峨眉山市</w:t>
      </w:r>
    </w:p>
    <w:p>
      <w:pPr>
        <w:adjustRightInd w:val="0"/>
        <w:snapToGrid w:val="0"/>
        <w:spacing w:line="360" w:lineRule="auto"/>
        <w:jc w:val="center"/>
        <w:outlineLvl w:val="0"/>
        <w:rPr>
          <w:rFonts w:ascii="仿宋_GB2312" w:hAnsi="仿宋_GB2312" w:eastAsia="仿宋_GB2312" w:cs="仿宋_GB2312"/>
          <w:color w:val="000000" w:themeColor="text1"/>
          <w:sz w:val="72"/>
          <w:szCs w:val="72"/>
        </w:rPr>
      </w:pPr>
      <w:r>
        <w:rPr>
          <w:rFonts w:hint="eastAsia" w:ascii="仿宋_GB2312" w:hAnsi="仿宋_GB2312" w:eastAsia="仿宋_GB2312" w:cs="仿宋_GB2312"/>
          <w:color w:val="000000" w:themeColor="text1"/>
          <w:sz w:val="72"/>
          <w:szCs w:val="72"/>
        </w:rPr>
        <w:t>司法局</w:t>
      </w:r>
      <w:r>
        <w:rPr>
          <w:rFonts w:hint="eastAsia" w:ascii="仿宋_GB2312" w:hAnsi="仿宋_GB2312" w:eastAsia="仿宋_GB2312" w:cs="仿宋_GB2312"/>
          <w:color w:val="000000"/>
          <w:sz w:val="72"/>
          <w:szCs w:val="72"/>
        </w:rPr>
        <w:t>部门决算</w:t>
      </w:r>
      <w:bookmarkEnd w:id="6"/>
      <w:bookmarkEnd w:id="7"/>
      <w:bookmarkEnd w:id="8"/>
      <w:bookmarkEnd w:id="9"/>
      <w:bookmarkEnd w:id="10"/>
      <w:bookmarkEnd w:id="11"/>
    </w:p>
    <w:p>
      <w:pPr>
        <w:widowControl/>
        <w:jc w:val="center"/>
        <w:rPr>
          <w:rFonts w:ascii="仿宋_GB2312" w:hAnsi="仿宋_GB2312" w:eastAsia="仿宋_GB2312" w:cs="仿宋_GB2312"/>
          <w:color w:val="000000"/>
          <w:sz w:val="48"/>
          <w:szCs w:val="48"/>
        </w:rPr>
      </w:pPr>
      <w:r>
        <w:rPr>
          <w:rFonts w:hint="eastAsia" w:ascii="仿宋_GB2312" w:hAnsi="仿宋_GB2312" w:eastAsia="仿宋_GB2312" w:cs="仿宋_GB2312"/>
          <w:color w:val="000000"/>
          <w:sz w:val="36"/>
          <w:szCs w:val="36"/>
        </w:rPr>
        <w:br w:type="page"/>
      </w:r>
      <w:r>
        <w:rPr>
          <w:rFonts w:hint="eastAsia" w:ascii="仿宋_GB2312" w:hAnsi="仿宋_GB2312" w:eastAsia="仿宋_GB2312" w:cs="仿宋_GB2312"/>
          <w:color w:val="000000"/>
          <w:sz w:val="48"/>
          <w:szCs w:val="48"/>
        </w:rPr>
        <w:t>目录</w:t>
      </w:r>
    </w:p>
    <w:p>
      <w:pPr>
        <w:widowControl/>
        <w:jc w:val="center"/>
        <w:rPr>
          <w:rFonts w:ascii="仿宋_GB2312" w:hAnsi="仿宋_GB2312" w:eastAsia="仿宋_GB2312" w:cs="仿宋_GB2312"/>
          <w:sz w:val="28"/>
          <w:szCs w:val="28"/>
        </w:rPr>
      </w:pPr>
    </w:p>
    <w:p>
      <w:pPr>
        <w:pStyle w:val="10"/>
        <w:rPr>
          <w:rFonts w:ascii="仿宋_GB2312" w:hAnsi="仿宋_GB2312" w:eastAsia="仿宋_GB2312" w:cs="仿宋_GB2312"/>
          <w:sz w:val="32"/>
          <w:szCs w:val="32"/>
        </w:rPr>
      </w:pPr>
      <w:r>
        <w:rPr>
          <w:rFonts w:hint="eastAsia" w:ascii="仿宋_GB2312" w:hAnsi="仿宋_GB2312" w:eastAsia="仿宋_GB2312" w:cs="仿宋_GB2312"/>
          <w:sz w:val="32"/>
          <w:szCs w:val="32"/>
        </w:rPr>
        <w:t>公开时间：2020年10月30日</w:t>
      </w:r>
    </w:p>
    <w:p>
      <w:pPr>
        <w:rPr>
          <w:rFonts w:ascii="仿宋_GB2312" w:hAnsi="仿宋_GB2312" w:eastAsia="仿宋_GB2312" w:cs="仿宋_GB2312"/>
          <w:sz w:val="32"/>
          <w:szCs w:val="32"/>
        </w:rPr>
      </w:pPr>
    </w:p>
    <w:p>
      <w:pPr>
        <w:pStyle w:val="10"/>
        <w:adjustRightInd w:val="0"/>
        <w:snapToGrid w:val="0"/>
        <w:spacing w:before="0"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第一部分 部门概况</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0"/>
        <w:adjustRightInd w:val="0"/>
        <w:snapToGrid w:val="0"/>
        <w:spacing w:before="0"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第二部分度部门决算情况说明</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1"/>
        <w:adjustRightInd w:val="0"/>
        <w:snapToGrid w:val="0"/>
        <w:spacing w:line="440" w:lineRule="exact"/>
        <w:ind w:left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 国有资本经营预算支出决算情况说明</w:t>
      </w:r>
    </w:p>
    <w:p>
      <w:pPr>
        <w:adjustRightInd w:val="0"/>
        <w:snapToGrid w:val="0"/>
        <w:spacing w:line="440" w:lineRule="exact"/>
        <w:ind w:firstLine="640" w:firstLineChars="200"/>
        <w:jc w:val="left"/>
        <w:rPr>
          <w:rFonts w:ascii="仿宋_GB2312" w:hAnsi="仿宋_GB2312" w:eastAsia="仿宋_GB2312" w:cs="仿宋_GB2312"/>
          <w:sz w:val="32"/>
          <w:szCs w:val="32"/>
        </w:rPr>
      </w:pPr>
      <w:r>
        <w:rPr>
          <w:rStyle w:val="16"/>
          <w:rFonts w:hint="eastAsia" w:ascii="仿宋_GB2312" w:hAnsi="仿宋_GB2312" w:eastAsia="仿宋_GB2312" w:cs="仿宋_GB2312"/>
          <w:color w:val="000000" w:themeColor="text1"/>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rPr>
        <w:tab/>
      </w:r>
    </w:p>
    <w:p>
      <w:pPr>
        <w:pStyle w:val="10"/>
        <w:adjustRightInd w:val="0"/>
        <w:snapToGrid w:val="0"/>
        <w:spacing w:before="0"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第三部分 名词解释</w:t>
      </w:r>
    </w:p>
    <w:p>
      <w:pPr>
        <w:pStyle w:val="10"/>
        <w:adjustRightInd w:val="0"/>
        <w:snapToGrid w:val="0"/>
        <w:spacing w:before="0"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第四部分 附件</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pStyle w:val="10"/>
        <w:adjustRightInd w:val="0"/>
        <w:snapToGrid w:val="0"/>
        <w:spacing w:before="0" w:line="440" w:lineRule="exact"/>
        <w:jc w:val="left"/>
        <w:rPr>
          <w:rFonts w:ascii="仿宋_GB2312" w:hAnsi="仿宋_GB2312" w:eastAsia="仿宋_GB2312" w:cs="仿宋_GB2312"/>
          <w:sz w:val="32"/>
          <w:szCs w:val="32"/>
        </w:rPr>
      </w:pPr>
      <w:bookmarkStart w:id="73" w:name="_GoBack"/>
      <w:bookmarkEnd w:id="73"/>
      <w:r>
        <w:rPr>
          <w:rFonts w:hint="eastAsia" w:ascii="仿宋_GB2312" w:hAnsi="仿宋_GB2312" w:eastAsia="仿宋_GB2312" w:cs="仿宋_GB2312"/>
          <w:sz w:val="32"/>
          <w:szCs w:val="32"/>
        </w:rPr>
        <w:t>第五部分 附表</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adjustRightInd w:val="0"/>
        <w:snapToGrid w:val="0"/>
        <w:spacing w:line="44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十三、国有资本经营预算支出决算表</w:t>
      </w:r>
    </w:p>
    <w:p>
      <w:pPr>
        <w:pStyle w:val="3"/>
        <w:jc w:val="center"/>
        <w:rPr>
          <w:rFonts w:ascii="仿宋_GB2312" w:hAnsi="仿宋_GB2312" w:eastAsia="仿宋_GB2312" w:cs="仿宋_GB2312"/>
          <w:b w:val="0"/>
        </w:rPr>
      </w:pPr>
      <w:bookmarkStart w:id="12" w:name="_Toc15377196"/>
      <w:bookmarkStart w:id="13" w:name="_Toc15396599"/>
    </w:p>
    <w:p>
      <w:pPr>
        <w:pStyle w:val="3"/>
        <w:jc w:val="center"/>
        <w:rPr>
          <w:rFonts w:ascii="仿宋_GB2312" w:hAnsi="仿宋_GB2312" w:eastAsia="仿宋_GB2312" w:cs="仿宋_GB2312"/>
          <w:b w:val="0"/>
        </w:rPr>
      </w:pPr>
    </w:p>
    <w:p>
      <w:pPr>
        <w:pStyle w:val="3"/>
        <w:jc w:val="center"/>
        <w:rPr>
          <w:rFonts w:ascii="仿宋_GB2312" w:hAnsi="仿宋_GB2312" w:eastAsia="仿宋_GB2312" w:cs="仿宋_GB2312"/>
          <w:b w:val="0"/>
        </w:rPr>
      </w:pPr>
    </w:p>
    <w:p>
      <w:pPr>
        <w:pStyle w:val="3"/>
        <w:jc w:val="center"/>
        <w:rPr>
          <w:rFonts w:ascii="仿宋_GB2312" w:hAnsi="仿宋_GB2312" w:eastAsia="仿宋_GB2312" w:cs="仿宋_GB2312"/>
          <w:b w:val="0"/>
        </w:rPr>
      </w:pPr>
    </w:p>
    <w:p>
      <w:pPr>
        <w:pStyle w:val="3"/>
        <w:jc w:val="center"/>
        <w:rPr>
          <w:rFonts w:ascii="仿宋_GB2312" w:hAnsi="仿宋_GB2312" w:eastAsia="仿宋_GB2312" w:cs="仿宋_GB2312"/>
          <w:b w:val="0"/>
        </w:rPr>
      </w:pPr>
    </w:p>
    <w:p>
      <w:pPr>
        <w:pStyle w:val="3"/>
        <w:jc w:val="center"/>
        <w:rPr>
          <w:rFonts w:ascii="仿宋_GB2312" w:hAnsi="仿宋_GB2312" w:eastAsia="仿宋_GB2312" w:cs="仿宋_GB2312"/>
          <w:b w:val="0"/>
        </w:rPr>
      </w:pPr>
    </w:p>
    <w:p>
      <w:pPr>
        <w:pStyle w:val="3"/>
        <w:jc w:val="center"/>
        <w:rPr>
          <w:rFonts w:ascii="仿宋_GB2312" w:hAnsi="仿宋_GB2312" w:eastAsia="仿宋_GB2312" w:cs="仿宋_GB2312"/>
          <w:b w:val="0"/>
        </w:rPr>
      </w:pPr>
    </w:p>
    <w:p>
      <w:pPr>
        <w:pStyle w:val="3"/>
        <w:jc w:val="center"/>
        <w:rPr>
          <w:rFonts w:ascii="仿宋_GB2312" w:hAnsi="仿宋_GB2312" w:eastAsia="仿宋_GB2312" w:cs="仿宋_GB2312"/>
          <w:b w:val="0"/>
        </w:rPr>
      </w:pPr>
    </w:p>
    <w:bookmarkEnd w:id="12"/>
    <w:bookmarkEnd w:id="13"/>
    <w:p>
      <w:pPr>
        <w:widowControl/>
        <w:jc w:val="left"/>
        <w:rPr>
          <w:rFonts w:ascii="仿宋_GB2312" w:hAnsi="仿宋_GB2312" w:eastAsia="仿宋_GB2312" w:cs="仿宋_GB2312"/>
          <w:color w:val="000000"/>
          <w:sz w:val="32"/>
          <w:szCs w:val="32"/>
        </w:rPr>
      </w:pPr>
    </w:p>
    <w:p>
      <w:pPr>
        <w:pStyle w:val="3"/>
        <w:numPr>
          <w:ilvl w:val="0"/>
          <w:numId w:val="1"/>
        </w:numPr>
        <w:jc w:val="center"/>
        <w:rPr>
          <w:rStyle w:val="25"/>
          <w:rFonts w:ascii="仿宋_GB2312" w:hAnsi="仿宋_GB2312" w:eastAsia="仿宋_GB2312" w:cs="仿宋_GB2312"/>
          <w:b w:val="0"/>
          <w:bCs w:val="0"/>
        </w:rPr>
      </w:pPr>
      <w:bookmarkStart w:id="14" w:name="_Toc15396600"/>
      <w:bookmarkStart w:id="15" w:name="_Toc15377197"/>
      <w:r>
        <w:rPr>
          <w:rStyle w:val="25"/>
          <w:rFonts w:hint="eastAsia" w:ascii="仿宋_GB2312" w:hAnsi="仿宋_GB2312" w:eastAsia="仿宋_GB2312" w:cs="仿宋_GB2312"/>
          <w:b w:val="0"/>
          <w:bCs w:val="0"/>
        </w:rPr>
        <w:t>部门概况</w:t>
      </w:r>
    </w:p>
    <w:p/>
    <w:p>
      <w:pPr>
        <w:pStyle w:val="4"/>
        <w:rPr>
          <w:rStyle w:val="26"/>
          <w:rFonts w:ascii="仿宋_GB2312" w:hAnsi="仿宋_GB2312" w:eastAsia="仿宋_GB2312" w:cs="仿宋_GB2312"/>
          <w:b w:val="0"/>
          <w:bCs w:val="0"/>
        </w:rPr>
      </w:pPr>
      <w:r>
        <w:rPr>
          <w:rFonts w:hint="eastAsia" w:ascii="仿宋_GB2312" w:hAnsi="仿宋_GB2312" w:eastAsia="仿宋_GB2312" w:cs="仿宋_GB2312"/>
          <w:b w:val="0"/>
          <w:color w:val="000000"/>
        </w:rPr>
        <w:t>一、基</w:t>
      </w:r>
      <w:r>
        <w:rPr>
          <w:rStyle w:val="26"/>
          <w:rFonts w:hint="eastAsia" w:ascii="仿宋_GB2312" w:hAnsi="仿宋_GB2312" w:eastAsia="仿宋_GB2312" w:cs="仿宋_GB2312"/>
          <w:b w:val="0"/>
          <w:bCs w:val="0"/>
        </w:rPr>
        <w:t>本职能及主要工作</w:t>
      </w:r>
      <w:bookmarkEnd w:id="14"/>
      <w:bookmarkEnd w:id="15"/>
    </w:p>
    <w:p>
      <w:pPr>
        <w:pStyle w:val="2"/>
        <w:adjustRightInd w:val="0"/>
        <w:snapToGrid w:val="0"/>
        <w:spacing w:before="93" w:line="600" w:lineRule="exact"/>
        <w:ind w:firstLine="672" w:firstLineChars="210"/>
        <w:outlineLvl w:val="2"/>
        <w:rPr>
          <w:rFonts w:hAnsi="仿宋_GB2312" w:cs="仿宋_GB2312"/>
          <w:bCs/>
          <w:color w:val="000000"/>
          <w:sz w:val="32"/>
          <w:szCs w:val="32"/>
        </w:rPr>
      </w:pPr>
      <w:bookmarkStart w:id="16" w:name="_Toc15378445"/>
      <w:bookmarkStart w:id="17" w:name="_Toc15377198"/>
      <w:r>
        <w:rPr>
          <w:rFonts w:hint="eastAsia" w:hAnsi="仿宋_GB2312" w:cs="仿宋_GB2312"/>
          <w:bCs/>
          <w:color w:val="000000"/>
          <w:sz w:val="32"/>
          <w:szCs w:val="32"/>
        </w:rPr>
        <w:t>（一）主要职能。</w:t>
      </w:r>
      <w:bookmarkEnd w:id="16"/>
      <w:bookmarkEnd w:id="17"/>
    </w:p>
    <w:p>
      <w:pPr>
        <w:pStyle w:val="2"/>
        <w:adjustRightInd w:val="0"/>
        <w:snapToGrid w:val="0"/>
        <w:spacing w:before="93" w:line="600" w:lineRule="exact"/>
        <w:ind w:firstLine="672" w:firstLineChars="210"/>
        <w:outlineLvl w:val="2"/>
        <w:rPr>
          <w:rFonts w:hAnsi="仿宋_GB2312" w:cs="仿宋_GB2312"/>
          <w:bCs/>
          <w:color w:val="000000"/>
          <w:sz w:val="32"/>
          <w:szCs w:val="32"/>
          <w:lang w:val="zh-CN"/>
        </w:rPr>
      </w:pPr>
      <w:bookmarkStart w:id="18" w:name="_Toc15378446"/>
      <w:bookmarkStart w:id="19" w:name="_Toc15377199"/>
      <w:r>
        <w:rPr>
          <w:rFonts w:hint="eastAsia" w:hAnsi="仿宋_GB2312" w:cs="仿宋_GB2312"/>
          <w:bCs/>
          <w:color w:val="000000"/>
          <w:sz w:val="32"/>
          <w:szCs w:val="32"/>
        </w:rPr>
        <w:t>1.</w:t>
      </w:r>
      <w:r>
        <w:rPr>
          <w:rFonts w:hint="eastAsia" w:hAnsi="仿宋_GB2312" w:cs="仿宋_GB2312"/>
          <w:bCs/>
          <w:color w:val="000000"/>
          <w:sz w:val="32"/>
          <w:szCs w:val="32"/>
          <w:lang w:val="zh-CN"/>
        </w:rPr>
        <w:t>承担依法治市重大问题的政策研究，协调有关方面提出全面依法治市规划建议，负责有关重大决策部署督查工作。</w:t>
      </w:r>
    </w:p>
    <w:p>
      <w:pPr>
        <w:pStyle w:val="2"/>
        <w:adjustRightInd w:val="0"/>
        <w:snapToGrid w:val="0"/>
        <w:spacing w:before="93" w:line="600" w:lineRule="exact"/>
        <w:ind w:firstLine="672" w:firstLineChars="210"/>
        <w:outlineLvl w:val="2"/>
        <w:rPr>
          <w:rFonts w:hAnsi="仿宋_GB2312" w:cs="仿宋_GB2312"/>
          <w:bCs/>
          <w:color w:val="000000"/>
          <w:sz w:val="32"/>
          <w:szCs w:val="32"/>
          <w:lang w:val="zh-CN"/>
        </w:rPr>
      </w:pPr>
      <w:r>
        <w:rPr>
          <w:rFonts w:hint="eastAsia" w:hAnsi="仿宋_GB2312" w:cs="仿宋_GB2312"/>
          <w:bCs/>
          <w:color w:val="000000"/>
          <w:sz w:val="32"/>
          <w:szCs w:val="32"/>
        </w:rPr>
        <w:t>2.</w:t>
      </w:r>
      <w:r>
        <w:rPr>
          <w:rFonts w:hint="eastAsia" w:hAnsi="仿宋_GB2312" w:cs="仿宋_GB2312"/>
          <w:bCs/>
          <w:color w:val="000000"/>
          <w:sz w:val="32"/>
          <w:szCs w:val="32"/>
          <w:lang w:val="zh-CN"/>
        </w:rPr>
        <w:t>负责协调各部门实施法律、法规、规章中的有关争议和问题。</w:t>
      </w:r>
    </w:p>
    <w:p>
      <w:pPr>
        <w:pStyle w:val="2"/>
        <w:adjustRightInd w:val="0"/>
        <w:snapToGrid w:val="0"/>
        <w:spacing w:before="93" w:line="600" w:lineRule="exact"/>
        <w:ind w:firstLine="672" w:firstLineChars="210"/>
        <w:outlineLvl w:val="2"/>
        <w:rPr>
          <w:rFonts w:hAnsi="仿宋_GB2312" w:cs="仿宋_GB2312"/>
          <w:bCs/>
          <w:color w:val="000000"/>
          <w:sz w:val="32"/>
          <w:szCs w:val="32"/>
          <w:lang w:val="zh-CN"/>
        </w:rPr>
      </w:pPr>
      <w:r>
        <w:rPr>
          <w:rFonts w:hint="eastAsia" w:hAnsi="仿宋_GB2312" w:cs="仿宋_GB2312"/>
          <w:bCs/>
          <w:color w:val="000000"/>
          <w:sz w:val="32"/>
          <w:szCs w:val="32"/>
        </w:rPr>
        <w:t>3.</w:t>
      </w:r>
      <w:r>
        <w:rPr>
          <w:rFonts w:hint="eastAsia" w:hAnsi="仿宋_GB2312" w:cs="仿宋_GB2312"/>
          <w:bCs/>
          <w:color w:val="000000"/>
          <w:sz w:val="32"/>
          <w:szCs w:val="32"/>
          <w:lang w:val="zh-CN"/>
        </w:rPr>
        <w:t>负责市政府规范性文件、重大行政决策发布前的合法性审查。</w:t>
      </w:r>
    </w:p>
    <w:p>
      <w:pPr>
        <w:pStyle w:val="2"/>
        <w:adjustRightInd w:val="0"/>
        <w:snapToGrid w:val="0"/>
        <w:spacing w:before="93" w:line="600" w:lineRule="exact"/>
        <w:ind w:firstLine="672" w:firstLineChars="210"/>
        <w:outlineLvl w:val="2"/>
        <w:rPr>
          <w:rFonts w:hAnsi="仿宋_GB2312" w:cs="仿宋_GB2312"/>
          <w:bCs/>
          <w:color w:val="000000"/>
          <w:sz w:val="32"/>
          <w:szCs w:val="32"/>
          <w:lang w:val="zh-CN"/>
        </w:rPr>
      </w:pPr>
      <w:r>
        <w:rPr>
          <w:rFonts w:hint="eastAsia" w:hAnsi="仿宋_GB2312" w:cs="仿宋_GB2312"/>
          <w:bCs/>
          <w:color w:val="000000"/>
          <w:sz w:val="32"/>
          <w:szCs w:val="32"/>
        </w:rPr>
        <w:t>4.</w:t>
      </w:r>
      <w:r>
        <w:rPr>
          <w:rFonts w:hint="eastAsia" w:hAnsi="仿宋_GB2312" w:cs="仿宋_GB2312"/>
          <w:bCs/>
          <w:color w:val="000000"/>
          <w:sz w:val="32"/>
          <w:szCs w:val="32"/>
          <w:lang w:val="zh-CN"/>
        </w:rPr>
        <w:t>承担统筹推进法治政府建设的责任。指导监督市政府各部门、各乡镇依法行政工作。</w:t>
      </w:r>
    </w:p>
    <w:p>
      <w:pPr>
        <w:pStyle w:val="2"/>
        <w:adjustRightInd w:val="0"/>
        <w:snapToGrid w:val="0"/>
        <w:spacing w:before="93" w:line="600" w:lineRule="exact"/>
        <w:ind w:firstLine="672" w:firstLineChars="210"/>
        <w:outlineLvl w:val="2"/>
        <w:rPr>
          <w:rFonts w:hAnsi="仿宋_GB2312" w:cs="仿宋_GB2312"/>
          <w:bCs/>
          <w:color w:val="000000"/>
          <w:sz w:val="32"/>
          <w:szCs w:val="32"/>
          <w:lang w:val="zh-CN"/>
        </w:rPr>
      </w:pPr>
      <w:r>
        <w:rPr>
          <w:rFonts w:hint="eastAsia" w:hAnsi="仿宋_GB2312" w:cs="仿宋_GB2312"/>
          <w:bCs/>
          <w:color w:val="000000"/>
          <w:sz w:val="32"/>
          <w:szCs w:val="32"/>
        </w:rPr>
        <w:t>5.</w:t>
      </w:r>
      <w:r>
        <w:rPr>
          <w:rFonts w:hint="eastAsia" w:hAnsi="仿宋_GB2312" w:cs="仿宋_GB2312"/>
          <w:bCs/>
          <w:color w:val="000000"/>
          <w:sz w:val="32"/>
          <w:szCs w:val="32"/>
          <w:lang w:val="zh-CN"/>
        </w:rPr>
        <w:t>承担统筹规划法治社会建设的责任。负责拟定法治宣传教育规划，组织实施普法宣传工作，组织对外法治宣传。</w:t>
      </w:r>
    </w:p>
    <w:p>
      <w:pPr>
        <w:pStyle w:val="2"/>
        <w:adjustRightInd w:val="0"/>
        <w:snapToGrid w:val="0"/>
        <w:spacing w:before="93" w:line="600" w:lineRule="exact"/>
        <w:ind w:firstLine="672" w:firstLineChars="210"/>
        <w:outlineLvl w:val="2"/>
        <w:rPr>
          <w:rFonts w:hAnsi="仿宋_GB2312" w:cs="仿宋_GB2312"/>
          <w:bCs/>
          <w:color w:val="000000"/>
          <w:sz w:val="32"/>
          <w:szCs w:val="32"/>
          <w:lang w:val="zh-CN"/>
        </w:rPr>
      </w:pPr>
      <w:r>
        <w:rPr>
          <w:rFonts w:hint="eastAsia" w:hAnsi="仿宋_GB2312" w:cs="仿宋_GB2312"/>
          <w:bCs/>
          <w:color w:val="000000"/>
          <w:sz w:val="32"/>
          <w:szCs w:val="32"/>
        </w:rPr>
        <w:t>6.</w:t>
      </w:r>
      <w:r>
        <w:rPr>
          <w:rFonts w:hint="eastAsia" w:hAnsi="仿宋_GB2312" w:cs="仿宋_GB2312"/>
          <w:bCs/>
          <w:color w:val="000000"/>
          <w:sz w:val="32"/>
          <w:szCs w:val="32"/>
          <w:lang w:val="zh-CN"/>
        </w:rPr>
        <w:t>指导管理全市社区矫正工作。指导刑满释放人员帮教安置工作。</w:t>
      </w:r>
    </w:p>
    <w:p>
      <w:pPr>
        <w:pStyle w:val="2"/>
        <w:adjustRightInd w:val="0"/>
        <w:snapToGrid w:val="0"/>
        <w:spacing w:before="93" w:line="600" w:lineRule="exact"/>
        <w:ind w:firstLine="672" w:firstLineChars="210"/>
        <w:outlineLvl w:val="2"/>
        <w:rPr>
          <w:rFonts w:hAnsi="仿宋_GB2312" w:cs="仿宋_GB2312"/>
          <w:bCs/>
          <w:color w:val="000000"/>
          <w:sz w:val="32"/>
          <w:szCs w:val="32"/>
          <w:lang w:val="zh-CN"/>
        </w:rPr>
      </w:pPr>
      <w:r>
        <w:rPr>
          <w:rFonts w:hint="eastAsia" w:hAnsi="仿宋_GB2312" w:cs="仿宋_GB2312"/>
          <w:bCs/>
          <w:color w:val="000000"/>
          <w:sz w:val="32"/>
          <w:szCs w:val="32"/>
        </w:rPr>
        <w:t>7.</w:t>
      </w:r>
      <w:r>
        <w:rPr>
          <w:rFonts w:hint="eastAsia" w:hAnsi="仿宋_GB2312" w:cs="仿宋_GB2312"/>
          <w:bCs/>
          <w:color w:val="000000"/>
          <w:sz w:val="32"/>
          <w:szCs w:val="32"/>
          <w:lang w:val="zh-CN"/>
        </w:rPr>
        <w:t>负责拟定全市公共法律服务体系建设规划并指导实施，统筹和布局全市城乡、区域法律服务资源。</w:t>
      </w:r>
    </w:p>
    <w:p>
      <w:pPr>
        <w:pStyle w:val="2"/>
        <w:adjustRightInd w:val="0"/>
        <w:snapToGrid w:val="0"/>
        <w:spacing w:before="93" w:line="600" w:lineRule="exact"/>
        <w:ind w:firstLine="672" w:firstLineChars="210"/>
        <w:outlineLvl w:val="2"/>
        <w:rPr>
          <w:rFonts w:hAnsi="仿宋_GB2312" w:cs="仿宋_GB2312"/>
          <w:bCs/>
          <w:color w:val="000000"/>
          <w:sz w:val="32"/>
          <w:szCs w:val="32"/>
          <w:lang w:val="zh-CN"/>
        </w:rPr>
      </w:pPr>
      <w:r>
        <w:rPr>
          <w:rFonts w:hint="eastAsia" w:hAnsi="仿宋_GB2312" w:cs="仿宋_GB2312"/>
          <w:bCs/>
          <w:color w:val="000000"/>
          <w:sz w:val="32"/>
          <w:szCs w:val="32"/>
        </w:rPr>
        <w:t>8.</w:t>
      </w:r>
      <w:r>
        <w:rPr>
          <w:rFonts w:hint="eastAsia" w:hAnsi="仿宋_GB2312" w:cs="仿宋_GB2312"/>
          <w:bCs/>
          <w:color w:val="000000"/>
          <w:sz w:val="32"/>
          <w:szCs w:val="32"/>
          <w:lang w:val="zh-CN"/>
        </w:rPr>
        <w:t>规划、协调、指导法治人才队伍建设相关工作，指导监督本系统队伍建设。</w:t>
      </w:r>
    </w:p>
    <w:p>
      <w:pPr>
        <w:pStyle w:val="2"/>
        <w:adjustRightInd w:val="0"/>
        <w:snapToGrid w:val="0"/>
        <w:spacing w:before="93" w:line="600" w:lineRule="exact"/>
        <w:ind w:firstLine="672" w:firstLineChars="210"/>
        <w:outlineLvl w:val="2"/>
        <w:rPr>
          <w:rFonts w:hAnsi="仿宋_GB2312" w:cs="仿宋_GB2312"/>
          <w:bCs/>
          <w:color w:val="000000"/>
          <w:sz w:val="32"/>
          <w:szCs w:val="32"/>
          <w:lang w:val="zh-CN"/>
        </w:rPr>
      </w:pPr>
      <w:r>
        <w:rPr>
          <w:rFonts w:hint="eastAsia" w:hAnsi="仿宋_GB2312" w:cs="仿宋_GB2312"/>
          <w:bCs/>
          <w:color w:val="000000"/>
          <w:sz w:val="32"/>
          <w:szCs w:val="32"/>
        </w:rPr>
        <w:t>9.</w:t>
      </w:r>
      <w:r>
        <w:rPr>
          <w:rFonts w:hint="eastAsia" w:hAnsi="仿宋_GB2312" w:cs="仿宋_GB2312"/>
          <w:bCs/>
          <w:color w:val="000000"/>
          <w:sz w:val="32"/>
          <w:szCs w:val="32"/>
          <w:lang w:val="zh-CN"/>
        </w:rPr>
        <w:t>负责全市外来企业投诉处理和民营企业法律服务工作。</w:t>
      </w:r>
    </w:p>
    <w:p>
      <w:pPr>
        <w:pStyle w:val="2"/>
        <w:adjustRightInd w:val="0"/>
        <w:snapToGrid w:val="0"/>
        <w:spacing w:before="93" w:line="600" w:lineRule="exact"/>
        <w:ind w:firstLine="672" w:firstLineChars="210"/>
        <w:outlineLvl w:val="2"/>
        <w:rPr>
          <w:rFonts w:hAnsi="仿宋_GB2312" w:cs="仿宋_GB2312"/>
          <w:bCs/>
          <w:color w:val="000000"/>
          <w:sz w:val="32"/>
          <w:szCs w:val="32"/>
          <w:lang w:val="zh-CN"/>
        </w:rPr>
      </w:pPr>
      <w:r>
        <w:rPr>
          <w:rFonts w:hint="eastAsia" w:hAnsi="仿宋_GB2312" w:cs="仿宋_GB2312"/>
          <w:bCs/>
          <w:color w:val="000000"/>
          <w:sz w:val="32"/>
          <w:szCs w:val="32"/>
        </w:rPr>
        <w:t>10.</w:t>
      </w:r>
      <w:r>
        <w:rPr>
          <w:rFonts w:hint="eastAsia" w:hAnsi="仿宋_GB2312" w:cs="仿宋_GB2312"/>
          <w:bCs/>
          <w:color w:val="000000"/>
          <w:sz w:val="32"/>
          <w:szCs w:val="32"/>
          <w:lang w:val="zh-CN"/>
        </w:rPr>
        <w:t>负责职责范围内的安全生产和职业健康、生态环境保护、审批服务便民化等工作。</w:t>
      </w:r>
    </w:p>
    <w:p>
      <w:pPr>
        <w:pStyle w:val="2"/>
        <w:adjustRightInd w:val="0"/>
        <w:snapToGrid w:val="0"/>
        <w:spacing w:before="93" w:line="600" w:lineRule="exact"/>
        <w:ind w:firstLine="672" w:firstLineChars="210"/>
        <w:outlineLvl w:val="2"/>
        <w:rPr>
          <w:rFonts w:hAnsi="仿宋_GB2312" w:cs="仿宋_GB2312"/>
          <w:bCs/>
          <w:color w:val="000000"/>
          <w:sz w:val="32"/>
          <w:szCs w:val="32"/>
          <w:lang w:val="zh-CN"/>
        </w:rPr>
      </w:pPr>
      <w:r>
        <w:rPr>
          <w:rFonts w:hint="eastAsia" w:hAnsi="仿宋_GB2312" w:cs="仿宋_GB2312"/>
          <w:bCs/>
          <w:color w:val="000000"/>
          <w:sz w:val="32"/>
          <w:szCs w:val="32"/>
        </w:rPr>
        <w:t>11.</w:t>
      </w:r>
      <w:r>
        <w:rPr>
          <w:rFonts w:hint="eastAsia" w:hAnsi="仿宋_GB2312" w:cs="仿宋_GB2312"/>
          <w:bCs/>
          <w:color w:val="000000"/>
          <w:sz w:val="32"/>
          <w:szCs w:val="32"/>
          <w:lang w:val="zh-CN"/>
        </w:rPr>
        <w:t>完成市委、市政府交办的其他工作。</w:t>
      </w:r>
    </w:p>
    <w:p>
      <w:pPr>
        <w:pStyle w:val="2"/>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（二）2019年重点工作完成情况。</w:t>
      </w:r>
      <w:bookmarkEnd w:id="18"/>
      <w:bookmarkEnd w:id="19"/>
    </w:p>
    <w:p>
      <w:pPr>
        <w:pStyle w:val="2"/>
        <w:adjustRightInd w:val="0"/>
        <w:snapToGrid w:val="0"/>
        <w:spacing w:before="93" w:line="600" w:lineRule="exact"/>
        <w:ind w:firstLine="672" w:firstLineChars="210"/>
        <w:outlineLvl w:val="2"/>
        <w:rPr>
          <w:rFonts w:hAnsi="仿宋_GB2312" w:cs="仿宋_GB2312"/>
          <w:bCs/>
          <w:color w:val="000000"/>
          <w:sz w:val="32"/>
          <w:szCs w:val="32"/>
        </w:rPr>
      </w:pPr>
      <w:r>
        <w:rPr>
          <w:rFonts w:hint="eastAsia" w:hAnsi="仿宋_GB2312" w:cs="仿宋_GB2312"/>
          <w:bCs/>
          <w:color w:val="000000"/>
          <w:sz w:val="32"/>
          <w:szCs w:val="32"/>
        </w:rPr>
        <w:t>围绕中心工作,全力服务保障经济社会高质量发展;围绕人民群众满意，全力推进公共法律服务体系提质提速;围绕工作机制创新,全力推进司法行政法治化建设规范运行;围绕社会和谐稳定,全力推进社会治理工作稳中向好;紧扣改革目标，全力推进司法行政改革破题着墨;围绕长远发展,全力推进司法行政基础建设优化提升;围绕全面从严治党，全力推进司法行政队伍建设提档升级。</w:t>
      </w:r>
    </w:p>
    <w:p>
      <w:pPr>
        <w:pStyle w:val="4"/>
        <w:rPr>
          <w:rStyle w:val="26"/>
          <w:rFonts w:ascii="仿宋_GB2312" w:hAnsi="仿宋_GB2312" w:eastAsia="仿宋_GB2312" w:cs="仿宋_GB2312"/>
          <w:b w:val="0"/>
          <w:bCs w:val="0"/>
        </w:rPr>
      </w:pPr>
      <w:bookmarkStart w:id="20" w:name="_Toc15377200"/>
      <w:bookmarkStart w:id="21" w:name="_Toc15396601"/>
      <w:r>
        <w:rPr>
          <w:rFonts w:hint="eastAsia" w:ascii="仿宋_GB2312" w:hAnsi="仿宋_GB2312" w:eastAsia="仿宋_GB2312" w:cs="仿宋_GB2312"/>
          <w:b w:val="0"/>
          <w:color w:val="000000"/>
        </w:rPr>
        <w:t>二、机</w:t>
      </w:r>
      <w:r>
        <w:rPr>
          <w:rStyle w:val="26"/>
          <w:rFonts w:hint="eastAsia" w:ascii="仿宋_GB2312" w:hAnsi="仿宋_GB2312" w:eastAsia="仿宋_GB2312" w:cs="仿宋_GB2312"/>
          <w:b w:val="0"/>
          <w:bCs w:val="0"/>
        </w:rPr>
        <w:t>构设置</w:t>
      </w:r>
      <w:bookmarkEnd w:id="20"/>
      <w:bookmarkEnd w:id="21"/>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司法局下属二级单位2个，其中行政单位0个，参照公务员法管理的事业单位</w:t>
      </w:r>
      <w:r>
        <w:rPr>
          <w:rFonts w:hint="eastAsia" w:ascii="仿宋_GB2312" w:hAnsi="仿宋_GB2312" w:eastAsia="仿宋_GB2312" w:cs="仿宋_GB2312"/>
          <w:bCs/>
          <w:sz w:val="32"/>
          <w:szCs w:val="32"/>
        </w:rPr>
        <w:t>1</w:t>
      </w:r>
      <w:r>
        <w:rPr>
          <w:rFonts w:hint="eastAsia" w:ascii="仿宋_GB2312" w:hAnsi="仿宋_GB2312" w:eastAsia="仿宋_GB2312" w:cs="仿宋_GB2312"/>
          <w:sz w:val="32"/>
          <w:szCs w:val="32"/>
        </w:rPr>
        <w:t>个，其他事业单位1个。</w:t>
      </w:r>
    </w:p>
    <w:p>
      <w:pPr>
        <w:pStyle w:val="2"/>
        <w:adjustRightInd w:val="0"/>
        <w:snapToGrid w:val="0"/>
        <w:spacing w:before="93" w:line="600" w:lineRule="exact"/>
        <w:ind w:firstLine="672" w:firstLineChars="210"/>
        <w:rPr>
          <w:rFonts w:hAnsi="仿宋_GB2312" w:cs="仿宋_GB2312"/>
          <w:color w:val="000000"/>
          <w:sz w:val="32"/>
          <w:szCs w:val="32"/>
        </w:rPr>
      </w:pPr>
      <w:r>
        <w:rPr>
          <w:rFonts w:hint="eastAsia" w:hAnsi="仿宋_GB2312" w:cs="仿宋_GB2312"/>
          <w:color w:val="000000"/>
          <w:sz w:val="32"/>
          <w:szCs w:val="32"/>
        </w:rPr>
        <w:t>纳入司法局2019年度部门决算编制范围的二级预算单位</w:t>
      </w:r>
      <w:r>
        <w:rPr>
          <w:rFonts w:hint="eastAsia" w:hAnsi="仿宋_GB2312" w:cs="仿宋_GB2312"/>
          <w:color w:val="000000" w:themeColor="text1"/>
          <w:sz w:val="32"/>
          <w:szCs w:val="32"/>
        </w:rPr>
        <w:t>无。</w:t>
      </w:r>
      <w:r>
        <w:rPr>
          <w:rFonts w:hint="eastAsia" w:hAnsi="仿宋_GB2312" w:cs="仿宋_GB2312"/>
          <w:color w:val="000000"/>
          <w:sz w:val="32"/>
          <w:szCs w:val="32"/>
        </w:rPr>
        <w:br w:type="page"/>
      </w:r>
    </w:p>
    <w:p>
      <w:pPr>
        <w:pStyle w:val="3"/>
        <w:ind w:right="440"/>
        <w:jc w:val="right"/>
        <w:rPr>
          <w:rStyle w:val="25"/>
          <w:rFonts w:ascii="仿宋_GB2312" w:hAnsi="仿宋_GB2312" w:eastAsia="仿宋_GB2312" w:cs="仿宋_GB2312"/>
          <w:b w:val="0"/>
          <w:bCs w:val="0"/>
        </w:rPr>
      </w:pPr>
      <w:bookmarkStart w:id="22" w:name="_Toc15396602"/>
      <w:bookmarkStart w:id="23" w:name="_Toc15377204"/>
      <w:r>
        <w:rPr>
          <w:rFonts w:hint="eastAsia" w:ascii="仿宋_GB2312" w:hAnsi="仿宋_GB2312" w:eastAsia="仿宋_GB2312" w:cs="仿宋_GB2312"/>
          <w:b w:val="0"/>
          <w:color w:val="000000"/>
        </w:rPr>
        <w:t>第二部分</w:t>
      </w:r>
      <w:r>
        <w:rPr>
          <w:rFonts w:hint="eastAsia" w:ascii="仿宋_GB2312" w:hAnsi="仿宋_GB2312" w:eastAsia="仿宋_GB2312" w:cs="仿宋_GB2312"/>
          <w:color w:val="000000"/>
        </w:rPr>
        <w:t xml:space="preserve"> </w:t>
      </w:r>
      <w:r>
        <w:rPr>
          <w:rStyle w:val="25"/>
          <w:rFonts w:hint="eastAsia" w:ascii="仿宋_GB2312" w:hAnsi="仿宋_GB2312" w:eastAsia="仿宋_GB2312" w:cs="仿宋_GB2312"/>
          <w:b w:val="0"/>
          <w:bCs w:val="0"/>
        </w:rPr>
        <w:t>2019年度部门决算情况说明</w:t>
      </w:r>
      <w:bookmarkEnd w:id="22"/>
      <w:bookmarkEnd w:id="23"/>
    </w:p>
    <w:p>
      <w:pPr>
        <w:rPr>
          <w:rFonts w:ascii="仿宋_GB2312" w:hAnsi="仿宋_GB2312" w:eastAsia="仿宋_GB2312" w:cs="仿宋_GB2312"/>
        </w:rPr>
      </w:pPr>
    </w:p>
    <w:p>
      <w:pPr>
        <w:pStyle w:val="24"/>
        <w:numPr>
          <w:ilvl w:val="0"/>
          <w:numId w:val="2"/>
        </w:numPr>
        <w:spacing w:line="600" w:lineRule="exact"/>
        <w:ind w:firstLineChars="0"/>
        <w:outlineLvl w:val="1"/>
        <w:rPr>
          <w:rStyle w:val="26"/>
          <w:rFonts w:ascii="仿宋_GB2312" w:hAnsi="仿宋_GB2312" w:eastAsia="仿宋_GB2312" w:cs="仿宋_GB2312"/>
          <w:b w:val="0"/>
        </w:rPr>
      </w:pPr>
      <w:bookmarkStart w:id="24" w:name="_Toc15377205"/>
      <w:bookmarkStart w:id="25" w:name="_Toc15396603"/>
      <w:r>
        <w:rPr>
          <w:rFonts w:hint="eastAsia" w:ascii="仿宋_GB2312" w:hAnsi="仿宋_GB2312" w:eastAsia="仿宋_GB2312" w:cs="仿宋_GB2312"/>
          <w:color w:val="000000"/>
          <w:sz w:val="32"/>
          <w:szCs w:val="32"/>
        </w:rPr>
        <w:t>收</w:t>
      </w:r>
      <w:r>
        <w:rPr>
          <w:rStyle w:val="26"/>
          <w:rFonts w:hint="eastAsia" w:ascii="仿宋_GB2312" w:hAnsi="仿宋_GB2312" w:eastAsia="仿宋_GB2312" w:cs="仿宋_GB2312"/>
          <w:b w:val="0"/>
        </w:rPr>
        <w:t>入支出决算总体情况说明</w:t>
      </w:r>
      <w:bookmarkEnd w:id="24"/>
      <w:bookmarkEnd w:id="25"/>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度收、支总计1831.18万元。与2018年相比，收、支总计各增加590.70万元，增长47.62%。主要变动原因：一是当年收到房屋建筑物购建经费474.50万元；二是机构改革并入法制办、依法治市办等机构，增加在编人员5名和项目经费29万元，并相应增加人员经费、行政运行经费等。</w:t>
      </w:r>
    </w:p>
    <w:p>
      <w:pPr>
        <w:pStyle w:val="24"/>
        <w:numPr>
          <w:ilvl w:val="0"/>
          <w:numId w:val="2"/>
        </w:numPr>
        <w:spacing w:line="600" w:lineRule="exact"/>
        <w:ind w:firstLineChars="0"/>
        <w:outlineLvl w:val="1"/>
        <w:rPr>
          <w:rStyle w:val="26"/>
          <w:rFonts w:ascii="仿宋_GB2312" w:hAnsi="仿宋_GB2312" w:eastAsia="仿宋_GB2312" w:cs="仿宋_GB2312"/>
          <w:b w:val="0"/>
        </w:rPr>
      </w:pPr>
      <w:bookmarkStart w:id="26" w:name="_Toc15377206"/>
      <w:bookmarkStart w:id="27" w:name="_Toc15396604"/>
      <w:r>
        <w:rPr>
          <w:rFonts w:hint="eastAsia" w:ascii="仿宋_GB2312" w:hAnsi="仿宋_GB2312" w:eastAsia="仿宋_GB2312" w:cs="仿宋_GB2312"/>
          <w:color w:val="000000"/>
          <w:sz w:val="32"/>
          <w:szCs w:val="32"/>
        </w:rPr>
        <w:t>收</w:t>
      </w:r>
      <w:r>
        <w:rPr>
          <w:rStyle w:val="26"/>
          <w:rFonts w:hint="eastAsia" w:ascii="仿宋_GB2312" w:hAnsi="仿宋_GB2312" w:eastAsia="仿宋_GB2312" w:cs="仿宋_GB2312"/>
          <w:b w:val="0"/>
        </w:rPr>
        <w:t>入决算情况说明</w:t>
      </w:r>
      <w:bookmarkEnd w:id="26"/>
      <w:bookmarkEnd w:id="27"/>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2019年本年收入合计1762.50万元，其中：一般公共预算财政拨款收入1699.79万元，占96.44%；政府性基金预算财政拨款收入62.71万元，占3.56%；</w:t>
      </w:r>
      <w:r>
        <w:rPr>
          <w:rFonts w:hint="eastAsia" w:ascii="仿宋_GB2312" w:hAnsi="仿宋_GB2312" w:eastAsia="仿宋_GB2312" w:cs="仿宋_GB2312"/>
          <w:sz w:val="32"/>
          <w:szCs w:val="32"/>
        </w:rPr>
        <w:t>上级补助收入0万元，占**%；事业收入0万元，占**%；经营收入0万元，占**%；附属单位上缴收入0万元，占**%；其他收入0万元，占**%。</w:t>
      </w:r>
    </w:p>
    <w:p>
      <w:pPr>
        <w:pStyle w:val="24"/>
        <w:numPr>
          <w:ilvl w:val="0"/>
          <w:numId w:val="2"/>
        </w:numPr>
        <w:spacing w:line="600" w:lineRule="exact"/>
        <w:ind w:firstLineChars="0"/>
        <w:outlineLvl w:val="1"/>
        <w:rPr>
          <w:rStyle w:val="26"/>
          <w:rFonts w:ascii="仿宋_GB2312" w:hAnsi="仿宋_GB2312" w:eastAsia="仿宋_GB2312" w:cs="仿宋_GB2312"/>
          <w:b w:val="0"/>
        </w:rPr>
      </w:pPr>
      <w:bookmarkStart w:id="28" w:name="_Toc15396605"/>
      <w:bookmarkStart w:id="29" w:name="_Toc15377207"/>
      <w:r>
        <w:rPr>
          <w:rFonts w:hint="eastAsia" w:ascii="仿宋_GB2312" w:hAnsi="仿宋_GB2312" w:eastAsia="仿宋_GB2312" w:cs="仿宋_GB2312"/>
          <w:color w:val="000000"/>
          <w:sz w:val="32"/>
          <w:szCs w:val="32"/>
        </w:rPr>
        <w:t>支</w:t>
      </w:r>
      <w:r>
        <w:rPr>
          <w:rStyle w:val="26"/>
          <w:rFonts w:hint="eastAsia" w:ascii="仿宋_GB2312" w:hAnsi="仿宋_GB2312" w:eastAsia="仿宋_GB2312" w:cs="仿宋_GB2312"/>
          <w:b w:val="0"/>
        </w:rPr>
        <w:t>出决算情况说明</w:t>
      </w:r>
      <w:bookmarkEnd w:id="28"/>
      <w:bookmarkEnd w:id="29"/>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2019年本年支出合计1255.27万元，其中：基本支出1013.83万元，占80.77%；项目支出241.44万元，占19.23%；</w:t>
      </w:r>
      <w:r>
        <w:rPr>
          <w:rFonts w:hint="eastAsia" w:ascii="仿宋_GB2312" w:hAnsi="仿宋_GB2312" w:eastAsia="仿宋_GB2312" w:cs="仿宋_GB2312"/>
          <w:sz w:val="32"/>
          <w:szCs w:val="32"/>
        </w:rPr>
        <w:t>上缴上级支出0万元，占0%；经营支出0万元，占0%；对附属单位补助支出0万元，占0%。</w:t>
      </w:r>
    </w:p>
    <w:p>
      <w:pPr>
        <w:spacing w:line="600" w:lineRule="exact"/>
        <w:ind w:firstLine="640" w:firstLineChars="200"/>
        <w:outlineLvl w:val="1"/>
        <w:rPr>
          <w:rStyle w:val="26"/>
          <w:rFonts w:ascii="仿宋_GB2312" w:hAnsi="仿宋_GB2312" w:eastAsia="仿宋_GB2312" w:cs="仿宋_GB2312"/>
          <w:b w:val="0"/>
        </w:rPr>
      </w:pPr>
      <w:bookmarkStart w:id="30" w:name="_Toc15396606"/>
      <w:bookmarkStart w:id="31" w:name="_Toc15377208"/>
      <w:r>
        <w:rPr>
          <w:rFonts w:hint="eastAsia" w:ascii="仿宋_GB2312" w:hAnsi="仿宋_GB2312" w:eastAsia="仿宋_GB2312" w:cs="仿宋_GB2312"/>
          <w:color w:val="000000"/>
          <w:sz w:val="32"/>
          <w:szCs w:val="32"/>
        </w:rPr>
        <w:t>四、财</w:t>
      </w:r>
      <w:r>
        <w:rPr>
          <w:rStyle w:val="26"/>
          <w:rFonts w:hint="eastAsia" w:ascii="仿宋_GB2312" w:hAnsi="仿宋_GB2312" w:eastAsia="仿宋_GB2312" w:cs="仿宋_GB2312"/>
          <w:b w:val="0"/>
        </w:rPr>
        <w:t>政拨款收入支出决算总体情况说明</w:t>
      </w:r>
      <w:bookmarkEnd w:id="30"/>
      <w:bookmarkEnd w:id="31"/>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财政拨款收、支总计1831.18万元。与2018年相比，财政拨款收、支总计各增加590.70万元，增长47.62%。主要变动原因：一是当年收到房屋建筑物购建经费474.50万元；二是机构改革并入法制办、依法治市办等机构，增加在编人员5名和项目经费29万元，并相应增加人员经费、行政运行经费等。</w:t>
      </w:r>
    </w:p>
    <w:p>
      <w:pPr>
        <w:spacing w:line="600" w:lineRule="exact"/>
        <w:ind w:firstLine="640" w:firstLineChars="200"/>
        <w:outlineLvl w:val="1"/>
        <w:rPr>
          <w:rStyle w:val="26"/>
          <w:rFonts w:ascii="仿宋_GB2312" w:hAnsi="仿宋_GB2312" w:eastAsia="仿宋_GB2312" w:cs="仿宋_GB2312"/>
          <w:b w:val="0"/>
        </w:rPr>
      </w:pPr>
      <w:bookmarkStart w:id="32" w:name="_Toc15396607"/>
      <w:bookmarkStart w:id="33" w:name="_Toc15377209"/>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b/>
          <w:color w:val="000000"/>
          <w:sz w:val="32"/>
          <w:szCs w:val="32"/>
        </w:rPr>
        <w:t>一</w:t>
      </w:r>
      <w:r>
        <w:rPr>
          <w:rStyle w:val="26"/>
          <w:rFonts w:hint="eastAsia" w:ascii="仿宋_GB2312" w:hAnsi="仿宋_GB2312" w:eastAsia="仿宋_GB2312" w:cs="仿宋_GB2312"/>
          <w:b w:val="0"/>
        </w:rPr>
        <w:t>般公共预算财政拨款支出决算情况说明</w:t>
      </w:r>
      <w:bookmarkEnd w:id="32"/>
      <w:bookmarkEnd w:id="33"/>
    </w:p>
    <w:p>
      <w:pPr>
        <w:spacing w:line="600" w:lineRule="exact"/>
        <w:ind w:firstLine="643" w:firstLineChars="200"/>
        <w:outlineLvl w:val="2"/>
        <w:rPr>
          <w:rFonts w:ascii="仿宋_GB2312" w:hAnsi="仿宋_GB2312" w:eastAsia="仿宋_GB2312" w:cs="仿宋_GB2312"/>
          <w:b/>
          <w:color w:val="000000"/>
          <w:sz w:val="32"/>
          <w:szCs w:val="32"/>
        </w:rPr>
      </w:pPr>
      <w:bookmarkStart w:id="34" w:name="_Toc15377210"/>
      <w:r>
        <w:rPr>
          <w:rFonts w:hint="eastAsia" w:ascii="仿宋_GB2312" w:hAnsi="仿宋_GB2312" w:eastAsia="仿宋_GB2312" w:cs="仿宋_GB2312"/>
          <w:b/>
          <w:color w:val="000000"/>
          <w:sz w:val="32"/>
          <w:szCs w:val="32"/>
        </w:rPr>
        <w:t>（一）一般公共预算财政拨款支出决算总体情况</w:t>
      </w:r>
      <w:bookmarkEnd w:id="34"/>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支出1192.56万元，占本年支出合计的95%。与2018年相比，一般公共预算财政拨款增加35.47万元，增长3.07%。主要变动原因是机构改革并入法制办、依法治市办等机构，增加在编人员5名，相应增加人员经费、行政运行经费等。</w:t>
      </w:r>
    </w:p>
    <w:p>
      <w:pPr>
        <w:spacing w:line="600" w:lineRule="exact"/>
        <w:ind w:firstLine="643" w:firstLineChars="200"/>
        <w:outlineLvl w:val="2"/>
        <w:rPr>
          <w:rFonts w:ascii="仿宋_GB2312" w:hAnsi="仿宋_GB2312" w:eastAsia="仿宋_GB2312" w:cs="仿宋_GB2312"/>
          <w:b/>
          <w:color w:val="000000"/>
          <w:sz w:val="32"/>
          <w:szCs w:val="32"/>
        </w:rPr>
      </w:pPr>
      <w:bookmarkStart w:id="35" w:name="_Toc15377211"/>
      <w:r>
        <w:rPr>
          <w:rFonts w:hint="eastAsia" w:ascii="仿宋_GB2312" w:hAnsi="仿宋_GB2312" w:eastAsia="仿宋_GB2312" w:cs="仿宋_GB2312"/>
          <w:b/>
          <w:color w:val="000000"/>
          <w:sz w:val="32"/>
          <w:szCs w:val="32"/>
        </w:rPr>
        <w:t>（二）一般公共预算财政拨款支出决算结构情况</w:t>
      </w:r>
      <w:bookmarkEnd w:id="35"/>
    </w:p>
    <w:p>
      <w:pPr>
        <w:spacing w:line="60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2019年一般公共预算财</w:t>
      </w:r>
      <w:r>
        <w:rPr>
          <w:rFonts w:hint="eastAsia" w:ascii="仿宋_GB2312" w:hAnsi="仿宋_GB2312" w:eastAsia="仿宋_GB2312" w:cs="仿宋_GB2312"/>
          <w:color w:val="000000" w:themeColor="text1"/>
          <w:sz w:val="32"/>
          <w:szCs w:val="32"/>
        </w:rPr>
        <w:t>政拨款支出</w:t>
      </w:r>
      <w:r>
        <w:rPr>
          <w:rFonts w:hint="eastAsia" w:ascii="仿宋_GB2312" w:hAnsi="仿宋_GB2312" w:eastAsia="仿宋_GB2312" w:cs="仿宋_GB2312"/>
          <w:color w:val="000000"/>
          <w:sz w:val="32"/>
          <w:szCs w:val="32"/>
        </w:rPr>
        <w:t>1192.56</w:t>
      </w:r>
      <w:r>
        <w:rPr>
          <w:rFonts w:hint="eastAsia" w:ascii="仿宋_GB2312" w:hAnsi="仿宋_GB2312" w:eastAsia="仿宋_GB2312" w:cs="仿宋_GB2312"/>
          <w:color w:val="000000" w:themeColor="text1"/>
          <w:sz w:val="32"/>
          <w:szCs w:val="32"/>
        </w:rPr>
        <w:t>万元，主要用于以下方面:</w:t>
      </w:r>
      <w:r>
        <w:rPr>
          <w:rFonts w:hint="eastAsia" w:ascii="仿宋_GB2312" w:hAnsi="仿宋_GB2312" w:eastAsia="仿宋_GB2312" w:cs="仿宋_GB2312"/>
          <w:b/>
          <w:color w:val="000000" w:themeColor="text1"/>
          <w:sz w:val="32"/>
          <w:szCs w:val="32"/>
        </w:rPr>
        <w:t>公共安全支出（类）</w:t>
      </w:r>
      <w:r>
        <w:rPr>
          <w:rFonts w:hint="eastAsia" w:ascii="仿宋_GB2312" w:hAnsi="仿宋_GB2312" w:eastAsia="仿宋_GB2312" w:cs="仿宋_GB2312"/>
          <w:color w:val="000000" w:themeColor="text1"/>
          <w:sz w:val="32"/>
          <w:szCs w:val="32"/>
        </w:rPr>
        <w:t>支出1007.50万元，占84.49%；</w:t>
      </w:r>
      <w:r>
        <w:rPr>
          <w:rFonts w:hint="eastAsia" w:ascii="仿宋_GB2312" w:hAnsi="仿宋_GB2312" w:eastAsia="仿宋_GB2312" w:cs="仿宋_GB2312"/>
          <w:b/>
          <w:color w:val="000000" w:themeColor="text1"/>
          <w:sz w:val="32"/>
          <w:szCs w:val="32"/>
        </w:rPr>
        <w:t>社会保障和就业（类）</w:t>
      </w:r>
      <w:r>
        <w:rPr>
          <w:rFonts w:hint="eastAsia" w:ascii="仿宋_GB2312" w:hAnsi="仿宋_GB2312" w:eastAsia="仿宋_GB2312" w:cs="仿宋_GB2312"/>
          <w:color w:val="000000" w:themeColor="text1"/>
          <w:sz w:val="32"/>
          <w:szCs w:val="32"/>
        </w:rPr>
        <w:t>支出81.21万元，占6.81%；</w:t>
      </w:r>
      <w:r>
        <w:rPr>
          <w:rFonts w:hint="eastAsia" w:ascii="仿宋_GB2312" w:hAnsi="仿宋_GB2312" w:eastAsia="仿宋_GB2312" w:cs="仿宋_GB2312"/>
          <w:b/>
          <w:bCs/>
          <w:color w:val="000000" w:themeColor="text1"/>
          <w:sz w:val="32"/>
          <w:szCs w:val="32"/>
        </w:rPr>
        <w:t>卫生健康支出（类）</w:t>
      </w:r>
      <w:r>
        <w:rPr>
          <w:rFonts w:hint="eastAsia" w:ascii="仿宋_GB2312" w:hAnsi="仿宋_GB2312" w:eastAsia="仿宋_GB2312" w:cs="仿宋_GB2312"/>
          <w:color w:val="000000" w:themeColor="text1"/>
          <w:sz w:val="32"/>
          <w:szCs w:val="32"/>
        </w:rPr>
        <w:t>22.57万元，占1.90%；</w:t>
      </w:r>
      <w:r>
        <w:rPr>
          <w:rFonts w:hint="eastAsia" w:ascii="仿宋_GB2312" w:hAnsi="仿宋_GB2312" w:eastAsia="仿宋_GB2312" w:cs="仿宋_GB2312"/>
          <w:b/>
          <w:color w:val="000000" w:themeColor="text1"/>
          <w:sz w:val="32"/>
          <w:szCs w:val="32"/>
        </w:rPr>
        <w:t>住房保障（类）</w:t>
      </w:r>
      <w:r>
        <w:rPr>
          <w:rFonts w:hint="eastAsia" w:ascii="仿宋_GB2312" w:hAnsi="仿宋_GB2312" w:eastAsia="仿宋_GB2312" w:cs="仿宋_GB2312"/>
          <w:color w:val="000000" w:themeColor="text1"/>
          <w:sz w:val="32"/>
          <w:szCs w:val="32"/>
        </w:rPr>
        <w:t>支出75.70万元，占6.35%；</w:t>
      </w:r>
      <w:r>
        <w:rPr>
          <w:rFonts w:hint="eastAsia" w:ascii="仿宋_GB2312" w:hAnsi="仿宋_GB2312" w:eastAsia="仿宋_GB2312" w:cs="仿宋_GB2312"/>
          <w:b/>
          <w:color w:val="000000" w:themeColor="text1"/>
          <w:sz w:val="32"/>
          <w:szCs w:val="32"/>
        </w:rPr>
        <w:t>农林水（类）</w:t>
      </w:r>
      <w:r>
        <w:rPr>
          <w:rFonts w:hint="eastAsia" w:ascii="仿宋_GB2312" w:hAnsi="仿宋_GB2312" w:eastAsia="仿宋_GB2312" w:cs="仿宋_GB2312"/>
          <w:color w:val="000000" w:themeColor="text1"/>
          <w:sz w:val="32"/>
          <w:szCs w:val="32"/>
        </w:rPr>
        <w:t>支出5.58万元，占0.45%。</w:t>
      </w:r>
    </w:p>
    <w:p>
      <w:pPr>
        <w:spacing w:line="600" w:lineRule="exact"/>
        <w:ind w:firstLine="643" w:firstLineChars="200"/>
        <w:outlineLvl w:val="2"/>
        <w:rPr>
          <w:rFonts w:ascii="仿宋_GB2312" w:hAnsi="仿宋_GB2312" w:eastAsia="仿宋_GB2312" w:cs="仿宋_GB2312"/>
          <w:b/>
          <w:color w:val="000000"/>
          <w:sz w:val="32"/>
          <w:szCs w:val="32"/>
        </w:rPr>
      </w:pPr>
      <w:bookmarkStart w:id="36" w:name="_Toc15377212"/>
      <w:r>
        <w:rPr>
          <w:rFonts w:hint="eastAsia" w:ascii="仿宋_GB2312" w:hAnsi="仿宋_GB2312" w:eastAsia="仿宋_GB2312" w:cs="仿宋_GB2312"/>
          <w:b/>
          <w:color w:val="000000"/>
          <w:sz w:val="32"/>
          <w:szCs w:val="32"/>
        </w:rPr>
        <w:t>（三）一般公共预算财政拨款支出决算具体情况</w:t>
      </w:r>
      <w:bookmarkEnd w:id="36"/>
    </w:p>
    <w:p>
      <w:pPr>
        <w:spacing w:line="600" w:lineRule="exact"/>
        <w:ind w:firstLine="643" w:firstLineChars="200"/>
        <w:outlineLvl w:val="2"/>
        <w:rPr>
          <w:rFonts w:ascii="仿宋_GB2312" w:hAnsi="仿宋_GB2312" w:eastAsia="仿宋_GB2312" w:cs="仿宋_GB2312"/>
          <w:color w:val="FF0000"/>
          <w:sz w:val="32"/>
          <w:szCs w:val="32"/>
        </w:rPr>
      </w:pPr>
      <w:bookmarkStart w:id="37" w:name="_Toc15378460"/>
      <w:bookmarkStart w:id="38" w:name="_Toc15377444"/>
      <w:bookmarkStart w:id="39" w:name="_Toc15377213"/>
      <w:r>
        <w:rPr>
          <w:rFonts w:hint="eastAsia" w:ascii="仿宋_GB2312" w:hAnsi="仿宋_GB2312" w:eastAsia="仿宋_GB2312" w:cs="仿宋_GB2312"/>
          <w:b/>
          <w:color w:val="000000" w:themeColor="text1"/>
          <w:sz w:val="32"/>
          <w:szCs w:val="32"/>
        </w:rPr>
        <w:t>2019年一般公共预算支出决算数为1192.56万元</w:t>
      </w:r>
      <w:r>
        <w:rPr>
          <w:rFonts w:hint="eastAsia" w:ascii="仿宋_GB2312" w:hAnsi="仿宋_GB2312" w:eastAsia="仿宋_GB2312" w:cs="仿宋_GB2312"/>
          <w:color w:val="000000" w:themeColor="text1"/>
          <w:sz w:val="32"/>
          <w:szCs w:val="32"/>
        </w:rPr>
        <w:t>，</w:t>
      </w:r>
      <w:r>
        <w:rPr>
          <w:rStyle w:val="15"/>
          <w:rFonts w:hint="eastAsia" w:ascii="仿宋_GB2312" w:hAnsi="仿宋_GB2312" w:eastAsia="仿宋_GB2312" w:cs="仿宋_GB2312"/>
          <w:bCs/>
          <w:color w:val="000000" w:themeColor="text1"/>
          <w:sz w:val="32"/>
          <w:szCs w:val="32"/>
        </w:rPr>
        <w:t>完成</w:t>
      </w:r>
      <w:r>
        <w:rPr>
          <w:rStyle w:val="15"/>
          <w:rFonts w:hint="eastAsia" w:ascii="仿宋_GB2312" w:hAnsi="仿宋_GB2312" w:eastAsia="仿宋_GB2312" w:cs="仿宋_GB2312"/>
          <w:bCs/>
          <w:color w:val="000000"/>
          <w:sz w:val="32"/>
          <w:szCs w:val="32"/>
        </w:rPr>
        <w:t>预算67.43%。其中：</w:t>
      </w:r>
      <w:bookmarkEnd w:id="37"/>
      <w:bookmarkEnd w:id="38"/>
      <w:bookmarkEnd w:id="39"/>
    </w:p>
    <w:p>
      <w:pPr>
        <w:spacing w:line="600" w:lineRule="exact"/>
        <w:ind w:firstLine="643" w:firstLineChars="200"/>
        <w:rPr>
          <w:rFonts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1.行政运行2040601:</w:t>
      </w:r>
      <w:r>
        <w:rPr>
          <w:rStyle w:val="15"/>
          <w:rFonts w:hint="eastAsia" w:ascii="仿宋_GB2312" w:hAnsi="仿宋_GB2312" w:eastAsia="仿宋_GB2312" w:cs="仿宋_GB2312"/>
          <w:b w:val="0"/>
          <w:bCs/>
          <w:color w:val="000000"/>
          <w:sz w:val="32"/>
          <w:szCs w:val="32"/>
        </w:rPr>
        <w:t xml:space="preserve"> 支出决算为834.35万元，完成预算100%，与预算数持平。</w:t>
      </w:r>
    </w:p>
    <w:p>
      <w:pPr>
        <w:spacing w:line="600" w:lineRule="exact"/>
        <w:ind w:firstLine="643" w:firstLineChars="200"/>
        <w:rPr>
          <w:rStyle w:val="15"/>
          <w:rFonts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2.</w:t>
      </w:r>
      <w:r>
        <w:rPr>
          <w:rFonts w:hint="eastAsia" w:ascii="仿宋_GB2312" w:hAnsi="仿宋_GB2312" w:eastAsia="仿宋_GB2312" w:cs="仿宋_GB2312"/>
          <w:b/>
          <w:bCs/>
          <w:color w:val="000000"/>
          <w:sz w:val="32"/>
          <w:szCs w:val="32"/>
        </w:rPr>
        <w:t>一般行政管理事务2040602</w:t>
      </w:r>
      <w:r>
        <w:rPr>
          <w:rStyle w:val="15"/>
          <w:rFonts w:hint="eastAsia" w:ascii="仿宋_GB2312" w:hAnsi="仿宋_GB2312" w:eastAsia="仿宋_GB2312" w:cs="仿宋_GB2312"/>
          <w:bCs/>
          <w:color w:val="000000"/>
          <w:sz w:val="32"/>
          <w:szCs w:val="32"/>
        </w:rPr>
        <w:t>:</w:t>
      </w:r>
      <w:r>
        <w:rPr>
          <w:rStyle w:val="15"/>
          <w:rFonts w:hint="eastAsia" w:ascii="仿宋_GB2312" w:hAnsi="仿宋_GB2312" w:eastAsia="仿宋_GB2312" w:cs="仿宋_GB2312"/>
          <w:b w:val="0"/>
          <w:bCs/>
          <w:color w:val="000000"/>
          <w:sz w:val="32"/>
          <w:szCs w:val="32"/>
        </w:rPr>
        <w:t xml:space="preserve"> 支出决算为71.05万元，</w:t>
      </w:r>
      <w:r>
        <w:rPr>
          <w:rStyle w:val="15"/>
          <w:rFonts w:hint="eastAsia" w:ascii="仿宋_GB2312" w:hAnsi="仿宋_GB2312" w:eastAsia="仿宋_GB2312" w:cs="仿宋_GB2312"/>
          <w:b w:val="0"/>
          <w:bCs/>
          <w:color w:val="000000" w:themeColor="text1"/>
          <w:sz w:val="32"/>
          <w:szCs w:val="32"/>
        </w:rPr>
        <w:t>完成预算57.13%，决算数小于预算数的主要原因是：</w:t>
      </w:r>
      <w:r>
        <w:rPr>
          <w:rStyle w:val="15"/>
          <w:rFonts w:hint="eastAsia" w:ascii="仿宋_GB2312" w:hAnsi="仿宋_GB2312" w:eastAsia="仿宋_GB2312" w:cs="仿宋_GB2312"/>
          <w:b w:val="0"/>
          <w:bCs/>
          <w:color w:val="000000"/>
          <w:sz w:val="32"/>
          <w:szCs w:val="32"/>
        </w:rPr>
        <w:t>上级转移支付资金允许跨年度结转使用，其中：业务装备经费结转44.09万元，办案业务经费结转9.22万元。</w:t>
      </w:r>
    </w:p>
    <w:p>
      <w:pPr>
        <w:spacing w:line="600" w:lineRule="exact"/>
        <w:ind w:firstLine="643" w:firstLineChars="200"/>
        <w:rPr>
          <w:rFonts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3.</w:t>
      </w:r>
      <w:r>
        <w:rPr>
          <w:rFonts w:hint="eastAsia" w:ascii="仿宋_GB2312" w:hAnsi="仿宋_GB2312" w:eastAsia="仿宋_GB2312" w:cs="仿宋_GB2312"/>
          <w:b/>
          <w:bCs/>
          <w:color w:val="000000"/>
          <w:sz w:val="32"/>
          <w:szCs w:val="32"/>
        </w:rPr>
        <w:t>基层司法业务2040604</w:t>
      </w:r>
      <w:r>
        <w:rPr>
          <w:rStyle w:val="15"/>
          <w:rFonts w:hint="eastAsia" w:ascii="仿宋_GB2312" w:hAnsi="仿宋_GB2312" w:eastAsia="仿宋_GB2312" w:cs="仿宋_GB2312"/>
          <w:bCs/>
          <w:color w:val="000000"/>
          <w:sz w:val="32"/>
          <w:szCs w:val="32"/>
        </w:rPr>
        <w:t>:</w:t>
      </w:r>
      <w:r>
        <w:rPr>
          <w:rStyle w:val="15"/>
          <w:rFonts w:hint="eastAsia" w:ascii="仿宋_GB2312" w:hAnsi="仿宋_GB2312" w:eastAsia="仿宋_GB2312" w:cs="仿宋_GB2312"/>
          <w:b w:val="0"/>
          <w:bCs/>
          <w:color w:val="000000"/>
          <w:sz w:val="32"/>
          <w:szCs w:val="32"/>
        </w:rPr>
        <w:t xml:space="preserve"> 支出决算为</w:t>
      </w:r>
      <w:r>
        <w:rPr>
          <w:rFonts w:hint="eastAsia" w:ascii="仿宋_GB2312" w:hAnsi="仿宋_GB2312" w:eastAsia="仿宋_GB2312" w:cs="仿宋_GB2312"/>
          <w:bCs/>
          <w:color w:val="000000"/>
          <w:sz w:val="32"/>
          <w:szCs w:val="32"/>
        </w:rPr>
        <w:t>35.39</w:t>
      </w:r>
      <w:r>
        <w:rPr>
          <w:rStyle w:val="15"/>
          <w:rFonts w:hint="eastAsia" w:ascii="仿宋_GB2312" w:hAnsi="仿宋_GB2312" w:eastAsia="仿宋_GB2312" w:cs="仿宋_GB2312"/>
          <w:b w:val="0"/>
          <w:bCs/>
          <w:color w:val="000000"/>
          <w:sz w:val="32"/>
          <w:szCs w:val="32"/>
        </w:rPr>
        <w:t>万元，完成预算52.44%，</w:t>
      </w:r>
      <w:r>
        <w:rPr>
          <w:rStyle w:val="15"/>
          <w:rFonts w:hint="eastAsia" w:ascii="仿宋_GB2312" w:hAnsi="仿宋_GB2312" w:eastAsia="仿宋_GB2312" w:cs="仿宋_GB2312"/>
          <w:b w:val="0"/>
          <w:bCs/>
          <w:color w:val="000000" w:themeColor="text1"/>
          <w:sz w:val="32"/>
          <w:szCs w:val="32"/>
        </w:rPr>
        <w:t>决算数小于预算数的主要原因是：经财政部门同意，结转32.10</w:t>
      </w:r>
      <w:r>
        <w:rPr>
          <w:rStyle w:val="15"/>
          <w:rFonts w:hint="eastAsia" w:ascii="仿宋_GB2312" w:hAnsi="仿宋_GB2312" w:eastAsia="仿宋_GB2312" w:cs="仿宋_GB2312"/>
          <w:b w:val="0"/>
          <w:bCs/>
          <w:color w:val="000000"/>
          <w:sz w:val="32"/>
          <w:szCs w:val="32"/>
        </w:rPr>
        <w:t>万元基层司法所经费至2020年初支付</w:t>
      </w:r>
      <w:r>
        <w:rPr>
          <w:rStyle w:val="15"/>
          <w:rFonts w:hint="eastAsia" w:ascii="仿宋_GB2312" w:hAnsi="仿宋_GB2312" w:eastAsia="仿宋_GB2312" w:cs="仿宋_GB2312"/>
          <w:b w:val="0"/>
          <w:bCs/>
          <w:color w:val="000000" w:themeColor="text1"/>
          <w:sz w:val="32"/>
          <w:szCs w:val="32"/>
        </w:rPr>
        <w:t>。</w:t>
      </w:r>
    </w:p>
    <w:p>
      <w:pPr>
        <w:spacing w:line="600" w:lineRule="exact"/>
        <w:ind w:firstLine="643" w:firstLineChars="200"/>
        <w:rPr>
          <w:rFonts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4.</w:t>
      </w:r>
      <w:r>
        <w:rPr>
          <w:rFonts w:hint="eastAsia" w:ascii="仿宋_GB2312" w:hAnsi="仿宋_GB2312" w:eastAsia="仿宋_GB2312" w:cs="仿宋_GB2312"/>
          <w:b/>
          <w:bCs/>
          <w:color w:val="000000"/>
          <w:sz w:val="32"/>
          <w:szCs w:val="32"/>
        </w:rPr>
        <w:t>普法宣传2040605</w:t>
      </w:r>
      <w:r>
        <w:rPr>
          <w:rStyle w:val="15"/>
          <w:rFonts w:hint="eastAsia" w:ascii="仿宋_GB2312" w:hAnsi="仿宋_GB2312" w:eastAsia="仿宋_GB2312" w:cs="仿宋_GB2312"/>
          <w:bCs/>
          <w:color w:val="000000"/>
          <w:sz w:val="32"/>
          <w:szCs w:val="32"/>
        </w:rPr>
        <w:t>:</w:t>
      </w:r>
      <w:r>
        <w:rPr>
          <w:rStyle w:val="15"/>
          <w:rFonts w:hint="eastAsia" w:ascii="仿宋_GB2312" w:hAnsi="仿宋_GB2312" w:eastAsia="仿宋_GB2312" w:cs="仿宋_GB2312"/>
          <w:b w:val="0"/>
          <w:bCs/>
          <w:color w:val="000000"/>
          <w:sz w:val="32"/>
          <w:szCs w:val="32"/>
        </w:rPr>
        <w:t xml:space="preserve"> 支出决算为2.71万元，完成预算100%，与预算数持平。</w:t>
      </w:r>
    </w:p>
    <w:p>
      <w:pPr>
        <w:spacing w:line="600" w:lineRule="exact"/>
        <w:ind w:firstLine="643" w:firstLineChars="200"/>
        <w:rPr>
          <w:rStyle w:val="15"/>
          <w:rFonts w:ascii="仿宋_GB2312" w:hAnsi="仿宋_GB2312" w:eastAsia="仿宋_GB2312" w:cs="仿宋_GB2312"/>
          <w:b w:val="0"/>
          <w:bCs/>
          <w:color w:val="FF0000"/>
          <w:sz w:val="32"/>
          <w:szCs w:val="32"/>
        </w:rPr>
      </w:pPr>
      <w:r>
        <w:rPr>
          <w:rStyle w:val="15"/>
          <w:rFonts w:hint="eastAsia" w:ascii="仿宋_GB2312" w:hAnsi="仿宋_GB2312" w:eastAsia="仿宋_GB2312" w:cs="仿宋_GB2312"/>
          <w:bCs/>
          <w:color w:val="000000"/>
          <w:sz w:val="32"/>
          <w:szCs w:val="32"/>
        </w:rPr>
        <w:t>5.</w:t>
      </w:r>
      <w:r>
        <w:rPr>
          <w:rFonts w:hint="eastAsia" w:ascii="仿宋_GB2312" w:hAnsi="仿宋_GB2312" w:eastAsia="仿宋_GB2312" w:cs="仿宋_GB2312"/>
          <w:b/>
          <w:bCs/>
          <w:color w:val="000000"/>
          <w:sz w:val="32"/>
          <w:szCs w:val="32"/>
        </w:rPr>
        <w:t>法律援助2040607</w:t>
      </w:r>
      <w:r>
        <w:rPr>
          <w:rStyle w:val="15"/>
          <w:rFonts w:hint="eastAsia" w:ascii="仿宋_GB2312" w:hAnsi="仿宋_GB2312" w:eastAsia="仿宋_GB2312" w:cs="仿宋_GB2312"/>
          <w:bCs/>
          <w:color w:val="000000"/>
          <w:sz w:val="32"/>
          <w:szCs w:val="32"/>
        </w:rPr>
        <w:t>:</w:t>
      </w:r>
      <w:r>
        <w:rPr>
          <w:rStyle w:val="15"/>
          <w:rFonts w:hint="eastAsia" w:ascii="仿宋_GB2312" w:hAnsi="仿宋_GB2312" w:eastAsia="仿宋_GB2312" w:cs="仿宋_GB2312"/>
          <w:b w:val="0"/>
          <w:bCs/>
          <w:color w:val="000000"/>
          <w:sz w:val="32"/>
          <w:szCs w:val="32"/>
        </w:rPr>
        <w:t xml:space="preserve"> 支出决算为19.33万元，完成预算60.73%，</w:t>
      </w:r>
      <w:r>
        <w:rPr>
          <w:rStyle w:val="15"/>
          <w:rFonts w:hint="eastAsia" w:ascii="仿宋_GB2312" w:hAnsi="仿宋_GB2312" w:eastAsia="仿宋_GB2312" w:cs="仿宋_GB2312"/>
          <w:b w:val="0"/>
          <w:bCs/>
          <w:color w:val="000000" w:themeColor="text1"/>
          <w:sz w:val="32"/>
          <w:szCs w:val="32"/>
        </w:rPr>
        <w:t>决算数小于预算数的主要原因是：</w:t>
      </w:r>
      <w:r>
        <w:rPr>
          <w:rStyle w:val="15"/>
          <w:rFonts w:hint="eastAsia" w:ascii="仿宋_GB2312" w:hAnsi="仿宋_GB2312" w:eastAsia="仿宋_GB2312" w:cs="仿宋_GB2312"/>
          <w:b w:val="0"/>
          <w:bCs/>
          <w:color w:val="000000"/>
          <w:sz w:val="32"/>
          <w:szCs w:val="32"/>
        </w:rPr>
        <w:t>上级转移支付资金允许跨年度结转使用</w:t>
      </w:r>
      <w:r>
        <w:rPr>
          <w:rStyle w:val="15"/>
          <w:rFonts w:hint="eastAsia" w:ascii="仿宋_GB2312" w:hAnsi="仿宋_GB2312" w:eastAsia="仿宋_GB2312" w:cs="仿宋_GB2312"/>
          <w:b w:val="0"/>
          <w:bCs/>
          <w:color w:val="000000" w:themeColor="text1"/>
          <w:sz w:val="32"/>
          <w:szCs w:val="32"/>
        </w:rPr>
        <w:t>，法律援助经费结转12.50万元。</w:t>
      </w:r>
    </w:p>
    <w:p>
      <w:pPr>
        <w:spacing w:line="600" w:lineRule="exact"/>
        <w:ind w:firstLine="643" w:firstLineChars="200"/>
        <w:rPr>
          <w:rStyle w:val="15"/>
          <w:rFonts w:ascii="仿宋_GB2312" w:hAnsi="仿宋_GB2312" w:eastAsia="仿宋_GB2312" w:cs="仿宋_GB2312"/>
          <w:b w:val="0"/>
          <w:bCs/>
          <w:color w:val="000000" w:themeColor="text1"/>
          <w:sz w:val="32"/>
          <w:szCs w:val="32"/>
        </w:rPr>
      </w:pPr>
      <w:r>
        <w:rPr>
          <w:rStyle w:val="15"/>
          <w:rFonts w:hint="eastAsia" w:ascii="仿宋_GB2312" w:hAnsi="仿宋_GB2312" w:eastAsia="仿宋_GB2312" w:cs="仿宋_GB2312"/>
          <w:bCs/>
          <w:color w:val="000000" w:themeColor="text1"/>
          <w:sz w:val="32"/>
          <w:szCs w:val="32"/>
        </w:rPr>
        <w:t>6.</w:t>
      </w:r>
      <w:r>
        <w:rPr>
          <w:rFonts w:hint="eastAsia" w:ascii="仿宋_GB2312" w:hAnsi="仿宋_GB2312" w:eastAsia="仿宋_GB2312" w:cs="仿宋_GB2312"/>
          <w:b/>
          <w:bCs/>
          <w:color w:val="000000" w:themeColor="text1"/>
          <w:sz w:val="32"/>
          <w:szCs w:val="32"/>
        </w:rPr>
        <w:t>社区矫正2040610：</w:t>
      </w:r>
      <w:r>
        <w:rPr>
          <w:rFonts w:hint="eastAsia" w:ascii="仿宋_GB2312" w:hAnsi="仿宋_GB2312" w:eastAsia="仿宋_GB2312" w:cs="仿宋_GB2312"/>
          <w:bCs/>
          <w:color w:val="000000" w:themeColor="text1"/>
          <w:sz w:val="32"/>
          <w:szCs w:val="32"/>
        </w:rPr>
        <w:t>支出决算为34.27万元，完成预算100%，与预算数持平。</w:t>
      </w:r>
    </w:p>
    <w:p>
      <w:pPr>
        <w:spacing w:line="600" w:lineRule="exact"/>
        <w:ind w:firstLine="643" w:firstLineChars="200"/>
        <w:rPr>
          <w:rStyle w:val="15"/>
          <w:rFonts w:ascii="仿宋_GB2312" w:hAnsi="仿宋_GB2312" w:eastAsia="仿宋_GB2312" w:cs="仿宋_GB2312"/>
          <w:b w:val="0"/>
          <w:bCs/>
          <w:color w:val="000000" w:themeColor="text1"/>
          <w:sz w:val="32"/>
          <w:szCs w:val="32"/>
        </w:rPr>
      </w:pPr>
      <w:r>
        <w:rPr>
          <w:rStyle w:val="15"/>
          <w:rFonts w:hint="eastAsia" w:ascii="仿宋_GB2312" w:hAnsi="仿宋_GB2312" w:eastAsia="仿宋_GB2312" w:cs="仿宋_GB2312"/>
          <w:bCs/>
          <w:color w:val="000000" w:themeColor="text1"/>
          <w:sz w:val="32"/>
          <w:szCs w:val="32"/>
        </w:rPr>
        <w:t>7.</w:t>
      </w:r>
      <w:r>
        <w:rPr>
          <w:rFonts w:hint="eastAsia" w:ascii="仿宋_GB2312" w:hAnsi="仿宋_GB2312" w:eastAsia="仿宋_GB2312" w:cs="仿宋_GB2312"/>
          <w:b/>
          <w:bCs/>
          <w:color w:val="000000" w:themeColor="text1"/>
          <w:sz w:val="32"/>
          <w:szCs w:val="32"/>
        </w:rPr>
        <w:t>机关事业单位基本养老保险缴费2080505</w:t>
      </w:r>
      <w:r>
        <w:rPr>
          <w:rFonts w:hint="eastAsia" w:ascii="仿宋_GB2312" w:hAnsi="仿宋_GB2312" w:eastAsia="仿宋_GB2312" w:cs="仿宋_GB2312"/>
          <w:b/>
          <w:color w:val="000000"/>
          <w:kern w:val="0"/>
          <w:sz w:val="32"/>
          <w:szCs w:val="32"/>
        </w:rPr>
        <w:t>：支出决算为52.75万元，</w:t>
      </w:r>
      <w:r>
        <w:rPr>
          <w:rFonts w:hint="eastAsia" w:ascii="仿宋_GB2312" w:hAnsi="仿宋_GB2312" w:eastAsia="仿宋_GB2312" w:cs="仿宋_GB2312"/>
          <w:bCs/>
          <w:color w:val="000000" w:themeColor="text1"/>
          <w:sz w:val="32"/>
          <w:szCs w:val="32"/>
        </w:rPr>
        <w:t>完成预算100%，与预算数持平。</w:t>
      </w:r>
    </w:p>
    <w:p>
      <w:pPr>
        <w:spacing w:line="600" w:lineRule="exact"/>
        <w:ind w:firstLine="643" w:firstLineChars="200"/>
        <w:rPr>
          <w:rStyle w:val="15"/>
          <w:rFonts w:ascii="仿宋_GB2312" w:hAnsi="仿宋_GB2312" w:eastAsia="仿宋_GB2312" w:cs="仿宋_GB2312"/>
          <w:b w:val="0"/>
          <w:bCs/>
          <w:color w:val="000000" w:themeColor="text1"/>
          <w:sz w:val="32"/>
          <w:szCs w:val="32"/>
        </w:rPr>
      </w:pPr>
      <w:r>
        <w:rPr>
          <w:rStyle w:val="15"/>
          <w:rFonts w:hint="eastAsia" w:ascii="仿宋_GB2312" w:hAnsi="仿宋_GB2312" w:eastAsia="仿宋_GB2312" w:cs="仿宋_GB2312"/>
          <w:bCs/>
          <w:color w:val="000000" w:themeColor="text1"/>
          <w:sz w:val="32"/>
          <w:szCs w:val="32"/>
        </w:rPr>
        <w:t>8.</w:t>
      </w:r>
      <w:r>
        <w:rPr>
          <w:rFonts w:hint="eastAsia" w:ascii="仿宋_GB2312" w:hAnsi="仿宋_GB2312" w:eastAsia="仿宋_GB2312" w:cs="仿宋_GB2312"/>
          <w:b/>
          <w:bCs/>
          <w:color w:val="000000" w:themeColor="text1"/>
          <w:sz w:val="32"/>
          <w:szCs w:val="32"/>
        </w:rPr>
        <w:t>机关事业单位职业年金缴费2080506：</w:t>
      </w:r>
      <w:r>
        <w:rPr>
          <w:rFonts w:hint="eastAsia" w:ascii="仿宋_GB2312" w:hAnsi="仿宋_GB2312" w:eastAsia="仿宋_GB2312" w:cs="仿宋_GB2312"/>
          <w:b/>
          <w:color w:val="000000"/>
          <w:kern w:val="0"/>
          <w:sz w:val="32"/>
          <w:szCs w:val="32"/>
        </w:rPr>
        <w:t>支出决算为27.84万元，</w:t>
      </w:r>
      <w:r>
        <w:rPr>
          <w:rFonts w:hint="eastAsia" w:ascii="仿宋_GB2312" w:hAnsi="仿宋_GB2312" w:eastAsia="仿宋_GB2312" w:cs="仿宋_GB2312"/>
          <w:bCs/>
          <w:color w:val="000000" w:themeColor="text1"/>
          <w:sz w:val="32"/>
          <w:szCs w:val="32"/>
        </w:rPr>
        <w:t>完成预算100%，与预算数持平。</w:t>
      </w:r>
    </w:p>
    <w:p>
      <w:pPr>
        <w:spacing w:line="600" w:lineRule="exact"/>
        <w:ind w:firstLine="643" w:firstLineChars="200"/>
        <w:rPr>
          <w:rStyle w:val="15"/>
          <w:rFonts w:ascii="仿宋_GB2312" w:hAnsi="仿宋_GB2312" w:eastAsia="仿宋_GB2312" w:cs="仿宋_GB2312"/>
          <w:b w:val="0"/>
          <w:bCs/>
          <w:color w:val="000000" w:themeColor="text1"/>
          <w:sz w:val="32"/>
          <w:szCs w:val="32"/>
        </w:rPr>
      </w:pPr>
      <w:r>
        <w:rPr>
          <w:rStyle w:val="15"/>
          <w:rFonts w:hint="eastAsia" w:ascii="仿宋_GB2312" w:hAnsi="仿宋_GB2312" w:eastAsia="仿宋_GB2312" w:cs="仿宋_GB2312"/>
          <w:bCs/>
          <w:color w:val="000000" w:themeColor="text1"/>
          <w:sz w:val="32"/>
          <w:szCs w:val="32"/>
        </w:rPr>
        <w:t>9.</w:t>
      </w:r>
      <w:r>
        <w:rPr>
          <w:rFonts w:hint="eastAsia" w:ascii="仿宋_GB2312" w:hAnsi="仿宋_GB2312" w:eastAsia="仿宋_GB2312" w:cs="仿宋_GB2312"/>
          <w:b/>
          <w:bCs/>
          <w:color w:val="000000" w:themeColor="text1"/>
          <w:sz w:val="32"/>
          <w:szCs w:val="32"/>
        </w:rPr>
        <w:t>其他优抚支出2080899：</w:t>
      </w:r>
      <w:r>
        <w:rPr>
          <w:rFonts w:hint="eastAsia" w:ascii="仿宋_GB2312" w:hAnsi="仿宋_GB2312" w:eastAsia="仿宋_GB2312" w:cs="仿宋_GB2312"/>
          <w:b/>
          <w:color w:val="000000"/>
          <w:kern w:val="0"/>
          <w:sz w:val="32"/>
          <w:szCs w:val="32"/>
        </w:rPr>
        <w:t>支出决算为0.62万元，</w:t>
      </w:r>
      <w:r>
        <w:rPr>
          <w:rFonts w:hint="eastAsia" w:ascii="仿宋_GB2312" w:hAnsi="仿宋_GB2312" w:eastAsia="仿宋_GB2312" w:cs="仿宋_GB2312"/>
          <w:bCs/>
          <w:color w:val="000000" w:themeColor="text1"/>
          <w:sz w:val="32"/>
          <w:szCs w:val="32"/>
        </w:rPr>
        <w:t>完成预算100%，与预算数持平。</w:t>
      </w:r>
    </w:p>
    <w:p>
      <w:pPr>
        <w:spacing w:line="600" w:lineRule="exact"/>
        <w:ind w:firstLine="643" w:firstLineChars="200"/>
        <w:rPr>
          <w:rStyle w:val="15"/>
          <w:rFonts w:ascii="仿宋_GB2312" w:hAnsi="仿宋_GB2312" w:eastAsia="仿宋_GB2312" w:cs="仿宋_GB2312"/>
          <w:b w:val="0"/>
          <w:bCs/>
          <w:color w:val="000000" w:themeColor="text1"/>
          <w:sz w:val="32"/>
          <w:szCs w:val="32"/>
        </w:rPr>
      </w:pPr>
      <w:r>
        <w:rPr>
          <w:rStyle w:val="15"/>
          <w:rFonts w:hint="eastAsia" w:ascii="仿宋_GB2312" w:hAnsi="仿宋_GB2312" w:eastAsia="仿宋_GB2312" w:cs="仿宋_GB2312"/>
          <w:bCs/>
          <w:color w:val="000000" w:themeColor="text1"/>
          <w:sz w:val="32"/>
          <w:szCs w:val="32"/>
        </w:rPr>
        <w:t>10.</w:t>
      </w:r>
      <w:r>
        <w:rPr>
          <w:rFonts w:hint="eastAsia" w:ascii="仿宋_GB2312" w:hAnsi="仿宋_GB2312" w:eastAsia="仿宋_GB2312" w:cs="仿宋_GB2312"/>
          <w:b/>
          <w:bCs/>
          <w:color w:val="000000" w:themeColor="text1"/>
          <w:sz w:val="32"/>
          <w:szCs w:val="32"/>
        </w:rPr>
        <w:t>行政单位医疗2101101：</w:t>
      </w:r>
      <w:r>
        <w:rPr>
          <w:rFonts w:hint="eastAsia" w:ascii="仿宋_GB2312" w:hAnsi="仿宋_GB2312" w:eastAsia="仿宋_GB2312" w:cs="仿宋_GB2312"/>
          <w:b/>
          <w:color w:val="000000"/>
          <w:kern w:val="0"/>
          <w:sz w:val="32"/>
          <w:szCs w:val="32"/>
        </w:rPr>
        <w:t>支出决算为22.58万元，</w:t>
      </w:r>
      <w:r>
        <w:rPr>
          <w:rFonts w:hint="eastAsia" w:ascii="仿宋_GB2312" w:hAnsi="仿宋_GB2312" w:eastAsia="仿宋_GB2312" w:cs="仿宋_GB2312"/>
          <w:bCs/>
          <w:color w:val="000000" w:themeColor="text1"/>
          <w:sz w:val="32"/>
          <w:szCs w:val="32"/>
        </w:rPr>
        <w:t>完成预算100%，与预算数持平。</w:t>
      </w:r>
    </w:p>
    <w:p>
      <w:pPr>
        <w:spacing w:line="600" w:lineRule="exact"/>
        <w:ind w:firstLine="643" w:firstLineChars="200"/>
        <w:rPr>
          <w:rStyle w:val="15"/>
          <w:rFonts w:ascii="仿宋_GB2312" w:hAnsi="仿宋_GB2312" w:eastAsia="仿宋_GB2312" w:cs="仿宋_GB2312"/>
          <w:b w:val="0"/>
          <w:bCs/>
          <w:color w:val="000000" w:themeColor="text1"/>
          <w:sz w:val="32"/>
          <w:szCs w:val="32"/>
        </w:rPr>
      </w:pPr>
      <w:r>
        <w:rPr>
          <w:rStyle w:val="15"/>
          <w:rFonts w:hint="eastAsia" w:ascii="仿宋_GB2312" w:hAnsi="仿宋_GB2312" w:eastAsia="仿宋_GB2312" w:cs="仿宋_GB2312"/>
          <w:bCs/>
          <w:color w:val="000000" w:themeColor="text1"/>
          <w:sz w:val="32"/>
          <w:szCs w:val="32"/>
        </w:rPr>
        <w:t>11.</w:t>
      </w:r>
      <w:r>
        <w:rPr>
          <w:rFonts w:hint="eastAsia" w:ascii="仿宋_GB2312" w:hAnsi="仿宋_GB2312" w:eastAsia="仿宋_GB2312" w:cs="仿宋_GB2312"/>
          <w:b/>
          <w:bCs/>
          <w:color w:val="000000" w:themeColor="text1"/>
          <w:sz w:val="32"/>
          <w:szCs w:val="32"/>
        </w:rPr>
        <w:t>其他扶贫支出2130599：</w:t>
      </w:r>
      <w:r>
        <w:rPr>
          <w:rFonts w:hint="eastAsia" w:ascii="仿宋_GB2312" w:hAnsi="仿宋_GB2312" w:eastAsia="仿宋_GB2312" w:cs="仿宋_GB2312"/>
          <w:b/>
          <w:color w:val="000000"/>
          <w:kern w:val="0"/>
          <w:sz w:val="32"/>
          <w:szCs w:val="32"/>
        </w:rPr>
        <w:t>支出决算为5.58万元，</w:t>
      </w:r>
      <w:r>
        <w:rPr>
          <w:rFonts w:hint="eastAsia" w:ascii="仿宋_GB2312" w:hAnsi="仿宋_GB2312" w:eastAsia="仿宋_GB2312" w:cs="仿宋_GB2312"/>
          <w:bCs/>
          <w:color w:val="000000" w:themeColor="text1"/>
          <w:sz w:val="32"/>
          <w:szCs w:val="32"/>
        </w:rPr>
        <w:t>完成预算100%，与预算数持平。</w:t>
      </w:r>
    </w:p>
    <w:p>
      <w:pPr>
        <w:spacing w:line="600" w:lineRule="exact"/>
        <w:ind w:firstLine="643" w:firstLineChars="200"/>
        <w:rPr>
          <w:rStyle w:val="15"/>
          <w:rFonts w:ascii="仿宋_GB2312" w:hAnsi="仿宋_GB2312" w:eastAsia="仿宋_GB2312" w:cs="仿宋_GB2312"/>
          <w:b w:val="0"/>
          <w:bCs/>
          <w:color w:val="000000" w:themeColor="text1"/>
          <w:sz w:val="32"/>
          <w:szCs w:val="32"/>
        </w:rPr>
      </w:pPr>
      <w:r>
        <w:rPr>
          <w:rStyle w:val="15"/>
          <w:rFonts w:hint="eastAsia" w:ascii="仿宋_GB2312" w:hAnsi="仿宋_GB2312" w:eastAsia="仿宋_GB2312" w:cs="仿宋_GB2312"/>
          <w:bCs/>
          <w:color w:val="000000" w:themeColor="text1"/>
          <w:sz w:val="32"/>
          <w:szCs w:val="32"/>
        </w:rPr>
        <w:t>12.</w:t>
      </w:r>
      <w:r>
        <w:rPr>
          <w:rFonts w:hint="eastAsia" w:ascii="仿宋_GB2312" w:hAnsi="仿宋_GB2312" w:eastAsia="仿宋_GB2312" w:cs="仿宋_GB2312"/>
          <w:b/>
          <w:bCs/>
          <w:color w:val="000000" w:themeColor="text1"/>
          <w:sz w:val="32"/>
          <w:szCs w:val="32"/>
        </w:rPr>
        <w:t>住房公积金2210201：</w:t>
      </w:r>
      <w:r>
        <w:rPr>
          <w:rFonts w:hint="eastAsia" w:ascii="仿宋_GB2312" w:hAnsi="仿宋_GB2312" w:eastAsia="仿宋_GB2312" w:cs="仿宋_GB2312"/>
          <w:b/>
          <w:color w:val="000000"/>
          <w:kern w:val="0"/>
          <w:sz w:val="32"/>
          <w:szCs w:val="32"/>
        </w:rPr>
        <w:t>支出决算为75.70万元，</w:t>
      </w:r>
      <w:r>
        <w:rPr>
          <w:rFonts w:hint="eastAsia" w:ascii="仿宋_GB2312" w:hAnsi="仿宋_GB2312" w:eastAsia="仿宋_GB2312" w:cs="仿宋_GB2312"/>
          <w:bCs/>
          <w:color w:val="000000" w:themeColor="text1"/>
          <w:sz w:val="32"/>
          <w:szCs w:val="32"/>
        </w:rPr>
        <w:t>完成预算100%，与预算数持平。</w:t>
      </w:r>
    </w:p>
    <w:p>
      <w:pPr>
        <w:spacing w:line="600" w:lineRule="exact"/>
        <w:ind w:firstLine="643" w:firstLineChars="200"/>
        <w:rPr>
          <w:rFonts w:ascii="仿宋_GB2312" w:hAnsi="仿宋_GB2312" w:eastAsia="仿宋_GB2312" w:cs="仿宋_GB2312"/>
          <w:bCs/>
          <w:color w:val="000000" w:themeColor="text1"/>
          <w:sz w:val="32"/>
          <w:szCs w:val="32"/>
        </w:rPr>
      </w:pPr>
      <w:r>
        <w:rPr>
          <w:rStyle w:val="15"/>
          <w:rFonts w:hint="eastAsia" w:ascii="仿宋_GB2312" w:hAnsi="仿宋_GB2312" w:eastAsia="仿宋_GB2312" w:cs="仿宋_GB2312"/>
          <w:bCs/>
          <w:color w:val="000000" w:themeColor="text1"/>
          <w:sz w:val="32"/>
          <w:szCs w:val="32"/>
        </w:rPr>
        <w:t>13.</w:t>
      </w:r>
      <w:r>
        <w:rPr>
          <w:rFonts w:hint="eastAsia" w:ascii="仿宋_GB2312" w:hAnsi="仿宋_GB2312" w:eastAsia="仿宋_GB2312" w:cs="仿宋_GB2312"/>
          <w:b/>
          <w:bCs/>
          <w:color w:val="000000" w:themeColor="text1"/>
          <w:sz w:val="32"/>
          <w:szCs w:val="32"/>
        </w:rPr>
        <w:t>其他司法支出2040699：</w:t>
      </w:r>
      <w:r>
        <w:rPr>
          <w:rFonts w:hint="eastAsia" w:ascii="仿宋_GB2312" w:hAnsi="仿宋_GB2312" w:eastAsia="仿宋_GB2312" w:cs="仿宋_GB2312"/>
          <w:b/>
          <w:color w:val="000000"/>
          <w:kern w:val="0"/>
          <w:sz w:val="32"/>
          <w:szCs w:val="32"/>
        </w:rPr>
        <w:t>支出决算为10.40万元，</w:t>
      </w:r>
      <w:r>
        <w:rPr>
          <w:rFonts w:hint="eastAsia" w:ascii="仿宋_GB2312" w:hAnsi="仿宋_GB2312" w:eastAsia="仿宋_GB2312" w:cs="仿宋_GB2312"/>
          <w:bCs/>
          <w:color w:val="000000" w:themeColor="text1"/>
          <w:sz w:val="32"/>
          <w:szCs w:val="32"/>
        </w:rPr>
        <w:t>完成预算100%，与预算数持平。</w:t>
      </w:r>
    </w:p>
    <w:p>
      <w:pPr>
        <w:tabs>
          <w:tab w:val="right" w:pos="8306"/>
        </w:tabs>
        <w:spacing w:line="600" w:lineRule="exact"/>
        <w:ind w:firstLine="640"/>
        <w:outlineLvl w:val="1"/>
        <w:rPr>
          <w:rStyle w:val="26"/>
          <w:rFonts w:ascii="仿宋_GB2312" w:hAnsi="仿宋_GB2312" w:eastAsia="仿宋_GB2312" w:cs="仿宋_GB2312"/>
        </w:rPr>
      </w:pPr>
      <w:bookmarkStart w:id="40" w:name="_Toc15377214"/>
      <w:bookmarkStart w:id="41" w:name="_Toc15396608"/>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color w:val="000000"/>
          <w:sz w:val="32"/>
          <w:szCs w:val="32"/>
        </w:rPr>
        <w:t>、一</w:t>
      </w:r>
      <w:r>
        <w:rPr>
          <w:rStyle w:val="26"/>
          <w:rFonts w:hint="eastAsia" w:ascii="仿宋_GB2312" w:hAnsi="仿宋_GB2312" w:eastAsia="仿宋_GB2312" w:cs="仿宋_GB2312"/>
          <w:b w:val="0"/>
        </w:rPr>
        <w:t>般公共预算财政拨款基本支出决算情况说明</w:t>
      </w:r>
      <w:bookmarkEnd w:id="40"/>
      <w:bookmarkEnd w:id="41"/>
      <w:r>
        <w:rPr>
          <w:rStyle w:val="26"/>
          <w:rFonts w:hint="eastAsia" w:ascii="仿宋_GB2312" w:hAnsi="仿宋_GB2312" w:eastAsia="仿宋_GB2312" w:cs="仿宋_GB2312"/>
          <w:b w:val="0"/>
        </w:rPr>
        <w:tab/>
      </w:r>
    </w:p>
    <w:p>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1013.83万元，其中：人员经费840.30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日常公用经费173.53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仿宋_GB2312" w:hAnsi="仿宋_GB2312" w:eastAsia="仿宋_GB2312" w:cs="仿宋_GB2312"/>
          <w:b w:val="0"/>
        </w:rPr>
      </w:pPr>
      <w:bookmarkStart w:id="42" w:name="_Toc15396609"/>
      <w:bookmarkStart w:id="43" w:name="_Toc15377215"/>
      <w:r>
        <w:rPr>
          <w:rFonts w:hint="eastAsia" w:ascii="仿宋_GB2312" w:hAnsi="仿宋_GB2312" w:eastAsia="仿宋_GB2312" w:cs="仿宋_GB2312"/>
          <w:color w:val="000000"/>
          <w:sz w:val="32"/>
          <w:szCs w:val="32"/>
        </w:rPr>
        <w:t>七、</w:t>
      </w:r>
      <w:r>
        <w:rPr>
          <w:rStyle w:val="26"/>
          <w:rFonts w:hint="eastAsia" w:ascii="仿宋_GB2312" w:hAnsi="仿宋_GB2312" w:eastAsia="仿宋_GB2312" w:cs="仿宋_GB2312"/>
        </w:rPr>
        <w:t>“</w:t>
      </w:r>
      <w:r>
        <w:rPr>
          <w:rStyle w:val="26"/>
          <w:rFonts w:hint="eastAsia" w:ascii="仿宋_GB2312" w:hAnsi="仿宋_GB2312" w:eastAsia="仿宋_GB2312" w:cs="仿宋_GB2312"/>
          <w:b w:val="0"/>
        </w:rPr>
        <w:t>三公”经费财政拨款支出决算情况说明</w:t>
      </w:r>
      <w:bookmarkEnd w:id="42"/>
      <w:bookmarkEnd w:id="43"/>
    </w:p>
    <w:p>
      <w:pPr>
        <w:spacing w:line="600" w:lineRule="exact"/>
        <w:ind w:firstLine="640"/>
        <w:outlineLvl w:val="2"/>
        <w:rPr>
          <w:rFonts w:ascii="仿宋_GB2312" w:hAnsi="仿宋_GB2312" w:eastAsia="仿宋_GB2312" w:cs="仿宋_GB2312"/>
          <w:b/>
          <w:color w:val="000000"/>
          <w:sz w:val="32"/>
          <w:szCs w:val="32"/>
        </w:rPr>
      </w:pPr>
      <w:bookmarkStart w:id="44" w:name="_Toc15377216"/>
      <w:r>
        <w:rPr>
          <w:rFonts w:hint="eastAsia" w:ascii="仿宋_GB2312" w:hAnsi="仿宋_GB2312" w:eastAsia="仿宋_GB2312" w:cs="仿宋_GB2312"/>
          <w:b/>
          <w:color w:val="000000"/>
          <w:sz w:val="32"/>
          <w:szCs w:val="32"/>
        </w:rPr>
        <w:t>（一）“三公”经费财政拨款支出决算总体情况说明</w:t>
      </w:r>
      <w:bookmarkEnd w:id="44"/>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2019年“三公”经费财政拨款支出决算为3万元，完成预算100%，决算数与预算数持平。</w:t>
      </w:r>
    </w:p>
    <w:p>
      <w:pPr>
        <w:spacing w:line="600" w:lineRule="exact"/>
        <w:ind w:firstLine="640"/>
        <w:outlineLvl w:val="2"/>
        <w:rPr>
          <w:rFonts w:ascii="仿宋_GB2312" w:hAnsi="仿宋_GB2312" w:eastAsia="仿宋_GB2312" w:cs="仿宋_GB2312"/>
          <w:b/>
          <w:color w:val="000000"/>
          <w:sz w:val="32"/>
          <w:szCs w:val="32"/>
        </w:rPr>
      </w:pPr>
      <w:bookmarkStart w:id="45" w:name="_Toc15377217"/>
      <w:r>
        <w:rPr>
          <w:rFonts w:hint="eastAsia" w:ascii="仿宋_GB2312" w:hAnsi="仿宋_GB2312" w:eastAsia="仿宋_GB2312" w:cs="仿宋_GB2312"/>
          <w:b/>
          <w:color w:val="000000"/>
          <w:sz w:val="32"/>
          <w:szCs w:val="32"/>
        </w:rPr>
        <w:t>（二）“三公”经费财政拨款支出决算具体情况说明</w:t>
      </w:r>
      <w:bookmarkEnd w:id="45"/>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2019年“三公”经费财政拨款支出决算中，因公出国（境）费支出决算0万元，占0%；公务用车购置及运行维护费支出决算3万元，占100%；公务接待费支出决算0万元，占0%。具体情况如下：</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1.因公出国（境）经费支出</w:t>
      </w:r>
      <w:r>
        <w:rPr>
          <w:rFonts w:hint="eastAsia" w:ascii="仿宋_GB2312" w:hAnsi="仿宋_GB2312" w:eastAsia="仿宋_GB2312" w:cs="仿宋_GB2312"/>
          <w:color w:val="000000"/>
          <w:sz w:val="32"/>
          <w:szCs w:val="32"/>
        </w:rPr>
        <w:t>0万元，</w:t>
      </w:r>
      <w:r>
        <w:rPr>
          <w:rStyle w:val="15"/>
          <w:rFonts w:hint="eastAsia" w:ascii="仿宋_GB2312" w:hAnsi="仿宋_GB2312" w:eastAsia="仿宋_GB2312" w:cs="仿宋_GB2312"/>
          <w:b w:val="0"/>
          <w:bCs/>
          <w:color w:val="000000"/>
          <w:sz w:val="32"/>
          <w:szCs w:val="32"/>
        </w:rPr>
        <w:t>完成预算100%。</w:t>
      </w:r>
      <w:r>
        <w:rPr>
          <w:rFonts w:hint="eastAsia" w:ascii="仿宋_GB2312" w:hAnsi="仿宋_GB2312" w:eastAsia="仿宋_GB2312" w:cs="仿宋_GB2312"/>
          <w:color w:val="000000"/>
          <w:sz w:val="32"/>
          <w:szCs w:val="32"/>
        </w:rPr>
        <w:t>全年安排因公出国（境）团组0次，出国（境）0人。因公出国（境）支出决算比2018年增加/减少0万元。</w:t>
      </w:r>
    </w:p>
    <w:p>
      <w:pPr>
        <w:spacing w:line="600" w:lineRule="exact"/>
        <w:ind w:firstLine="640"/>
        <w:rPr>
          <w:rFonts w:ascii="仿宋_GB2312" w:hAnsi="仿宋_GB2312" w:eastAsia="仿宋_GB2312" w:cs="仿宋_GB2312"/>
          <w:b/>
          <w:color w:val="000000" w:themeColor="text1"/>
          <w:sz w:val="32"/>
          <w:szCs w:val="32"/>
        </w:rPr>
      </w:pPr>
      <w:r>
        <w:rPr>
          <w:rFonts w:hint="eastAsia" w:ascii="仿宋_GB2312" w:hAnsi="仿宋_GB2312" w:eastAsia="仿宋_GB2312" w:cs="仿宋_GB2312"/>
          <w:b/>
          <w:color w:val="000000"/>
          <w:sz w:val="32"/>
          <w:szCs w:val="32"/>
        </w:rPr>
        <w:t>2.公务用车购置及运行维护费支出</w:t>
      </w:r>
      <w:r>
        <w:rPr>
          <w:rFonts w:hint="eastAsia" w:ascii="仿宋_GB2312" w:hAnsi="仿宋_GB2312" w:eastAsia="仿宋_GB2312" w:cs="仿宋_GB2312"/>
          <w:color w:val="000000"/>
          <w:sz w:val="32"/>
          <w:szCs w:val="32"/>
        </w:rPr>
        <w:t>3万元,</w:t>
      </w:r>
      <w:r>
        <w:rPr>
          <w:rStyle w:val="15"/>
          <w:rFonts w:hint="eastAsia" w:ascii="仿宋_GB2312" w:hAnsi="仿宋_GB2312" w:eastAsia="仿宋_GB2312" w:cs="仿宋_GB2312"/>
          <w:b w:val="0"/>
          <w:bCs/>
          <w:color w:val="000000"/>
          <w:sz w:val="32"/>
          <w:szCs w:val="32"/>
        </w:rPr>
        <w:t>完成预算100%。</w:t>
      </w:r>
      <w:r>
        <w:rPr>
          <w:rFonts w:hint="eastAsia" w:ascii="仿宋_GB2312" w:hAnsi="仿宋_GB2312" w:eastAsia="仿宋_GB2312" w:cs="仿宋_GB2312"/>
          <w:color w:val="000000"/>
          <w:sz w:val="32"/>
          <w:szCs w:val="32"/>
        </w:rPr>
        <w:t>公务用车购置及运行维护费支出决算比2018年减少8.38万元，下降73.64%。主要原因：一是年初预算6万元公务用车购置费，由于公开招投标流标，本年度无法完成采</w:t>
      </w:r>
      <w:r>
        <w:rPr>
          <w:rFonts w:hint="eastAsia" w:ascii="仿宋_GB2312" w:hAnsi="仿宋_GB2312" w:eastAsia="仿宋_GB2312" w:cs="仿宋_GB2312"/>
          <w:color w:val="000000" w:themeColor="text1"/>
          <w:sz w:val="32"/>
          <w:szCs w:val="32"/>
        </w:rPr>
        <w:t>购，财政部门调减收回该部分预算；二是2018年12月报废1辆执法执勤用车，本年度较上年度实际使用车辆减少1辆，相应减少车辆保险费、燃油费等支出。</w:t>
      </w:r>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其中：</w:t>
      </w:r>
      <w:r>
        <w:rPr>
          <w:rFonts w:hint="eastAsia" w:ascii="仿宋_GB2312" w:hAnsi="仿宋_GB2312" w:eastAsia="仿宋_GB2312" w:cs="仿宋_GB2312"/>
          <w:b/>
          <w:color w:val="000000" w:themeColor="text1"/>
          <w:sz w:val="32"/>
          <w:szCs w:val="32"/>
        </w:rPr>
        <w:t>公务用车购置支出</w:t>
      </w:r>
      <w:r>
        <w:rPr>
          <w:rFonts w:hint="eastAsia" w:ascii="仿宋_GB2312" w:hAnsi="仿宋_GB2312" w:eastAsia="仿宋_GB2312" w:cs="仿宋_GB2312"/>
          <w:color w:val="000000" w:themeColor="text1"/>
          <w:sz w:val="32"/>
          <w:szCs w:val="32"/>
        </w:rPr>
        <w:t>0万元。全年按规定更新购置公务用车0辆，金额0元。截至2019年12月底，单位共有公务用车3辆，其中：主要领导干部用车0辆、机要通信用车0辆、应急保障用车1辆、 执法执勤用车2辆。</w:t>
      </w:r>
    </w:p>
    <w:p>
      <w:pPr>
        <w:spacing w:line="58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公务用车运行维护费支出</w:t>
      </w:r>
      <w:r>
        <w:rPr>
          <w:rFonts w:hint="eastAsia" w:ascii="仿宋_GB2312" w:hAnsi="仿宋_GB2312" w:eastAsia="仿宋_GB2312" w:cs="仿宋_GB2312"/>
          <w:color w:val="000000" w:themeColor="text1"/>
          <w:sz w:val="32"/>
          <w:szCs w:val="32"/>
        </w:rPr>
        <w:t>3万元。主要用于基层司法业务、普法宣传、法律援助、社区矫正、景区违建整治、驻村帮扶、行政复议及诉讼、双创等工作所需的公务用车燃料费、维修费、过路过桥费、保险费等支出。</w:t>
      </w:r>
    </w:p>
    <w:p>
      <w:pPr>
        <w:spacing w:line="60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3.公务接待费支出</w:t>
      </w:r>
      <w:r>
        <w:rPr>
          <w:rFonts w:hint="eastAsia" w:ascii="仿宋_GB2312" w:hAnsi="仿宋_GB2312" w:eastAsia="仿宋_GB2312" w:cs="仿宋_GB2312"/>
          <w:color w:val="000000" w:themeColor="text1"/>
          <w:sz w:val="32"/>
          <w:szCs w:val="32"/>
        </w:rPr>
        <w:t>0万元，</w:t>
      </w:r>
      <w:r>
        <w:rPr>
          <w:rStyle w:val="15"/>
          <w:rFonts w:hint="eastAsia" w:ascii="仿宋_GB2312" w:hAnsi="仿宋_GB2312" w:eastAsia="仿宋_GB2312" w:cs="仿宋_GB2312"/>
          <w:b w:val="0"/>
          <w:bCs/>
          <w:color w:val="000000" w:themeColor="text1"/>
          <w:sz w:val="32"/>
          <w:szCs w:val="32"/>
        </w:rPr>
        <w:t>完成预算100%。</w:t>
      </w:r>
      <w:r>
        <w:rPr>
          <w:rFonts w:hint="eastAsia" w:ascii="仿宋_GB2312" w:hAnsi="仿宋_GB2312" w:eastAsia="仿宋_GB2312" w:cs="仿宋_GB2312"/>
          <w:color w:val="000000" w:themeColor="text1"/>
          <w:sz w:val="32"/>
          <w:szCs w:val="32"/>
        </w:rPr>
        <w:t>公务接待费支出决算比2018年减少0.45万元，下降100%。主要原因是本年度无公务接待，其中：</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国内公务接待支出</w:t>
      </w:r>
      <w:r>
        <w:rPr>
          <w:rFonts w:hint="eastAsia" w:ascii="仿宋_GB2312" w:hAnsi="仿宋_GB2312" w:eastAsia="仿宋_GB2312" w:cs="仿宋_GB2312"/>
          <w:color w:val="000000"/>
          <w:sz w:val="32"/>
          <w:szCs w:val="32"/>
        </w:rPr>
        <w:t>0万元。</w:t>
      </w:r>
    </w:p>
    <w:p>
      <w:pPr>
        <w:spacing w:line="60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外事接待支出</w:t>
      </w:r>
      <w:r>
        <w:rPr>
          <w:rFonts w:hint="eastAsia" w:ascii="仿宋_GB2312" w:hAnsi="仿宋_GB2312" w:eastAsia="仿宋_GB2312" w:cs="仿宋_GB2312"/>
          <w:color w:val="000000"/>
          <w:sz w:val="32"/>
          <w:szCs w:val="32"/>
        </w:rPr>
        <w:t>0万元</w:t>
      </w:r>
      <w:bookmarkStart w:id="46" w:name="_Toc15377218"/>
      <w:bookmarkStart w:id="47" w:name="_Toc15396610"/>
      <w:r>
        <w:rPr>
          <w:rFonts w:hint="eastAsia" w:ascii="仿宋_GB2312" w:hAnsi="仿宋_GB2312" w:eastAsia="仿宋_GB2312" w:cs="仿宋_GB2312"/>
          <w:color w:val="000000" w:themeColor="text1"/>
          <w:sz w:val="32"/>
          <w:szCs w:val="32"/>
        </w:rPr>
        <w:t>。</w:t>
      </w:r>
    </w:p>
    <w:p>
      <w:pPr>
        <w:spacing w:line="600" w:lineRule="exact"/>
        <w:ind w:firstLine="640"/>
        <w:outlineLvl w:val="1"/>
        <w:rPr>
          <w:rStyle w:val="26"/>
          <w:rFonts w:ascii="仿宋_GB2312" w:hAnsi="仿宋_GB2312" w:eastAsia="仿宋_GB2312" w:cs="仿宋_GB2312"/>
          <w:color w:val="000000" w:themeColor="text1"/>
        </w:rPr>
      </w:pPr>
      <w:r>
        <w:rPr>
          <w:rFonts w:hint="eastAsia" w:ascii="仿宋_GB2312" w:hAnsi="仿宋_GB2312" w:eastAsia="仿宋_GB2312" w:cs="仿宋_GB2312"/>
          <w:color w:val="000000" w:themeColor="text1"/>
          <w:sz w:val="32"/>
          <w:szCs w:val="32"/>
        </w:rPr>
        <w:t>八、</w:t>
      </w:r>
      <w:r>
        <w:rPr>
          <w:rStyle w:val="26"/>
          <w:rFonts w:hint="eastAsia" w:ascii="仿宋_GB2312" w:hAnsi="仿宋_GB2312" w:eastAsia="仿宋_GB2312" w:cs="仿宋_GB2312"/>
          <w:b w:val="0"/>
          <w:color w:val="000000" w:themeColor="text1"/>
        </w:rPr>
        <w:t>政府性基金预算支出决算情况说明</w:t>
      </w:r>
      <w:bookmarkEnd w:id="46"/>
      <w:bookmarkEnd w:id="47"/>
    </w:p>
    <w:p>
      <w:pPr>
        <w:spacing w:line="60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2019年政府性基金预算拨款支出62.71万元，其中：  土地开发支出2120802：15.83万元；其他国有土地使用权出让收入安排的支出2120899：46.88万元。</w:t>
      </w:r>
    </w:p>
    <w:p>
      <w:pPr>
        <w:numPr>
          <w:ilvl w:val="0"/>
          <w:numId w:val="3"/>
        </w:numPr>
        <w:spacing w:line="600" w:lineRule="exact"/>
        <w:ind w:firstLine="640"/>
        <w:outlineLvl w:val="1"/>
        <w:rPr>
          <w:rStyle w:val="26"/>
          <w:rFonts w:ascii="仿宋_GB2312" w:hAnsi="仿宋_GB2312" w:eastAsia="仿宋_GB2312" w:cs="仿宋_GB2312"/>
          <w:b w:val="0"/>
          <w:color w:val="000000" w:themeColor="text1"/>
        </w:rPr>
      </w:pPr>
      <w:bookmarkStart w:id="48" w:name="_Toc15377219"/>
      <w:bookmarkStart w:id="49" w:name="_Toc15396611"/>
      <w:r>
        <w:rPr>
          <w:rStyle w:val="26"/>
          <w:rFonts w:hint="eastAsia" w:ascii="仿宋_GB2312" w:hAnsi="仿宋_GB2312" w:eastAsia="仿宋_GB2312" w:cs="仿宋_GB2312"/>
          <w:b w:val="0"/>
          <w:color w:val="000000" w:themeColor="text1"/>
        </w:rPr>
        <w:t>国有资本经营预算支出决算情况说明</w:t>
      </w:r>
      <w:bookmarkEnd w:id="48"/>
      <w:bookmarkEnd w:id="49"/>
    </w:p>
    <w:p>
      <w:pPr>
        <w:spacing w:line="600" w:lineRule="exact"/>
        <w:ind w:firstLine="64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2019年国有资本经营预算拨款支出0万元。</w:t>
      </w:r>
    </w:p>
    <w:p>
      <w:pPr>
        <w:spacing w:line="600" w:lineRule="exact"/>
        <w:ind w:firstLine="800" w:firstLineChars="250"/>
        <w:outlineLvl w:val="1"/>
        <w:rPr>
          <w:rStyle w:val="26"/>
          <w:rFonts w:ascii="仿宋_GB2312" w:hAnsi="仿宋_GB2312" w:eastAsia="仿宋_GB2312" w:cs="仿宋_GB2312"/>
        </w:rPr>
      </w:pPr>
      <w:bookmarkStart w:id="50" w:name="_Toc15396612"/>
      <w:bookmarkStart w:id="51" w:name="_Toc15377221"/>
      <w:r>
        <w:rPr>
          <w:rFonts w:hint="eastAsia" w:ascii="仿宋_GB2312" w:hAnsi="仿宋_GB2312" w:eastAsia="仿宋_GB2312" w:cs="仿宋_GB2312"/>
          <w:color w:val="000000"/>
          <w:sz w:val="32"/>
          <w:szCs w:val="32"/>
        </w:rPr>
        <w:t>十</w:t>
      </w:r>
      <w:r>
        <w:rPr>
          <w:rStyle w:val="26"/>
          <w:rFonts w:hint="eastAsia" w:ascii="仿宋_GB2312" w:hAnsi="仿宋_GB2312" w:eastAsia="仿宋_GB2312" w:cs="仿宋_GB2312"/>
        </w:rPr>
        <w:t>、</w:t>
      </w:r>
      <w:r>
        <w:rPr>
          <w:rStyle w:val="26"/>
          <w:rFonts w:hint="eastAsia" w:ascii="仿宋_GB2312" w:hAnsi="仿宋_GB2312" w:eastAsia="仿宋_GB2312" w:cs="仿宋_GB2312"/>
          <w:b w:val="0"/>
        </w:rPr>
        <w:t>其他重要事项的情况说明</w:t>
      </w:r>
      <w:bookmarkEnd w:id="50"/>
      <w:bookmarkEnd w:id="51"/>
    </w:p>
    <w:p>
      <w:pPr>
        <w:spacing w:line="600" w:lineRule="exact"/>
        <w:ind w:firstLine="643" w:firstLineChars="200"/>
        <w:outlineLvl w:val="2"/>
        <w:rPr>
          <w:rFonts w:ascii="仿宋_GB2312" w:hAnsi="仿宋_GB2312" w:eastAsia="仿宋_GB2312" w:cs="仿宋_GB2312"/>
          <w:color w:val="000000"/>
          <w:sz w:val="32"/>
          <w:szCs w:val="32"/>
        </w:rPr>
      </w:pPr>
      <w:bookmarkStart w:id="52" w:name="_Toc15377222"/>
      <w:r>
        <w:rPr>
          <w:rFonts w:hint="eastAsia" w:ascii="仿宋_GB2312" w:hAnsi="仿宋_GB2312" w:eastAsia="仿宋_GB2312" w:cs="仿宋_GB2312"/>
          <w:b/>
          <w:color w:val="000000"/>
          <w:sz w:val="32"/>
          <w:szCs w:val="32"/>
        </w:rPr>
        <w:t>（一）机关运行经费支出情况</w:t>
      </w:r>
      <w:bookmarkEnd w:id="52"/>
    </w:p>
    <w:p>
      <w:pPr>
        <w:spacing w:line="6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2019年，司法局机关运行经费支出173.53万元，比2018年减少40.93万元，减少19.09%。</w:t>
      </w:r>
      <w:r>
        <w:rPr>
          <w:rFonts w:hint="eastAsia" w:ascii="仿宋_GB2312" w:hAnsi="仿宋_GB2312" w:eastAsia="仿宋_GB2312" w:cs="仿宋_GB2312"/>
          <w:color w:val="000000" w:themeColor="text1"/>
          <w:sz w:val="32"/>
          <w:szCs w:val="32"/>
        </w:rPr>
        <w:t>主要原因：一是</w:t>
      </w:r>
      <w:bookmarkStart w:id="53" w:name="_Toc15377223"/>
      <w:r>
        <w:rPr>
          <w:rFonts w:hint="eastAsia" w:ascii="仿宋_GB2312" w:hAnsi="仿宋_GB2312" w:eastAsia="仿宋_GB2312" w:cs="仿宋_GB2312"/>
          <w:color w:val="000000" w:themeColor="text1"/>
          <w:sz w:val="32"/>
          <w:szCs w:val="32"/>
        </w:rPr>
        <w:t>2018年公用经费支出含其他交通费用30万元，2019年度公用经费无其他交通费；二是公务用车维护费较上年减少8万元。</w:t>
      </w:r>
    </w:p>
    <w:p>
      <w:pPr>
        <w:spacing w:line="60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（二）政府采购支出情况</w:t>
      </w:r>
      <w:bookmarkEnd w:id="5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2019年，司法局政府采购支出总额0万元，其中：政府采购货物支出0万元、政府采购工程支出0万元、政府采购服务支出0万元。</w:t>
      </w:r>
    </w:p>
    <w:p>
      <w:pPr>
        <w:autoSpaceDE w:val="0"/>
        <w:autoSpaceDN w:val="0"/>
        <w:adjustRightInd w:val="0"/>
        <w:spacing w:line="600" w:lineRule="exact"/>
        <w:ind w:firstLine="643" w:firstLineChars="200"/>
        <w:jc w:val="left"/>
        <w:outlineLvl w:val="2"/>
        <w:rPr>
          <w:rFonts w:ascii="仿宋_GB2312" w:hAnsi="仿宋_GB2312" w:eastAsia="仿宋_GB2312" w:cs="仿宋_GB2312"/>
          <w:b/>
          <w:color w:val="000000"/>
          <w:sz w:val="32"/>
          <w:szCs w:val="32"/>
        </w:rPr>
      </w:pPr>
      <w:bookmarkStart w:id="54" w:name="_Toc15377224"/>
      <w:r>
        <w:rPr>
          <w:rFonts w:hint="eastAsia" w:ascii="仿宋_GB2312" w:hAnsi="仿宋_GB2312" w:eastAsia="仿宋_GB2312" w:cs="仿宋_GB2312"/>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截至2019年12月31日，司法局共有车辆3辆，其中：主要领导干部用车0辆、机要通信用车0辆、应急保障用车1辆、其他用车2辆。</w:t>
      </w:r>
      <w:r>
        <w:rPr>
          <w:rFonts w:hint="eastAsia" w:ascii="仿宋_GB2312" w:hAnsi="仿宋_GB2312" w:eastAsia="仿宋_GB2312" w:cs="仿宋_GB2312"/>
          <w:color w:val="000000" w:themeColor="text1"/>
          <w:sz w:val="32"/>
          <w:szCs w:val="32"/>
        </w:rPr>
        <w:t>其他用车主要是用于司法业务执法执勤。单价50万元以上通用设备0台（套），单价100</w:t>
      </w:r>
      <w:r>
        <w:rPr>
          <w:rFonts w:hint="eastAsia" w:ascii="仿宋_GB2312" w:hAnsi="仿宋_GB2312" w:eastAsia="仿宋_GB2312" w:cs="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根据预算绩效管理要求，本部门（单位）在年初预算编制阶段，组织对普法宣传、</w:t>
      </w:r>
      <w:r>
        <w:rPr>
          <w:rFonts w:hint="eastAsia" w:ascii="仿宋_GB2312" w:hAnsi="仿宋_GB2312" w:eastAsia="仿宋_GB2312" w:cs="仿宋_GB2312"/>
          <w:kern w:val="0"/>
          <w:sz w:val="32"/>
          <w:szCs w:val="32"/>
        </w:rPr>
        <w:t>基层司法所业务、人民调解、医疗纠纷人民调解委员会工作、法律援助、社区矫正和安置帮教</w:t>
      </w:r>
      <w:r>
        <w:rPr>
          <w:rFonts w:hint="eastAsia" w:ascii="仿宋_GB2312" w:hAnsi="仿宋_GB2312" w:eastAsia="仿宋_GB2312" w:cs="仿宋_GB2312"/>
          <w:sz w:val="32"/>
          <w:szCs w:val="32"/>
        </w:rPr>
        <w:t>项目开展了预算事前绩效评估，对6个项目编制了绩效目标，预算执行过程中，选取6个项目开展绩效监控，年终执行完毕后，对5个项目开展了绩效目标完成情况自评。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较好地保障了机构运转和业务项目工作。本部门还自行组织了1个项目支出绩效评价，从评价情况来看，较好地完成了年度社区矫正和安置帮教工作，化解了矛盾纠纷，维护了社会稳定。</w:t>
      </w:r>
    </w:p>
    <w:p>
      <w:pPr>
        <w:numPr>
          <w:ilvl w:val="0"/>
          <w:numId w:val="4"/>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本部门在2019年度部门决算中反映“普法宣传”“</w:t>
      </w:r>
      <w:r>
        <w:rPr>
          <w:rFonts w:hint="eastAsia" w:ascii="仿宋_GB2312" w:hAnsi="仿宋_GB2312" w:eastAsia="仿宋_GB2312" w:cs="仿宋_GB2312"/>
          <w:kern w:val="0"/>
          <w:sz w:val="32"/>
          <w:szCs w:val="32"/>
        </w:rPr>
        <w:t>人民调解</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医疗纠纷人民调解委员会工作</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法律援助</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社区矫正和安置帮教</w:t>
      </w:r>
      <w:r>
        <w:rPr>
          <w:rFonts w:hint="eastAsia" w:ascii="仿宋_GB2312" w:hAnsi="仿宋_GB2312" w:eastAsia="仿宋_GB2312" w:cs="仿宋_GB2312"/>
          <w:sz w:val="32"/>
          <w:szCs w:val="32"/>
        </w:rPr>
        <w:t xml:space="preserve">”等5个项目绩效目标实际完成情况。  </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普法宣传项目绩效目标完成情况综述。项目全年预算数</w:t>
      </w:r>
      <w:r>
        <w:rPr>
          <w:rFonts w:hint="eastAsia" w:ascii="仿宋_GB2312" w:hAnsi="宋体" w:eastAsia="仿宋_GB2312" w:cs="宋体"/>
          <w:kern w:val="0"/>
          <w:sz w:val="32"/>
          <w:szCs w:val="32"/>
        </w:rPr>
        <w:t>2.71</w:t>
      </w:r>
      <w:r>
        <w:rPr>
          <w:rFonts w:hint="eastAsia" w:ascii="仿宋_GB2312" w:hAnsi="仿宋_GB2312" w:eastAsia="仿宋_GB2312" w:cs="仿宋_GB2312"/>
          <w:sz w:val="32"/>
          <w:szCs w:val="32"/>
        </w:rPr>
        <w:t>万元，执行数为</w:t>
      </w:r>
      <w:r>
        <w:rPr>
          <w:rFonts w:hint="eastAsia" w:ascii="仿宋_GB2312" w:hAnsi="宋体" w:eastAsia="仿宋_GB2312" w:cs="宋体"/>
          <w:kern w:val="0"/>
          <w:sz w:val="32"/>
          <w:szCs w:val="32"/>
        </w:rPr>
        <w:t>2.71</w:t>
      </w:r>
      <w:r>
        <w:rPr>
          <w:rFonts w:hint="eastAsia" w:ascii="仿宋_GB2312" w:hAnsi="仿宋_GB2312" w:eastAsia="仿宋_GB2312" w:cs="仿宋_GB2312"/>
          <w:sz w:val="32"/>
          <w:szCs w:val="32"/>
        </w:rPr>
        <w:t>万元，完成预算的100%。通过项目实施，</w:t>
      </w:r>
      <w:r>
        <w:rPr>
          <w:rFonts w:hint="eastAsia" w:ascii="仿宋_GB2312" w:hAnsi="宋体" w:eastAsia="仿宋_GB2312" w:cs="宋体"/>
          <w:kern w:val="0"/>
          <w:sz w:val="32"/>
          <w:szCs w:val="32"/>
        </w:rPr>
        <w:t>为我市创建“法治峨眉”提供有力法律保障。</w:t>
      </w:r>
      <w:r>
        <w:rPr>
          <w:rFonts w:hint="eastAsia" w:ascii="仿宋_GB2312" w:hAnsi="仿宋_GB2312" w:eastAsia="仿宋_GB2312" w:cs="仿宋_GB2312"/>
          <w:sz w:val="32"/>
          <w:szCs w:val="32"/>
        </w:rPr>
        <w:t>发现的主要问题：无。下一步改进措施：无。</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人民调解</w:t>
      </w:r>
      <w:r>
        <w:rPr>
          <w:rFonts w:hint="eastAsia" w:ascii="仿宋_GB2312" w:hAnsi="仿宋_GB2312" w:eastAsia="仿宋_GB2312" w:cs="仿宋_GB2312"/>
          <w:sz w:val="32"/>
          <w:szCs w:val="32"/>
        </w:rPr>
        <w:t>项目绩效目标完成情况综述。项目全年预算数</w:t>
      </w:r>
      <w:r>
        <w:rPr>
          <w:rFonts w:hint="eastAsia" w:ascii="仿宋_GB2312" w:hAnsi="宋体" w:eastAsia="仿宋_GB2312" w:cs="宋体"/>
          <w:kern w:val="0"/>
          <w:sz w:val="32"/>
          <w:szCs w:val="32"/>
        </w:rPr>
        <w:t>8.45</w:t>
      </w:r>
      <w:r>
        <w:rPr>
          <w:rFonts w:hint="eastAsia" w:ascii="仿宋_GB2312" w:hAnsi="仿宋_GB2312" w:eastAsia="仿宋_GB2312" w:cs="仿宋_GB2312"/>
          <w:sz w:val="32"/>
          <w:szCs w:val="32"/>
        </w:rPr>
        <w:t>万元，执行数为</w:t>
      </w:r>
      <w:r>
        <w:rPr>
          <w:rFonts w:hint="eastAsia" w:ascii="仿宋_GB2312" w:hAnsi="宋体" w:eastAsia="仿宋_GB2312" w:cs="宋体"/>
          <w:kern w:val="0"/>
          <w:sz w:val="32"/>
          <w:szCs w:val="32"/>
        </w:rPr>
        <w:t>8.45</w:t>
      </w:r>
      <w:r>
        <w:rPr>
          <w:rFonts w:hint="eastAsia" w:ascii="仿宋_GB2312" w:hAnsi="仿宋_GB2312" w:eastAsia="仿宋_GB2312" w:cs="仿宋_GB2312"/>
          <w:sz w:val="32"/>
          <w:szCs w:val="32"/>
        </w:rPr>
        <w:t>万元，完成预算的100%。通过项目实施，</w:t>
      </w:r>
      <w:r>
        <w:rPr>
          <w:rFonts w:hint="eastAsia" w:ascii="仿宋_GB2312" w:hAnsi="宋体" w:eastAsia="仿宋_GB2312" w:cs="宋体"/>
          <w:kern w:val="0"/>
          <w:sz w:val="32"/>
          <w:szCs w:val="32"/>
        </w:rPr>
        <w:t>化解了矛盾纠纷，促进了社会稳定。</w:t>
      </w:r>
      <w:r>
        <w:rPr>
          <w:rFonts w:hint="eastAsia" w:ascii="仿宋_GB2312" w:hAnsi="仿宋_GB2312" w:eastAsia="仿宋_GB2312" w:cs="仿宋_GB2312"/>
          <w:sz w:val="32"/>
          <w:szCs w:val="32"/>
        </w:rPr>
        <w:t>发现的主要问题：资金拨付进度不均衡。下一步改进措施：业务股室提高资金拨付计划科学性，匹配业务工作进度加快资金拨付。</w:t>
      </w:r>
    </w:p>
    <w:p>
      <w:pPr>
        <w:numPr>
          <w:ilvl w:val="0"/>
          <w:numId w:val="5"/>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医疗纠纷人民调解委员会工作</w:t>
      </w:r>
      <w:r>
        <w:rPr>
          <w:rFonts w:hint="eastAsia" w:ascii="仿宋_GB2312" w:hAnsi="仿宋_GB2312" w:eastAsia="仿宋_GB2312" w:cs="仿宋_GB2312"/>
          <w:sz w:val="32"/>
          <w:szCs w:val="32"/>
        </w:rPr>
        <w:t>项目绩效目标完成情况综述。项目全年预算数11万元，执行数为11万元，完成预算的100%。通过项目实施，保障了</w:t>
      </w:r>
      <w:r>
        <w:rPr>
          <w:rFonts w:hint="eastAsia" w:ascii="仿宋_GB2312" w:hAnsi="宋体" w:eastAsia="仿宋_GB2312" w:cs="宋体"/>
          <w:kern w:val="0"/>
          <w:sz w:val="32"/>
          <w:szCs w:val="32"/>
        </w:rPr>
        <w:t>医调委工作有序开展</w:t>
      </w:r>
      <w:r>
        <w:rPr>
          <w:rFonts w:hint="eastAsia" w:ascii="仿宋_GB2312" w:hAnsi="仿宋_GB2312" w:eastAsia="仿宋_GB2312" w:cs="仿宋_GB2312"/>
          <w:sz w:val="32"/>
          <w:szCs w:val="32"/>
        </w:rPr>
        <w:t>化解了医患纠纷，缓和了医患矛盾</w:t>
      </w:r>
      <w:r>
        <w:rPr>
          <w:rFonts w:hint="eastAsia" w:ascii="仿宋_GB2312" w:hAnsi="宋体" w:eastAsia="仿宋_GB2312" w:cs="宋体"/>
          <w:kern w:val="0"/>
          <w:sz w:val="32"/>
          <w:szCs w:val="32"/>
        </w:rPr>
        <w:t>。</w:t>
      </w:r>
      <w:r>
        <w:rPr>
          <w:rFonts w:hint="eastAsia" w:ascii="仿宋_GB2312" w:hAnsi="仿宋_GB2312" w:eastAsia="仿宋_GB2312" w:cs="仿宋_GB2312"/>
          <w:sz w:val="32"/>
          <w:szCs w:val="32"/>
        </w:rPr>
        <w:t>发现的主要问题：受客观因素影响，业务量不确定，业务办结时间不确定，资金拨付进度较滞后和集中。下一步改进措施：缩短资金拨付节点，随结案时间或按季度统计拨付。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hAnsi="仿宋_GB2312" w:cs="仿宋_GB2312"/>
          <w:sz w:val="32"/>
          <w:szCs w:val="32"/>
        </w:rPr>
        <w:t>4</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法律援助</w:t>
      </w:r>
      <w:r>
        <w:rPr>
          <w:rFonts w:hint="eastAsia" w:ascii="仿宋_GB2312" w:hAnsi="仿宋_GB2312" w:eastAsia="仿宋_GB2312" w:cs="仿宋_GB2312"/>
          <w:sz w:val="32"/>
          <w:szCs w:val="32"/>
        </w:rPr>
        <w:t>项目绩效目标完成情况综述。项目全年预算数31.83万元，执行数为19.33万元，完成预算的60.69%。通过项目实施，</w:t>
      </w:r>
      <w:r>
        <w:rPr>
          <w:rFonts w:hint="eastAsia" w:ascii="仿宋_GB2312" w:hAnsi="宋体" w:eastAsia="仿宋_GB2312" w:cs="宋体"/>
          <w:kern w:val="0"/>
          <w:sz w:val="32"/>
          <w:szCs w:val="32"/>
        </w:rPr>
        <w:t>提供了法律援助，促进法制化进程和社会稳定。</w:t>
      </w:r>
      <w:r>
        <w:rPr>
          <w:rFonts w:hint="eastAsia" w:ascii="仿宋_GB2312" w:hAnsi="仿宋_GB2312" w:eastAsia="仿宋_GB2312" w:cs="仿宋_GB2312"/>
          <w:sz w:val="32"/>
          <w:szCs w:val="32"/>
        </w:rPr>
        <w:t>发现的主要问题：项目资金结转较多，资金拨付进度较滞后和集中。下一步改进措施：业务股室提高资金拨付计划科学性，匹配业务工作进度加快资金拨付。</w:t>
      </w:r>
    </w:p>
    <w:p>
      <w:pPr>
        <w:spacing w:line="580" w:lineRule="exact"/>
        <w:ind w:firstLine="640" w:firstLineChars="200"/>
        <w:rPr>
          <w:rFonts w:ascii="仿宋_GB2312" w:hAnsi="仿宋_GB2312" w:eastAsia="仿宋_GB2312" w:cs="仿宋_GB2312"/>
          <w:sz w:val="32"/>
          <w:szCs w:val="32"/>
        </w:rPr>
      </w:pPr>
      <w:r>
        <w:rPr>
          <w:rFonts w:hint="eastAsia" w:hAnsi="仿宋_GB2312" w:cs="仿宋_GB2312"/>
          <w:kern w:val="0"/>
          <w:sz w:val="32"/>
          <w:szCs w:val="32"/>
        </w:rPr>
        <w:t>（5）</w:t>
      </w:r>
      <w:r>
        <w:rPr>
          <w:rFonts w:hint="eastAsia" w:ascii="仿宋_GB2312" w:hAnsi="仿宋_GB2312" w:eastAsia="仿宋_GB2312" w:cs="仿宋_GB2312"/>
          <w:kern w:val="0"/>
          <w:sz w:val="32"/>
          <w:szCs w:val="32"/>
        </w:rPr>
        <w:t>社区矫正和安置帮教</w:t>
      </w:r>
      <w:r>
        <w:rPr>
          <w:rFonts w:hint="eastAsia" w:ascii="仿宋_GB2312" w:hAnsi="仿宋_GB2312" w:eastAsia="仿宋_GB2312" w:cs="仿宋_GB2312"/>
          <w:sz w:val="32"/>
          <w:szCs w:val="32"/>
        </w:rPr>
        <w:t>项目绩效目标完成情况综述。项目全年预算数34.27万元，执行数为34.27万元，完成预算的100%。通过项目实施，</w:t>
      </w:r>
      <w:r>
        <w:rPr>
          <w:rFonts w:hint="eastAsia" w:ascii="仿宋_GB2312" w:hAnsi="宋体" w:eastAsia="仿宋_GB2312" w:cs="宋体"/>
          <w:kern w:val="0"/>
          <w:sz w:val="32"/>
          <w:szCs w:val="32"/>
        </w:rPr>
        <w:t>较好地完成了社区服刑人员和刑释解教人员等特殊人群管理工作，化解了矛盾纠纷，维护了社会稳定。</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zh-CN"/>
        </w:rPr>
        <w:t>资金拨付不均衡</w:t>
      </w:r>
      <w:r>
        <w:rPr>
          <w:rFonts w:hint="eastAsia" w:ascii="仿宋_GB2312" w:hAnsi="仿宋_GB2312" w:eastAsia="仿宋_GB2312" w:cs="仿宋_GB2312"/>
          <w:sz w:val="32"/>
          <w:szCs w:val="32"/>
        </w:rPr>
        <w:t>。下一步改进措施：业务股室提高资金拨付计划科学性，匹配业务工作进度加快资金拨付。</w:t>
      </w:r>
    </w:p>
    <w:tbl>
      <w:tblPr>
        <w:tblStyle w:val="13"/>
        <w:tblpPr w:leftFromText="180" w:rightFromText="180" w:vertAnchor="text" w:horzAnchor="page" w:tblpXSpec="center" w:tblpY="423"/>
        <w:tblOverlap w:val="never"/>
        <w:tblW w:w="0" w:type="auto"/>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36"/>
                <w:szCs w:val="36"/>
              </w:rPr>
            </w:pPr>
            <w:r>
              <w:rPr>
                <w:rFonts w:hint="eastAsia" w:ascii="仿宋_GB2312" w:hAnsi="仿宋_GB2312" w:eastAsia="仿宋_GB2312" w:cs="仿宋_GB2312"/>
                <w:b/>
                <w:bCs/>
                <w:color w:val="000000"/>
                <w:kern w:val="0"/>
                <w:sz w:val="36"/>
                <w:szCs w:val="36"/>
              </w:rPr>
              <w:t>项目绩效目标完成情况表</w:t>
            </w:r>
            <w:r>
              <w:rPr>
                <w:rFonts w:hint="eastAsia" w:ascii="仿宋_GB2312" w:hAnsi="仿宋_GB2312" w:eastAsia="仿宋_GB2312" w:cs="仿宋_GB2312"/>
                <w:b/>
                <w:bCs/>
                <w:color w:val="000000"/>
                <w:kern w:val="0"/>
                <w:sz w:val="36"/>
                <w:szCs w:val="36"/>
              </w:rPr>
              <w:br w:type="textWrapping"/>
            </w:r>
            <w:r>
              <w:rPr>
                <w:rFonts w:hint="eastAsia" w:ascii="仿宋_GB2312" w:hAnsi="仿宋_GB2312" w:eastAsia="仿宋_GB2312" w:cs="仿宋_GB2312"/>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普法宣传</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峨眉山市司法局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2.71万元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2.71万元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0万元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加强普法宣传业务建设，在全市范围内采取多种形式的普法宣传教育。</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完成年度普法宣传任务，为我市创建“法治峨眉”提供有力法律保障。</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发放普法宣传单页资料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20000份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发放普法宣传单页资料20000余份</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发放宣传海报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8000张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发放宣传海报8000余张</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发放普法购物袋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10000个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发放普法购物袋10000余个</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按年度完成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2019年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完成2019年普法宣传任务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普法宣传业务建设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提高法治宣传教育针对性、实效性，不断增强全社会尊法守法学法用法意识。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完成了普法宣传年度任务，营造了法治氛围，为我市创建“法治峨眉”提供有力法律保障。</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公众满意度≥95%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36"/>
                <w:szCs w:val="36"/>
              </w:rPr>
            </w:pPr>
          </w:p>
          <w:p>
            <w:pPr>
              <w:widowControl/>
              <w:jc w:val="center"/>
              <w:textAlignment w:val="center"/>
              <w:rPr>
                <w:rFonts w:ascii="仿宋_GB2312" w:hAnsi="仿宋_GB2312" w:eastAsia="仿宋_GB2312" w:cs="仿宋_GB2312"/>
                <w:color w:val="000000"/>
                <w:sz w:val="36"/>
                <w:szCs w:val="36"/>
              </w:rPr>
            </w:pPr>
            <w:r>
              <w:rPr>
                <w:rFonts w:hint="eastAsia" w:ascii="仿宋_GB2312" w:hAnsi="仿宋_GB2312" w:eastAsia="仿宋_GB2312" w:cs="仿宋_GB2312"/>
                <w:b/>
                <w:bCs/>
                <w:color w:val="000000"/>
                <w:kern w:val="0"/>
                <w:sz w:val="36"/>
                <w:szCs w:val="36"/>
              </w:rPr>
              <w:t>项目绩效目标完成情况表</w:t>
            </w:r>
            <w:r>
              <w:rPr>
                <w:rFonts w:hint="eastAsia" w:ascii="仿宋_GB2312" w:hAnsi="仿宋_GB2312" w:eastAsia="仿宋_GB2312" w:cs="仿宋_GB2312"/>
                <w:b/>
                <w:bCs/>
                <w:color w:val="000000"/>
                <w:kern w:val="0"/>
                <w:sz w:val="36"/>
                <w:szCs w:val="36"/>
              </w:rPr>
              <w:br w:type="textWrapping"/>
            </w:r>
            <w:r>
              <w:rPr>
                <w:rFonts w:hint="eastAsia" w:ascii="仿宋_GB2312" w:hAnsi="仿宋_GB2312" w:eastAsia="仿宋_GB2312" w:cs="仿宋_GB2312"/>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人民调解</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峨眉山市司法局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8.45万元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8.45万元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8.45万元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8.45万元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0万元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加强人民调解业务建设，化解矛盾纠纷，维护社会稳定。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完成了年度项目任务，化解了矛盾纠纷，促进了社会稳定。</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调解骨干培训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调解骨干培训8次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全年矛盾纠纷受理率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全年矛盾纠纷受理率=100%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全年矛盾纠纷调解率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全年矛盾纠纷调解率=100%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按年度完成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2019年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完成2019年度人民调解任务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公众满意度≥95%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36"/>
                <w:szCs w:val="36"/>
              </w:rPr>
            </w:pPr>
          </w:p>
          <w:p>
            <w:pPr>
              <w:widowControl/>
              <w:jc w:val="center"/>
              <w:textAlignment w:val="center"/>
              <w:rPr>
                <w:rFonts w:ascii="仿宋_GB2312" w:hAnsi="仿宋_GB2312" w:eastAsia="仿宋_GB2312" w:cs="仿宋_GB2312"/>
                <w:color w:val="000000"/>
                <w:sz w:val="36"/>
                <w:szCs w:val="36"/>
              </w:rPr>
            </w:pPr>
            <w:r>
              <w:rPr>
                <w:rFonts w:hint="eastAsia" w:ascii="仿宋_GB2312" w:hAnsi="仿宋_GB2312" w:eastAsia="仿宋_GB2312" w:cs="仿宋_GB2312"/>
                <w:b/>
                <w:bCs/>
                <w:color w:val="000000"/>
                <w:kern w:val="0"/>
                <w:sz w:val="36"/>
                <w:szCs w:val="36"/>
              </w:rPr>
              <w:t>项目绩效目标完成情况表</w:t>
            </w:r>
            <w:r>
              <w:rPr>
                <w:rFonts w:hint="eastAsia" w:ascii="仿宋_GB2312" w:hAnsi="仿宋_GB2312" w:eastAsia="仿宋_GB2312" w:cs="仿宋_GB2312"/>
                <w:b/>
                <w:bCs/>
                <w:color w:val="000000"/>
                <w:kern w:val="0"/>
                <w:sz w:val="36"/>
                <w:szCs w:val="36"/>
              </w:rPr>
              <w:br w:type="textWrapping"/>
            </w:r>
            <w:r>
              <w:rPr>
                <w:rFonts w:hint="eastAsia" w:ascii="仿宋_GB2312" w:hAnsi="仿宋_GB2312" w:eastAsia="仿宋_GB2312" w:cs="仿宋_GB2312"/>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医疗纠纷人民调解</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峨眉山市司法局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11万元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0万元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加强医疗纠纷人民调解业务建设，确保医调委工作的有序开展。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保障了医调委工作有序开展，化解了医患纠纷，缓和了医患矛盾。</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全年矛盾纠纷受理率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全年矛盾纠纷受理率=100%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全年矛盾纠纷调解率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全年矛盾纠纷调解率=100%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全年矛盾纠纷回访率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全年矛盾纠纷回访率=100%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按年度完成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2019年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完成2019年度医疗纠纷调解任务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医疗纠纷人民调解业务建设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全力化解医患纠纷，以“案结事了”为目标，确保调解受理率100%，化解率97%。</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医调委工作有序开展，化解了医患纠纷，缓和了医患矛盾。</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公众满意度≥95%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36"/>
                <w:szCs w:val="36"/>
              </w:rPr>
            </w:pPr>
          </w:p>
          <w:p>
            <w:pPr>
              <w:widowControl/>
              <w:jc w:val="center"/>
              <w:textAlignment w:val="center"/>
              <w:rPr>
                <w:rFonts w:ascii="仿宋_GB2312" w:hAnsi="仿宋_GB2312" w:eastAsia="仿宋_GB2312" w:cs="仿宋_GB2312"/>
                <w:color w:val="000000"/>
                <w:sz w:val="36"/>
                <w:szCs w:val="36"/>
              </w:rPr>
            </w:pPr>
            <w:r>
              <w:rPr>
                <w:rFonts w:hint="eastAsia" w:ascii="仿宋_GB2312" w:hAnsi="仿宋_GB2312" w:eastAsia="仿宋_GB2312" w:cs="仿宋_GB2312"/>
                <w:b/>
                <w:bCs/>
                <w:color w:val="000000"/>
                <w:kern w:val="0"/>
                <w:sz w:val="36"/>
                <w:szCs w:val="36"/>
              </w:rPr>
              <w:t>项目绩效目标完成情况表</w:t>
            </w:r>
            <w:r>
              <w:rPr>
                <w:rFonts w:hint="eastAsia" w:ascii="仿宋_GB2312" w:hAnsi="仿宋_GB2312" w:eastAsia="仿宋_GB2312" w:cs="仿宋_GB2312"/>
                <w:b/>
                <w:bCs/>
                <w:color w:val="000000"/>
                <w:kern w:val="0"/>
                <w:sz w:val="36"/>
                <w:szCs w:val="36"/>
              </w:rPr>
              <w:br w:type="textWrapping"/>
            </w:r>
            <w:r>
              <w:rPr>
                <w:rFonts w:hint="eastAsia" w:ascii="仿宋_GB2312" w:hAnsi="仿宋_GB2312" w:eastAsia="仿宋_GB2312" w:cs="仿宋_GB2312"/>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法律援助</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峨眉山市司法局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31.83万元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19.33万元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31.83万元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19.33万元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0万元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加强法律援助业务建设，促进法治化进程和社会稳定。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完成年度法律援助任务，提供了法律援助，促进法制化进程和社会稳定。</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为群众提供法律援助、办理援助案件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≥2200人次、≥260件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为群众提供法律援助≥2200人次、办理援助案件≥260件</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办理法律援助事项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≥1680件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办理法律援助事项≥1680件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建设乡镇（街道）规范化法律援助工作站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2个</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建设乡镇（街道）规范化法律援助工作站2个</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实现农民工讨薪、工伤案件法律援助受理率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实现农民工讨薪、工伤案件法律援助受理率=100%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法律援助案件信息和咨询信息录入率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法律援助案件信息和咨询信息录入率=100%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按年度完成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2019年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完成2019年度法律援助任务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法律援助业务建设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加强法律援助宣传工作，充分发挥职能作用，促进法治化进程和社会稳定</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加强了法律援助宣传工作，促进了法治化进程和社会稳定</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公众满意度≥95%</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仿宋_GB2312" w:hAnsi="仿宋_GB2312" w:eastAsia="仿宋_GB2312" w:cs="仿宋_GB2312"/>
                <w:b/>
                <w:bCs/>
                <w:color w:val="000000"/>
                <w:kern w:val="0"/>
                <w:sz w:val="36"/>
                <w:szCs w:val="36"/>
              </w:rPr>
            </w:pPr>
          </w:p>
          <w:p>
            <w:pPr>
              <w:widowControl/>
              <w:jc w:val="center"/>
              <w:textAlignment w:val="center"/>
              <w:rPr>
                <w:rFonts w:ascii="仿宋_GB2312" w:hAnsi="仿宋_GB2312" w:eastAsia="仿宋_GB2312" w:cs="仿宋_GB2312"/>
                <w:color w:val="000000"/>
                <w:sz w:val="36"/>
                <w:szCs w:val="36"/>
              </w:rPr>
            </w:pPr>
            <w:r>
              <w:rPr>
                <w:rFonts w:hint="eastAsia" w:ascii="仿宋_GB2312" w:hAnsi="仿宋_GB2312" w:eastAsia="仿宋_GB2312" w:cs="仿宋_GB2312"/>
                <w:b/>
                <w:bCs/>
                <w:color w:val="000000"/>
                <w:kern w:val="0"/>
                <w:sz w:val="36"/>
                <w:szCs w:val="36"/>
              </w:rPr>
              <w:t>项目绩效目标完成情况表</w:t>
            </w:r>
            <w:r>
              <w:rPr>
                <w:rFonts w:hint="eastAsia" w:ascii="仿宋_GB2312" w:hAnsi="仿宋_GB2312" w:eastAsia="仿宋_GB2312" w:cs="仿宋_GB2312"/>
                <w:b/>
                <w:bCs/>
                <w:color w:val="000000"/>
                <w:kern w:val="0"/>
                <w:sz w:val="36"/>
                <w:szCs w:val="36"/>
              </w:rPr>
              <w:br w:type="textWrapping"/>
            </w:r>
            <w:r>
              <w:rPr>
                <w:rFonts w:hint="eastAsia" w:ascii="仿宋_GB2312" w:hAnsi="仿宋_GB2312" w:eastAsia="仿宋_GB2312" w:cs="仿宋_GB2312"/>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社区矫正和安置帮教</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峨眉山市司法局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34.27万元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34.27万元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34.27万元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34.27万元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0万元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加强社区服刑人员的管理和刑满释放人员安置帮教工作，化解社会矛盾纠纷，维护社会稳定。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完成了年度社区矫正和安置帮教工作，化解了社会矛盾，维护了社会稳定。</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司法所工作人员社区矫正和安置帮教工作业务知识培训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全年开展司法所工作人员社区矫正和安置帮教工作业务知识培训达8次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对社区服刑人员全部配备定位手环，实行定位监控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配备率≥70%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对社区矫正对象全部配备定位手环，实行定位监控，配备率达85%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受法院、监狱、检察院委托完成审前调查评估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100%完成受法院、监狱、检察院委托的审前调查评估，办结社区矫正对象审前调查评估124件</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加强对社区服刑人员管理，有效防止重新犯罪</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恶性或有较大影响的重新犯罪0.2%以内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恶性或有较大影响的重新犯罪控制在0.2%以内</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按年度完成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2019年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完成2019年度社区矫正和安置帮教任务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公众满意度≥95%</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hint="eastAsia" w:ascii="仿宋_GB2312" w:hAnsi="仿宋_GB2312" w:eastAsia="仿宋_GB2312" w:cs="仿宋_GB2312"/>
          <w:sz w:val="32"/>
          <w:szCs w:val="32"/>
        </w:rPr>
        <w:t>2.部门绩效评价结果。</w:t>
      </w:r>
    </w:p>
    <w:p>
      <w:pPr>
        <w:spacing w:line="580" w:lineRule="exact"/>
        <w:ind w:firstLine="640" w:firstLineChars="200"/>
        <w:rPr>
          <w:rFonts w:hAnsi="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本部门按要求对2019年部门整体支出绩效评价情况开展自评，《峨眉山市司法局2019年部门整体支出绩效评价报告》见附件（附件1）。</w:t>
      </w:r>
    </w:p>
    <w:p>
      <w:pPr>
        <w:numPr>
          <w:ilvl w:val="0"/>
          <w:numId w:val="6"/>
        </w:numPr>
        <w:spacing w:line="600" w:lineRule="exact"/>
        <w:ind w:firstLine="660" w:firstLineChars="150"/>
        <w:jc w:val="center"/>
        <w:outlineLvl w:val="0"/>
        <w:rPr>
          <w:rStyle w:val="25"/>
          <w:rFonts w:ascii="仿宋_GB2312" w:hAnsi="仿宋_GB2312" w:eastAsia="仿宋_GB2312" w:cs="仿宋_GB2312"/>
          <w:b w:val="0"/>
        </w:rPr>
      </w:pPr>
      <w:bookmarkStart w:id="55" w:name="_Toc15396613"/>
      <w:bookmarkStart w:id="56" w:name="_Toc15377225"/>
      <w:r>
        <w:rPr>
          <w:rFonts w:hint="eastAsia" w:ascii="仿宋_GB2312" w:hAnsi="仿宋_GB2312" w:eastAsia="仿宋_GB2312" w:cs="仿宋_GB2312"/>
          <w:color w:val="000000"/>
          <w:sz w:val="44"/>
          <w:szCs w:val="44"/>
        </w:rPr>
        <w:t>名</w:t>
      </w:r>
      <w:r>
        <w:rPr>
          <w:rStyle w:val="25"/>
          <w:rFonts w:hint="eastAsia" w:ascii="仿宋_GB2312" w:hAnsi="仿宋_GB2312" w:eastAsia="仿宋_GB2312" w:cs="仿宋_GB2312"/>
          <w:b w:val="0"/>
        </w:rPr>
        <w:t>词解释</w:t>
      </w:r>
      <w:bookmarkEnd w:id="55"/>
      <w:bookmarkEnd w:id="56"/>
    </w:p>
    <w:p>
      <w:pPr>
        <w:spacing w:line="600" w:lineRule="exact"/>
        <w:jc w:val="left"/>
        <w:rPr>
          <w:rFonts w:ascii="仿宋_GB2312" w:hAnsi="仿宋_GB2312" w:eastAsia="仿宋_GB2312" w:cs="仿宋_GB2312"/>
          <w:b/>
          <w:color w:val="000000"/>
          <w:sz w:val="44"/>
          <w:szCs w:val="44"/>
        </w:rPr>
      </w:pPr>
    </w:p>
    <w:p>
      <w:pPr>
        <w:pStyle w:val="2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2.事业收入：指事业单位开展专业业务活动及辅助活动取得的收入。如…（二级预算单位事业收入情况）等。</w:t>
      </w:r>
    </w:p>
    <w:p>
      <w:pPr>
        <w:pStyle w:val="2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4.其他收入：指单位取得的除上述收入以外的各项收入。主要是…（收入类型）等。 </w:t>
      </w:r>
    </w:p>
    <w:p>
      <w:pPr>
        <w:pStyle w:val="2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2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.公共安全支出（类）司法（款）行政运行（项）：指行政单位（包括实行公务员管理的事业单位）的基本支出。</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.公共安全（类）司法（款）一般行政事务管理（项）：指行政单位（包括实行公务员管理的事业单位）未单独设置顶级科目的其他项目支出。</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.公共安全支出（类）司法（款）基层司法业务（项）：指各级司法行政部门用于基层业务的支出，包括基层工作指导费、调解费、安置帮教费、司法所经费和“</w:t>
      </w:r>
      <w:r>
        <w:rPr>
          <w:rFonts w:ascii="仿宋_GB2312" w:hAnsi="仿宋_GB2312" w:eastAsia="仿宋_GB2312" w:cs="仿宋_GB2312"/>
          <w:sz w:val="32"/>
          <w:szCs w:val="32"/>
        </w:rPr>
        <w:t>148</w:t>
      </w:r>
      <w:r>
        <w:rPr>
          <w:rFonts w:hint="eastAsia" w:ascii="仿宋_GB2312" w:hAnsi="仿宋_GB2312" w:eastAsia="仿宋_GB2312" w:cs="仿宋_GB2312"/>
          <w:sz w:val="32"/>
          <w:szCs w:val="32"/>
        </w:rPr>
        <w:t>”法律服务专用电话等支出。</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12</w:t>
      </w:r>
      <w:r>
        <w:rPr>
          <w:rFonts w:hint="eastAsia" w:ascii="仿宋_GB2312" w:hAnsi="仿宋_GB2312" w:eastAsia="仿宋_GB2312" w:cs="仿宋_GB2312"/>
          <w:sz w:val="32"/>
          <w:szCs w:val="32"/>
        </w:rPr>
        <w:t>.公共安全支出（类）司法（款）普法宣传（项）：指各级司法行政部门用于组织各种媒体的宣传、普法装备与设施、宣传资料、对外宣传、法制作品的审读评审等方面的支出。</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公共安全支出（类）司法（款）法律援助（项）：指各级法律援助机构用于开展法律援助工作的支出。</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14.</w:t>
      </w:r>
      <w:r>
        <w:rPr>
          <w:rFonts w:hint="eastAsia" w:ascii="仿宋_GB2312" w:hAnsi="仿宋_GB2312" w:eastAsia="仿宋_GB2312" w:cs="仿宋_GB2312"/>
          <w:sz w:val="32"/>
          <w:szCs w:val="32"/>
        </w:rPr>
        <w:t>公共安全支出（类）司法（款）社区矫正（项）：指各级司法行政部门用于社区矫正的支出。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15.公共安全支出（类）其他公共安全（款）其他公共安全支出（项）：指</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社会保障和就业（类）行政事业单位离退休（款）机关事业单位基本养老保险缴费支出（项）：指机关事业单位实施养老保险制度由单位缴纳的基本养老保险费支出。</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社会保障和就业（类）行政事业单位离退休（款）机关事业单位职业年金缴费支出（项）：指机关事业单位实施养老保险制度由单位缴纳的职业年金支出。</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8.社会保障和就业（类）抚恤（款）其他优抚支出（项）：指其他用于优抚方面的支出。</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9.社会保障和就业（类）其他社会保障和就业（款）其他社会保障和就业支出（项）：指其他用于社会保障和就业方面的支出。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医疗卫生（类）行政事业单位医疗（款）行政单位医疗（项）：指财政部门集中安排的行政单位基本医疗保险缴费经费，未参加医疗保险的行政单位的公费医疗经费，按国家规定享受离休人员、红军老战士待遇人员的医疗经费。</w:t>
      </w:r>
    </w:p>
    <w:p>
      <w:pPr>
        <w:ind w:firstLine="640" w:firstLineChars="200"/>
        <w:rPr>
          <w:rFonts w:eastAsia="仿宋_GB2312" w:cs="仿宋_GB2312" w:asciiTheme="minorHAnsi" w:hAnsiTheme="minorHAnsi"/>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1. 住房保障（类）住房保障改革支出（款）住房公积金（项）：指行政事业单位按人力资源和社会保障部、财政部规定的基本工资和津贴补贴以及规定比例为职工缴纳的住房公积金。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2.农林水支出（类）扶贫（款）其他扶贫支出（项）:指其他用于扶贫方面的支出。</w:t>
      </w:r>
    </w:p>
    <w:p>
      <w:pPr>
        <w:pStyle w:val="2"/>
        <w:spacing w:before="93"/>
        <w:ind w:firstLine="615"/>
        <w:rPr>
          <w:rFonts w:hAnsiTheme="minorHAnsi"/>
          <w:color w:val="000000" w:themeColor="text1"/>
          <w:sz w:val="32"/>
          <w:szCs w:val="32"/>
        </w:rPr>
      </w:pPr>
      <w:r>
        <w:rPr>
          <w:rFonts w:hint="eastAsia" w:hAnsiTheme="minorHAnsi"/>
          <w:color w:val="000000" w:themeColor="text1"/>
          <w:sz w:val="32"/>
          <w:szCs w:val="32"/>
        </w:rPr>
        <w:t>23.城乡社区支出（类）国有土地使用权出让收入及对应专项债务收入安排的支出（款）土地开发支出（项）：指地方人民政府用于前期土地开发性支出以及与前期土地开发相关的费用等支出。</w:t>
      </w:r>
    </w:p>
    <w:p>
      <w:pPr>
        <w:pStyle w:val="2"/>
        <w:spacing w:before="93"/>
        <w:ind w:firstLine="615"/>
        <w:rPr>
          <w:rFonts w:hAnsiTheme="minorHAnsi"/>
          <w:sz w:val="32"/>
          <w:szCs w:val="32"/>
        </w:rPr>
      </w:pPr>
      <w:r>
        <w:rPr>
          <w:rFonts w:hint="eastAsia" w:hAnsiTheme="minorHAnsi"/>
          <w:color w:val="000000" w:themeColor="text1"/>
          <w:sz w:val="32"/>
          <w:szCs w:val="32"/>
        </w:rPr>
        <w:t>24. 城乡社区支出（类）国有土地使用权出让收入及对应专项债务收入安排的支出（款）其他国有土地使用</w:t>
      </w:r>
      <w:r>
        <w:rPr>
          <w:rFonts w:hint="eastAsia" w:hAnsiTheme="minorHAnsi"/>
          <w:sz w:val="32"/>
          <w:szCs w:val="32"/>
        </w:rPr>
        <w:t>权出让收入安排的支出（项）：指土地出让收入用于其他方面的支出。不包括市县级政府当年按规定用土地出让收入向中央和省级政府缴纳的新增建设用地土地有偿使用费的支出。</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25.基本支出：指为保障机构正常运转、完成日常工作任务而发生的人员支出和公用支出。</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26.项目支出：指在基本支出之外为完成特定行政任务和事业发展目标所发生的支出。 </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27.经营支出：指事业单位在专业业务活动及其辅助活动之外开展非独立核算经营活动发生的支出。</w:t>
      </w:r>
    </w:p>
    <w:p>
      <w:pPr>
        <w:pStyle w:val="2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仿宋_GB2312" w:hAnsi="仿宋_GB2312" w:eastAsia="仿宋_GB2312" w:cs="仿宋_GB2312"/>
          <w:b w:val="0"/>
        </w:rPr>
      </w:pPr>
      <w:bookmarkStart w:id="57" w:name="_Toc15396614"/>
      <w:bookmarkStart w:id="58" w:name="_Toc15377226"/>
      <w:r>
        <w:rPr>
          <w:rFonts w:hint="eastAsia" w:ascii="仿宋_GB2312" w:hAnsi="仿宋_GB2312" w:eastAsia="仿宋_GB2312" w:cs="仿宋_GB2312"/>
          <w:color w:val="000000"/>
          <w:sz w:val="44"/>
          <w:szCs w:val="44"/>
        </w:rPr>
        <w:t>第</w:t>
      </w:r>
      <w:r>
        <w:rPr>
          <w:rStyle w:val="25"/>
          <w:rFonts w:hint="eastAsia" w:ascii="仿宋_GB2312" w:hAnsi="仿宋_GB2312" w:eastAsia="仿宋_GB2312" w:cs="仿宋_GB2312"/>
          <w:b w:val="0"/>
        </w:rPr>
        <w:t>四部分 附件</w:t>
      </w:r>
      <w:bookmarkEnd w:id="57"/>
    </w:p>
    <w:p>
      <w:pPr>
        <w:spacing w:line="600" w:lineRule="exact"/>
        <w:jc w:val="left"/>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附件1</w:t>
      </w:r>
    </w:p>
    <w:p>
      <w:pPr>
        <w:spacing w:line="580" w:lineRule="exact"/>
        <w:jc w:val="center"/>
        <w:rPr>
          <w:rFonts w:ascii="仿宋_GB2312" w:hAnsi="仿宋_GB2312" w:eastAsia="仿宋_GB2312" w:cs="仿宋_GB2312"/>
          <w:sz w:val="44"/>
          <w:szCs w:val="44"/>
        </w:rPr>
      </w:pPr>
    </w:p>
    <w:p>
      <w:pPr>
        <w:spacing w:line="600" w:lineRule="exact"/>
        <w:jc w:val="center"/>
        <w:rPr>
          <w:rFonts w:ascii="仿宋_GB2312" w:hAnsi="仿宋_GB2312" w:eastAsia="仿宋_GB2312" w:cs="仿宋_GB2312"/>
          <w:color w:val="000000"/>
          <w:kern w:val="0"/>
          <w:sz w:val="40"/>
          <w:szCs w:val="44"/>
          <w:lang w:val="zh-CN"/>
        </w:rPr>
      </w:pPr>
      <w:r>
        <w:rPr>
          <w:rFonts w:hint="eastAsia" w:ascii="仿宋_GB2312" w:hAnsi="仿宋_GB2312" w:eastAsia="仿宋_GB2312" w:cs="仿宋_GB2312"/>
          <w:color w:val="000000"/>
          <w:kern w:val="0"/>
          <w:sz w:val="40"/>
          <w:szCs w:val="44"/>
        </w:rPr>
        <w:t>峨眉山市司法局2019年部门</w:t>
      </w:r>
      <w:r>
        <w:rPr>
          <w:rFonts w:hint="eastAsia" w:ascii="仿宋_GB2312" w:hAnsi="仿宋_GB2312" w:eastAsia="仿宋_GB2312" w:cs="仿宋_GB2312"/>
          <w:color w:val="000000"/>
          <w:kern w:val="0"/>
          <w:sz w:val="40"/>
          <w:szCs w:val="44"/>
          <w:lang w:val="zh-CN"/>
        </w:rPr>
        <w:t>整体支出绩效</w:t>
      </w:r>
    </w:p>
    <w:p>
      <w:pPr>
        <w:spacing w:line="600" w:lineRule="exact"/>
        <w:jc w:val="center"/>
        <w:rPr>
          <w:rFonts w:ascii="仿宋_GB2312" w:hAnsi="仿宋_GB2312" w:eastAsia="仿宋_GB2312" w:cs="仿宋_GB2312"/>
          <w:color w:val="000000"/>
          <w:kern w:val="0"/>
          <w:sz w:val="40"/>
          <w:szCs w:val="44"/>
          <w:lang w:val="zh-CN"/>
        </w:rPr>
      </w:pPr>
      <w:r>
        <w:rPr>
          <w:rFonts w:hint="eastAsia" w:ascii="仿宋_GB2312" w:hAnsi="仿宋_GB2312" w:eastAsia="仿宋_GB2312" w:cs="仿宋_GB2312"/>
          <w:color w:val="000000"/>
          <w:kern w:val="0"/>
          <w:sz w:val="40"/>
          <w:szCs w:val="44"/>
          <w:lang w:val="zh-CN"/>
        </w:rPr>
        <w:t>评价报告</w:t>
      </w:r>
    </w:p>
    <w:p>
      <w:pPr>
        <w:widowControl/>
        <w:spacing w:line="580" w:lineRule="exact"/>
        <w:ind w:firstLine="640" w:firstLineChars="200"/>
        <w:contextualSpacing/>
        <w:jc w:val="center"/>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仿宋_GB2312" w:hAnsi="仿宋_GB2312" w:eastAsia="仿宋_GB2312" w:cs="仿宋_GB2312"/>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一、</w:t>
      </w:r>
      <w:r>
        <w:rPr>
          <w:rFonts w:hint="eastAsia" w:ascii="仿宋_GB2312" w:hAnsi="仿宋_GB2312" w:eastAsia="仿宋_GB2312" w:cs="仿宋_GB2312"/>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pPr>
        <w:pStyle w:val="2"/>
        <w:spacing w:before="93"/>
        <w:ind w:firstLine="600" w:firstLineChars="200"/>
        <w:rPr>
          <w:lang w:val="zh-CN"/>
        </w:rPr>
      </w:pPr>
      <w:r>
        <w:rPr>
          <w:rFonts w:hint="eastAsia"/>
          <w:lang w:val="zh-CN"/>
        </w:rPr>
        <w:t>峨眉山市司法局为政府行政部门，共有下属事业单位2个，其中：参公事业单位（法律援助中心）1个，自收自支事业单位（公证处）1个。</w:t>
      </w:r>
    </w:p>
    <w:p>
      <w:pPr>
        <w:pStyle w:val="2"/>
        <w:spacing w:before="93"/>
        <w:rPr>
          <w:lang w:val="zh-CN"/>
        </w:rPr>
      </w:pPr>
      <w:r>
        <w:rPr>
          <w:rFonts w:hint="eastAsia"/>
          <w:lang w:val="zh-CN"/>
        </w:rPr>
        <w:t>共有一级预算单位1个，部门下属二级预算单位0个，与去年相比无增减。</w:t>
      </w:r>
    </w:p>
    <w:p>
      <w:pPr>
        <w:pStyle w:val="2"/>
        <w:spacing w:before="93"/>
        <w:ind w:firstLine="600" w:firstLineChars="200"/>
        <w:rPr>
          <w:lang w:val="zh-CN"/>
        </w:rPr>
      </w:pPr>
      <w:r>
        <w:rPr>
          <w:rFonts w:hint="eastAsia"/>
          <w:lang w:val="zh-CN"/>
        </w:rPr>
        <w:t>行政单位1个，与去年相比无增减。</w:t>
      </w:r>
    </w:p>
    <w:p>
      <w:pPr>
        <w:pStyle w:val="2"/>
        <w:spacing w:before="93"/>
        <w:ind w:firstLine="600" w:firstLineChars="200"/>
        <w:rPr>
          <w:lang w:val="zh-CN"/>
        </w:rPr>
      </w:pPr>
      <w:r>
        <w:rPr>
          <w:rFonts w:hint="eastAsia"/>
          <w:lang w:val="zh-CN"/>
        </w:rPr>
        <w:t>执行行政单位会计制度的单位1个，与去年相比无增减。</w:t>
      </w:r>
    </w:p>
    <w:p>
      <w:pPr>
        <w:widowControl/>
        <w:numPr>
          <w:ilvl w:val="0"/>
          <w:numId w:val="7"/>
        </w:numPr>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机构职能。</w:t>
      </w:r>
    </w:p>
    <w:p>
      <w:pPr>
        <w:pStyle w:val="2"/>
        <w:spacing w:before="93"/>
        <w:ind w:firstLine="600" w:firstLineChars="200"/>
        <w:rPr>
          <w:lang w:val="zh-CN"/>
        </w:rPr>
      </w:pPr>
      <w:r>
        <w:rPr>
          <w:rFonts w:hint="eastAsia"/>
          <w:lang w:val="zh-CN"/>
        </w:rPr>
        <w:t>主要职责是：</w:t>
      </w:r>
    </w:p>
    <w:p>
      <w:pPr>
        <w:pStyle w:val="2"/>
        <w:spacing w:before="93"/>
        <w:ind w:firstLine="600" w:firstLineChars="200"/>
        <w:rPr>
          <w:lang w:val="zh-CN"/>
        </w:rPr>
      </w:pPr>
      <w:r>
        <w:rPr>
          <w:rFonts w:hint="eastAsia"/>
          <w:lang w:val="zh-CN"/>
        </w:rPr>
        <w:t>1.承担依法治市重大问题的政策研究，协调有关方面提出全面依法治市规划建议，负责有关重大决策部署督查工作。</w:t>
      </w:r>
    </w:p>
    <w:p>
      <w:pPr>
        <w:pStyle w:val="2"/>
        <w:spacing w:before="93"/>
        <w:ind w:firstLine="600" w:firstLineChars="200"/>
        <w:rPr>
          <w:lang w:val="zh-CN"/>
        </w:rPr>
      </w:pPr>
      <w:r>
        <w:rPr>
          <w:rFonts w:hint="eastAsia"/>
          <w:lang w:val="zh-CN"/>
        </w:rPr>
        <w:t>2.负责协调各部门实施法律、法规、规章中的有关争议和问题。</w:t>
      </w:r>
    </w:p>
    <w:p>
      <w:pPr>
        <w:pStyle w:val="2"/>
        <w:spacing w:before="93"/>
        <w:ind w:firstLine="600" w:firstLineChars="200"/>
        <w:rPr>
          <w:lang w:val="zh-CN"/>
        </w:rPr>
      </w:pPr>
      <w:r>
        <w:rPr>
          <w:rFonts w:hint="eastAsia"/>
          <w:lang w:val="zh-CN"/>
        </w:rPr>
        <w:t>3.负责市政府规范性文件、重大行政决策发布前的合法性审查。</w:t>
      </w:r>
    </w:p>
    <w:p>
      <w:pPr>
        <w:pStyle w:val="2"/>
        <w:spacing w:before="93"/>
        <w:ind w:firstLine="600" w:firstLineChars="200"/>
        <w:rPr>
          <w:lang w:val="zh-CN"/>
        </w:rPr>
      </w:pPr>
      <w:r>
        <w:rPr>
          <w:rFonts w:hint="eastAsia"/>
          <w:lang w:val="zh-CN"/>
        </w:rPr>
        <w:t>4.承担统筹推进法治政府建设的责任。指导监督市政府各部门、各乡镇依法行政工作。</w:t>
      </w:r>
    </w:p>
    <w:p>
      <w:pPr>
        <w:pStyle w:val="2"/>
        <w:spacing w:before="93"/>
        <w:ind w:firstLine="600" w:firstLineChars="200"/>
        <w:rPr>
          <w:lang w:val="zh-CN"/>
        </w:rPr>
      </w:pPr>
      <w:r>
        <w:rPr>
          <w:rFonts w:hint="eastAsia"/>
          <w:lang w:val="zh-CN"/>
        </w:rPr>
        <w:t>5.承担统筹规划法治社会建设的责任。负责拟定法治宣传教育规划，组织实施普法宣传工作，组织对外法治宣传。</w:t>
      </w:r>
    </w:p>
    <w:p>
      <w:pPr>
        <w:pStyle w:val="2"/>
        <w:spacing w:before="93"/>
        <w:ind w:firstLine="600" w:firstLineChars="200"/>
        <w:rPr>
          <w:lang w:val="zh-CN"/>
        </w:rPr>
      </w:pPr>
      <w:r>
        <w:rPr>
          <w:rFonts w:hint="eastAsia"/>
          <w:lang w:val="zh-CN"/>
        </w:rPr>
        <w:t>6.指导管理全市社区矫正工作。指导刑满释放人员帮教安置工作。</w:t>
      </w:r>
    </w:p>
    <w:p>
      <w:pPr>
        <w:pStyle w:val="2"/>
        <w:spacing w:before="93"/>
        <w:ind w:firstLine="600" w:firstLineChars="200"/>
        <w:rPr>
          <w:lang w:val="zh-CN"/>
        </w:rPr>
      </w:pPr>
      <w:r>
        <w:rPr>
          <w:rFonts w:hint="eastAsia"/>
          <w:lang w:val="zh-CN"/>
        </w:rPr>
        <w:t>7.负责拟定全市公共法律服务体系建设规划并指导实施，统筹和布局全市城乡、区域法律服务资源。</w:t>
      </w:r>
    </w:p>
    <w:p>
      <w:pPr>
        <w:pStyle w:val="2"/>
        <w:spacing w:before="93"/>
        <w:ind w:firstLine="600" w:firstLineChars="200"/>
        <w:rPr>
          <w:lang w:val="zh-CN"/>
        </w:rPr>
      </w:pPr>
      <w:r>
        <w:rPr>
          <w:rFonts w:hint="eastAsia"/>
          <w:lang w:val="zh-CN"/>
        </w:rPr>
        <w:t>8.规划、协调、指导法治人才队伍建设相关工作，指导监督本系统队伍建设。</w:t>
      </w:r>
    </w:p>
    <w:p>
      <w:pPr>
        <w:pStyle w:val="2"/>
        <w:spacing w:before="93"/>
        <w:ind w:firstLine="600" w:firstLineChars="200"/>
        <w:rPr>
          <w:lang w:val="zh-CN"/>
        </w:rPr>
      </w:pPr>
      <w:r>
        <w:rPr>
          <w:rFonts w:hint="eastAsia"/>
          <w:lang w:val="zh-CN"/>
        </w:rPr>
        <w:t>9.负责全市外来企业投诉处理和民营企业法律服务工作。</w:t>
      </w:r>
    </w:p>
    <w:p>
      <w:pPr>
        <w:pStyle w:val="2"/>
        <w:spacing w:before="93"/>
        <w:ind w:firstLine="600" w:firstLineChars="200"/>
        <w:rPr>
          <w:lang w:val="zh-CN"/>
        </w:rPr>
      </w:pPr>
      <w:r>
        <w:rPr>
          <w:rFonts w:hint="eastAsia"/>
          <w:lang w:val="zh-CN"/>
        </w:rPr>
        <w:t>10.负责职责范围内的安全生产和职业健康、生态环境保护、审批服务便民化等工作。</w:t>
      </w:r>
    </w:p>
    <w:p>
      <w:pPr>
        <w:pStyle w:val="2"/>
        <w:spacing w:before="93"/>
        <w:ind w:firstLine="600" w:firstLineChars="200"/>
        <w:rPr>
          <w:lang w:val="zh-CN"/>
        </w:rPr>
      </w:pPr>
      <w:r>
        <w:rPr>
          <w:rFonts w:hint="eastAsia"/>
          <w:lang w:val="zh-CN"/>
        </w:rPr>
        <w:t>11.完成市委、市政府交办的其他工作。</w:t>
      </w:r>
    </w:p>
    <w:p>
      <w:pPr>
        <w:widowControl/>
        <w:numPr>
          <w:ilvl w:val="0"/>
          <w:numId w:val="7"/>
        </w:numPr>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人员概况。</w:t>
      </w:r>
    </w:p>
    <w:p>
      <w:pPr>
        <w:widowControl/>
        <w:adjustRightInd w:val="0"/>
        <w:snapToGrid w:val="0"/>
        <w:spacing w:line="580" w:lineRule="exact"/>
        <w:ind w:left="420" w:leftChars="200" w:firstLine="320" w:firstLineChars="1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在职人数50人，退休人员28人，劳务派遣人员17人。</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（一）部门财政资金收入情况。</w:t>
      </w:r>
    </w:p>
    <w:p>
      <w:pPr>
        <w:pStyle w:val="2"/>
        <w:spacing w:before="93"/>
        <w:ind w:firstLine="600" w:firstLineChars="200"/>
        <w:rPr>
          <w:lang w:val="zh-CN"/>
        </w:rPr>
      </w:pPr>
      <w:r>
        <w:rPr>
          <w:rFonts w:hint="eastAsia"/>
          <w:lang w:val="zh-CN"/>
        </w:rPr>
        <w:t>2019年司法局本年决算收入合计1762.50万元，其中：财政拨款收入1762.50万元，占100%。与2018年相比，财政拨款收入总计增加522.02万元，增长42.08%。本年财政拨款收支较上年度增加主要原因：一是当年收到房屋建筑物购建经费474.50万元；二是机构改革并入法制办、依法治市办等机构增加财政拨款29万元等。</w:t>
      </w:r>
    </w:p>
    <w:p>
      <w:pPr>
        <w:widowControl/>
        <w:numPr>
          <w:ilvl w:val="0"/>
          <w:numId w:val="8"/>
        </w:numPr>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部门财政资金支出情况。</w:t>
      </w:r>
    </w:p>
    <w:p>
      <w:pPr>
        <w:pStyle w:val="2"/>
        <w:spacing w:before="93"/>
        <w:ind w:firstLine="600" w:firstLineChars="200"/>
        <w:rPr>
          <w:lang w:val="zh-CN"/>
        </w:rPr>
      </w:pPr>
      <w:r>
        <w:rPr>
          <w:rFonts w:hint="eastAsia"/>
          <w:lang w:val="zh-CN"/>
        </w:rPr>
        <w:t>2019年司法局本年决算支出合计1255.27万元，其中：基本支出1013.83万元，占80.77%；项目支出241.44万元，占19.23%。</w:t>
      </w:r>
    </w:p>
    <w:p>
      <w:pPr>
        <w:pStyle w:val="2"/>
        <w:spacing w:before="93"/>
        <w:ind w:firstLine="600" w:firstLineChars="200"/>
        <w:rPr>
          <w:lang w:val="zh-CN"/>
        </w:rPr>
      </w:pPr>
      <w:r>
        <w:rPr>
          <w:rFonts w:hint="eastAsia"/>
          <w:lang w:val="zh-CN"/>
        </w:rPr>
        <w:t xml:space="preserve">各项支出占总支出的比重： </w:t>
      </w:r>
    </w:p>
    <w:tbl>
      <w:tblPr>
        <w:tblStyle w:val="13"/>
        <w:tblpPr w:leftFromText="180" w:rightFromText="180" w:vertAnchor="text" w:horzAnchor="page" w:tblpX="1259" w:tblpY="912"/>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0"/>
        <w:gridCol w:w="32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tcPr>
          <w:p>
            <w:pPr>
              <w:pStyle w:val="2"/>
              <w:spacing w:before="93"/>
              <w:rPr>
                <w:lang w:val="zh-CN"/>
              </w:rPr>
            </w:pPr>
            <w:r>
              <w:rPr>
                <w:rFonts w:hint="eastAsia"/>
                <w:lang w:val="zh-CN"/>
              </w:rPr>
              <w:t>功能科目名称</w:t>
            </w:r>
          </w:p>
        </w:tc>
        <w:tc>
          <w:tcPr>
            <w:tcW w:w="3240" w:type="dxa"/>
          </w:tcPr>
          <w:p>
            <w:pPr>
              <w:pStyle w:val="2"/>
              <w:spacing w:before="93"/>
              <w:rPr>
                <w:lang w:val="zh-CN"/>
              </w:rPr>
            </w:pPr>
            <w:r>
              <w:rPr>
                <w:rFonts w:hint="eastAsia"/>
                <w:lang w:val="zh-CN"/>
              </w:rPr>
              <w:t>支出金额(单位：万元)</w:t>
            </w:r>
          </w:p>
        </w:tc>
        <w:tc>
          <w:tcPr>
            <w:tcW w:w="2160" w:type="dxa"/>
          </w:tcPr>
          <w:p>
            <w:pPr>
              <w:pStyle w:val="2"/>
              <w:spacing w:before="93"/>
              <w:rPr>
                <w:lang w:val="zh-CN"/>
              </w:rPr>
            </w:pPr>
            <w:r>
              <w:rPr>
                <w:rFonts w:hint="eastAsia"/>
                <w:lang w:val="zh-CN"/>
              </w:rPr>
              <w:t>占总支出比重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 xml:space="preserve"> 2040601行政运行</w:t>
            </w:r>
          </w:p>
        </w:tc>
        <w:tc>
          <w:tcPr>
            <w:tcW w:w="3240" w:type="dxa"/>
            <w:vAlign w:val="center"/>
          </w:tcPr>
          <w:p>
            <w:pPr>
              <w:pStyle w:val="2"/>
              <w:spacing w:before="93"/>
              <w:rPr>
                <w:lang w:val="zh-CN"/>
              </w:rPr>
            </w:pPr>
            <w:r>
              <w:rPr>
                <w:rFonts w:hint="eastAsia"/>
                <w:lang w:val="zh-CN"/>
              </w:rPr>
              <w:t>834.35</w:t>
            </w:r>
          </w:p>
        </w:tc>
        <w:tc>
          <w:tcPr>
            <w:tcW w:w="2160" w:type="dxa"/>
          </w:tcPr>
          <w:p>
            <w:pPr>
              <w:pStyle w:val="2"/>
              <w:spacing w:before="93"/>
              <w:rPr>
                <w:lang w:val="zh-CN"/>
              </w:rPr>
            </w:pPr>
            <w:r>
              <w:rPr>
                <w:rFonts w:hint="eastAsia"/>
                <w:lang w:val="zh-CN"/>
              </w:rPr>
              <w:t>66.47%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 xml:space="preserve"> 2040602一般行政管理事务</w:t>
            </w:r>
          </w:p>
        </w:tc>
        <w:tc>
          <w:tcPr>
            <w:tcW w:w="3240" w:type="dxa"/>
            <w:vAlign w:val="center"/>
          </w:tcPr>
          <w:p>
            <w:pPr>
              <w:pStyle w:val="2"/>
              <w:spacing w:before="93"/>
              <w:rPr>
                <w:lang w:val="zh-CN"/>
              </w:rPr>
            </w:pPr>
            <w:r>
              <w:rPr>
                <w:rFonts w:hint="eastAsia"/>
                <w:lang w:val="zh-CN"/>
              </w:rPr>
              <w:t>71.05</w:t>
            </w:r>
          </w:p>
        </w:tc>
        <w:tc>
          <w:tcPr>
            <w:tcW w:w="2160" w:type="dxa"/>
          </w:tcPr>
          <w:p>
            <w:pPr>
              <w:pStyle w:val="2"/>
              <w:spacing w:before="93"/>
              <w:rPr>
                <w:lang w:val="zh-CN"/>
              </w:rPr>
            </w:pPr>
            <w:r>
              <w:rPr>
                <w:rFonts w:hint="eastAsia"/>
                <w:lang w:val="zh-CN"/>
              </w:rPr>
              <w:t>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 xml:space="preserve"> 2040604基层司法业务</w:t>
            </w:r>
          </w:p>
        </w:tc>
        <w:tc>
          <w:tcPr>
            <w:tcW w:w="3240" w:type="dxa"/>
            <w:vAlign w:val="center"/>
          </w:tcPr>
          <w:p>
            <w:pPr>
              <w:pStyle w:val="2"/>
              <w:spacing w:before="93"/>
              <w:rPr>
                <w:lang w:val="zh-CN"/>
              </w:rPr>
            </w:pPr>
            <w:r>
              <w:rPr>
                <w:rFonts w:hint="eastAsia"/>
                <w:lang w:val="zh-CN"/>
              </w:rPr>
              <w:t>35.39</w:t>
            </w:r>
          </w:p>
        </w:tc>
        <w:tc>
          <w:tcPr>
            <w:tcW w:w="2160" w:type="dxa"/>
          </w:tcPr>
          <w:p>
            <w:pPr>
              <w:pStyle w:val="2"/>
              <w:spacing w:before="93"/>
              <w:rPr>
                <w:lang w:val="zh-CN"/>
              </w:rPr>
            </w:pPr>
            <w:r>
              <w:rPr>
                <w:rFonts w:hint="eastAsia"/>
                <w:lang w:val="zh-CN"/>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 xml:space="preserve"> 2040605普法宣传</w:t>
            </w:r>
          </w:p>
        </w:tc>
        <w:tc>
          <w:tcPr>
            <w:tcW w:w="3240" w:type="dxa"/>
            <w:vAlign w:val="center"/>
          </w:tcPr>
          <w:p>
            <w:pPr>
              <w:pStyle w:val="2"/>
              <w:spacing w:before="93"/>
              <w:rPr>
                <w:lang w:val="zh-CN"/>
              </w:rPr>
            </w:pPr>
            <w:r>
              <w:rPr>
                <w:rFonts w:hint="eastAsia"/>
                <w:lang w:val="zh-CN"/>
              </w:rPr>
              <w:t>2.71</w:t>
            </w:r>
          </w:p>
        </w:tc>
        <w:tc>
          <w:tcPr>
            <w:tcW w:w="2160" w:type="dxa"/>
          </w:tcPr>
          <w:p>
            <w:pPr>
              <w:pStyle w:val="2"/>
              <w:spacing w:before="93"/>
              <w:rPr>
                <w:lang w:val="zh-CN"/>
              </w:rPr>
            </w:pPr>
            <w:r>
              <w:rPr>
                <w:rFonts w:hint="eastAsia"/>
                <w:lang w:val="zh-CN"/>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 xml:space="preserve"> 2040607法律援助</w:t>
            </w:r>
          </w:p>
        </w:tc>
        <w:tc>
          <w:tcPr>
            <w:tcW w:w="3240" w:type="dxa"/>
            <w:vAlign w:val="center"/>
          </w:tcPr>
          <w:p>
            <w:pPr>
              <w:pStyle w:val="2"/>
              <w:spacing w:before="93"/>
              <w:rPr>
                <w:lang w:val="zh-CN"/>
              </w:rPr>
            </w:pPr>
            <w:r>
              <w:rPr>
                <w:rFonts w:hint="eastAsia"/>
                <w:lang w:val="zh-CN"/>
              </w:rPr>
              <w:t>19.33</w:t>
            </w:r>
          </w:p>
        </w:tc>
        <w:tc>
          <w:tcPr>
            <w:tcW w:w="2160" w:type="dxa"/>
          </w:tcPr>
          <w:p>
            <w:pPr>
              <w:pStyle w:val="2"/>
              <w:spacing w:before="93"/>
              <w:rPr>
                <w:lang w:val="zh-CN"/>
              </w:rPr>
            </w:pPr>
            <w:r>
              <w:rPr>
                <w:rFonts w:hint="eastAsia"/>
                <w:lang w:val="zh-CN"/>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 xml:space="preserve"> 2040610社区矫正</w:t>
            </w:r>
          </w:p>
        </w:tc>
        <w:tc>
          <w:tcPr>
            <w:tcW w:w="3240" w:type="dxa"/>
            <w:vAlign w:val="center"/>
          </w:tcPr>
          <w:p>
            <w:pPr>
              <w:pStyle w:val="2"/>
              <w:spacing w:before="93"/>
              <w:rPr>
                <w:lang w:val="zh-CN"/>
              </w:rPr>
            </w:pPr>
            <w:r>
              <w:rPr>
                <w:rFonts w:hint="eastAsia"/>
                <w:lang w:val="zh-CN"/>
              </w:rPr>
              <w:t>34.27</w:t>
            </w:r>
          </w:p>
        </w:tc>
        <w:tc>
          <w:tcPr>
            <w:tcW w:w="2160" w:type="dxa"/>
          </w:tcPr>
          <w:p>
            <w:pPr>
              <w:pStyle w:val="2"/>
              <w:spacing w:before="93"/>
              <w:rPr>
                <w:lang w:val="zh-CN"/>
              </w:rPr>
            </w:pPr>
            <w:r>
              <w:rPr>
                <w:rFonts w:hint="eastAsia"/>
                <w:lang w:val="zh-CN"/>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2080505机关事业单位基本养老保险缴费支出</w:t>
            </w:r>
          </w:p>
        </w:tc>
        <w:tc>
          <w:tcPr>
            <w:tcW w:w="3240" w:type="dxa"/>
            <w:vAlign w:val="center"/>
          </w:tcPr>
          <w:p>
            <w:pPr>
              <w:pStyle w:val="2"/>
              <w:spacing w:before="93"/>
              <w:rPr>
                <w:lang w:val="zh-CN"/>
              </w:rPr>
            </w:pPr>
            <w:r>
              <w:rPr>
                <w:rFonts w:hint="eastAsia"/>
                <w:lang w:val="zh-CN"/>
              </w:rPr>
              <w:t>52.75</w:t>
            </w:r>
          </w:p>
        </w:tc>
        <w:tc>
          <w:tcPr>
            <w:tcW w:w="2160" w:type="dxa"/>
          </w:tcPr>
          <w:p>
            <w:pPr>
              <w:pStyle w:val="2"/>
              <w:spacing w:before="93"/>
              <w:rPr>
                <w:lang w:val="zh-CN"/>
              </w:rPr>
            </w:pPr>
            <w:r>
              <w:rPr>
                <w:rFonts w:hint="eastAsia"/>
                <w:lang w:val="zh-CN"/>
              </w:rPr>
              <w:t>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2080506机关事业单位职业年金缴费支出</w:t>
            </w:r>
          </w:p>
        </w:tc>
        <w:tc>
          <w:tcPr>
            <w:tcW w:w="3240" w:type="dxa"/>
            <w:vAlign w:val="center"/>
          </w:tcPr>
          <w:p>
            <w:pPr>
              <w:pStyle w:val="2"/>
              <w:spacing w:before="93"/>
              <w:rPr>
                <w:lang w:val="zh-CN"/>
              </w:rPr>
            </w:pPr>
            <w:r>
              <w:rPr>
                <w:rFonts w:hint="eastAsia"/>
                <w:lang w:val="zh-CN"/>
              </w:rPr>
              <w:t>27.84</w:t>
            </w:r>
          </w:p>
        </w:tc>
        <w:tc>
          <w:tcPr>
            <w:tcW w:w="2160" w:type="dxa"/>
          </w:tcPr>
          <w:p>
            <w:pPr>
              <w:pStyle w:val="2"/>
              <w:spacing w:before="93"/>
              <w:rPr>
                <w:lang w:val="zh-CN"/>
              </w:rPr>
            </w:pPr>
            <w:r>
              <w:rPr>
                <w:rFonts w:hint="eastAsia"/>
                <w:lang w:val="zh-CN"/>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2080899其他优抚支出</w:t>
            </w:r>
          </w:p>
        </w:tc>
        <w:tc>
          <w:tcPr>
            <w:tcW w:w="3240" w:type="dxa"/>
            <w:vAlign w:val="center"/>
          </w:tcPr>
          <w:p>
            <w:pPr>
              <w:pStyle w:val="2"/>
              <w:spacing w:before="93"/>
              <w:rPr>
                <w:lang w:val="zh-CN"/>
              </w:rPr>
            </w:pPr>
            <w:r>
              <w:rPr>
                <w:rFonts w:hint="eastAsia"/>
                <w:lang w:val="zh-CN"/>
              </w:rPr>
              <w:t>0.62</w:t>
            </w:r>
          </w:p>
        </w:tc>
        <w:tc>
          <w:tcPr>
            <w:tcW w:w="2160" w:type="dxa"/>
          </w:tcPr>
          <w:p>
            <w:pPr>
              <w:pStyle w:val="2"/>
              <w:spacing w:before="93"/>
              <w:rPr>
                <w:lang w:val="zh-CN"/>
              </w:rPr>
            </w:pPr>
            <w:r>
              <w:rPr>
                <w:rFonts w:hint="eastAsia"/>
                <w:lang w:val="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2101101行政单位医疗</w:t>
            </w:r>
          </w:p>
        </w:tc>
        <w:tc>
          <w:tcPr>
            <w:tcW w:w="3240" w:type="dxa"/>
            <w:vAlign w:val="center"/>
          </w:tcPr>
          <w:p>
            <w:pPr>
              <w:pStyle w:val="2"/>
              <w:spacing w:before="93"/>
              <w:rPr>
                <w:lang w:val="zh-CN"/>
              </w:rPr>
            </w:pPr>
            <w:r>
              <w:rPr>
                <w:rFonts w:hint="eastAsia"/>
                <w:lang w:val="zh-CN"/>
              </w:rPr>
              <w:t>22.58</w:t>
            </w:r>
          </w:p>
        </w:tc>
        <w:tc>
          <w:tcPr>
            <w:tcW w:w="2160" w:type="dxa"/>
          </w:tcPr>
          <w:p>
            <w:pPr>
              <w:pStyle w:val="2"/>
              <w:spacing w:before="93"/>
              <w:rPr>
                <w:lang w:val="zh-CN"/>
              </w:rPr>
            </w:pPr>
            <w:r>
              <w:rPr>
                <w:rFonts w:hint="eastAsia"/>
                <w:lang w:val="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2120899其他国有土地使用权出让收入安排的支出</w:t>
            </w:r>
          </w:p>
        </w:tc>
        <w:tc>
          <w:tcPr>
            <w:tcW w:w="3240" w:type="dxa"/>
            <w:vAlign w:val="center"/>
          </w:tcPr>
          <w:p>
            <w:pPr>
              <w:pStyle w:val="2"/>
              <w:spacing w:before="93"/>
              <w:rPr>
                <w:lang w:val="zh-CN"/>
              </w:rPr>
            </w:pPr>
            <w:r>
              <w:rPr>
                <w:rFonts w:hint="eastAsia"/>
                <w:lang w:val="zh-CN"/>
              </w:rPr>
              <w:t>46.88</w:t>
            </w:r>
          </w:p>
        </w:tc>
        <w:tc>
          <w:tcPr>
            <w:tcW w:w="2160" w:type="dxa"/>
          </w:tcPr>
          <w:p>
            <w:pPr>
              <w:pStyle w:val="2"/>
              <w:spacing w:before="93"/>
              <w:rPr>
                <w:lang w:val="zh-CN"/>
              </w:rPr>
            </w:pPr>
            <w:r>
              <w:rPr>
                <w:rFonts w:hint="eastAsia"/>
                <w:lang w:val="zh-CN"/>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2130599其他扶贫支出</w:t>
            </w:r>
          </w:p>
        </w:tc>
        <w:tc>
          <w:tcPr>
            <w:tcW w:w="3240" w:type="dxa"/>
            <w:vAlign w:val="center"/>
          </w:tcPr>
          <w:p>
            <w:pPr>
              <w:pStyle w:val="2"/>
              <w:spacing w:before="93"/>
              <w:rPr>
                <w:lang w:val="zh-CN"/>
              </w:rPr>
            </w:pPr>
            <w:r>
              <w:rPr>
                <w:rFonts w:hint="eastAsia"/>
                <w:lang w:val="zh-CN"/>
              </w:rPr>
              <w:t>5.58</w:t>
            </w:r>
          </w:p>
        </w:tc>
        <w:tc>
          <w:tcPr>
            <w:tcW w:w="2160" w:type="dxa"/>
          </w:tcPr>
          <w:p>
            <w:pPr>
              <w:pStyle w:val="2"/>
              <w:spacing w:before="93"/>
              <w:rPr>
                <w:lang w:val="zh-CN"/>
              </w:rPr>
            </w:pPr>
            <w:r>
              <w:rPr>
                <w:rFonts w:hint="eastAsia"/>
                <w:lang w:val="zh-CN"/>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2210201住房公积金</w:t>
            </w:r>
          </w:p>
        </w:tc>
        <w:tc>
          <w:tcPr>
            <w:tcW w:w="3240" w:type="dxa"/>
            <w:vAlign w:val="center"/>
          </w:tcPr>
          <w:p>
            <w:pPr>
              <w:pStyle w:val="2"/>
              <w:spacing w:before="93"/>
              <w:rPr>
                <w:lang w:val="zh-CN"/>
              </w:rPr>
            </w:pPr>
            <w:r>
              <w:rPr>
                <w:rFonts w:hint="eastAsia"/>
                <w:lang w:val="zh-CN"/>
              </w:rPr>
              <w:t>75.70</w:t>
            </w:r>
          </w:p>
        </w:tc>
        <w:tc>
          <w:tcPr>
            <w:tcW w:w="2160" w:type="dxa"/>
          </w:tcPr>
          <w:p>
            <w:pPr>
              <w:pStyle w:val="2"/>
              <w:spacing w:before="93"/>
              <w:rPr>
                <w:lang w:val="zh-CN"/>
              </w:rPr>
            </w:pPr>
            <w:r>
              <w:rPr>
                <w:rFonts w:hint="eastAsia"/>
                <w:lang w:val="zh-CN"/>
              </w:rPr>
              <w:t>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212120802土地开发支出</w:t>
            </w:r>
          </w:p>
        </w:tc>
        <w:tc>
          <w:tcPr>
            <w:tcW w:w="3240" w:type="dxa"/>
            <w:vAlign w:val="center"/>
          </w:tcPr>
          <w:p>
            <w:pPr>
              <w:pStyle w:val="2"/>
              <w:spacing w:before="93"/>
              <w:rPr>
                <w:lang w:val="zh-CN"/>
              </w:rPr>
            </w:pPr>
            <w:r>
              <w:rPr>
                <w:rFonts w:hint="eastAsia"/>
                <w:lang w:val="zh-CN"/>
              </w:rPr>
              <w:t>15.83</w:t>
            </w:r>
          </w:p>
        </w:tc>
        <w:tc>
          <w:tcPr>
            <w:tcW w:w="2160" w:type="dxa"/>
          </w:tcPr>
          <w:p>
            <w:pPr>
              <w:pStyle w:val="2"/>
              <w:spacing w:before="93"/>
              <w:rPr>
                <w:lang w:val="zh-CN"/>
              </w:rPr>
            </w:pPr>
            <w:r>
              <w:rPr>
                <w:rFonts w:hint="eastAsia"/>
                <w:lang w:val="zh-CN"/>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202040699其他司法支出</w:t>
            </w:r>
          </w:p>
        </w:tc>
        <w:tc>
          <w:tcPr>
            <w:tcW w:w="3240" w:type="dxa"/>
            <w:vAlign w:val="center"/>
          </w:tcPr>
          <w:p>
            <w:pPr>
              <w:pStyle w:val="2"/>
              <w:spacing w:before="93"/>
              <w:rPr>
                <w:lang w:val="zh-CN"/>
              </w:rPr>
            </w:pPr>
            <w:r>
              <w:rPr>
                <w:rFonts w:hint="eastAsia"/>
                <w:lang w:val="zh-CN"/>
              </w:rPr>
              <w:t>10.40</w:t>
            </w:r>
          </w:p>
        </w:tc>
        <w:tc>
          <w:tcPr>
            <w:tcW w:w="2160" w:type="dxa"/>
          </w:tcPr>
          <w:p>
            <w:pPr>
              <w:pStyle w:val="2"/>
              <w:spacing w:before="93"/>
              <w:rPr>
                <w:lang w:val="zh-CN"/>
              </w:rPr>
            </w:pPr>
            <w:r>
              <w:rPr>
                <w:rFonts w:hint="eastAsia"/>
                <w:lang w:val="zh-CN"/>
              </w:rPr>
              <w:t>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0" w:type="dxa"/>
            <w:vAlign w:val="center"/>
          </w:tcPr>
          <w:p>
            <w:pPr>
              <w:pStyle w:val="2"/>
              <w:spacing w:before="93"/>
              <w:rPr>
                <w:lang w:val="zh-CN"/>
              </w:rPr>
            </w:pPr>
            <w:r>
              <w:rPr>
                <w:rFonts w:hint="eastAsia"/>
                <w:lang w:val="zh-CN"/>
              </w:rPr>
              <w:t>总计</w:t>
            </w:r>
          </w:p>
        </w:tc>
        <w:tc>
          <w:tcPr>
            <w:tcW w:w="3240" w:type="dxa"/>
            <w:vAlign w:val="center"/>
          </w:tcPr>
          <w:p>
            <w:pPr>
              <w:pStyle w:val="2"/>
              <w:spacing w:before="93"/>
              <w:rPr>
                <w:lang w:val="zh-CN"/>
              </w:rPr>
            </w:pPr>
            <w:r>
              <w:rPr>
                <w:rFonts w:hint="eastAsia"/>
                <w:lang w:val="zh-CN"/>
              </w:rPr>
              <w:t>1255.27</w:t>
            </w:r>
          </w:p>
        </w:tc>
        <w:tc>
          <w:tcPr>
            <w:tcW w:w="2160" w:type="dxa"/>
          </w:tcPr>
          <w:p>
            <w:pPr>
              <w:pStyle w:val="2"/>
              <w:spacing w:before="93"/>
              <w:rPr>
                <w:lang w:val="zh-CN"/>
              </w:rPr>
            </w:pPr>
          </w:p>
        </w:tc>
      </w:tr>
    </w:tbl>
    <w:p>
      <w:pPr>
        <w:pStyle w:val="2"/>
        <w:spacing w:before="93"/>
        <w:rPr>
          <w:lang w:val="zh-CN"/>
        </w:rPr>
      </w:pP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（一）部门预算管理。</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按照财政局的要求及时编制2020年预算2019年决算、按时填报绩效目标，提前细化专项预算、结余结转由财政局国库支付中心专户管理。</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司法局2019年度财政拨款年初预算总额896.80万元，其中：基本支出财政拨款762.80万元、项目支出财政拨款133万元。预算执行中调整增加865.70万元，主要原因：1.当年收到房屋建筑物购建经费474.50万元；2.当年增加2018年度单位年度目标考核奖金216.27万元；3.当年收到省级转移支付资金28万元；4.当年收到法律援助拨款20.50万元；5.机构改革并入法制办、依法治市办等机构增加人员经费及日常运行财政拨款等126.43万元。</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司法局预算安排支出主要用于保障部门机构正常运转、完成日常工作任务以及承担司法行政事业发展相关工作。基本支出是用于保障司法行政机关、下属司法所等机构正常运转的日常支出，包括基本工资、津贴补贴等人员经费以及办公费、印刷费、水电费、办公设备购置等日常公用经费；项目支出是用于下属司法所、法律援助中心等机构为完成特定的司法行政工作任务，用于专项业务工作的经费支出。</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项目绩效目标完成情况：</w:t>
      </w:r>
    </w:p>
    <w:tbl>
      <w:tblPr>
        <w:tblStyle w:val="13"/>
        <w:tblpPr w:leftFromText="180" w:rightFromText="180" w:vertAnchor="text" w:horzAnchor="page" w:tblpX="1105" w:tblpY="552"/>
        <w:tblOverlap w:val="never"/>
        <w:tblW w:w="101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7"/>
        <w:gridCol w:w="1566"/>
        <w:gridCol w:w="5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567" w:type="dxa"/>
            <w:tcBorders>
              <w:tl2br w:val="nil"/>
              <w:tr2bl w:val="nil"/>
            </w:tcBorders>
            <w:shd w:val="clear" w:color="auto" w:fill="auto"/>
            <w:noWrap/>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项目名称</w:t>
            </w:r>
          </w:p>
        </w:tc>
        <w:tc>
          <w:tcPr>
            <w:tcW w:w="1566" w:type="dxa"/>
            <w:tcBorders>
              <w:tl2br w:val="nil"/>
              <w:tr2bl w:val="nil"/>
            </w:tcBorders>
            <w:shd w:val="clear" w:color="auto" w:fill="auto"/>
            <w:noWrap/>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项目支出</w:t>
            </w:r>
          </w:p>
        </w:tc>
        <w:tc>
          <w:tcPr>
            <w:tcW w:w="5034" w:type="dxa"/>
            <w:tcBorders>
              <w:tl2br w:val="nil"/>
              <w:tr2bl w:val="nil"/>
            </w:tcBorders>
            <w:shd w:val="clear" w:color="auto" w:fill="auto"/>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预期项目绩效目标完成完成情况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3567" w:type="dxa"/>
            <w:tcBorders>
              <w:tl2br w:val="nil"/>
              <w:tr2bl w:val="nil"/>
            </w:tcBorders>
            <w:noWrap/>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医疗纠纷人民调解委员会工作经费</w:t>
            </w:r>
          </w:p>
        </w:tc>
        <w:tc>
          <w:tcPr>
            <w:tcW w:w="1566" w:type="dxa"/>
            <w:tcBorders>
              <w:tl2br w:val="nil"/>
              <w:tr2bl w:val="nil"/>
            </w:tcBorders>
            <w:noWrap/>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11.0万元</w:t>
            </w:r>
          </w:p>
        </w:tc>
        <w:tc>
          <w:tcPr>
            <w:tcW w:w="5034" w:type="dxa"/>
            <w:tcBorders>
              <w:tl2br w:val="nil"/>
              <w:tr2bl w:val="nil"/>
            </w:tcBorders>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已在2019年底前完成，用于医疗纠纷调解委员会的日常工作经费支出，确保医调委工作的有序开展。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3567" w:type="dxa"/>
            <w:tcBorders>
              <w:tl2br w:val="nil"/>
              <w:tr2bl w:val="nil"/>
            </w:tcBorders>
            <w:noWrap/>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普法宣传</w:t>
            </w:r>
          </w:p>
        </w:tc>
        <w:tc>
          <w:tcPr>
            <w:tcW w:w="1566" w:type="dxa"/>
            <w:tcBorders>
              <w:tl2br w:val="nil"/>
              <w:tr2bl w:val="nil"/>
            </w:tcBorders>
            <w:noWrap/>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2.71万元</w:t>
            </w:r>
          </w:p>
        </w:tc>
        <w:tc>
          <w:tcPr>
            <w:tcW w:w="5034" w:type="dxa"/>
            <w:tcBorders>
              <w:tl2br w:val="nil"/>
              <w:tr2bl w:val="nil"/>
            </w:tcBorders>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已在2019年底前完成，用于法制宣传教育和依法治市工作，为我市创建“法治峨眉”提供有力法律保障。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3567" w:type="dxa"/>
            <w:tcBorders>
              <w:tl2br w:val="nil"/>
              <w:tr2bl w:val="nil"/>
            </w:tcBorders>
            <w:noWrap/>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基层司法所业务经费</w:t>
            </w:r>
          </w:p>
        </w:tc>
        <w:tc>
          <w:tcPr>
            <w:tcW w:w="1566" w:type="dxa"/>
            <w:tcBorders>
              <w:tl2br w:val="nil"/>
              <w:tr2bl w:val="nil"/>
            </w:tcBorders>
            <w:noWrap/>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35.3万元</w:t>
            </w:r>
          </w:p>
        </w:tc>
        <w:tc>
          <w:tcPr>
            <w:tcW w:w="5034" w:type="dxa"/>
            <w:tcBorders>
              <w:tl2br w:val="nil"/>
              <w:tr2bl w:val="nil"/>
            </w:tcBorders>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已在2019年底前完成，保障基层司法所日常业务工作的持续健康开展。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567" w:type="dxa"/>
            <w:tcBorders>
              <w:tl2br w:val="nil"/>
              <w:tr2bl w:val="nil"/>
            </w:tcBorders>
            <w:noWrap/>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社区矫正和安置帮教工作经费</w:t>
            </w:r>
          </w:p>
        </w:tc>
        <w:tc>
          <w:tcPr>
            <w:tcW w:w="1566" w:type="dxa"/>
            <w:tcBorders>
              <w:tl2br w:val="nil"/>
              <w:tr2bl w:val="nil"/>
            </w:tcBorders>
            <w:noWrap/>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34.2</w:t>
            </w:r>
            <w:r>
              <w:rPr>
                <w:rFonts w:hint="eastAsia" w:ascii="仿宋_GB2312" w:hAnsi="仿宋_GB2312" w:eastAsia="仿宋_GB2312" w:cs="仿宋_GB2312"/>
                <w:color w:val="000000"/>
                <w:kern w:val="0"/>
                <w:sz w:val="30"/>
                <w:szCs w:val="30"/>
                <w:shd w:val="clear" w:color="auto" w:fill="FFFFFF"/>
              </w:rPr>
              <w:t>7</w:t>
            </w:r>
            <w:r>
              <w:rPr>
                <w:rFonts w:hint="eastAsia" w:ascii="仿宋_GB2312" w:hAnsi="仿宋_GB2312" w:eastAsia="仿宋_GB2312" w:cs="仿宋_GB2312"/>
                <w:color w:val="000000"/>
                <w:kern w:val="0"/>
                <w:sz w:val="30"/>
                <w:szCs w:val="30"/>
                <w:shd w:val="clear" w:color="auto" w:fill="FFFFFF"/>
                <w:lang w:val="zh-CN"/>
              </w:rPr>
              <w:t>万元</w:t>
            </w:r>
          </w:p>
        </w:tc>
        <w:tc>
          <w:tcPr>
            <w:tcW w:w="5034" w:type="dxa"/>
            <w:tcBorders>
              <w:tl2br w:val="nil"/>
              <w:tr2bl w:val="nil"/>
            </w:tcBorders>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已在2019年底前完成，用于社区服刑人员和刑释解教人员等特殊人群管理等工作，通过化解矛盾纠纷，维护社会稳定。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567" w:type="dxa"/>
            <w:tcBorders>
              <w:tl2br w:val="nil"/>
              <w:tr2bl w:val="nil"/>
            </w:tcBorders>
            <w:noWrap/>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法律援助办案经费</w:t>
            </w:r>
          </w:p>
        </w:tc>
        <w:tc>
          <w:tcPr>
            <w:tcW w:w="1566" w:type="dxa"/>
            <w:tcBorders>
              <w:tl2br w:val="nil"/>
              <w:tr2bl w:val="nil"/>
            </w:tcBorders>
            <w:noWrap/>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19.3</w:t>
            </w:r>
            <w:r>
              <w:rPr>
                <w:rFonts w:hint="eastAsia" w:ascii="仿宋_GB2312" w:hAnsi="仿宋_GB2312" w:eastAsia="仿宋_GB2312" w:cs="仿宋_GB2312"/>
                <w:color w:val="000000"/>
                <w:kern w:val="0"/>
                <w:sz w:val="30"/>
                <w:szCs w:val="30"/>
                <w:shd w:val="clear" w:color="auto" w:fill="FFFFFF"/>
              </w:rPr>
              <w:t>3</w:t>
            </w:r>
            <w:r>
              <w:rPr>
                <w:rFonts w:hint="eastAsia" w:ascii="仿宋_GB2312" w:hAnsi="仿宋_GB2312" w:eastAsia="仿宋_GB2312" w:cs="仿宋_GB2312"/>
                <w:color w:val="000000"/>
                <w:kern w:val="0"/>
                <w:sz w:val="30"/>
                <w:szCs w:val="30"/>
                <w:shd w:val="clear" w:color="auto" w:fill="FFFFFF"/>
                <w:lang w:val="zh-CN"/>
              </w:rPr>
              <w:t>万元</w:t>
            </w:r>
          </w:p>
        </w:tc>
        <w:tc>
          <w:tcPr>
            <w:tcW w:w="5034" w:type="dxa"/>
            <w:tcBorders>
              <w:tl2br w:val="nil"/>
              <w:tr2bl w:val="nil"/>
            </w:tcBorders>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已2019年底前完成，提供法律援助，促进法制化进程和社会稳定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3567" w:type="dxa"/>
            <w:tcBorders>
              <w:tl2br w:val="nil"/>
              <w:tr2bl w:val="nil"/>
            </w:tcBorders>
            <w:noWrap/>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人民调解经费</w:t>
            </w:r>
          </w:p>
        </w:tc>
        <w:tc>
          <w:tcPr>
            <w:tcW w:w="1566" w:type="dxa"/>
            <w:tcBorders>
              <w:tl2br w:val="nil"/>
              <w:tr2bl w:val="nil"/>
            </w:tcBorders>
            <w:noWrap/>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8.45万元</w:t>
            </w:r>
          </w:p>
        </w:tc>
        <w:tc>
          <w:tcPr>
            <w:tcW w:w="5034" w:type="dxa"/>
            <w:tcBorders>
              <w:tl2br w:val="nil"/>
              <w:tr2bl w:val="nil"/>
            </w:tcBorders>
            <w:vAlign w:val="center"/>
          </w:tcPr>
          <w:p>
            <w:pPr>
              <w:widowControl/>
              <w:adjustRightInd w:val="0"/>
              <w:snapToGrid w:val="0"/>
              <w:spacing w:line="580" w:lineRule="exact"/>
              <w:contextualSpacing/>
              <w:jc w:val="left"/>
              <w:rPr>
                <w:rFonts w:ascii="仿宋_GB2312" w:hAnsi="仿宋_GB2312" w:eastAsia="仿宋_GB2312" w:cs="仿宋_GB2312"/>
                <w:color w:val="000000"/>
                <w:kern w:val="0"/>
                <w:sz w:val="30"/>
                <w:szCs w:val="30"/>
                <w:shd w:val="clear" w:color="auto" w:fill="FFFFFF"/>
                <w:lang w:val="zh-CN"/>
              </w:rPr>
            </w:pPr>
            <w:r>
              <w:rPr>
                <w:rFonts w:hint="eastAsia" w:ascii="仿宋_GB2312" w:hAnsi="仿宋_GB2312" w:eastAsia="仿宋_GB2312" w:cs="仿宋_GB2312"/>
                <w:color w:val="000000"/>
                <w:kern w:val="0"/>
                <w:sz w:val="30"/>
                <w:szCs w:val="30"/>
                <w:shd w:val="clear" w:color="auto" w:fill="FFFFFF"/>
                <w:lang w:val="zh-CN"/>
              </w:rPr>
              <w:t>已在2019年底前完成，用于基层人民调解工作，化解矛盾纠纷，维护社会稳定。</w:t>
            </w:r>
          </w:p>
        </w:tc>
      </w:tr>
    </w:tbl>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 xml:space="preserve">2019年年末结转资金575.91万元，其中：一般行政管理事务——转移支付业务装备经费结转44.09万元；一般行政管理事务——转移支付办案业务经费结转9.22万元；房屋建筑物购建经费结转474.50万元；法律援助经费结转12.50万元；基层司法所经费结转32.10万元；基本经费拨款结转3.50万元。2019年结转金额较大的原因：当年收到政法基础设施基建资金474.5万元，本年度未实施完毕；业务装备经费、办案经费、法律援助经费等上级转移支付资金为跨年度使用资金，可结转2年使用。  </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执行进度：6月预算资金累计到位1277.73万元、支付执行655.04万元，支付进度51.27%；9月预算资金累计到位1758.22万元，支付执行884.52万元，支付进度48.03%；11月预算资金累计到位1925.85万元，支付执行1063.57万元，支付进度55.23%。</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绩效目标和绩效自评按要求和预决算一并公开，按财政局要求进行结果整改和应用反馈。</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（一）评价结论。90分。</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（二）存在问题。预算执行进度还不理想，项目资金使用计划性不强，存在年底集中支付的情况。同时，我单位某些专项业务经费存在使用进度不均衡和跨年度使用问题，一定程度上影响了资金利用率。</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三）改进建议。加强专项业务资金执行进度管理，根据业务需要灵活选择即时、按月、按季度、按半年度等结算方式，各相关业务股室提前做好项目用款计划报领导审批后由财务严格执行，重大资金支出经党组会议定；减少上级转移支付资金的跨年度使用的情况，提高预算资金使用进度的预判性、计划性、执行性和利用率。</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rPr>
          <w:rFonts w:ascii="仿宋_GB2312" w:hAnsi="仿宋_GB2312" w:eastAsia="仿宋_GB2312" w:cs="仿宋_GB2312"/>
          <w:sz w:val="32"/>
          <w:szCs w:val="32"/>
        </w:rPr>
      </w:pPr>
    </w:p>
    <w:p>
      <w:pPr>
        <w:widowControl/>
        <w:jc w:val="left"/>
        <w:rPr>
          <w:rStyle w:val="25"/>
          <w:rFonts w:ascii="仿宋_GB2312" w:hAnsi="仿宋_GB2312" w:eastAsia="仿宋_GB2312" w:cs="仿宋_GB2312"/>
          <w:b w:val="0"/>
        </w:rPr>
      </w:pPr>
    </w:p>
    <w:p>
      <w:pPr>
        <w:widowControl/>
        <w:jc w:val="left"/>
        <w:rPr>
          <w:rStyle w:val="25"/>
          <w:rFonts w:ascii="仿宋_GB2312" w:hAnsi="仿宋_GB2312" w:eastAsia="仿宋_GB2312" w:cs="仿宋_GB2312"/>
          <w:b w:val="0"/>
        </w:rPr>
      </w:pPr>
      <w:r>
        <w:rPr>
          <w:rStyle w:val="25"/>
          <w:rFonts w:hint="eastAsia" w:ascii="仿宋_GB2312" w:hAnsi="仿宋_GB2312" w:eastAsia="仿宋_GB2312" w:cs="仿宋_GB2312"/>
          <w:b w:val="0"/>
        </w:rPr>
        <w:br w:type="page"/>
      </w:r>
    </w:p>
    <w:p>
      <w:pPr>
        <w:spacing w:line="600" w:lineRule="exact"/>
        <w:jc w:val="center"/>
        <w:outlineLvl w:val="0"/>
        <w:rPr>
          <w:rStyle w:val="25"/>
          <w:rFonts w:ascii="仿宋_GB2312" w:hAnsi="仿宋_GB2312" w:eastAsia="仿宋_GB2312" w:cs="仿宋_GB2312"/>
          <w:b w:val="0"/>
        </w:rPr>
      </w:pPr>
      <w:bookmarkStart w:id="59" w:name="_Toc15396618"/>
      <w:r>
        <w:rPr>
          <w:rFonts w:hint="eastAsia" w:ascii="仿宋_GB2312" w:hAnsi="仿宋_GB2312" w:eastAsia="仿宋_GB2312" w:cs="仿宋_GB2312"/>
          <w:color w:val="000000"/>
          <w:sz w:val="44"/>
          <w:szCs w:val="44"/>
        </w:rPr>
        <w:t>第</w:t>
      </w:r>
      <w:r>
        <w:rPr>
          <w:rStyle w:val="25"/>
          <w:rFonts w:hint="eastAsia" w:ascii="仿宋_GB2312" w:hAnsi="仿宋_GB2312" w:eastAsia="仿宋_GB2312" w:cs="仿宋_GB2312"/>
          <w:b w:val="0"/>
        </w:rPr>
        <w:t>五部分 附表</w:t>
      </w:r>
      <w:bookmarkEnd w:id="58"/>
      <w:bookmarkEnd w:id="59"/>
    </w:p>
    <w:p>
      <w:pPr>
        <w:spacing w:line="600" w:lineRule="exact"/>
        <w:jc w:val="center"/>
        <w:outlineLvl w:val="0"/>
        <w:rPr>
          <w:rFonts w:ascii="仿宋_GB2312" w:hAnsi="仿宋_GB2312" w:eastAsia="仿宋_GB2312" w:cs="仿宋_GB2312"/>
          <w:b/>
          <w:color w:val="000000"/>
          <w:sz w:val="44"/>
          <w:szCs w:val="44"/>
        </w:rPr>
      </w:pPr>
    </w:p>
    <w:p>
      <w:pPr>
        <w:pStyle w:val="4"/>
        <w:rPr>
          <w:rFonts w:ascii="仿宋_GB2312" w:hAnsi="仿宋_GB2312" w:eastAsia="仿宋_GB2312" w:cs="仿宋_GB2312"/>
          <w:color w:val="000000"/>
        </w:rPr>
      </w:pPr>
      <w:bookmarkStart w:id="60" w:name="_Toc15396619"/>
      <w:r>
        <w:rPr>
          <w:rFonts w:hint="eastAsia" w:ascii="仿宋_GB2312" w:hAnsi="仿宋_GB2312" w:eastAsia="仿宋_GB2312" w:cs="仿宋_GB2312"/>
          <w:b w:val="0"/>
          <w:color w:val="000000"/>
        </w:rPr>
        <w:t>一、收</w:t>
      </w:r>
      <w:r>
        <w:rPr>
          <w:rStyle w:val="26"/>
          <w:rFonts w:hint="eastAsia" w:ascii="仿宋_GB2312" w:hAnsi="仿宋_GB2312" w:eastAsia="仿宋_GB2312" w:cs="仿宋_GB2312"/>
          <w:b w:val="0"/>
          <w:bCs w:val="0"/>
        </w:rPr>
        <w:t>入支出决算总表</w:t>
      </w:r>
      <w:bookmarkEnd w:id="60"/>
    </w:p>
    <w:p>
      <w:pPr>
        <w:pStyle w:val="4"/>
        <w:rPr>
          <w:rFonts w:ascii="仿宋_GB2312" w:hAnsi="仿宋_GB2312" w:eastAsia="仿宋_GB2312" w:cs="仿宋_GB2312"/>
          <w:color w:val="000000"/>
        </w:rPr>
      </w:pPr>
      <w:bookmarkStart w:id="61" w:name="_Toc15396620"/>
      <w:r>
        <w:rPr>
          <w:rFonts w:hint="eastAsia" w:ascii="仿宋_GB2312" w:hAnsi="仿宋_GB2312" w:eastAsia="仿宋_GB2312" w:cs="仿宋_GB2312"/>
          <w:b w:val="0"/>
          <w:color w:val="000000"/>
        </w:rPr>
        <w:t>二、收</w:t>
      </w:r>
      <w:r>
        <w:rPr>
          <w:rStyle w:val="26"/>
          <w:rFonts w:hint="eastAsia" w:ascii="仿宋_GB2312" w:hAnsi="仿宋_GB2312" w:eastAsia="仿宋_GB2312" w:cs="仿宋_GB2312"/>
          <w:b w:val="0"/>
          <w:bCs w:val="0"/>
        </w:rPr>
        <w:t>入决算表</w:t>
      </w:r>
      <w:bookmarkEnd w:id="61"/>
    </w:p>
    <w:p>
      <w:pPr>
        <w:pStyle w:val="4"/>
        <w:rPr>
          <w:rFonts w:ascii="仿宋_GB2312" w:hAnsi="仿宋_GB2312" w:eastAsia="仿宋_GB2312" w:cs="仿宋_GB2312"/>
          <w:color w:val="000000"/>
        </w:rPr>
      </w:pPr>
      <w:bookmarkStart w:id="62" w:name="_Toc15396621"/>
      <w:r>
        <w:rPr>
          <w:rStyle w:val="26"/>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6"/>
          <w:rFonts w:hint="eastAsia" w:ascii="仿宋_GB2312" w:hAnsi="仿宋_GB2312" w:eastAsia="仿宋_GB2312" w:cs="仿宋_GB2312"/>
          <w:b w:val="0"/>
          <w:bCs w:val="0"/>
        </w:rPr>
        <w:t>出决算表</w:t>
      </w:r>
      <w:bookmarkEnd w:id="62"/>
    </w:p>
    <w:p>
      <w:pPr>
        <w:pStyle w:val="4"/>
        <w:rPr>
          <w:rFonts w:ascii="仿宋_GB2312" w:hAnsi="仿宋_GB2312" w:eastAsia="仿宋_GB2312" w:cs="仿宋_GB2312"/>
          <w:b w:val="0"/>
          <w:color w:val="000000"/>
        </w:rPr>
      </w:pPr>
      <w:bookmarkStart w:id="63" w:name="_Toc15396622"/>
      <w:r>
        <w:rPr>
          <w:rStyle w:val="26"/>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6"/>
          <w:rFonts w:hint="eastAsia" w:ascii="仿宋_GB2312" w:hAnsi="仿宋_GB2312" w:eastAsia="仿宋_GB2312" w:cs="仿宋_GB2312"/>
          <w:b w:val="0"/>
          <w:bCs w:val="0"/>
        </w:rPr>
        <w:t>政拨款收入支出决算总表</w:t>
      </w:r>
      <w:bookmarkEnd w:id="63"/>
    </w:p>
    <w:p>
      <w:pPr>
        <w:pStyle w:val="4"/>
        <w:rPr>
          <w:rStyle w:val="26"/>
          <w:rFonts w:ascii="仿宋_GB2312" w:hAnsi="仿宋_GB2312" w:eastAsia="仿宋_GB2312" w:cs="仿宋_GB2312"/>
          <w:b w:val="0"/>
          <w:bCs w:val="0"/>
        </w:rPr>
      </w:pPr>
      <w:bookmarkStart w:id="64" w:name="_Toc15396623"/>
      <w:r>
        <w:rPr>
          <w:rStyle w:val="26"/>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6"/>
          <w:rFonts w:hint="eastAsia" w:ascii="仿宋_GB2312" w:hAnsi="仿宋_GB2312" w:eastAsia="仿宋_GB2312" w:cs="仿宋_GB2312"/>
          <w:b w:val="0"/>
          <w:bCs w:val="0"/>
        </w:rPr>
        <w:t>政拨款支出决算明细表</w:t>
      </w:r>
      <w:bookmarkEnd w:id="64"/>
      <w:bookmarkStart w:id="65" w:name="_Toc15396624"/>
    </w:p>
    <w:p>
      <w:pPr>
        <w:pStyle w:val="4"/>
        <w:rPr>
          <w:rFonts w:ascii="仿宋_GB2312" w:hAnsi="仿宋_GB2312" w:eastAsia="仿宋_GB2312" w:cs="仿宋_GB2312"/>
          <w:color w:val="000000"/>
        </w:rPr>
      </w:pPr>
      <w:r>
        <w:rPr>
          <w:rStyle w:val="26"/>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般公共预算财政拨款支出决算表</w:t>
      </w:r>
      <w:bookmarkEnd w:id="65"/>
    </w:p>
    <w:p>
      <w:pPr>
        <w:pStyle w:val="4"/>
        <w:rPr>
          <w:rFonts w:ascii="仿宋_GB2312" w:hAnsi="仿宋_GB2312" w:eastAsia="仿宋_GB2312" w:cs="仿宋_GB2312"/>
          <w:color w:val="000000"/>
        </w:rPr>
      </w:pPr>
      <w:bookmarkStart w:id="66" w:name="_Toc15396625"/>
      <w:r>
        <w:rPr>
          <w:rStyle w:val="26"/>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般公共预算财政拨款支出决算明细表</w:t>
      </w:r>
      <w:bookmarkEnd w:id="66"/>
    </w:p>
    <w:p>
      <w:pPr>
        <w:pStyle w:val="4"/>
        <w:rPr>
          <w:rFonts w:ascii="仿宋_GB2312" w:hAnsi="仿宋_GB2312" w:eastAsia="仿宋_GB2312" w:cs="仿宋_GB2312"/>
          <w:color w:val="000000"/>
        </w:rPr>
      </w:pPr>
      <w:bookmarkStart w:id="67" w:name="_Toc15396626"/>
      <w:r>
        <w:rPr>
          <w:rStyle w:val="26"/>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般公共预算财政拨款基本支出决算表</w:t>
      </w:r>
      <w:bookmarkEnd w:id="67"/>
    </w:p>
    <w:p>
      <w:pPr>
        <w:pStyle w:val="4"/>
        <w:rPr>
          <w:rFonts w:ascii="仿宋_GB2312" w:hAnsi="仿宋_GB2312" w:eastAsia="仿宋_GB2312" w:cs="仿宋_GB2312"/>
          <w:color w:val="000000"/>
        </w:rPr>
      </w:pPr>
      <w:bookmarkStart w:id="68" w:name="_Toc15396627"/>
      <w:r>
        <w:rPr>
          <w:rStyle w:val="26"/>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般公共预算财政拨款项目支出决算表</w:t>
      </w:r>
      <w:bookmarkEnd w:id="68"/>
    </w:p>
    <w:p>
      <w:pPr>
        <w:pStyle w:val="4"/>
        <w:rPr>
          <w:rFonts w:ascii="仿宋_GB2312" w:hAnsi="仿宋_GB2312" w:eastAsia="仿宋_GB2312" w:cs="仿宋_GB2312"/>
          <w:color w:val="000000"/>
        </w:rPr>
      </w:pPr>
      <w:bookmarkStart w:id="69" w:name="_Toc15396628"/>
      <w:r>
        <w:rPr>
          <w:rStyle w:val="26"/>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6"/>
          <w:rFonts w:hint="eastAsia" w:ascii="仿宋_GB2312" w:hAnsi="仿宋_GB2312" w:eastAsia="仿宋_GB2312" w:cs="仿宋_GB2312"/>
          <w:b w:val="0"/>
          <w:bCs w:val="0"/>
        </w:rPr>
        <w:t>般公共预算财政拨款“三公”经费支出决算表</w:t>
      </w:r>
      <w:bookmarkEnd w:id="69"/>
    </w:p>
    <w:p>
      <w:pPr>
        <w:pStyle w:val="4"/>
        <w:rPr>
          <w:rFonts w:ascii="仿宋_GB2312" w:hAnsi="仿宋_GB2312" w:eastAsia="仿宋_GB2312" w:cs="仿宋_GB2312"/>
          <w:color w:val="000000"/>
        </w:rPr>
      </w:pPr>
      <w:bookmarkStart w:id="70" w:name="_Toc15396629"/>
      <w:r>
        <w:rPr>
          <w:rStyle w:val="26"/>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6"/>
          <w:rFonts w:hint="eastAsia" w:ascii="仿宋_GB2312" w:hAnsi="仿宋_GB2312" w:eastAsia="仿宋_GB2312" w:cs="仿宋_GB2312"/>
          <w:b w:val="0"/>
          <w:bCs w:val="0"/>
        </w:rPr>
        <w:t>府性基金预算财政拨款收入支出决算表</w:t>
      </w:r>
      <w:bookmarkEnd w:id="70"/>
    </w:p>
    <w:p>
      <w:pPr>
        <w:pStyle w:val="4"/>
        <w:rPr>
          <w:rFonts w:ascii="仿宋_GB2312" w:hAnsi="仿宋_GB2312" w:eastAsia="仿宋_GB2312" w:cs="仿宋_GB2312"/>
          <w:color w:val="000000"/>
        </w:rPr>
      </w:pPr>
      <w:bookmarkStart w:id="71" w:name="_Toc15396630"/>
      <w:r>
        <w:rPr>
          <w:rStyle w:val="26"/>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6"/>
          <w:rFonts w:hint="eastAsia" w:ascii="仿宋_GB2312" w:hAnsi="仿宋_GB2312" w:eastAsia="仿宋_GB2312" w:cs="仿宋_GB2312"/>
          <w:b w:val="0"/>
          <w:bCs w:val="0"/>
        </w:rPr>
        <w:t>府性基金预算财政拨款“三公”经费支出决算表</w:t>
      </w:r>
      <w:bookmarkEnd w:id="71"/>
    </w:p>
    <w:p>
      <w:pPr>
        <w:pStyle w:val="4"/>
        <w:rPr>
          <w:rFonts w:ascii="仿宋_GB2312" w:hAnsi="仿宋_GB2312" w:eastAsia="仿宋_GB2312" w:cs="仿宋_GB2312"/>
          <w:color w:val="000000" w:themeColor="text1"/>
        </w:rPr>
      </w:pPr>
      <w:bookmarkStart w:id="72" w:name="_Toc15396631"/>
      <w:r>
        <w:rPr>
          <w:rStyle w:val="26"/>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6"/>
          <w:rFonts w:hint="eastAsia" w:ascii="仿宋_GB2312" w:hAnsi="仿宋_GB2312" w:eastAsia="仿宋_GB2312" w:cs="仿宋_GB2312"/>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7</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F35069"/>
    <w:multiLevelType w:val="singleLevel"/>
    <w:tmpl w:val="92F35069"/>
    <w:lvl w:ilvl="0" w:tentative="0">
      <w:start w:val="1"/>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039E1829"/>
    <w:multiLevelType w:val="singleLevel"/>
    <w:tmpl w:val="039E1829"/>
    <w:lvl w:ilvl="0" w:tentative="0">
      <w:start w:val="1"/>
      <w:numFmt w:val="decimal"/>
      <w:suff w:val="nothing"/>
      <w:lvlText w:val="（%1）"/>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4C5CA87F"/>
    <w:multiLevelType w:val="singleLevel"/>
    <w:tmpl w:val="4C5CA87F"/>
    <w:lvl w:ilvl="0" w:tentative="0">
      <w:start w:val="2"/>
      <w:numFmt w:val="chineseCounting"/>
      <w:suff w:val="nothing"/>
      <w:lvlText w:val="（%1）"/>
      <w:lvlJc w:val="left"/>
      <w:rPr>
        <w:rFonts w:hint="eastAsia"/>
      </w:rPr>
    </w:lvl>
  </w:abstractNum>
  <w:abstractNum w:abstractNumId="6">
    <w:nsid w:val="51AD353F"/>
    <w:multiLevelType w:val="singleLevel"/>
    <w:tmpl w:val="51AD353F"/>
    <w:lvl w:ilvl="0" w:tentative="0">
      <w:start w:val="2"/>
      <w:numFmt w:val="chineseCounting"/>
      <w:suff w:val="nothing"/>
      <w:lvlText w:val="（%1）"/>
      <w:lvlJc w:val="left"/>
      <w:rPr>
        <w:rFonts w:hint="eastAsia"/>
      </w:rPr>
    </w:lvl>
  </w:abstractNum>
  <w:abstractNum w:abstractNumId="7">
    <w:nsid w:val="7AC7331E"/>
    <w:multiLevelType w:val="singleLevel"/>
    <w:tmpl w:val="7AC7331E"/>
    <w:lvl w:ilvl="0" w:tentative="0">
      <w:start w:val="1"/>
      <w:numFmt w:val="decimal"/>
      <w:lvlText w:val="%1."/>
      <w:lvlJc w:val="left"/>
      <w:pPr>
        <w:tabs>
          <w:tab w:val="left" w:pos="312"/>
        </w:tabs>
      </w:pPr>
    </w:lvl>
  </w:abstractNum>
  <w:num w:numId="1">
    <w:abstractNumId w:val="0"/>
  </w:num>
  <w:num w:numId="2">
    <w:abstractNumId w:val="4"/>
  </w:num>
  <w:num w:numId="3">
    <w:abstractNumId w:val="1"/>
  </w:num>
  <w:num w:numId="4">
    <w:abstractNumId w:val="7"/>
  </w:num>
  <w:num w:numId="5">
    <w:abstractNumId w:val="3"/>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3652"/>
    <w:rsid w:val="000222C6"/>
    <w:rsid w:val="0002549F"/>
    <w:rsid w:val="00033BD6"/>
    <w:rsid w:val="00035760"/>
    <w:rsid w:val="000468DB"/>
    <w:rsid w:val="000639F2"/>
    <w:rsid w:val="0006487A"/>
    <w:rsid w:val="00065F8F"/>
    <w:rsid w:val="00070A43"/>
    <w:rsid w:val="00072445"/>
    <w:rsid w:val="000768F2"/>
    <w:rsid w:val="0009184B"/>
    <w:rsid w:val="00094236"/>
    <w:rsid w:val="0009593C"/>
    <w:rsid w:val="00097322"/>
    <w:rsid w:val="000A6A92"/>
    <w:rsid w:val="000B047F"/>
    <w:rsid w:val="000B5923"/>
    <w:rsid w:val="000B5A48"/>
    <w:rsid w:val="000B6FF3"/>
    <w:rsid w:val="000C00B3"/>
    <w:rsid w:val="000C3467"/>
    <w:rsid w:val="000C3CA6"/>
    <w:rsid w:val="000D1267"/>
    <w:rsid w:val="000D1D50"/>
    <w:rsid w:val="000D5782"/>
    <w:rsid w:val="000E0826"/>
    <w:rsid w:val="000E6613"/>
    <w:rsid w:val="000E7119"/>
    <w:rsid w:val="00114E9B"/>
    <w:rsid w:val="001152A0"/>
    <w:rsid w:val="0013737B"/>
    <w:rsid w:val="00142216"/>
    <w:rsid w:val="00144D6A"/>
    <w:rsid w:val="0014729F"/>
    <w:rsid w:val="00157BAB"/>
    <w:rsid w:val="001654D1"/>
    <w:rsid w:val="00174518"/>
    <w:rsid w:val="00177EE3"/>
    <w:rsid w:val="0018106D"/>
    <w:rsid w:val="001877A7"/>
    <w:rsid w:val="00191536"/>
    <w:rsid w:val="00196687"/>
    <w:rsid w:val="001B35CB"/>
    <w:rsid w:val="001B6478"/>
    <w:rsid w:val="001C0962"/>
    <w:rsid w:val="001C3E85"/>
    <w:rsid w:val="001D7531"/>
    <w:rsid w:val="001E4F64"/>
    <w:rsid w:val="001E737D"/>
    <w:rsid w:val="001F0592"/>
    <w:rsid w:val="001F3D80"/>
    <w:rsid w:val="001F7506"/>
    <w:rsid w:val="002006CD"/>
    <w:rsid w:val="00202B36"/>
    <w:rsid w:val="00204B7A"/>
    <w:rsid w:val="00204CDE"/>
    <w:rsid w:val="0021101A"/>
    <w:rsid w:val="00220536"/>
    <w:rsid w:val="00235629"/>
    <w:rsid w:val="00260C38"/>
    <w:rsid w:val="002616C0"/>
    <w:rsid w:val="00264E56"/>
    <w:rsid w:val="00265372"/>
    <w:rsid w:val="002662AA"/>
    <w:rsid w:val="002758B2"/>
    <w:rsid w:val="00280496"/>
    <w:rsid w:val="00294DC9"/>
    <w:rsid w:val="00295495"/>
    <w:rsid w:val="002A31DE"/>
    <w:rsid w:val="002B031C"/>
    <w:rsid w:val="002B2613"/>
    <w:rsid w:val="002B29E3"/>
    <w:rsid w:val="002D19B0"/>
    <w:rsid w:val="002D6D05"/>
    <w:rsid w:val="002F1818"/>
    <w:rsid w:val="002F567B"/>
    <w:rsid w:val="00303D16"/>
    <w:rsid w:val="003216A9"/>
    <w:rsid w:val="00335A74"/>
    <w:rsid w:val="0036561B"/>
    <w:rsid w:val="0037013F"/>
    <w:rsid w:val="00377645"/>
    <w:rsid w:val="00380C92"/>
    <w:rsid w:val="00382FC1"/>
    <w:rsid w:val="003A484F"/>
    <w:rsid w:val="003A4883"/>
    <w:rsid w:val="003B0BE0"/>
    <w:rsid w:val="003B0C1B"/>
    <w:rsid w:val="003B688C"/>
    <w:rsid w:val="003B77DD"/>
    <w:rsid w:val="003C0291"/>
    <w:rsid w:val="003C39AE"/>
    <w:rsid w:val="003C7B60"/>
    <w:rsid w:val="003D0C0F"/>
    <w:rsid w:val="003D1FB2"/>
    <w:rsid w:val="003D66DA"/>
    <w:rsid w:val="003E1310"/>
    <w:rsid w:val="003E1382"/>
    <w:rsid w:val="003E2050"/>
    <w:rsid w:val="003E5EA6"/>
    <w:rsid w:val="003E6F55"/>
    <w:rsid w:val="00406254"/>
    <w:rsid w:val="00416CD4"/>
    <w:rsid w:val="004223DE"/>
    <w:rsid w:val="00434489"/>
    <w:rsid w:val="00437085"/>
    <w:rsid w:val="00443272"/>
    <w:rsid w:val="00443880"/>
    <w:rsid w:val="004464F4"/>
    <w:rsid w:val="004641FA"/>
    <w:rsid w:val="00465426"/>
    <w:rsid w:val="00471401"/>
    <w:rsid w:val="00473F31"/>
    <w:rsid w:val="0048263A"/>
    <w:rsid w:val="00487E5D"/>
    <w:rsid w:val="00494F09"/>
    <w:rsid w:val="004A711F"/>
    <w:rsid w:val="004B157E"/>
    <w:rsid w:val="004B199D"/>
    <w:rsid w:val="004B4690"/>
    <w:rsid w:val="004C4817"/>
    <w:rsid w:val="004E0A2D"/>
    <w:rsid w:val="004E206B"/>
    <w:rsid w:val="004E6DF7"/>
    <w:rsid w:val="004F0A29"/>
    <w:rsid w:val="004F0FBD"/>
    <w:rsid w:val="004F403E"/>
    <w:rsid w:val="004F4BFF"/>
    <w:rsid w:val="00500824"/>
    <w:rsid w:val="00505A47"/>
    <w:rsid w:val="00512FDA"/>
    <w:rsid w:val="00520DA0"/>
    <w:rsid w:val="005664BB"/>
    <w:rsid w:val="00566FFA"/>
    <w:rsid w:val="0057481D"/>
    <w:rsid w:val="00575F0B"/>
    <w:rsid w:val="0058486E"/>
    <w:rsid w:val="00585B33"/>
    <w:rsid w:val="0059014D"/>
    <w:rsid w:val="005A0D88"/>
    <w:rsid w:val="005B5C64"/>
    <w:rsid w:val="005C6BD0"/>
    <w:rsid w:val="005C6C4C"/>
    <w:rsid w:val="005D1C8B"/>
    <w:rsid w:val="005D468D"/>
    <w:rsid w:val="005D5CED"/>
    <w:rsid w:val="005E15C9"/>
    <w:rsid w:val="005F1A4C"/>
    <w:rsid w:val="00605688"/>
    <w:rsid w:val="006070AF"/>
    <w:rsid w:val="00607E6C"/>
    <w:rsid w:val="006101B1"/>
    <w:rsid w:val="00614E44"/>
    <w:rsid w:val="0062270A"/>
    <w:rsid w:val="00622830"/>
    <w:rsid w:val="00623DA0"/>
    <w:rsid w:val="006272B3"/>
    <w:rsid w:val="00630AEF"/>
    <w:rsid w:val="006325F8"/>
    <w:rsid w:val="00633463"/>
    <w:rsid w:val="00634C9A"/>
    <w:rsid w:val="00641B97"/>
    <w:rsid w:val="006440E4"/>
    <w:rsid w:val="0066343B"/>
    <w:rsid w:val="00664777"/>
    <w:rsid w:val="006748A4"/>
    <w:rsid w:val="00681A31"/>
    <w:rsid w:val="00683E73"/>
    <w:rsid w:val="00697F6A"/>
    <w:rsid w:val="006A3141"/>
    <w:rsid w:val="006A5194"/>
    <w:rsid w:val="006A5E34"/>
    <w:rsid w:val="006B2422"/>
    <w:rsid w:val="006B2B9A"/>
    <w:rsid w:val="006C1937"/>
    <w:rsid w:val="006E27C4"/>
    <w:rsid w:val="006F020C"/>
    <w:rsid w:val="006F4353"/>
    <w:rsid w:val="00707DB0"/>
    <w:rsid w:val="007112DE"/>
    <w:rsid w:val="007127B7"/>
    <w:rsid w:val="0071798E"/>
    <w:rsid w:val="00727533"/>
    <w:rsid w:val="007416B6"/>
    <w:rsid w:val="00746F48"/>
    <w:rsid w:val="007518B6"/>
    <w:rsid w:val="0075404D"/>
    <w:rsid w:val="0076182A"/>
    <w:rsid w:val="00767B7E"/>
    <w:rsid w:val="007770C3"/>
    <w:rsid w:val="00784D24"/>
    <w:rsid w:val="00785FBA"/>
    <w:rsid w:val="00786E4A"/>
    <w:rsid w:val="007875EB"/>
    <w:rsid w:val="00791E69"/>
    <w:rsid w:val="0079426B"/>
    <w:rsid w:val="007A63D9"/>
    <w:rsid w:val="007D0C0B"/>
    <w:rsid w:val="007D1682"/>
    <w:rsid w:val="007D312A"/>
    <w:rsid w:val="007D3F19"/>
    <w:rsid w:val="007E23B0"/>
    <w:rsid w:val="007F0BD1"/>
    <w:rsid w:val="007F1991"/>
    <w:rsid w:val="007F2C2F"/>
    <w:rsid w:val="007F55FC"/>
    <w:rsid w:val="007F5665"/>
    <w:rsid w:val="00800112"/>
    <w:rsid w:val="00801939"/>
    <w:rsid w:val="00810A75"/>
    <w:rsid w:val="00813348"/>
    <w:rsid w:val="008253BB"/>
    <w:rsid w:val="00833962"/>
    <w:rsid w:val="00834518"/>
    <w:rsid w:val="0083706E"/>
    <w:rsid w:val="008408F6"/>
    <w:rsid w:val="008423A5"/>
    <w:rsid w:val="00850625"/>
    <w:rsid w:val="00853718"/>
    <w:rsid w:val="00855221"/>
    <w:rsid w:val="00857956"/>
    <w:rsid w:val="00860645"/>
    <w:rsid w:val="00871F71"/>
    <w:rsid w:val="00872FD8"/>
    <w:rsid w:val="00885AF4"/>
    <w:rsid w:val="008939CD"/>
    <w:rsid w:val="008B768C"/>
    <w:rsid w:val="008B7DBD"/>
    <w:rsid w:val="008C4DB1"/>
    <w:rsid w:val="008C4EAF"/>
    <w:rsid w:val="008C5176"/>
    <w:rsid w:val="008C7FD0"/>
    <w:rsid w:val="008E1DE7"/>
    <w:rsid w:val="008E707C"/>
    <w:rsid w:val="008F7737"/>
    <w:rsid w:val="00900B08"/>
    <w:rsid w:val="00902155"/>
    <w:rsid w:val="00902FA3"/>
    <w:rsid w:val="00916EC9"/>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388C"/>
    <w:rsid w:val="009B4EAE"/>
    <w:rsid w:val="009B7573"/>
    <w:rsid w:val="009C22F4"/>
    <w:rsid w:val="009C2E98"/>
    <w:rsid w:val="009C37FB"/>
    <w:rsid w:val="009D3447"/>
    <w:rsid w:val="009D4711"/>
    <w:rsid w:val="009E5A70"/>
    <w:rsid w:val="009E6F06"/>
    <w:rsid w:val="009F1185"/>
    <w:rsid w:val="009F18CD"/>
    <w:rsid w:val="009F2A13"/>
    <w:rsid w:val="009F7527"/>
    <w:rsid w:val="00A039ED"/>
    <w:rsid w:val="00A04EB0"/>
    <w:rsid w:val="00A13CC1"/>
    <w:rsid w:val="00A16847"/>
    <w:rsid w:val="00A237D8"/>
    <w:rsid w:val="00A25E93"/>
    <w:rsid w:val="00A268C4"/>
    <w:rsid w:val="00A307CD"/>
    <w:rsid w:val="00A331C8"/>
    <w:rsid w:val="00A35117"/>
    <w:rsid w:val="00A40A00"/>
    <w:rsid w:val="00A4142F"/>
    <w:rsid w:val="00A422EB"/>
    <w:rsid w:val="00A43E62"/>
    <w:rsid w:val="00A45737"/>
    <w:rsid w:val="00A45BB7"/>
    <w:rsid w:val="00A47406"/>
    <w:rsid w:val="00A5191A"/>
    <w:rsid w:val="00A56DF2"/>
    <w:rsid w:val="00A56E6E"/>
    <w:rsid w:val="00A67AB5"/>
    <w:rsid w:val="00A733B2"/>
    <w:rsid w:val="00A741C2"/>
    <w:rsid w:val="00A77EFC"/>
    <w:rsid w:val="00A91760"/>
    <w:rsid w:val="00A93B00"/>
    <w:rsid w:val="00A93C21"/>
    <w:rsid w:val="00AB64C9"/>
    <w:rsid w:val="00AC3C6A"/>
    <w:rsid w:val="00AD0F83"/>
    <w:rsid w:val="00AD5620"/>
    <w:rsid w:val="00AD656B"/>
    <w:rsid w:val="00AD7C1B"/>
    <w:rsid w:val="00AE16BA"/>
    <w:rsid w:val="00AE1EBE"/>
    <w:rsid w:val="00AE650F"/>
    <w:rsid w:val="00B03C9D"/>
    <w:rsid w:val="00B060AE"/>
    <w:rsid w:val="00B10517"/>
    <w:rsid w:val="00B14E76"/>
    <w:rsid w:val="00B161B8"/>
    <w:rsid w:val="00B2048C"/>
    <w:rsid w:val="00B310B9"/>
    <w:rsid w:val="00B35F3F"/>
    <w:rsid w:val="00B36CBB"/>
    <w:rsid w:val="00B425E0"/>
    <w:rsid w:val="00B440AA"/>
    <w:rsid w:val="00B44B70"/>
    <w:rsid w:val="00B50E3B"/>
    <w:rsid w:val="00B53C56"/>
    <w:rsid w:val="00B57DAF"/>
    <w:rsid w:val="00B77EA6"/>
    <w:rsid w:val="00B81598"/>
    <w:rsid w:val="00B841F1"/>
    <w:rsid w:val="00B944D6"/>
    <w:rsid w:val="00B959D3"/>
    <w:rsid w:val="00BB4DF0"/>
    <w:rsid w:val="00BC289F"/>
    <w:rsid w:val="00BC2D50"/>
    <w:rsid w:val="00BC5361"/>
    <w:rsid w:val="00BC5460"/>
    <w:rsid w:val="00BC6B50"/>
    <w:rsid w:val="00BD0E25"/>
    <w:rsid w:val="00BF5BD6"/>
    <w:rsid w:val="00C03E31"/>
    <w:rsid w:val="00C145C1"/>
    <w:rsid w:val="00C17C00"/>
    <w:rsid w:val="00C30E69"/>
    <w:rsid w:val="00C32062"/>
    <w:rsid w:val="00C33E72"/>
    <w:rsid w:val="00C354B2"/>
    <w:rsid w:val="00C35554"/>
    <w:rsid w:val="00C42709"/>
    <w:rsid w:val="00C533CC"/>
    <w:rsid w:val="00C548CE"/>
    <w:rsid w:val="00C55B00"/>
    <w:rsid w:val="00C5751C"/>
    <w:rsid w:val="00C57E77"/>
    <w:rsid w:val="00C611BC"/>
    <w:rsid w:val="00C61BFC"/>
    <w:rsid w:val="00C61D08"/>
    <w:rsid w:val="00C62B85"/>
    <w:rsid w:val="00C65438"/>
    <w:rsid w:val="00C91CBB"/>
    <w:rsid w:val="00CA0F11"/>
    <w:rsid w:val="00CB4E70"/>
    <w:rsid w:val="00CC09B6"/>
    <w:rsid w:val="00CC666F"/>
    <w:rsid w:val="00CD1E3F"/>
    <w:rsid w:val="00CE4447"/>
    <w:rsid w:val="00CE44F6"/>
    <w:rsid w:val="00CE49DA"/>
    <w:rsid w:val="00CE5DCE"/>
    <w:rsid w:val="00CE7B61"/>
    <w:rsid w:val="00D00095"/>
    <w:rsid w:val="00D10D13"/>
    <w:rsid w:val="00D114F0"/>
    <w:rsid w:val="00D20620"/>
    <w:rsid w:val="00D254F7"/>
    <w:rsid w:val="00D26091"/>
    <w:rsid w:val="00D2685C"/>
    <w:rsid w:val="00D34E7C"/>
    <w:rsid w:val="00D35489"/>
    <w:rsid w:val="00D36AFE"/>
    <w:rsid w:val="00D50C21"/>
    <w:rsid w:val="00D51276"/>
    <w:rsid w:val="00D7035F"/>
    <w:rsid w:val="00DA634F"/>
    <w:rsid w:val="00DA65AC"/>
    <w:rsid w:val="00DB1913"/>
    <w:rsid w:val="00DB6190"/>
    <w:rsid w:val="00DC410D"/>
    <w:rsid w:val="00DC5A81"/>
    <w:rsid w:val="00DC68CA"/>
    <w:rsid w:val="00DC7CBA"/>
    <w:rsid w:val="00DD5594"/>
    <w:rsid w:val="00DD73B7"/>
    <w:rsid w:val="00DF28BC"/>
    <w:rsid w:val="00DF34B9"/>
    <w:rsid w:val="00E005FC"/>
    <w:rsid w:val="00E01053"/>
    <w:rsid w:val="00E07ACF"/>
    <w:rsid w:val="00E13E5E"/>
    <w:rsid w:val="00E2071C"/>
    <w:rsid w:val="00E243F9"/>
    <w:rsid w:val="00E331A1"/>
    <w:rsid w:val="00E33202"/>
    <w:rsid w:val="00E336A9"/>
    <w:rsid w:val="00E472B1"/>
    <w:rsid w:val="00E50624"/>
    <w:rsid w:val="00E54A9B"/>
    <w:rsid w:val="00E568DF"/>
    <w:rsid w:val="00E61784"/>
    <w:rsid w:val="00E64269"/>
    <w:rsid w:val="00E66797"/>
    <w:rsid w:val="00E82267"/>
    <w:rsid w:val="00E853CE"/>
    <w:rsid w:val="00E867B6"/>
    <w:rsid w:val="00E87F08"/>
    <w:rsid w:val="00EA010F"/>
    <w:rsid w:val="00EC0317"/>
    <w:rsid w:val="00ED1B63"/>
    <w:rsid w:val="00ED3C1F"/>
    <w:rsid w:val="00ED4085"/>
    <w:rsid w:val="00ED420E"/>
    <w:rsid w:val="00ED4E6E"/>
    <w:rsid w:val="00ED6FBE"/>
    <w:rsid w:val="00EE2F57"/>
    <w:rsid w:val="00EE31BE"/>
    <w:rsid w:val="00EF4C34"/>
    <w:rsid w:val="00EF77C6"/>
    <w:rsid w:val="00F05438"/>
    <w:rsid w:val="00F1141D"/>
    <w:rsid w:val="00F1361C"/>
    <w:rsid w:val="00F156F0"/>
    <w:rsid w:val="00F160C7"/>
    <w:rsid w:val="00F2408F"/>
    <w:rsid w:val="00F240E9"/>
    <w:rsid w:val="00F300D4"/>
    <w:rsid w:val="00F36D8F"/>
    <w:rsid w:val="00F417B1"/>
    <w:rsid w:val="00F45853"/>
    <w:rsid w:val="00F566A1"/>
    <w:rsid w:val="00F602DF"/>
    <w:rsid w:val="00F62C21"/>
    <w:rsid w:val="00F70086"/>
    <w:rsid w:val="00F754A1"/>
    <w:rsid w:val="00F81FD9"/>
    <w:rsid w:val="00F841AA"/>
    <w:rsid w:val="00F84A94"/>
    <w:rsid w:val="00F87E96"/>
    <w:rsid w:val="00FA23E8"/>
    <w:rsid w:val="00FA626B"/>
    <w:rsid w:val="00FB4B20"/>
    <w:rsid w:val="00FD3CC1"/>
    <w:rsid w:val="00FF1E02"/>
    <w:rsid w:val="00FF30B4"/>
    <w:rsid w:val="03855C13"/>
    <w:rsid w:val="03A4745B"/>
    <w:rsid w:val="04922DD1"/>
    <w:rsid w:val="04E83AC8"/>
    <w:rsid w:val="05242B03"/>
    <w:rsid w:val="05A44BAC"/>
    <w:rsid w:val="07665C5A"/>
    <w:rsid w:val="07D34B0A"/>
    <w:rsid w:val="08630F31"/>
    <w:rsid w:val="0E0B09AA"/>
    <w:rsid w:val="0E8F31D3"/>
    <w:rsid w:val="0ED2293D"/>
    <w:rsid w:val="0FD9310B"/>
    <w:rsid w:val="10955D3D"/>
    <w:rsid w:val="10C055FF"/>
    <w:rsid w:val="12A121CE"/>
    <w:rsid w:val="12E86F1D"/>
    <w:rsid w:val="156E2CFA"/>
    <w:rsid w:val="15822AEB"/>
    <w:rsid w:val="163F0DEC"/>
    <w:rsid w:val="16BB723D"/>
    <w:rsid w:val="185A2297"/>
    <w:rsid w:val="1A721528"/>
    <w:rsid w:val="1D6144C4"/>
    <w:rsid w:val="20B7445D"/>
    <w:rsid w:val="23852598"/>
    <w:rsid w:val="23902922"/>
    <w:rsid w:val="240371BF"/>
    <w:rsid w:val="245C6078"/>
    <w:rsid w:val="2517548B"/>
    <w:rsid w:val="25590F44"/>
    <w:rsid w:val="26061471"/>
    <w:rsid w:val="26180E3D"/>
    <w:rsid w:val="29FD04D3"/>
    <w:rsid w:val="2A90453F"/>
    <w:rsid w:val="2DCE2534"/>
    <w:rsid w:val="2E2411DC"/>
    <w:rsid w:val="2EF873BC"/>
    <w:rsid w:val="31002182"/>
    <w:rsid w:val="319C1B20"/>
    <w:rsid w:val="319F7F4E"/>
    <w:rsid w:val="31EB4285"/>
    <w:rsid w:val="3469659B"/>
    <w:rsid w:val="35294E23"/>
    <w:rsid w:val="359D6DD8"/>
    <w:rsid w:val="37D91C3A"/>
    <w:rsid w:val="38FE0DA7"/>
    <w:rsid w:val="396141CD"/>
    <w:rsid w:val="3A0B0208"/>
    <w:rsid w:val="3A7961EF"/>
    <w:rsid w:val="3AA27A05"/>
    <w:rsid w:val="3B3F5E40"/>
    <w:rsid w:val="3CCD4F97"/>
    <w:rsid w:val="3CE737C9"/>
    <w:rsid w:val="3DEB6F9E"/>
    <w:rsid w:val="3EAB0369"/>
    <w:rsid w:val="3F7A4A29"/>
    <w:rsid w:val="40360021"/>
    <w:rsid w:val="42CC74C9"/>
    <w:rsid w:val="42F05082"/>
    <w:rsid w:val="433C7269"/>
    <w:rsid w:val="436C2D1B"/>
    <w:rsid w:val="43F60230"/>
    <w:rsid w:val="443867E6"/>
    <w:rsid w:val="478030D0"/>
    <w:rsid w:val="47E941DD"/>
    <w:rsid w:val="47F03400"/>
    <w:rsid w:val="47F04B04"/>
    <w:rsid w:val="48D162B7"/>
    <w:rsid w:val="49784505"/>
    <w:rsid w:val="4A196973"/>
    <w:rsid w:val="4E7A13A6"/>
    <w:rsid w:val="4ECE2238"/>
    <w:rsid w:val="51D17379"/>
    <w:rsid w:val="536E326F"/>
    <w:rsid w:val="548F3D66"/>
    <w:rsid w:val="55553FC5"/>
    <w:rsid w:val="557B5A10"/>
    <w:rsid w:val="57043E29"/>
    <w:rsid w:val="57E62256"/>
    <w:rsid w:val="59170093"/>
    <w:rsid w:val="594454F6"/>
    <w:rsid w:val="5A4D0898"/>
    <w:rsid w:val="5B5C01B1"/>
    <w:rsid w:val="5CB859C0"/>
    <w:rsid w:val="5CDD581A"/>
    <w:rsid w:val="5CFC4A21"/>
    <w:rsid w:val="5D2607C2"/>
    <w:rsid w:val="5E200342"/>
    <w:rsid w:val="5E287671"/>
    <w:rsid w:val="5EAC0BD9"/>
    <w:rsid w:val="60ED36F5"/>
    <w:rsid w:val="60F307B5"/>
    <w:rsid w:val="61145AE1"/>
    <w:rsid w:val="617440EA"/>
    <w:rsid w:val="623A685B"/>
    <w:rsid w:val="63155942"/>
    <w:rsid w:val="631F2AEA"/>
    <w:rsid w:val="638E15A5"/>
    <w:rsid w:val="654E7D54"/>
    <w:rsid w:val="655070E2"/>
    <w:rsid w:val="65630BDE"/>
    <w:rsid w:val="65810B5B"/>
    <w:rsid w:val="65823B5D"/>
    <w:rsid w:val="67B8393C"/>
    <w:rsid w:val="68A54464"/>
    <w:rsid w:val="69401FA9"/>
    <w:rsid w:val="69937A53"/>
    <w:rsid w:val="69D32685"/>
    <w:rsid w:val="6A264FCE"/>
    <w:rsid w:val="6A2D2539"/>
    <w:rsid w:val="6A71331C"/>
    <w:rsid w:val="6B4F7776"/>
    <w:rsid w:val="6C0D19C4"/>
    <w:rsid w:val="6DC809D3"/>
    <w:rsid w:val="6E467237"/>
    <w:rsid w:val="6E4913E7"/>
    <w:rsid w:val="6ECF58BA"/>
    <w:rsid w:val="6F8B492A"/>
    <w:rsid w:val="70BA0AD4"/>
    <w:rsid w:val="70D55BF6"/>
    <w:rsid w:val="71D37BE7"/>
    <w:rsid w:val="72734D90"/>
    <w:rsid w:val="72C83DBC"/>
    <w:rsid w:val="72FC66EA"/>
    <w:rsid w:val="74366D19"/>
    <w:rsid w:val="75AD1CAF"/>
    <w:rsid w:val="75B05028"/>
    <w:rsid w:val="75E415F7"/>
    <w:rsid w:val="771F1428"/>
    <w:rsid w:val="77725C3C"/>
    <w:rsid w:val="790535CA"/>
    <w:rsid w:val="790B3EAA"/>
    <w:rsid w:val="794D2412"/>
    <w:rsid w:val="7BBD21B3"/>
    <w:rsid w:val="7BDF205E"/>
    <w:rsid w:val="7D440D75"/>
    <w:rsid w:val="7E366FAA"/>
    <w:rsid w:val="7EAD22D7"/>
    <w:rsid w:val="7ED552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Title"/>
    <w:basedOn w:val="1"/>
    <w:qFormat/>
    <w:uiPriority w:val="0"/>
    <w:pPr>
      <w:spacing w:before="240" w:after="60"/>
      <w:jc w:val="center"/>
      <w:outlineLvl w:val="0"/>
    </w:pPr>
    <w:rPr>
      <w:rFonts w:ascii="Arial" w:hAnsi="Arial" w:cs="Arial"/>
      <w:b/>
      <w:bCs/>
      <w:sz w:val="32"/>
      <w:szCs w:val="32"/>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D1B06-FC96-43FD-A2A1-FD33257CC7C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33</Pages>
  <Words>12093</Words>
  <Characters>2363</Characters>
  <Lines>19</Lines>
  <Paragraphs>28</Paragraphs>
  <TotalTime>7</TotalTime>
  <ScaleCrop>false</ScaleCrop>
  <LinksUpToDate>false</LinksUpToDate>
  <CharactersWithSpaces>14428</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2020-10-29T08:57:37Z</dcterms:modified>
  <dc:title>四川省***</dc:title>
  <cp:revision>517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