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3CD" w:rsidRDefault="005B63CD">
      <w:pPr>
        <w:spacing w:line="600" w:lineRule="exact"/>
        <w:jc w:val="center"/>
        <w:outlineLvl w:val="0"/>
        <w:rPr>
          <w:rFonts w:ascii="方正小标宋简体" w:eastAsia="方正小标宋简体" w:hAnsi="宋体"/>
          <w:color w:val="000000"/>
          <w:sz w:val="72"/>
          <w:szCs w:val="72"/>
        </w:rPr>
      </w:pPr>
      <w:bookmarkStart w:id="0" w:name="_Toc15306267"/>
    </w:p>
    <w:p w:rsidR="005B63CD" w:rsidRDefault="005B63CD">
      <w:pPr>
        <w:spacing w:line="600" w:lineRule="exact"/>
        <w:jc w:val="center"/>
        <w:outlineLvl w:val="0"/>
        <w:rPr>
          <w:rFonts w:ascii="方正小标宋简体" w:eastAsia="方正小标宋简体" w:hAnsi="宋体"/>
          <w:color w:val="000000"/>
          <w:sz w:val="72"/>
          <w:szCs w:val="72"/>
        </w:rPr>
      </w:pPr>
    </w:p>
    <w:p w:rsidR="005B63CD" w:rsidRDefault="005B63CD">
      <w:pPr>
        <w:spacing w:line="600" w:lineRule="exact"/>
        <w:jc w:val="center"/>
        <w:outlineLvl w:val="0"/>
        <w:rPr>
          <w:rFonts w:ascii="方正小标宋简体" w:eastAsia="方正小标宋简体" w:hAnsi="宋体"/>
          <w:color w:val="000000"/>
          <w:sz w:val="72"/>
          <w:szCs w:val="72"/>
        </w:rPr>
      </w:pPr>
    </w:p>
    <w:p w:rsidR="005B63CD" w:rsidRDefault="005B63CD">
      <w:pPr>
        <w:spacing w:line="600" w:lineRule="exact"/>
        <w:jc w:val="center"/>
        <w:outlineLvl w:val="0"/>
        <w:rPr>
          <w:rFonts w:ascii="方正小标宋简体" w:eastAsia="方正小标宋简体" w:hAnsi="宋体"/>
          <w:color w:val="000000"/>
          <w:sz w:val="72"/>
          <w:szCs w:val="72"/>
        </w:rPr>
      </w:pPr>
    </w:p>
    <w:p w:rsidR="005B63CD" w:rsidRDefault="005B63CD">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193"/>
      <w:bookmarkStart w:id="2" w:name="_Toc15377425"/>
      <w:bookmarkStart w:id="3" w:name="_Toc15396475"/>
      <w:bookmarkStart w:id="4" w:name="_Toc15396597"/>
      <w:bookmarkStart w:id="5" w:name="_Toc15378441"/>
      <w:r>
        <w:rPr>
          <w:rFonts w:ascii="黑体" w:eastAsia="黑体" w:hAnsi="黑体"/>
          <w:color w:val="000000"/>
          <w:sz w:val="72"/>
          <w:szCs w:val="72"/>
        </w:rPr>
        <w:t>2019</w:t>
      </w:r>
      <w:r>
        <w:rPr>
          <w:rFonts w:ascii="方正小标宋简体" w:eastAsia="方正小标宋简体" w:hAnsi="宋体" w:hint="eastAsia"/>
          <w:color w:val="000000"/>
          <w:sz w:val="72"/>
          <w:szCs w:val="72"/>
        </w:rPr>
        <w:t>年度</w:t>
      </w:r>
      <w:bookmarkEnd w:id="1"/>
      <w:bookmarkEnd w:id="2"/>
      <w:bookmarkEnd w:id="3"/>
      <w:bookmarkEnd w:id="4"/>
      <w:bookmarkEnd w:id="5"/>
    </w:p>
    <w:p w:rsidR="005B63CD" w:rsidRDefault="005B63CD">
      <w:pPr>
        <w:adjustRightInd w:val="0"/>
        <w:snapToGrid w:val="0"/>
        <w:spacing w:line="360" w:lineRule="auto"/>
        <w:jc w:val="center"/>
        <w:outlineLvl w:val="0"/>
        <w:rPr>
          <w:rFonts w:ascii="方正小标宋简体" w:eastAsia="方正小标宋简体" w:hAnsi="宋体"/>
          <w:color w:val="000000"/>
          <w:sz w:val="52"/>
          <w:szCs w:val="52"/>
        </w:rPr>
      </w:pPr>
      <w:bookmarkStart w:id="6" w:name="_Toc15396598"/>
      <w:bookmarkStart w:id="7" w:name="_Toc15377426"/>
      <w:bookmarkStart w:id="8" w:name="_Toc15378442"/>
      <w:bookmarkStart w:id="9" w:name="_Toc15377194"/>
      <w:bookmarkStart w:id="10" w:name="_Toc15396476"/>
      <w:r>
        <w:rPr>
          <w:rFonts w:ascii="方正小标宋简体" w:eastAsia="方正小标宋简体" w:hAnsi="宋体" w:hint="eastAsia"/>
          <w:color w:val="000000"/>
          <w:sz w:val="52"/>
          <w:szCs w:val="52"/>
        </w:rPr>
        <w:t>四川省</w:t>
      </w:r>
      <w:bookmarkEnd w:id="0"/>
      <w:bookmarkEnd w:id="6"/>
      <w:bookmarkEnd w:id="7"/>
      <w:bookmarkEnd w:id="8"/>
      <w:bookmarkEnd w:id="9"/>
      <w:bookmarkEnd w:id="10"/>
      <w:r>
        <w:rPr>
          <w:rFonts w:ascii="方正小标宋简体" w:eastAsia="方正小标宋简体" w:hAnsi="宋体" w:hint="eastAsia"/>
          <w:color w:val="000000"/>
          <w:sz w:val="52"/>
          <w:szCs w:val="52"/>
        </w:rPr>
        <w:t>峨眉山市</w:t>
      </w:r>
    </w:p>
    <w:p w:rsidR="005B63CD" w:rsidRDefault="005B63CD">
      <w:pPr>
        <w:adjustRightInd w:val="0"/>
        <w:snapToGrid w:val="0"/>
        <w:spacing w:line="360" w:lineRule="auto"/>
        <w:jc w:val="center"/>
        <w:outlineLvl w:val="0"/>
        <w:rPr>
          <w:rFonts w:ascii="方正小标宋简体" w:eastAsia="方正小标宋简体" w:hAnsi="宋体"/>
          <w:color w:val="000000"/>
          <w:sz w:val="52"/>
          <w:szCs w:val="52"/>
        </w:rPr>
      </w:pPr>
      <w:r>
        <w:rPr>
          <w:rFonts w:ascii="方正小标宋简体" w:eastAsia="方正小标宋简体" w:hAnsi="宋体" w:hint="eastAsia"/>
          <w:color w:val="000000"/>
          <w:sz w:val="52"/>
          <w:szCs w:val="52"/>
        </w:rPr>
        <w:t>公墓服务中心决算编制说明</w:t>
      </w:r>
    </w:p>
    <w:p w:rsidR="005B63CD" w:rsidRDefault="005B63CD">
      <w:pPr>
        <w:widowControl/>
        <w:spacing w:line="440" w:lineRule="exact"/>
        <w:jc w:val="left"/>
        <w:rPr>
          <w:rFonts w:ascii="仿宋" w:eastAsia="仿宋" w:hAnsi="仿宋"/>
          <w:bCs/>
          <w:kern w:val="44"/>
          <w:sz w:val="24"/>
        </w:rPr>
      </w:pPr>
      <w:r>
        <w:rPr>
          <w:rFonts w:ascii="方正小标宋简体" w:eastAsia="方正小标宋简体" w:hAnsi="宋体"/>
          <w:color w:val="000000"/>
          <w:sz w:val="36"/>
          <w:szCs w:val="36"/>
        </w:rPr>
        <w:br w:type="page"/>
      </w:r>
      <w:bookmarkStart w:id="11" w:name="_Toc15396599"/>
      <w:bookmarkStart w:id="12" w:name="_Toc15377196"/>
    </w:p>
    <w:p w:rsidR="005B63CD" w:rsidRDefault="005B63CD">
      <w:pPr>
        <w:pStyle w:val="Heading1"/>
        <w:jc w:val="center"/>
        <w:rPr>
          <w:rStyle w:val="Heading1Char"/>
          <w:rFonts w:ascii="黑体" w:eastAsia="黑体" w:hAnsi="黑体"/>
          <w:b/>
        </w:rPr>
      </w:pPr>
      <w:r>
        <w:rPr>
          <w:rFonts w:ascii="黑体" w:eastAsia="黑体" w:hAnsi="黑体" w:hint="eastAsia"/>
          <w:b w:val="0"/>
        </w:rPr>
        <w:t>第一部分</w:t>
      </w:r>
      <w:r>
        <w:rPr>
          <w:rFonts w:ascii="黑体" w:eastAsia="黑体" w:hAnsi="黑体"/>
          <w:b w:val="0"/>
        </w:rPr>
        <w:t xml:space="preserve"> </w:t>
      </w:r>
      <w:r>
        <w:rPr>
          <w:rStyle w:val="Heading1Char"/>
          <w:rFonts w:ascii="黑体" w:eastAsia="黑体" w:hAnsi="黑体" w:hint="eastAsia"/>
        </w:rPr>
        <w:t>部门概况</w:t>
      </w:r>
      <w:bookmarkEnd w:id="11"/>
      <w:bookmarkEnd w:id="12"/>
    </w:p>
    <w:p w:rsidR="005B63CD" w:rsidRDefault="005B63CD">
      <w:pPr>
        <w:widowControl/>
        <w:jc w:val="left"/>
        <w:rPr>
          <w:rFonts w:ascii="黑体" w:eastAsia="黑体"/>
          <w:color w:val="000000"/>
          <w:sz w:val="32"/>
          <w:szCs w:val="32"/>
        </w:rPr>
      </w:pPr>
    </w:p>
    <w:p w:rsidR="005B63CD" w:rsidRDefault="005B63CD">
      <w:pPr>
        <w:pStyle w:val="Heading2"/>
        <w:rPr>
          <w:rStyle w:val="Heading2Char"/>
          <w:rFonts w:ascii="仿宋" w:eastAsia="仿宋" w:hAnsi="仿宋"/>
        </w:rPr>
      </w:pPr>
      <w:bookmarkStart w:id="13" w:name="_Toc15377197"/>
      <w:bookmarkStart w:id="14" w:name="_Toc15396600"/>
      <w:r>
        <w:rPr>
          <w:rFonts w:ascii="黑体" w:eastAsia="黑体" w:hAnsi="黑体" w:hint="eastAsia"/>
          <w:b w:val="0"/>
          <w:color w:val="000000"/>
        </w:rPr>
        <w:t>一、基</w:t>
      </w:r>
      <w:r>
        <w:rPr>
          <w:rStyle w:val="Heading2Char"/>
          <w:rFonts w:ascii="黑体" w:eastAsia="黑体" w:hAnsi="黑体" w:hint="eastAsia"/>
        </w:rPr>
        <w:t>本职能及主要工作</w:t>
      </w:r>
      <w:bookmarkEnd w:id="13"/>
      <w:bookmarkEnd w:id="14"/>
    </w:p>
    <w:p w:rsidR="005B63CD" w:rsidRDefault="005B63CD">
      <w:pPr>
        <w:pStyle w:val="BodyText"/>
        <w:adjustRightInd w:val="0"/>
        <w:snapToGrid w:val="0"/>
        <w:spacing w:before="93" w:line="600" w:lineRule="exact"/>
        <w:ind w:firstLineChars="210" w:firstLine="672"/>
        <w:outlineLvl w:val="2"/>
        <w:rPr>
          <w:rFonts w:ascii="仿宋" w:eastAsia="仿宋" w:hAnsi="仿宋"/>
          <w:bCs/>
          <w:color w:val="000000"/>
          <w:sz w:val="32"/>
          <w:szCs w:val="32"/>
        </w:rPr>
      </w:pPr>
      <w:bookmarkStart w:id="15" w:name="_Toc15378445"/>
      <w:bookmarkStart w:id="16" w:name="_Toc15377198"/>
      <w:r>
        <w:rPr>
          <w:rFonts w:ascii="仿宋" w:eastAsia="仿宋" w:hAnsi="仿宋" w:hint="eastAsia"/>
          <w:bCs/>
          <w:color w:val="000000"/>
          <w:sz w:val="32"/>
          <w:szCs w:val="32"/>
        </w:rPr>
        <w:t>（一）主要职能。</w:t>
      </w:r>
    </w:p>
    <w:p w:rsidR="005B63CD" w:rsidRDefault="005B63CD">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峨眉山市公墓服务中心位于峨眉山市绥山镇大南村一组，主管局为峨眉山市民政局，本单位为自收自支事业单位，主要职能是办理骨灰安葬、墓碑雕刻、金属像制作和鲜花出售等服务</w:t>
      </w:r>
    </w:p>
    <w:p w:rsidR="005B63CD" w:rsidRDefault="005B63CD">
      <w:pPr>
        <w:pStyle w:val="BodyText"/>
        <w:adjustRightInd w:val="0"/>
        <w:snapToGrid w:val="0"/>
        <w:spacing w:before="93" w:line="600" w:lineRule="exact"/>
        <w:ind w:firstLineChars="200" w:firstLine="640"/>
        <w:outlineLvl w:val="2"/>
        <w:rPr>
          <w:rFonts w:ascii="仿宋" w:eastAsia="仿宋" w:hAnsi="仿宋"/>
          <w:bCs/>
          <w:color w:val="000000"/>
          <w:sz w:val="32"/>
          <w:szCs w:val="32"/>
        </w:rPr>
      </w:pPr>
      <w:bookmarkStart w:id="17" w:name="_Toc15378446"/>
      <w:bookmarkStart w:id="18" w:name="_Toc15377199"/>
      <w:bookmarkEnd w:id="15"/>
      <w:bookmarkEnd w:id="16"/>
      <w:r>
        <w:rPr>
          <w:rFonts w:ascii="仿宋" w:eastAsia="仿宋" w:hAnsi="仿宋" w:hint="eastAsia"/>
          <w:bCs/>
          <w:color w:val="000000"/>
          <w:sz w:val="32"/>
          <w:szCs w:val="32"/>
        </w:rPr>
        <w:t>（二）</w:t>
      </w:r>
      <w:r>
        <w:rPr>
          <w:rFonts w:ascii="仿宋" w:eastAsia="仿宋" w:hAnsi="仿宋"/>
          <w:bCs/>
          <w:color w:val="000000"/>
          <w:sz w:val="32"/>
          <w:szCs w:val="32"/>
        </w:rPr>
        <w:t>2019</w:t>
      </w:r>
      <w:r>
        <w:rPr>
          <w:rFonts w:ascii="仿宋" w:eastAsia="仿宋" w:hAnsi="仿宋" w:hint="eastAsia"/>
          <w:bCs/>
          <w:color w:val="000000"/>
          <w:sz w:val="32"/>
          <w:szCs w:val="32"/>
        </w:rPr>
        <w:t>年重点工作完成情况。</w:t>
      </w:r>
      <w:bookmarkEnd w:id="17"/>
      <w:bookmarkEnd w:id="18"/>
    </w:p>
    <w:p w:rsidR="005B63CD" w:rsidRDefault="005B63CD">
      <w:pPr>
        <w:ind w:firstLineChars="200" w:firstLine="640"/>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年清明节公墓管理处根据四川省民政厅发《四川省</w:t>
      </w:r>
      <w:r>
        <w:rPr>
          <w:rFonts w:ascii="仿宋" w:eastAsia="仿宋" w:hAnsi="仿宋"/>
          <w:sz w:val="32"/>
          <w:szCs w:val="32"/>
        </w:rPr>
        <w:t>2019</w:t>
      </w:r>
      <w:r>
        <w:rPr>
          <w:rFonts w:ascii="仿宋" w:eastAsia="仿宋" w:hAnsi="仿宋" w:hint="eastAsia"/>
          <w:sz w:val="32"/>
          <w:szCs w:val="32"/>
        </w:rPr>
        <w:t>年清明节祭扫工作实施方案》的通知要求，以习近平新时代中国特色社会主义思想为指导，开展“仁孝四川，绿色殡葬，平安清明”主题宣传活动。清明前在川主墓区的醒目位置悬挂张贴宣传通告和警示标语，发放宣传单。倡导鲜花祭祀，文明祭扫。管理处节前做好了应急预案，各项工作任务细化到人头，各小组协调配合。公墓服务中心（川主墓区）还成立了协调组、立碑组、后勤保障组，由夏勇华处长统一指挥协调，各小组分工配合。对群众意见，建议等问题</w:t>
      </w:r>
      <w:r>
        <w:rPr>
          <w:rFonts w:ascii="仿宋" w:eastAsia="仿宋" w:hAnsi="仿宋"/>
          <w:sz w:val="32"/>
          <w:szCs w:val="32"/>
        </w:rPr>
        <w:t>,</w:t>
      </w:r>
      <w:r>
        <w:rPr>
          <w:rFonts w:ascii="仿宋" w:eastAsia="仿宋" w:hAnsi="仿宋" w:hint="eastAsia"/>
          <w:sz w:val="32"/>
          <w:szCs w:val="32"/>
        </w:rPr>
        <w:t>做到了耐心解释，圆满解决。对清明节立碑的碑文区号再次核对，避免了发错碑，立错碑的事件发生。完成了收费和祭祀群众需要的查询和咨询事宜。在墓区前门后门兑换鲜花发放水桶毛巾，成功劝导带了香蜡纸炮的祭祀群众用香蜡纸炮兑换鲜花。</w:t>
      </w:r>
    </w:p>
    <w:p w:rsidR="005B63CD" w:rsidRDefault="005B63CD">
      <w:pPr>
        <w:ind w:firstLineChars="200" w:firstLine="640"/>
        <w:rPr>
          <w:rFonts w:ascii="仿宋" w:eastAsia="仿宋" w:hAnsi="仿宋"/>
          <w:sz w:val="32"/>
          <w:szCs w:val="32"/>
        </w:rPr>
      </w:pPr>
      <w:r>
        <w:rPr>
          <w:rFonts w:ascii="仿宋" w:eastAsia="仿宋" w:hAnsi="仿宋" w:hint="eastAsia"/>
          <w:sz w:val="32"/>
          <w:szCs w:val="32"/>
        </w:rPr>
        <w:t>根据峨眉山市精神文明建设办公室，峨眉山市民政局，峨眉山市环境保护局，峨眉山市公安局联合通告精神，为创建全国文明城市，保护生态环境，树立文明殡葬新风尚。从</w:t>
      </w:r>
      <w:r>
        <w:rPr>
          <w:rFonts w:ascii="仿宋" w:eastAsia="仿宋" w:hAnsi="仿宋"/>
          <w:sz w:val="32"/>
          <w:szCs w:val="32"/>
        </w:rPr>
        <w:t>2019</w:t>
      </w:r>
      <w:r>
        <w:rPr>
          <w:rFonts w:ascii="仿宋" w:eastAsia="仿宋" w:hAnsi="仿宋" w:hint="eastAsia"/>
          <w:sz w:val="32"/>
          <w:szCs w:val="32"/>
        </w:rPr>
        <w:t>年</w:t>
      </w:r>
      <w:r>
        <w:rPr>
          <w:rFonts w:ascii="仿宋" w:eastAsia="仿宋" w:hAnsi="仿宋"/>
          <w:sz w:val="32"/>
          <w:szCs w:val="32"/>
        </w:rPr>
        <w:t>2</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日起在墓区全面实行禁燃禁放殡葬用品，包括（花圈、冥币、香烛、烟花、鞭炮等）。今年清明节继续深入推行禁燃禁放工作，川主墓区全体员工大力宣传文明祭祀，环保扫墓。并为祭祀群众免费提供水桶和毛巾，鼓励引导祭祀群众以动手清扫墓地墓碑的祭奠方式来代替传统的放炮烧纸的祭奠方式。</w:t>
      </w:r>
    </w:p>
    <w:p w:rsidR="005B63CD" w:rsidRDefault="005B63CD">
      <w:pPr>
        <w:ind w:firstLineChars="200" w:firstLine="640"/>
        <w:rPr>
          <w:rFonts w:ascii="仿宋" w:eastAsia="仿宋" w:hAnsi="仿宋"/>
          <w:sz w:val="32"/>
          <w:szCs w:val="32"/>
        </w:rPr>
      </w:pPr>
      <w:r>
        <w:rPr>
          <w:rFonts w:ascii="仿宋" w:eastAsia="仿宋" w:hAnsi="仿宋" w:hint="eastAsia"/>
          <w:sz w:val="32"/>
          <w:szCs w:val="32"/>
        </w:rPr>
        <w:t>清明节期间为祭祀群众开展免费的以香、蜡、纸、炮兑换鲜花的活动，免费提供茶水和休息场所，免费提供日常急救物品，如：碘酒、创可贴、消毒纱布等。低价提供扫墓花束。细致体贴的服务，受到了广大群众的高度赞赏。</w:t>
      </w:r>
    </w:p>
    <w:p w:rsidR="005B63CD" w:rsidRDefault="005B63CD">
      <w:pPr>
        <w:ind w:firstLineChars="200" w:firstLine="640"/>
        <w:rPr>
          <w:rFonts w:ascii="仿宋" w:eastAsia="仿宋" w:hAnsi="仿宋"/>
          <w:sz w:val="32"/>
          <w:szCs w:val="32"/>
        </w:rPr>
      </w:pPr>
      <w:r>
        <w:rPr>
          <w:rFonts w:ascii="仿宋" w:eastAsia="仿宋" w:hAnsi="仿宋" w:hint="eastAsia"/>
          <w:sz w:val="32"/>
          <w:szCs w:val="32"/>
        </w:rPr>
        <w:t>川主墓区在清明节期间还聘请了临时人员，把墓地区域细分到人头，在墓地内不间断巡视，对违规燃放殡葬用品的祭祀群众进行再次宣传和劝导，对墓区安全和卫生进行巡查和维护。</w:t>
      </w:r>
    </w:p>
    <w:p w:rsidR="005B63CD" w:rsidRDefault="005B63CD">
      <w:pPr>
        <w:ind w:firstLineChars="200" w:firstLine="640"/>
        <w:rPr>
          <w:rFonts w:ascii="仿宋" w:eastAsia="仿宋" w:hAnsi="仿宋"/>
          <w:sz w:val="32"/>
          <w:szCs w:val="32"/>
        </w:rPr>
      </w:pPr>
      <w:r>
        <w:rPr>
          <w:rFonts w:ascii="仿宋" w:eastAsia="仿宋" w:hAnsi="仿宋" w:hint="eastAsia"/>
          <w:sz w:val="32"/>
          <w:szCs w:val="32"/>
        </w:rPr>
        <w:t>川主墓区清明期间联合交通、消防、公安等部门，防止了清明祭祀期间交通拥堵、火灾事故，安全事故等的发生。在全体职工的共同努力下，完满顺利地完成了清明节的各项工作任务。</w:t>
      </w:r>
    </w:p>
    <w:p w:rsidR="005B63CD" w:rsidRDefault="005B63CD">
      <w:pPr>
        <w:ind w:firstLineChars="200" w:firstLine="640"/>
        <w:rPr>
          <w:rFonts w:ascii="仿宋" w:eastAsia="仿宋" w:hAnsi="仿宋"/>
          <w:bCs/>
          <w:color w:val="000000"/>
          <w:sz w:val="32"/>
          <w:szCs w:val="32"/>
        </w:rPr>
      </w:pPr>
      <w:r>
        <w:rPr>
          <w:rFonts w:ascii="仿宋" w:eastAsia="仿宋" w:hAnsi="仿宋"/>
          <w:sz w:val="32"/>
          <w:szCs w:val="32"/>
        </w:rPr>
        <w:t xml:space="preserve"> </w:t>
      </w:r>
      <w:r>
        <w:rPr>
          <w:rFonts w:ascii="仿宋" w:eastAsia="仿宋" w:hAnsi="仿宋" w:hint="eastAsia"/>
          <w:sz w:val="32"/>
          <w:szCs w:val="32"/>
        </w:rPr>
        <w:t>清明节期间（</w:t>
      </w:r>
      <w:smartTag w:uri="urn:schemas-microsoft-com:office:smarttags" w:element="chsdate">
        <w:smartTagPr>
          <w:attr w:name="IsROCDate" w:val="False"/>
          <w:attr w:name="IsLunarDate" w:val="False"/>
          <w:attr w:name="Day" w:val="5"/>
          <w:attr w:name="Month" w:val="4"/>
          <w:attr w:name="Year" w:val="2020"/>
        </w:smartTagPr>
        <w:r>
          <w:rPr>
            <w:rFonts w:ascii="仿宋" w:eastAsia="仿宋" w:hAnsi="仿宋"/>
            <w:sz w:val="32"/>
            <w:szCs w:val="32"/>
          </w:rPr>
          <w:t>4</w:t>
        </w:r>
        <w:r>
          <w:rPr>
            <w:rFonts w:ascii="仿宋" w:eastAsia="仿宋" w:hAnsi="仿宋" w:hint="eastAsia"/>
            <w:sz w:val="32"/>
            <w:szCs w:val="32"/>
          </w:rPr>
          <w:t>月</w:t>
        </w:r>
        <w:r>
          <w:rPr>
            <w:rFonts w:ascii="仿宋" w:eastAsia="仿宋" w:hAnsi="仿宋"/>
            <w:sz w:val="32"/>
            <w:szCs w:val="32"/>
          </w:rPr>
          <w:t>5</w:t>
        </w:r>
        <w:r>
          <w:rPr>
            <w:rFonts w:ascii="仿宋" w:eastAsia="仿宋" w:hAnsi="仿宋" w:hint="eastAsia"/>
            <w:sz w:val="32"/>
            <w:szCs w:val="32"/>
          </w:rPr>
          <w:t>日</w:t>
        </w:r>
      </w:smartTag>
      <w:r>
        <w:rPr>
          <w:rFonts w:ascii="仿宋" w:eastAsia="仿宋" w:hAnsi="仿宋"/>
          <w:sz w:val="32"/>
          <w:szCs w:val="32"/>
        </w:rPr>
        <w:t>——</w:t>
      </w:r>
      <w:smartTag w:uri="urn:schemas-microsoft-com:office:smarttags" w:element="chsdate">
        <w:smartTagPr>
          <w:attr w:name="IsROCDate" w:val="False"/>
          <w:attr w:name="IsLunarDate" w:val="False"/>
          <w:attr w:name="Day" w:val="7"/>
          <w:attr w:name="Month" w:val="4"/>
          <w:attr w:name="Year" w:val="2020"/>
        </w:smartTagPr>
        <w:r>
          <w:rPr>
            <w:rFonts w:ascii="仿宋" w:eastAsia="仿宋" w:hAnsi="仿宋"/>
            <w:sz w:val="32"/>
            <w:szCs w:val="32"/>
          </w:rPr>
          <w:t>4</w:t>
        </w:r>
        <w:r>
          <w:rPr>
            <w:rFonts w:ascii="仿宋" w:eastAsia="仿宋" w:hAnsi="仿宋" w:hint="eastAsia"/>
            <w:sz w:val="32"/>
            <w:szCs w:val="32"/>
          </w:rPr>
          <w:t>月</w:t>
        </w:r>
        <w:r>
          <w:rPr>
            <w:rFonts w:ascii="仿宋" w:eastAsia="仿宋" w:hAnsi="仿宋"/>
            <w:sz w:val="32"/>
            <w:szCs w:val="32"/>
          </w:rPr>
          <w:t>7</w:t>
        </w:r>
        <w:r>
          <w:rPr>
            <w:rFonts w:ascii="仿宋" w:eastAsia="仿宋" w:hAnsi="仿宋" w:hint="eastAsia"/>
            <w:sz w:val="32"/>
            <w:szCs w:val="32"/>
          </w:rPr>
          <w:t>日</w:t>
        </w:r>
      </w:smartTag>
      <w:r>
        <w:rPr>
          <w:rFonts w:ascii="仿宋" w:eastAsia="仿宋" w:hAnsi="仿宋" w:hint="eastAsia"/>
          <w:sz w:val="32"/>
          <w:szCs w:val="32"/>
        </w:rPr>
        <w:t>）川主墓区接待祭祀群众约</w:t>
      </w:r>
      <w:r>
        <w:rPr>
          <w:rFonts w:ascii="仿宋" w:eastAsia="仿宋" w:hAnsi="仿宋"/>
          <w:sz w:val="32"/>
          <w:szCs w:val="32"/>
        </w:rPr>
        <w:t>33000</w:t>
      </w:r>
      <w:r>
        <w:rPr>
          <w:rFonts w:ascii="仿宋" w:eastAsia="仿宋" w:hAnsi="仿宋" w:hint="eastAsia"/>
          <w:sz w:val="32"/>
          <w:szCs w:val="32"/>
        </w:rPr>
        <w:t>人，车辆约</w:t>
      </w:r>
      <w:r>
        <w:rPr>
          <w:rFonts w:ascii="仿宋" w:eastAsia="仿宋" w:hAnsi="仿宋"/>
          <w:sz w:val="32"/>
          <w:szCs w:val="32"/>
        </w:rPr>
        <w:t>3600</w:t>
      </w:r>
      <w:r>
        <w:rPr>
          <w:rFonts w:ascii="仿宋" w:eastAsia="仿宋" w:hAnsi="仿宋" w:hint="eastAsia"/>
          <w:sz w:val="32"/>
          <w:szCs w:val="32"/>
        </w:rPr>
        <w:t>辆。</w:t>
      </w:r>
    </w:p>
    <w:p w:rsidR="005B63CD" w:rsidRDefault="005B63CD">
      <w:pPr>
        <w:pStyle w:val="Heading2"/>
        <w:rPr>
          <w:rStyle w:val="Heading2Char"/>
        </w:rPr>
      </w:pPr>
      <w:bookmarkStart w:id="19" w:name="_Toc15377200"/>
      <w:bookmarkStart w:id="20" w:name="_Toc15396601"/>
      <w:r>
        <w:rPr>
          <w:rFonts w:ascii="黑体" w:eastAsia="黑体" w:hint="eastAsia"/>
          <w:b w:val="0"/>
          <w:color w:val="000000"/>
        </w:rPr>
        <w:t>二、</w:t>
      </w:r>
      <w:r>
        <w:rPr>
          <w:rFonts w:ascii="黑体" w:eastAsia="黑体" w:hAnsi="黑体" w:hint="eastAsia"/>
          <w:b w:val="0"/>
          <w:color w:val="000000"/>
        </w:rPr>
        <w:t>机</w:t>
      </w:r>
      <w:r>
        <w:rPr>
          <w:rStyle w:val="Heading2Char"/>
          <w:rFonts w:ascii="黑体" w:eastAsia="黑体" w:hAnsi="黑体" w:hint="eastAsia"/>
        </w:rPr>
        <w:t>构设置</w:t>
      </w:r>
      <w:bookmarkEnd w:id="19"/>
      <w:bookmarkEnd w:id="20"/>
    </w:p>
    <w:p w:rsidR="005B63CD" w:rsidRDefault="005B63CD">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本单位独立编制机构数</w:t>
      </w:r>
      <w:r>
        <w:rPr>
          <w:rFonts w:ascii="仿宋_GB2312" w:eastAsia="仿宋_GB2312" w:hAnsi="仿宋"/>
          <w:sz w:val="32"/>
          <w:szCs w:val="32"/>
        </w:rPr>
        <w:t>1</w:t>
      </w:r>
      <w:r>
        <w:rPr>
          <w:rFonts w:ascii="仿宋_GB2312" w:eastAsia="仿宋_GB2312" w:hAnsi="仿宋" w:hint="eastAsia"/>
          <w:sz w:val="32"/>
          <w:szCs w:val="32"/>
        </w:rPr>
        <w:t>个，独立核算机构数</w:t>
      </w:r>
      <w:r>
        <w:rPr>
          <w:rFonts w:ascii="仿宋_GB2312" w:eastAsia="仿宋_GB2312" w:hAnsi="仿宋"/>
          <w:sz w:val="32"/>
          <w:szCs w:val="32"/>
        </w:rPr>
        <w:t>1</w:t>
      </w:r>
      <w:r>
        <w:rPr>
          <w:rFonts w:ascii="仿宋_GB2312" w:eastAsia="仿宋_GB2312" w:hAnsi="仿宋" w:hint="eastAsia"/>
          <w:sz w:val="32"/>
          <w:szCs w:val="32"/>
        </w:rPr>
        <w:t>个，无变动。</w:t>
      </w:r>
    </w:p>
    <w:p w:rsidR="005B63CD" w:rsidRDefault="005B63CD">
      <w:pPr>
        <w:pStyle w:val="Heading1"/>
        <w:ind w:right="440"/>
        <w:jc w:val="right"/>
        <w:rPr>
          <w:rFonts w:ascii="黑体" w:eastAsia="黑体" w:hAnsi="黑体"/>
          <w:b w:val="0"/>
          <w:color w:val="000000"/>
        </w:rPr>
      </w:pPr>
      <w:bookmarkStart w:id="21" w:name="_Toc15396602"/>
      <w:bookmarkStart w:id="22" w:name="_Toc15377204"/>
    </w:p>
    <w:p w:rsidR="005B63CD" w:rsidRDefault="005B63CD">
      <w:pPr>
        <w:pStyle w:val="Heading1"/>
        <w:ind w:right="440"/>
        <w:jc w:val="right"/>
        <w:rPr>
          <w:rFonts w:ascii="黑体" w:eastAsia="黑体" w:hAnsi="黑体"/>
          <w:b w:val="0"/>
          <w:color w:val="000000"/>
        </w:rPr>
      </w:pPr>
    </w:p>
    <w:p w:rsidR="005B63CD" w:rsidRDefault="005B63CD">
      <w:pPr>
        <w:pStyle w:val="Heading1"/>
        <w:ind w:right="440"/>
        <w:jc w:val="right"/>
        <w:rPr>
          <w:rFonts w:ascii="黑体" w:eastAsia="黑体" w:hAnsi="黑体"/>
          <w:b w:val="0"/>
          <w:color w:val="000000"/>
        </w:rPr>
      </w:pPr>
    </w:p>
    <w:p w:rsidR="005B63CD" w:rsidRDefault="005B63CD">
      <w:pPr>
        <w:pStyle w:val="Heading1"/>
        <w:ind w:right="440"/>
        <w:jc w:val="right"/>
        <w:rPr>
          <w:rFonts w:ascii="黑体" w:eastAsia="黑体" w:hAnsi="黑体"/>
          <w:b w:val="0"/>
          <w:color w:val="000000"/>
        </w:rPr>
      </w:pPr>
    </w:p>
    <w:p w:rsidR="005B63CD" w:rsidRDefault="005B63CD">
      <w:pPr>
        <w:pStyle w:val="Heading1"/>
        <w:ind w:right="440"/>
        <w:jc w:val="right"/>
        <w:rPr>
          <w:rFonts w:ascii="黑体" w:eastAsia="黑体" w:hAnsi="黑体"/>
          <w:b w:val="0"/>
          <w:color w:val="000000"/>
        </w:rPr>
      </w:pPr>
    </w:p>
    <w:p w:rsidR="005B63CD" w:rsidRDefault="005B63CD">
      <w:pPr>
        <w:pStyle w:val="Heading1"/>
        <w:ind w:right="440"/>
        <w:jc w:val="right"/>
        <w:rPr>
          <w:rFonts w:ascii="黑体" w:eastAsia="黑体" w:hAnsi="黑体"/>
          <w:b w:val="0"/>
          <w:color w:val="000000"/>
        </w:rPr>
      </w:pPr>
    </w:p>
    <w:p w:rsidR="005B63CD" w:rsidRDefault="005B63CD">
      <w:pPr>
        <w:pStyle w:val="Heading1"/>
        <w:ind w:right="440"/>
        <w:jc w:val="right"/>
        <w:rPr>
          <w:rFonts w:ascii="黑体" w:eastAsia="黑体" w:hAnsi="黑体"/>
          <w:b w:val="0"/>
          <w:color w:val="000000"/>
        </w:rPr>
      </w:pPr>
    </w:p>
    <w:p w:rsidR="005B63CD" w:rsidRDefault="005B63CD">
      <w:pPr>
        <w:pStyle w:val="Heading1"/>
        <w:ind w:right="440"/>
        <w:jc w:val="right"/>
        <w:rPr>
          <w:rFonts w:ascii="黑体" w:eastAsia="黑体" w:hAnsi="黑体"/>
          <w:b w:val="0"/>
          <w:color w:val="000000"/>
        </w:rPr>
      </w:pPr>
    </w:p>
    <w:p w:rsidR="005B63CD" w:rsidRDefault="005B63CD">
      <w:pPr>
        <w:pStyle w:val="Heading1"/>
        <w:ind w:right="440"/>
        <w:jc w:val="right"/>
        <w:rPr>
          <w:rFonts w:ascii="黑体" w:eastAsia="黑体" w:hAnsi="黑体"/>
          <w:b w:val="0"/>
          <w:color w:val="000000"/>
        </w:rPr>
      </w:pPr>
    </w:p>
    <w:p w:rsidR="005B63CD" w:rsidRDefault="005B63CD">
      <w:pPr>
        <w:pStyle w:val="Heading1"/>
        <w:ind w:right="440"/>
        <w:jc w:val="right"/>
        <w:rPr>
          <w:rFonts w:ascii="黑体" w:eastAsia="黑体" w:hAnsi="黑体"/>
          <w:b w:val="0"/>
          <w:color w:val="000000"/>
        </w:rPr>
      </w:pPr>
    </w:p>
    <w:p w:rsidR="005B63CD" w:rsidRDefault="005B63CD">
      <w:pPr>
        <w:pStyle w:val="Heading1"/>
        <w:ind w:right="440"/>
        <w:jc w:val="right"/>
        <w:rPr>
          <w:rFonts w:ascii="黑体" w:eastAsia="黑体" w:hAnsi="黑体"/>
          <w:b w:val="0"/>
          <w:color w:val="000000"/>
        </w:rPr>
      </w:pPr>
    </w:p>
    <w:p w:rsidR="005B63CD" w:rsidRDefault="005B63CD">
      <w:pPr>
        <w:pStyle w:val="Heading1"/>
        <w:ind w:right="440"/>
        <w:jc w:val="right"/>
        <w:rPr>
          <w:rFonts w:ascii="黑体" w:eastAsia="黑体" w:hAnsi="黑体"/>
          <w:b w:val="0"/>
          <w:color w:val="000000"/>
        </w:rPr>
      </w:pPr>
    </w:p>
    <w:p w:rsidR="005B63CD" w:rsidRDefault="005B63CD">
      <w:pPr>
        <w:pStyle w:val="Heading1"/>
        <w:ind w:right="440"/>
        <w:jc w:val="right"/>
        <w:rPr>
          <w:rFonts w:ascii="黑体" w:eastAsia="黑体" w:hAnsi="黑体"/>
          <w:b w:val="0"/>
          <w:color w:val="000000"/>
        </w:rPr>
      </w:pPr>
    </w:p>
    <w:p w:rsidR="005B63CD" w:rsidRDefault="005B63CD">
      <w:pPr>
        <w:pStyle w:val="Heading1"/>
        <w:ind w:right="440"/>
        <w:jc w:val="right"/>
        <w:rPr>
          <w:rStyle w:val="Heading1Char"/>
          <w:rFonts w:ascii="黑体" w:eastAsia="黑体" w:hAnsi="黑体"/>
        </w:rPr>
      </w:pPr>
      <w:r>
        <w:rPr>
          <w:rFonts w:ascii="黑体" w:eastAsia="黑体" w:hAnsi="黑体" w:hint="eastAsia"/>
          <w:b w:val="0"/>
          <w:color w:val="000000"/>
        </w:rPr>
        <w:t>第二部分</w:t>
      </w:r>
      <w:r>
        <w:rPr>
          <w:rFonts w:ascii="黑体" w:eastAsia="黑体" w:hAnsi="黑体"/>
          <w:color w:val="000000"/>
        </w:rPr>
        <w:t xml:space="preserve"> </w:t>
      </w:r>
      <w:r>
        <w:rPr>
          <w:rStyle w:val="Heading1Char"/>
          <w:rFonts w:ascii="黑体" w:eastAsia="黑体" w:hAnsi="黑体"/>
        </w:rPr>
        <w:t>2019</w:t>
      </w:r>
      <w:r>
        <w:rPr>
          <w:rStyle w:val="Heading1Char"/>
          <w:rFonts w:ascii="黑体" w:eastAsia="黑体" w:hAnsi="黑体" w:hint="eastAsia"/>
        </w:rPr>
        <w:t>年度部门决算情况说明</w:t>
      </w:r>
      <w:bookmarkEnd w:id="21"/>
      <w:bookmarkEnd w:id="22"/>
    </w:p>
    <w:p w:rsidR="005B63CD" w:rsidRDefault="005B63CD"/>
    <w:p w:rsidR="005B63CD" w:rsidRDefault="005B63CD">
      <w:pPr>
        <w:pStyle w:val="ListParagraph"/>
        <w:numPr>
          <w:ilvl w:val="0"/>
          <w:numId w:val="1"/>
        </w:numPr>
        <w:spacing w:line="600" w:lineRule="exact"/>
        <w:ind w:firstLineChars="0"/>
        <w:outlineLvl w:val="1"/>
        <w:rPr>
          <w:rStyle w:val="Heading2Char"/>
          <w:rFonts w:ascii="黑体" w:eastAsia="黑体" w:hAnsi="黑体"/>
          <w:b w:val="0"/>
        </w:rPr>
      </w:pPr>
      <w:bookmarkStart w:id="23" w:name="_Toc15377205"/>
      <w:bookmarkStart w:id="24" w:name="_Toc15396603"/>
      <w:r>
        <w:rPr>
          <w:rFonts w:ascii="黑体" w:eastAsia="黑体" w:hAnsi="黑体" w:hint="eastAsia"/>
          <w:color w:val="000000"/>
          <w:sz w:val="32"/>
          <w:szCs w:val="32"/>
        </w:rPr>
        <w:t>收</w:t>
      </w:r>
      <w:r>
        <w:rPr>
          <w:rStyle w:val="Heading2Char"/>
          <w:rFonts w:ascii="黑体" w:eastAsia="黑体" w:hAnsi="黑体" w:hint="eastAsia"/>
          <w:b w:val="0"/>
        </w:rPr>
        <w:t>入支出决算总体情况说明</w:t>
      </w:r>
      <w:bookmarkEnd w:id="23"/>
      <w:bookmarkEnd w:id="24"/>
    </w:p>
    <w:p w:rsidR="005B63CD" w:rsidRDefault="005B63CD">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年度收入总计</w:t>
      </w:r>
      <w:r>
        <w:rPr>
          <w:rFonts w:ascii="仿宋" w:eastAsia="仿宋" w:hAnsi="仿宋"/>
          <w:color w:val="000000"/>
          <w:sz w:val="32"/>
          <w:szCs w:val="32"/>
        </w:rPr>
        <w:t>317.91</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年度收入总计</w:t>
      </w:r>
      <w:r>
        <w:rPr>
          <w:rFonts w:ascii="仿宋" w:eastAsia="仿宋" w:hAnsi="仿宋"/>
          <w:color w:val="000000"/>
          <w:sz w:val="32"/>
          <w:szCs w:val="32"/>
        </w:rPr>
        <w:t>265</w:t>
      </w:r>
      <w:r>
        <w:rPr>
          <w:rFonts w:ascii="仿宋" w:eastAsia="仿宋" w:hAnsi="仿宋" w:hint="eastAsia"/>
          <w:color w:val="000000"/>
          <w:sz w:val="32"/>
          <w:szCs w:val="32"/>
        </w:rPr>
        <w:t>万元相比，增加了</w:t>
      </w:r>
      <w:r>
        <w:rPr>
          <w:rFonts w:ascii="仿宋" w:eastAsia="仿宋" w:hAnsi="仿宋"/>
          <w:color w:val="000000"/>
          <w:sz w:val="32"/>
          <w:szCs w:val="32"/>
        </w:rPr>
        <w:t>52.91</w:t>
      </w:r>
      <w:r>
        <w:rPr>
          <w:rFonts w:ascii="仿宋" w:eastAsia="仿宋" w:hAnsi="仿宋" w:hint="eastAsia"/>
          <w:color w:val="000000"/>
          <w:sz w:val="32"/>
          <w:szCs w:val="32"/>
        </w:rPr>
        <w:t>万，增长了</w:t>
      </w:r>
      <w:r>
        <w:rPr>
          <w:rFonts w:ascii="仿宋" w:eastAsia="仿宋" w:hAnsi="仿宋"/>
          <w:color w:val="000000"/>
          <w:sz w:val="32"/>
          <w:szCs w:val="32"/>
        </w:rPr>
        <w:t>19.97%</w:t>
      </w:r>
      <w:r>
        <w:rPr>
          <w:rFonts w:ascii="仿宋" w:eastAsia="仿宋" w:hAnsi="仿宋" w:hint="eastAsia"/>
          <w:color w:val="000000"/>
          <w:sz w:val="32"/>
          <w:szCs w:val="32"/>
        </w:rPr>
        <w:t>，原因为一是墓地维修增加，二是</w:t>
      </w:r>
      <w:r>
        <w:rPr>
          <w:rFonts w:ascii="仿宋" w:eastAsia="仿宋" w:hAnsi="仿宋"/>
          <w:color w:val="000000"/>
          <w:sz w:val="32"/>
          <w:szCs w:val="32"/>
        </w:rPr>
        <w:t>2019</w:t>
      </w:r>
      <w:r>
        <w:rPr>
          <w:rFonts w:ascii="仿宋" w:eastAsia="仿宋" w:hAnsi="仿宋" w:hint="eastAsia"/>
          <w:color w:val="000000"/>
          <w:sz w:val="32"/>
          <w:szCs w:val="32"/>
        </w:rPr>
        <w:t>年新增烈士陵园收入</w:t>
      </w:r>
      <w:r>
        <w:rPr>
          <w:rFonts w:ascii="仿宋" w:eastAsia="仿宋" w:hAnsi="仿宋"/>
          <w:color w:val="000000"/>
          <w:sz w:val="32"/>
          <w:szCs w:val="32"/>
        </w:rPr>
        <w:t>5</w:t>
      </w:r>
      <w:r>
        <w:rPr>
          <w:rFonts w:ascii="仿宋" w:eastAsia="仿宋" w:hAnsi="仿宋" w:hint="eastAsia"/>
          <w:color w:val="000000"/>
          <w:sz w:val="32"/>
          <w:szCs w:val="32"/>
        </w:rPr>
        <w:t>万元；</w:t>
      </w:r>
      <w:r>
        <w:rPr>
          <w:rFonts w:ascii="仿宋" w:eastAsia="仿宋" w:hAnsi="仿宋"/>
          <w:color w:val="000000"/>
          <w:sz w:val="32"/>
          <w:szCs w:val="32"/>
        </w:rPr>
        <w:t>2019</w:t>
      </w:r>
      <w:r>
        <w:rPr>
          <w:rFonts w:ascii="仿宋" w:eastAsia="仿宋" w:hAnsi="仿宋" w:hint="eastAsia"/>
          <w:color w:val="000000"/>
          <w:sz w:val="32"/>
          <w:szCs w:val="32"/>
        </w:rPr>
        <w:t>年度支出总计</w:t>
      </w:r>
      <w:r>
        <w:rPr>
          <w:rFonts w:ascii="仿宋" w:eastAsia="仿宋" w:hAnsi="仿宋"/>
          <w:color w:val="000000"/>
          <w:sz w:val="32"/>
          <w:szCs w:val="32"/>
        </w:rPr>
        <w:t>315.82</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年度支出总计</w:t>
      </w:r>
      <w:r>
        <w:rPr>
          <w:rFonts w:ascii="仿宋" w:eastAsia="仿宋" w:hAnsi="仿宋"/>
          <w:color w:val="000000"/>
          <w:sz w:val="32"/>
          <w:szCs w:val="32"/>
        </w:rPr>
        <w:t>403.21</w:t>
      </w:r>
      <w:r>
        <w:rPr>
          <w:rFonts w:ascii="仿宋" w:eastAsia="仿宋" w:hAnsi="仿宋" w:hint="eastAsia"/>
          <w:color w:val="000000"/>
          <w:sz w:val="32"/>
          <w:szCs w:val="32"/>
        </w:rPr>
        <w:t>万元相比，减少了</w:t>
      </w:r>
      <w:r>
        <w:rPr>
          <w:rFonts w:ascii="仿宋" w:eastAsia="仿宋" w:hAnsi="仿宋"/>
          <w:color w:val="000000"/>
          <w:sz w:val="32"/>
          <w:szCs w:val="32"/>
        </w:rPr>
        <w:t>87.39</w:t>
      </w:r>
      <w:r>
        <w:rPr>
          <w:rFonts w:ascii="仿宋" w:eastAsia="仿宋" w:hAnsi="仿宋" w:hint="eastAsia"/>
          <w:color w:val="000000"/>
          <w:sz w:val="32"/>
          <w:szCs w:val="32"/>
        </w:rPr>
        <w:t>万元，下降了</w:t>
      </w:r>
      <w:r>
        <w:rPr>
          <w:rFonts w:ascii="仿宋" w:eastAsia="仿宋" w:hAnsi="仿宋"/>
          <w:color w:val="000000"/>
          <w:sz w:val="32"/>
          <w:szCs w:val="32"/>
        </w:rPr>
        <w:t>21.67%</w:t>
      </w:r>
      <w:r>
        <w:rPr>
          <w:rFonts w:ascii="仿宋" w:eastAsia="仿宋" w:hAnsi="仿宋" w:hint="eastAsia"/>
          <w:color w:val="000000"/>
          <w:sz w:val="32"/>
          <w:szCs w:val="32"/>
        </w:rPr>
        <w:t>，原因为无新增墓地。</w:t>
      </w:r>
    </w:p>
    <w:p w:rsidR="005B63CD" w:rsidRDefault="005B63CD">
      <w:pPr>
        <w:spacing w:line="600" w:lineRule="exact"/>
        <w:ind w:firstLineChars="200" w:firstLine="640"/>
        <w:jc w:val="left"/>
        <w:rPr>
          <w:rFonts w:ascii="仿宋_GB2312" w:eastAsia="仿宋_GB2312"/>
          <w:color w:val="000000"/>
          <w:sz w:val="32"/>
          <w:szCs w:val="32"/>
        </w:rPr>
      </w:pPr>
    </w:p>
    <w:p w:rsidR="005B63CD" w:rsidRDefault="005B63CD">
      <w:pPr>
        <w:pStyle w:val="ListParagraph"/>
        <w:numPr>
          <w:ilvl w:val="0"/>
          <w:numId w:val="1"/>
        </w:numPr>
        <w:spacing w:line="600" w:lineRule="exact"/>
        <w:ind w:firstLineChars="0"/>
        <w:outlineLvl w:val="1"/>
        <w:rPr>
          <w:rStyle w:val="Heading2Char"/>
          <w:rFonts w:ascii="黑体" w:eastAsia="黑体" w:hAnsi="黑体"/>
          <w:b w:val="0"/>
        </w:rPr>
      </w:pPr>
      <w:bookmarkStart w:id="25" w:name="_Toc15377206"/>
      <w:bookmarkStart w:id="26" w:name="_Toc15396604"/>
      <w:r>
        <w:rPr>
          <w:rFonts w:ascii="黑体" w:eastAsia="黑体" w:hAnsi="黑体" w:hint="eastAsia"/>
          <w:color w:val="000000"/>
          <w:sz w:val="32"/>
          <w:szCs w:val="32"/>
        </w:rPr>
        <w:t>收</w:t>
      </w:r>
      <w:r>
        <w:rPr>
          <w:rStyle w:val="Heading2Char"/>
          <w:rFonts w:ascii="黑体" w:eastAsia="黑体" w:hAnsi="黑体" w:hint="eastAsia"/>
          <w:b w:val="0"/>
        </w:rPr>
        <w:t>入决算情况说明</w:t>
      </w:r>
      <w:bookmarkEnd w:id="25"/>
      <w:bookmarkEnd w:id="26"/>
    </w:p>
    <w:p w:rsidR="005B63CD" w:rsidRDefault="005B63CD">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年本年收入合计</w:t>
      </w:r>
      <w:r>
        <w:rPr>
          <w:rFonts w:ascii="仿宋" w:eastAsia="仿宋" w:hAnsi="仿宋"/>
          <w:color w:val="000000"/>
          <w:sz w:val="32"/>
          <w:szCs w:val="32"/>
        </w:rPr>
        <w:t>317.91</w:t>
      </w:r>
      <w:r>
        <w:rPr>
          <w:rFonts w:ascii="仿宋" w:eastAsia="仿宋" w:hAnsi="仿宋" w:hint="eastAsia"/>
          <w:color w:val="000000"/>
          <w:sz w:val="32"/>
          <w:szCs w:val="32"/>
        </w:rPr>
        <w:t>万元，其中：一般公共预算财政拨款收入</w:t>
      </w:r>
      <w:r>
        <w:rPr>
          <w:rFonts w:ascii="仿宋" w:eastAsia="仿宋" w:hAnsi="仿宋"/>
          <w:color w:val="000000"/>
          <w:sz w:val="32"/>
          <w:szCs w:val="32"/>
        </w:rPr>
        <w:t>312.91</w:t>
      </w:r>
      <w:r>
        <w:rPr>
          <w:rFonts w:ascii="仿宋" w:eastAsia="仿宋" w:hAnsi="仿宋" w:hint="eastAsia"/>
          <w:color w:val="000000"/>
          <w:sz w:val="32"/>
          <w:szCs w:val="32"/>
        </w:rPr>
        <w:t>万元，占本年收入的</w:t>
      </w:r>
      <w:r>
        <w:rPr>
          <w:rFonts w:ascii="仿宋" w:eastAsia="仿宋" w:hAnsi="仿宋"/>
          <w:color w:val="000000"/>
          <w:sz w:val="32"/>
          <w:szCs w:val="32"/>
        </w:rPr>
        <w:t>98.43%</w:t>
      </w:r>
      <w:r>
        <w:rPr>
          <w:rFonts w:ascii="仿宋" w:eastAsia="仿宋" w:hAnsi="仿宋" w:hint="eastAsia"/>
          <w:color w:val="000000"/>
          <w:sz w:val="32"/>
          <w:szCs w:val="32"/>
        </w:rPr>
        <w:t>；其他收入</w:t>
      </w:r>
      <w:r>
        <w:rPr>
          <w:rFonts w:ascii="仿宋" w:eastAsia="仿宋" w:hAnsi="仿宋"/>
          <w:color w:val="000000"/>
          <w:sz w:val="32"/>
          <w:szCs w:val="32"/>
        </w:rPr>
        <w:t>5</w:t>
      </w:r>
      <w:r>
        <w:rPr>
          <w:rFonts w:ascii="仿宋" w:eastAsia="仿宋" w:hAnsi="仿宋" w:hint="eastAsia"/>
          <w:color w:val="000000"/>
          <w:sz w:val="32"/>
          <w:szCs w:val="32"/>
        </w:rPr>
        <w:t>万元，占本年收入的</w:t>
      </w:r>
      <w:r>
        <w:rPr>
          <w:rFonts w:ascii="仿宋" w:eastAsia="仿宋" w:hAnsi="仿宋"/>
          <w:color w:val="000000"/>
          <w:sz w:val="32"/>
          <w:szCs w:val="32"/>
        </w:rPr>
        <w:t>1.57%</w:t>
      </w:r>
      <w:r>
        <w:rPr>
          <w:rFonts w:ascii="仿宋" w:eastAsia="仿宋" w:hAnsi="仿宋" w:hint="eastAsia"/>
          <w:color w:val="000000"/>
          <w:sz w:val="32"/>
          <w:szCs w:val="32"/>
        </w:rPr>
        <w:t>。</w:t>
      </w:r>
    </w:p>
    <w:p w:rsidR="005B63CD" w:rsidRDefault="005B63CD">
      <w:pPr>
        <w:spacing w:line="600" w:lineRule="exact"/>
        <w:rPr>
          <w:rFonts w:ascii="仿宋_GB2312" w:eastAsia="仿宋_GB2312"/>
          <w:color w:val="FF0000"/>
          <w:sz w:val="32"/>
          <w:szCs w:val="32"/>
        </w:rPr>
      </w:pPr>
    </w:p>
    <w:p w:rsidR="005B63CD" w:rsidRDefault="005B63CD">
      <w:pPr>
        <w:pStyle w:val="ListParagraph"/>
        <w:numPr>
          <w:ilvl w:val="0"/>
          <w:numId w:val="1"/>
        </w:numPr>
        <w:spacing w:line="600" w:lineRule="exact"/>
        <w:ind w:firstLineChars="0"/>
        <w:outlineLvl w:val="1"/>
        <w:rPr>
          <w:rStyle w:val="Heading2Char"/>
          <w:rFonts w:ascii="黑体" w:eastAsia="黑体" w:hAnsi="黑体"/>
          <w:b w:val="0"/>
        </w:rPr>
      </w:pPr>
      <w:bookmarkStart w:id="27" w:name="_Toc15396605"/>
      <w:bookmarkStart w:id="28" w:name="_Toc15377207"/>
      <w:r>
        <w:rPr>
          <w:rFonts w:ascii="黑体" w:eastAsia="黑体" w:hAnsi="黑体" w:hint="eastAsia"/>
          <w:color w:val="000000"/>
          <w:sz w:val="32"/>
          <w:szCs w:val="32"/>
        </w:rPr>
        <w:t>支</w:t>
      </w:r>
      <w:r>
        <w:rPr>
          <w:rStyle w:val="Heading2Char"/>
          <w:rFonts w:ascii="黑体" w:eastAsia="黑体" w:hAnsi="黑体" w:hint="eastAsia"/>
          <w:b w:val="0"/>
        </w:rPr>
        <w:t>出决算情况说明</w:t>
      </w:r>
      <w:bookmarkEnd w:id="27"/>
      <w:bookmarkEnd w:id="28"/>
    </w:p>
    <w:p w:rsidR="005B63CD" w:rsidRDefault="005B63CD">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年本年支出合计</w:t>
      </w:r>
      <w:r>
        <w:rPr>
          <w:rFonts w:ascii="仿宋" w:eastAsia="仿宋" w:hAnsi="仿宋"/>
          <w:color w:val="000000"/>
          <w:sz w:val="32"/>
          <w:szCs w:val="32"/>
        </w:rPr>
        <w:t>315.82</w:t>
      </w:r>
      <w:r>
        <w:rPr>
          <w:rFonts w:ascii="仿宋" w:eastAsia="仿宋" w:hAnsi="仿宋" w:hint="eastAsia"/>
          <w:color w:val="000000"/>
          <w:sz w:val="32"/>
          <w:szCs w:val="32"/>
        </w:rPr>
        <w:t>万元，其中：项目支出</w:t>
      </w:r>
      <w:r>
        <w:rPr>
          <w:rFonts w:ascii="仿宋" w:eastAsia="仿宋" w:hAnsi="仿宋"/>
          <w:color w:val="000000"/>
          <w:sz w:val="32"/>
          <w:szCs w:val="32"/>
        </w:rPr>
        <w:t>315.82</w:t>
      </w:r>
      <w:r>
        <w:rPr>
          <w:rFonts w:ascii="仿宋" w:eastAsia="仿宋" w:hAnsi="仿宋" w:hint="eastAsia"/>
          <w:color w:val="000000"/>
          <w:sz w:val="32"/>
          <w:szCs w:val="32"/>
        </w:rPr>
        <w:t>万元，占总支出</w:t>
      </w:r>
      <w:r>
        <w:rPr>
          <w:rFonts w:ascii="仿宋" w:eastAsia="仿宋" w:hAnsi="仿宋"/>
          <w:color w:val="000000"/>
          <w:sz w:val="32"/>
          <w:szCs w:val="32"/>
        </w:rPr>
        <w:t>100%</w:t>
      </w:r>
      <w:r>
        <w:rPr>
          <w:rFonts w:ascii="仿宋" w:eastAsia="仿宋" w:hAnsi="仿宋" w:hint="eastAsia"/>
          <w:color w:val="000000"/>
          <w:sz w:val="32"/>
          <w:szCs w:val="32"/>
        </w:rPr>
        <w:t>；</w:t>
      </w:r>
    </w:p>
    <w:p w:rsidR="005B63CD" w:rsidRDefault="005B63CD">
      <w:pPr>
        <w:spacing w:line="600" w:lineRule="exact"/>
        <w:ind w:firstLineChars="200" w:firstLine="640"/>
        <w:rPr>
          <w:rFonts w:ascii="仿宋_GB2312" w:eastAsia="仿宋_GB2312"/>
          <w:color w:val="FF0000"/>
          <w:sz w:val="32"/>
          <w:szCs w:val="32"/>
        </w:rPr>
      </w:pPr>
    </w:p>
    <w:p w:rsidR="005B63CD" w:rsidRDefault="005B63CD">
      <w:pPr>
        <w:spacing w:line="600" w:lineRule="exact"/>
        <w:ind w:firstLineChars="200" w:firstLine="640"/>
        <w:outlineLvl w:val="1"/>
        <w:rPr>
          <w:rStyle w:val="Heading2Char"/>
          <w:rFonts w:ascii="黑体" w:eastAsia="黑体" w:hAnsi="黑体"/>
          <w:b w:val="0"/>
        </w:rPr>
      </w:pPr>
      <w:bookmarkStart w:id="29" w:name="_Toc15396606"/>
      <w:bookmarkStart w:id="30" w:name="_Toc15377208"/>
      <w:r>
        <w:rPr>
          <w:rFonts w:ascii="黑体" w:eastAsia="黑体" w:hAnsi="黑体" w:hint="eastAsia"/>
          <w:color w:val="000000"/>
          <w:sz w:val="32"/>
          <w:szCs w:val="32"/>
        </w:rPr>
        <w:t>四、财</w:t>
      </w:r>
      <w:r>
        <w:rPr>
          <w:rStyle w:val="Heading2Char"/>
          <w:rFonts w:ascii="黑体" w:eastAsia="黑体" w:hAnsi="黑体" w:hint="eastAsia"/>
          <w:b w:val="0"/>
        </w:rPr>
        <w:t>政拨款收入支出决算总体情况说明</w:t>
      </w:r>
      <w:bookmarkEnd w:id="29"/>
      <w:bookmarkEnd w:id="30"/>
    </w:p>
    <w:p w:rsidR="005B63CD" w:rsidRDefault="005B63CD">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年财政拨款收入总计</w:t>
      </w:r>
      <w:r>
        <w:rPr>
          <w:rFonts w:ascii="仿宋" w:eastAsia="仿宋" w:hAnsi="仿宋"/>
          <w:color w:val="000000"/>
          <w:sz w:val="32"/>
          <w:szCs w:val="32"/>
        </w:rPr>
        <w:t>312.91</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年财政拨款收入总计</w:t>
      </w:r>
      <w:r>
        <w:rPr>
          <w:rFonts w:ascii="仿宋" w:eastAsia="仿宋" w:hAnsi="仿宋"/>
          <w:color w:val="000000"/>
          <w:sz w:val="32"/>
          <w:szCs w:val="32"/>
        </w:rPr>
        <w:t>265</w:t>
      </w:r>
      <w:r>
        <w:rPr>
          <w:rFonts w:ascii="仿宋" w:eastAsia="仿宋" w:hAnsi="仿宋" w:hint="eastAsia"/>
          <w:color w:val="000000"/>
          <w:sz w:val="32"/>
          <w:szCs w:val="32"/>
        </w:rPr>
        <w:t>万元相比，增加了</w:t>
      </w:r>
      <w:r>
        <w:rPr>
          <w:rFonts w:ascii="仿宋" w:eastAsia="仿宋" w:hAnsi="仿宋"/>
          <w:color w:val="000000"/>
          <w:sz w:val="32"/>
          <w:szCs w:val="32"/>
        </w:rPr>
        <w:t>47.91</w:t>
      </w:r>
      <w:r>
        <w:rPr>
          <w:rFonts w:ascii="仿宋" w:eastAsia="仿宋" w:hAnsi="仿宋" w:hint="eastAsia"/>
          <w:color w:val="000000"/>
          <w:sz w:val="32"/>
          <w:szCs w:val="32"/>
        </w:rPr>
        <w:t>万，增长了</w:t>
      </w:r>
      <w:r>
        <w:rPr>
          <w:rFonts w:ascii="仿宋" w:eastAsia="仿宋" w:hAnsi="仿宋"/>
          <w:color w:val="000000"/>
          <w:sz w:val="32"/>
          <w:szCs w:val="32"/>
        </w:rPr>
        <w:t>18.08%</w:t>
      </w:r>
      <w:r>
        <w:rPr>
          <w:rFonts w:ascii="仿宋" w:eastAsia="仿宋" w:hAnsi="仿宋" w:hint="eastAsia"/>
          <w:color w:val="000000"/>
          <w:sz w:val="32"/>
          <w:szCs w:val="32"/>
        </w:rPr>
        <w:t>，原因为墓地维修增加；</w:t>
      </w:r>
      <w:r>
        <w:rPr>
          <w:rFonts w:ascii="仿宋" w:eastAsia="仿宋" w:hAnsi="仿宋"/>
          <w:color w:val="000000"/>
          <w:sz w:val="32"/>
          <w:szCs w:val="32"/>
        </w:rPr>
        <w:t>2019</w:t>
      </w:r>
      <w:r>
        <w:rPr>
          <w:rFonts w:ascii="仿宋" w:eastAsia="仿宋" w:hAnsi="仿宋" w:hint="eastAsia"/>
          <w:color w:val="000000"/>
          <w:sz w:val="32"/>
          <w:szCs w:val="32"/>
        </w:rPr>
        <w:t>年财政拨款支出总计</w:t>
      </w:r>
      <w:r>
        <w:rPr>
          <w:rFonts w:ascii="仿宋" w:eastAsia="仿宋" w:hAnsi="仿宋"/>
          <w:color w:val="000000"/>
          <w:sz w:val="32"/>
          <w:szCs w:val="32"/>
        </w:rPr>
        <w:t>312.91</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年财政拨款支出总计</w:t>
      </w:r>
      <w:r>
        <w:rPr>
          <w:rFonts w:ascii="仿宋" w:eastAsia="仿宋" w:hAnsi="仿宋"/>
          <w:color w:val="000000"/>
          <w:sz w:val="32"/>
          <w:szCs w:val="32"/>
        </w:rPr>
        <w:t>265.98</w:t>
      </w:r>
      <w:r>
        <w:rPr>
          <w:rFonts w:ascii="仿宋" w:eastAsia="仿宋" w:hAnsi="仿宋" w:hint="eastAsia"/>
          <w:color w:val="000000"/>
          <w:sz w:val="32"/>
          <w:szCs w:val="32"/>
        </w:rPr>
        <w:t>万元相比，增加了</w:t>
      </w:r>
      <w:r>
        <w:rPr>
          <w:rFonts w:ascii="仿宋" w:eastAsia="仿宋" w:hAnsi="仿宋"/>
          <w:color w:val="000000"/>
          <w:sz w:val="32"/>
          <w:szCs w:val="32"/>
        </w:rPr>
        <w:t>46.93</w:t>
      </w:r>
      <w:r>
        <w:rPr>
          <w:rFonts w:ascii="仿宋" w:eastAsia="仿宋" w:hAnsi="仿宋" w:hint="eastAsia"/>
          <w:color w:val="000000"/>
          <w:sz w:val="32"/>
          <w:szCs w:val="32"/>
        </w:rPr>
        <w:t>万元，增长了</w:t>
      </w:r>
      <w:r>
        <w:rPr>
          <w:rFonts w:ascii="仿宋" w:eastAsia="仿宋" w:hAnsi="仿宋"/>
          <w:color w:val="000000"/>
          <w:sz w:val="32"/>
          <w:szCs w:val="32"/>
        </w:rPr>
        <w:t>17.64%</w:t>
      </w:r>
      <w:r>
        <w:rPr>
          <w:rFonts w:ascii="仿宋" w:eastAsia="仿宋" w:hAnsi="仿宋" w:hint="eastAsia"/>
          <w:color w:val="000000"/>
          <w:sz w:val="32"/>
          <w:szCs w:val="32"/>
        </w:rPr>
        <w:t>，原因为墓地维修增加。</w:t>
      </w:r>
    </w:p>
    <w:p w:rsidR="005B63CD" w:rsidRDefault="005B63CD">
      <w:pPr>
        <w:spacing w:line="600" w:lineRule="exact"/>
        <w:rPr>
          <w:rFonts w:ascii="仿宋" w:eastAsia="仿宋" w:hAnsi="仿宋"/>
          <w:color w:val="000000"/>
          <w:sz w:val="32"/>
          <w:szCs w:val="32"/>
        </w:rPr>
      </w:pPr>
    </w:p>
    <w:p w:rsidR="005B63CD" w:rsidRDefault="005B63CD">
      <w:pPr>
        <w:spacing w:line="600" w:lineRule="exact"/>
        <w:ind w:firstLineChars="200" w:firstLine="640"/>
        <w:outlineLvl w:val="1"/>
        <w:rPr>
          <w:rStyle w:val="Heading2Char"/>
          <w:rFonts w:ascii="黑体" w:eastAsia="黑体" w:hAnsi="黑体"/>
          <w:b w:val="0"/>
        </w:rPr>
      </w:pPr>
      <w:bookmarkStart w:id="31" w:name="_Toc15396607"/>
      <w:bookmarkStart w:id="32"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Heading2Char"/>
          <w:rFonts w:ascii="黑体" w:eastAsia="黑体" w:hAnsi="黑体" w:hint="eastAsia"/>
          <w:b w:val="0"/>
        </w:rPr>
        <w:t>般公共预算财政拨款支出决算情况说明</w:t>
      </w:r>
      <w:bookmarkEnd w:id="31"/>
      <w:bookmarkEnd w:id="32"/>
    </w:p>
    <w:p w:rsidR="005B63CD" w:rsidRDefault="005B63CD">
      <w:pPr>
        <w:spacing w:line="600" w:lineRule="exact"/>
        <w:ind w:firstLineChars="200" w:firstLine="643"/>
        <w:outlineLvl w:val="2"/>
        <w:rPr>
          <w:rFonts w:ascii="仿宋" w:eastAsia="仿宋" w:hAnsi="仿宋"/>
          <w:b/>
          <w:color w:val="000000"/>
          <w:sz w:val="32"/>
          <w:szCs w:val="32"/>
        </w:rPr>
      </w:pPr>
      <w:bookmarkStart w:id="33" w:name="_Toc15377210"/>
      <w:r>
        <w:rPr>
          <w:rFonts w:ascii="仿宋" w:eastAsia="仿宋" w:hAnsi="仿宋" w:hint="eastAsia"/>
          <w:b/>
          <w:color w:val="000000"/>
          <w:sz w:val="32"/>
          <w:szCs w:val="32"/>
        </w:rPr>
        <w:t>（一）一般公共预算财政拨款支出决算总体情况</w:t>
      </w:r>
      <w:bookmarkEnd w:id="33"/>
    </w:p>
    <w:p w:rsidR="005B63CD" w:rsidRDefault="005B63CD">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312.91</w:t>
      </w:r>
      <w:r>
        <w:rPr>
          <w:rFonts w:ascii="仿宋" w:eastAsia="仿宋" w:hAnsi="仿宋" w:hint="eastAsia"/>
          <w:color w:val="000000"/>
          <w:sz w:val="32"/>
          <w:szCs w:val="32"/>
        </w:rPr>
        <w:t>万元，占本年支出合计的</w:t>
      </w:r>
      <w:r>
        <w:rPr>
          <w:rFonts w:ascii="仿宋" w:eastAsia="仿宋" w:hAnsi="仿宋"/>
          <w:color w:val="000000"/>
          <w:sz w:val="32"/>
          <w:szCs w:val="32"/>
        </w:rPr>
        <w:t>99.08%</w:t>
      </w:r>
      <w:r>
        <w:rPr>
          <w:rFonts w:ascii="仿宋" w:eastAsia="仿宋" w:hAnsi="仿宋" w:hint="eastAsia"/>
          <w:color w:val="000000"/>
          <w:sz w:val="32"/>
          <w:szCs w:val="32"/>
        </w:rPr>
        <w:t>。与</w:t>
      </w:r>
      <w:r>
        <w:rPr>
          <w:rFonts w:ascii="仿宋" w:eastAsia="仿宋" w:hAnsi="仿宋"/>
          <w:color w:val="000000"/>
          <w:sz w:val="32"/>
          <w:szCs w:val="32"/>
        </w:rPr>
        <w:t>2018</w:t>
      </w:r>
      <w:r>
        <w:rPr>
          <w:rFonts w:ascii="仿宋" w:eastAsia="仿宋" w:hAnsi="仿宋" w:hint="eastAsia"/>
          <w:color w:val="000000"/>
          <w:sz w:val="32"/>
          <w:szCs w:val="32"/>
        </w:rPr>
        <w:t>年一般公共预算财政拨款支出</w:t>
      </w:r>
      <w:r>
        <w:rPr>
          <w:rFonts w:ascii="仿宋" w:eastAsia="仿宋" w:hAnsi="仿宋"/>
          <w:color w:val="000000"/>
          <w:sz w:val="32"/>
          <w:szCs w:val="32"/>
        </w:rPr>
        <w:t>265.98</w:t>
      </w:r>
      <w:r>
        <w:rPr>
          <w:rFonts w:ascii="仿宋" w:eastAsia="仿宋" w:hAnsi="仿宋" w:hint="eastAsia"/>
          <w:color w:val="000000"/>
          <w:sz w:val="32"/>
          <w:szCs w:val="32"/>
        </w:rPr>
        <w:t>万元相比，一般公共预算财政拨款支出增加了</w:t>
      </w:r>
      <w:r>
        <w:rPr>
          <w:rFonts w:ascii="仿宋" w:eastAsia="仿宋" w:hAnsi="仿宋"/>
          <w:color w:val="000000"/>
          <w:sz w:val="32"/>
          <w:szCs w:val="32"/>
        </w:rPr>
        <w:t>46.93</w:t>
      </w:r>
      <w:r>
        <w:rPr>
          <w:rFonts w:ascii="仿宋" w:eastAsia="仿宋" w:hAnsi="仿宋" w:hint="eastAsia"/>
          <w:color w:val="000000"/>
          <w:sz w:val="32"/>
          <w:szCs w:val="32"/>
        </w:rPr>
        <w:t>万元，增长</w:t>
      </w:r>
      <w:r>
        <w:rPr>
          <w:rFonts w:ascii="仿宋" w:eastAsia="仿宋" w:hAnsi="仿宋"/>
          <w:color w:val="000000"/>
          <w:sz w:val="32"/>
          <w:szCs w:val="32"/>
        </w:rPr>
        <w:t>17.64%</w:t>
      </w:r>
      <w:r>
        <w:rPr>
          <w:rFonts w:ascii="仿宋" w:eastAsia="仿宋" w:hAnsi="仿宋" w:hint="eastAsia"/>
          <w:color w:val="000000"/>
          <w:sz w:val="32"/>
          <w:szCs w:val="32"/>
        </w:rPr>
        <w:t>，主要变动原因是墓地维修增加。</w:t>
      </w:r>
    </w:p>
    <w:p w:rsidR="005B63CD" w:rsidRDefault="005B63CD">
      <w:pPr>
        <w:spacing w:line="600" w:lineRule="exact"/>
        <w:ind w:firstLineChars="200" w:firstLine="640"/>
        <w:rPr>
          <w:rFonts w:ascii="仿宋" w:eastAsia="仿宋" w:hAnsi="仿宋"/>
          <w:color w:val="000000"/>
          <w:sz w:val="32"/>
          <w:szCs w:val="32"/>
        </w:rPr>
      </w:pPr>
    </w:p>
    <w:p w:rsidR="005B63CD" w:rsidRDefault="005B63CD">
      <w:pPr>
        <w:spacing w:line="600" w:lineRule="exact"/>
        <w:ind w:firstLineChars="200" w:firstLine="643"/>
        <w:outlineLvl w:val="2"/>
        <w:rPr>
          <w:rFonts w:ascii="仿宋" w:eastAsia="仿宋" w:hAnsi="仿宋"/>
          <w:b/>
          <w:color w:val="000000"/>
          <w:sz w:val="32"/>
          <w:szCs w:val="32"/>
        </w:rPr>
      </w:pPr>
      <w:bookmarkStart w:id="34" w:name="_Toc15377211"/>
      <w:r>
        <w:rPr>
          <w:rFonts w:ascii="仿宋" w:eastAsia="仿宋" w:hAnsi="仿宋" w:hint="eastAsia"/>
          <w:b/>
          <w:color w:val="000000"/>
          <w:sz w:val="32"/>
          <w:szCs w:val="32"/>
        </w:rPr>
        <w:t>（二）一般公共预算财政拨款支出决算结构情况</w:t>
      </w:r>
      <w:bookmarkEnd w:id="34"/>
    </w:p>
    <w:p w:rsidR="005B63CD" w:rsidRDefault="005B63CD">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312.91</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Pr>
          <w:rFonts w:ascii="仿宋" w:eastAsia="仿宋" w:hAnsi="仿宋" w:hint="eastAsia"/>
          <w:b/>
          <w:color w:val="000000"/>
          <w:sz w:val="32"/>
          <w:szCs w:val="32"/>
        </w:rPr>
        <w:t>社会保障和就业（</w:t>
      </w:r>
      <w:r>
        <w:rPr>
          <w:rFonts w:ascii="仿宋" w:eastAsia="仿宋" w:hAnsi="仿宋"/>
          <w:b/>
          <w:color w:val="000000"/>
          <w:sz w:val="32"/>
          <w:szCs w:val="32"/>
        </w:rPr>
        <w:t>2081004</w:t>
      </w:r>
      <w:r>
        <w:rPr>
          <w:rFonts w:ascii="仿宋" w:eastAsia="仿宋" w:hAnsi="仿宋" w:hint="eastAsia"/>
          <w:b/>
          <w:color w:val="000000"/>
          <w:sz w:val="32"/>
          <w:szCs w:val="32"/>
        </w:rPr>
        <w:t>）</w:t>
      </w:r>
      <w:r>
        <w:rPr>
          <w:rFonts w:ascii="仿宋" w:eastAsia="仿宋" w:hAnsi="仿宋" w:hint="eastAsia"/>
          <w:color w:val="000000"/>
          <w:sz w:val="32"/>
          <w:szCs w:val="32"/>
        </w:rPr>
        <w:t>支出</w:t>
      </w:r>
      <w:r>
        <w:rPr>
          <w:rFonts w:ascii="仿宋" w:eastAsia="仿宋" w:hAnsi="仿宋"/>
          <w:color w:val="000000"/>
          <w:sz w:val="32"/>
          <w:szCs w:val="32"/>
        </w:rPr>
        <w:t>312.91</w:t>
      </w:r>
      <w:r>
        <w:rPr>
          <w:rFonts w:ascii="仿宋" w:eastAsia="仿宋" w:hAnsi="仿宋" w:hint="eastAsia"/>
          <w:color w:val="000000"/>
          <w:sz w:val="32"/>
          <w:szCs w:val="32"/>
        </w:rPr>
        <w:t>万元，占</w:t>
      </w:r>
      <w:r>
        <w:rPr>
          <w:rFonts w:ascii="仿宋" w:eastAsia="仿宋" w:hAnsi="仿宋"/>
          <w:color w:val="000000"/>
          <w:sz w:val="32"/>
          <w:szCs w:val="32"/>
        </w:rPr>
        <w:t>100%</w:t>
      </w:r>
      <w:r>
        <w:rPr>
          <w:rFonts w:ascii="仿宋" w:eastAsia="仿宋" w:hAnsi="仿宋" w:hint="eastAsia"/>
          <w:color w:val="000000"/>
          <w:sz w:val="32"/>
          <w:szCs w:val="32"/>
        </w:rPr>
        <w:t>；</w:t>
      </w:r>
    </w:p>
    <w:p w:rsidR="005B63CD" w:rsidRDefault="005B63CD">
      <w:pPr>
        <w:spacing w:line="600" w:lineRule="exact"/>
        <w:ind w:firstLineChars="200" w:firstLine="640"/>
        <w:rPr>
          <w:rFonts w:ascii="仿宋" w:eastAsia="仿宋" w:hAnsi="仿宋"/>
          <w:color w:val="000000"/>
          <w:sz w:val="32"/>
          <w:szCs w:val="32"/>
        </w:rPr>
      </w:pPr>
    </w:p>
    <w:p w:rsidR="005B63CD" w:rsidRDefault="005B63CD">
      <w:pPr>
        <w:spacing w:line="600" w:lineRule="exact"/>
        <w:ind w:firstLineChars="200" w:firstLine="643"/>
        <w:outlineLvl w:val="2"/>
        <w:rPr>
          <w:rFonts w:ascii="仿宋" w:eastAsia="仿宋" w:hAnsi="仿宋"/>
          <w:b/>
          <w:color w:val="000000"/>
          <w:sz w:val="32"/>
          <w:szCs w:val="32"/>
        </w:rPr>
      </w:pPr>
      <w:bookmarkStart w:id="35" w:name="_Toc15377212"/>
      <w:r>
        <w:rPr>
          <w:rFonts w:ascii="仿宋" w:eastAsia="仿宋" w:hAnsi="仿宋" w:hint="eastAsia"/>
          <w:b/>
          <w:color w:val="000000"/>
          <w:sz w:val="32"/>
          <w:szCs w:val="32"/>
        </w:rPr>
        <w:t>（三）一般公共预算财政拨款支出决算具体情况</w:t>
      </w:r>
      <w:bookmarkEnd w:id="35"/>
    </w:p>
    <w:p w:rsidR="005B63CD" w:rsidRDefault="005B63CD">
      <w:pPr>
        <w:spacing w:line="600" w:lineRule="exact"/>
        <w:ind w:firstLineChars="200" w:firstLine="643"/>
        <w:outlineLvl w:val="2"/>
        <w:rPr>
          <w:rFonts w:ascii="仿宋" w:eastAsia="仿宋" w:hAnsi="仿宋"/>
          <w:color w:val="FF0000"/>
          <w:sz w:val="32"/>
          <w:szCs w:val="32"/>
        </w:rPr>
      </w:pPr>
      <w:bookmarkStart w:id="36" w:name="_Toc15377444"/>
      <w:bookmarkStart w:id="37" w:name="_Toc15378460"/>
      <w:bookmarkStart w:id="38" w:name="_Toc15377213"/>
      <w:r>
        <w:rPr>
          <w:rFonts w:ascii="仿宋" w:eastAsia="仿宋" w:hAnsi="仿宋"/>
          <w:b/>
          <w:color w:val="000000"/>
          <w:sz w:val="32"/>
          <w:szCs w:val="32"/>
        </w:rPr>
        <w:t>2019</w:t>
      </w:r>
      <w:r>
        <w:rPr>
          <w:rFonts w:ascii="仿宋" w:eastAsia="仿宋" w:hAnsi="仿宋" w:hint="eastAsia"/>
          <w:b/>
          <w:color w:val="000000"/>
          <w:sz w:val="32"/>
          <w:szCs w:val="32"/>
        </w:rPr>
        <w:t>年一般公共预算支出决算数为</w:t>
      </w:r>
      <w:r>
        <w:rPr>
          <w:rFonts w:ascii="仿宋" w:eastAsia="仿宋" w:hAnsi="仿宋"/>
          <w:color w:val="000000"/>
          <w:sz w:val="32"/>
          <w:szCs w:val="32"/>
        </w:rPr>
        <w:t>312.91</w:t>
      </w:r>
      <w:r>
        <w:rPr>
          <w:rFonts w:ascii="仿宋" w:eastAsia="仿宋" w:hAnsi="仿宋" w:hint="eastAsia"/>
          <w:color w:val="000000"/>
          <w:sz w:val="32"/>
          <w:szCs w:val="32"/>
        </w:rPr>
        <w:t>万元，</w:t>
      </w:r>
      <w:r>
        <w:rPr>
          <w:rStyle w:val="Strong"/>
          <w:rFonts w:ascii="仿宋" w:eastAsia="仿宋" w:hAnsi="仿宋" w:hint="eastAsia"/>
          <w:bCs/>
          <w:color w:val="000000"/>
          <w:sz w:val="32"/>
          <w:szCs w:val="32"/>
        </w:rPr>
        <w:t>完成预算</w:t>
      </w:r>
      <w:r>
        <w:rPr>
          <w:rStyle w:val="Strong"/>
          <w:rFonts w:ascii="仿宋" w:eastAsia="仿宋" w:hAnsi="仿宋"/>
          <w:bCs/>
          <w:color w:val="000000"/>
          <w:sz w:val="32"/>
          <w:szCs w:val="32"/>
        </w:rPr>
        <w:t>100%</w:t>
      </w:r>
      <w:r>
        <w:rPr>
          <w:rStyle w:val="Strong"/>
          <w:rFonts w:ascii="仿宋" w:eastAsia="仿宋" w:hAnsi="仿宋" w:hint="eastAsia"/>
          <w:bCs/>
          <w:color w:val="000000"/>
          <w:sz w:val="32"/>
          <w:szCs w:val="32"/>
        </w:rPr>
        <w:t>。其中：</w:t>
      </w:r>
      <w:bookmarkEnd w:id="36"/>
      <w:bookmarkEnd w:id="37"/>
      <w:bookmarkEnd w:id="38"/>
    </w:p>
    <w:p w:rsidR="005B63CD" w:rsidRPr="008D07E1" w:rsidRDefault="005B63CD">
      <w:pPr>
        <w:numPr>
          <w:ilvl w:val="0"/>
          <w:numId w:val="2"/>
        </w:numPr>
        <w:spacing w:line="600" w:lineRule="exact"/>
        <w:rPr>
          <w:rStyle w:val="Strong"/>
          <w:rFonts w:ascii="仿宋" w:eastAsia="仿宋" w:hAnsi="仿宋"/>
          <w:color w:val="000000"/>
          <w:sz w:val="32"/>
          <w:szCs w:val="32"/>
        </w:rPr>
      </w:pPr>
      <w:r>
        <w:rPr>
          <w:rStyle w:val="Strong"/>
          <w:rFonts w:ascii="仿宋" w:eastAsia="仿宋" w:hAnsi="仿宋" w:hint="eastAsia"/>
          <w:bCs/>
          <w:color w:val="000000"/>
          <w:sz w:val="32"/>
          <w:szCs w:val="32"/>
        </w:rPr>
        <w:t>社会保障和就业（类）</w:t>
      </w:r>
      <w:r>
        <w:rPr>
          <w:rStyle w:val="Strong"/>
          <w:rFonts w:ascii="仿宋" w:eastAsia="仿宋" w:hAnsi="仿宋"/>
          <w:bCs/>
          <w:color w:val="000000"/>
          <w:sz w:val="32"/>
          <w:szCs w:val="32"/>
        </w:rPr>
        <w:t>208</w:t>
      </w:r>
      <w:r>
        <w:rPr>
          <w:rStyle w:val="Strong"/>
          <w:rFonts w:ascii="仿宋" w:eastAsia="仿宋" w:hAnsi="仿宋" w:hint="eastAsia"/>
          <w:bCs/>
          <w:color w:val="000000"/>
          <w:sz w:val="32"/>
          <w:szCs w:val="32"/>
        </w:rPr>
        <w:t>（款）</w:t>
      </w:r>
      <w:r>
        <w:rPr>
          <w:rStyle w:val="Strong"/>
          <w:rFonts w:ascii="仿宋" w:eastAsia="仿宋" w:hAnsi="仿宋"/>
          <w:bCs/>
          <w:color w:val="000000"/>
          <w:sz w:val="32"/>
          <w:szCs w:val="32"/>
        </w:rPr>
        <w:t>10</w:t>
      </w:r>
      <w:r>
        <w:rPr>
          <w:rStyle w:val="Strong"/>
          <w:rFonts w:ascii="仿宋" w:eastAsia="仿宋" w:hAnsi="仿宋" w:hint="eastAsia"/>
          <w:bCs/>
          <w:color w:val="000000"/>
          <w:sz w:val="32"/>
          <w:szCs w:val="32"/>
        </w:rPr>
        <w:t>（项）</w:t>
      </w:r>
      <w:r>
        <w:rPr>
          <w:rStyle w:val="Strong"/>
          <w:rFonts w:ascii="仿宋" w:eastAsia="仿宋" w:hAnsi="仿宋"/>
          <w:bCs/>
          <w:color w:val="000000"/>
          <w:sz w:val="32"/>
          <w:szCs w:val="32"/>
        </w:rPr>
        <w:t>04:</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w:t>
      </w:r>
    </w:p>
    <w:p w:rsidR="005B63CD" w:rsidRDefault="005B63CD" w:rsidP="008D07E1">
      <w:pPr>
        <w:spacing w:line="600" w:lineRule="exact"/>
        <w:rPr>
          <w:rFonts w:ascii="仿宋" w:eastAsia="仿宋" w:hAnsi="仿宋"/>
          <w:b/>
          <w:color w:val="000000"/>
          <w:sz w:val="32"/>
          <w:szCs w:val="32"/>
        </w:rPr>
      </w:pPr>
      <w:r>
        <w:rPr>
          <w:rStyle w:val="Strong"/>
          <w:rFonts w:ascii="仿宋" w:eastAsia="仿宋" w:hAnsi="仿宋" w:hint="eastAsia"/>
          <w:b w:val="0"/>
          <w:bCs/>
          <w:color w:val="000000"/>
          <w:sz w:val="32"/>
          <w:szCs w:val="32"/>
        </w:rPr>
        <w:t>决算为</w:t>
      </w:r>
      <w:r>
        <w:rPr>
          <w:rStyle w:val="Strong"/>
          <w:rFonts w:ascii="仿宋" w:eastAsia="仿宋" w:hAnsi="仿宋"/>
          <w:b w:val="0"/>
          <w:bCs/>
          <w:color w:val="000000"/>
          <w:sz w:val="32"/>
          <w:szCs w:val="32"/>
        </w:rPr>
        <w:t>312.91</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p>
    <w:p w:rsidR="005B63CD" w:rsidRDefault="005B63CD">
      <w:pPr>
        <w:spacing w:line="600" w:lineRule="exact"/>
        <w:ind w:firstLine="640"/>
        <w:outlineLvl w:val="1"/>
        <w:rPr>
          <w:rStyle w:val="Heading2Char"/>
          <w:rFonts w:ascii="黑体" w:eastAsia="黑体" w:hAnsi="黑体"/>
          <w:b w:val="0"/>
        </w:rPr>
      </w:pPr>
      <w:bookmarkStart w:id="39" w:name="_Toc15396609"/>
      <w:bookmarkStart w:id="40" w:name="_Toc15377215"/>
      <w:r>
        <w:rPr>
          <w:rFonts w:ascii="黑体" w:eastAsia="黑体" w:hint="eastAsia"/>
          <w:color w:val="000000"/>
          <w:sz w:val="32"/>
          <w:szCs w:val="32"/>
        </w:rPr>
        <w:t>六、</w:t>
      </w:r>
      <w:r>
        <w:rPr>
          <w:rStyle w:val="Heading2Char"/>
          <w:rFonts w:ascii="黑体" w:eastAsia="黑体" w:hAnsi="黑体" w:hint="eastAsia"/>
        </w:rPr>
        <w:t>“</w:t>
      </w:r>
      <w:r>
        <w:rPr>
          <w:rStyle w:val="Heading2Char"/>
          <w:rFonts w:ascii="黑体" w:eastAsia="黑体" w:hAnsi="黑体" w:hint="eastAsia"/>
          <w:b w:val="0"/>
        </w:rPr>
        <w:t>三公”经费财政拨款支出决算情况说明</w:t>
      </w:r>
      <w:bookmarkEnd w:id="39"/>
      <w:bookmarkEnd w:id="40"/>
    </w:p>
    <w:p w:rsidR="005B63CD" w:rsidRDefault="005B63CD">
      <w:pPr>
        <w:spacing w:line="600" w:lineRule="exact"/>
        <w:ind w:firstLine="640"/>
        <w:outlineLvl w:val="2"/>
        <w:rPr>
          <w:rFonts w:ascii="仿宋" w:eastAsia="仿宋" w:hAnsi="仿宋"/>
          <w:b/>
          <w:color w:val="000000"/>
          <w:sz w:val="32"/>
          <w:szCs w:val="32"/>
        </w:rPr>
      </w:pPr>
      <w:bookmarkStart w:id="41" w:name="_Toc15377216"/>
      <w:r>
        <w:rPr>
          <w:rFonts w:ascii="仿宋" w:eastAsia="仿宋" w:hAnsi="仿宋" w:hint="eastAsia"/>
          <w:b/>
          <w:color w:val="000000"/>
          <w:sz w:val="32"/>
          <w:szCs w:val="32"/>
        </w:rPr>
        <w:t>（一）“三公”经费财政拨款支出决算总体情况说明</w:t>
      </w:r>
      <w:bookmarkEnd w:id="41"/>
    </w:p>
    <w:p w:rsidR="005B63CD" w:rsidRDefault="005B63CD">
      <w:pPr>
        <w:spacing w:line="600" w:lineRule="exact"/>
        <w:ind w:firstLine="640"/>
        <w:rPr>
          <w:rFonts w:ascii="仿宋" w:eastAsia="仿宋" w:hAnsi="仿宋"/>
          <w:b/>
          <w:color w:val="FF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年“三公”经费财政拨款支出决算为</w:t>
      </w:r>
      <w:r>
        <w:rPr>
          <w:rFonts w:ascii="仿宋" w:eastAsia="仿宋" w:hAnsi="仿宋"/>
          <w:color w:val="000000"/>
          <w:sz w:val="32"/>
          <w:szCs w:val="32"/>
        </w:rPr>
        <w:t>8.83</w:t>
      </w:r>
      <w:r>
        <w:rPr>
          <w:rFonts w:ascii="仿宋" w:eastAsia="仿宋" w:hAnsi="仿宋" w:hint="eastAsia"/>
          <w:color w:val="000000"/>
          <w:sz w:val="32"/>
          <w:szCs w:val="32"/>
        </w:rPr>
        <w:t>万元，完成预算</w:t>
      </w:r>
      <w:r>
        <w:rPr>
          <w:rFonts w:ascii="仿宋" w:eastAsia="仿宋" w:hAnsi="仿宋"/>
          <w:color w:val="000000"/>
          <w:sz w:val="32"/>
          <w:szCs w:val="32"/>
        </w:rPr>
        <w:t>100%</w:t>
      </w:r>
      <w:r>
        <w:rPr>
          <w:rFonts w:ascii="仿宋" w:eastAsia="仿宋" w:hAnsi="仿宋" w:hint="eastAsia"/>
          <w:color w:val="000000"/>
          <w:sz w:val="32"/>
          <w:szCs w:val="32"/>
        </w:rPr>
        <w:t>。</w:t>
      </w:r>
    </w:p>
    <w:p w:rsidR="005B63CD" w:rsidRDefault="005B63CD">
      <w:pPr>
        <w:spacing w:line="600" w:lineRule="exact"/>
        <w:ind w:firstLine="640"/>
        <w:outlineLvl w:val="2"/>
        <w:rPr>
          <w:rFonts w:ascii="仿宋" w:eastAsia="仿宋" w:hAnsi="仿宋"/>
          <w:b/>
          <w:color w:val="000000"/>
          <w:sz w:val="32"/>
          <w:szCs w:val="32"/>
        </w:rPr>
      </w:pPr>
      <w:bookmarkStart w:id="42" w:name="_Toc15377217"/>
      <w:r>
        <w:rPr>
          <w:rFonts w:ascii="仿宋" w:eastAsia="仿宋" w:hAnsi="仿宋" w:hint="eastAsia"/>
          <w:b/>
          <w:color w:val="000000"/>
          <w:sz w:val="32"/>
          <w:szCs w:val="32"/>
        </w:rPr>
        <w:t>（二）“三公”经费财政拨款支出决算具体情况说明</w:t>
      </w:r>
      <w:bookmarkEnd w:id="42"/>
    </w:p>
    <w:p w:rsidR="005B63CD" w:rsidRDefault="005B63CD">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年“三公”经费财政拨款支出决算中，因公出国（境）费支出决算</w:t>
      </w:r>
      <w:r>
        <w:rPr>
          <w:rFonts w:ascii="仿宋" w:eastAsia="仿宋" w:hAnsi="仿宋"/>
          <w:color w:val="000000"/>
          <w:sz w:val="32"/>
          <w:szCs w:val="32"/>
        </w:rPr>
        <w:t>0</w:t>
      </w:r>
      <w:r>
        <w:rPr>
          <w:rFonts w:ascii="仿宋" w:eastAsia="仿宋" w:hAnsi="仿宋" w:hint="eastAsia"/>
          <w:color w:val="000000"/>
          <w:sz w:val="32"/>
          <w:szCs w:val="32"/>
        </w:rPr>
        <w:t>万元；公务用车购置及运行维护费支出决算</w:t>
      </w:r>
      <w:r>
        <w:rPr>
          <w:rFonts w:ascii="仿宋" w:eastAsia="仿宋" w:hAnsi="仿宋"/>
          <w:color w:val="000000"/>
          <w:sz w:val="32"/>
          <w:szCs w:val="32"/>
        </w:rPr>
        <w:t>8.83</w:t>
      </w:r>
      <w:r>
        <w:rPr>
          <w:rFonts w:ascii="仿宋" w:eastAsia="仿宋" w:hAnsi="仿宋" w:hint="eastAsia"/>
          <w:color w:val="000000"/>
          <w:sz w:val="32"/>
          <w:szCs w:val="32"/>
        </w:rPr>
        <w:t>万元，占</w:t>
      </w:r>
      <w:r>
        <w:rPr>
          <w:rFonts w:ascii="仿宋" w:eastAsia="仿宋" w:hAnsi="仿宋"/>
          <w:color w:val="000000"/>
          <w:sz w:val="32"/>
          <w:szCs w:val="32"/>
        </w:rPr>
        <w:t>100%</w:t>
      </w:r>
      <w:r>
        <w:rPr>
          <w:rFonts w:ascii="仿宋" w:eastAsia="仿宋" w:hAnsi="仿宋" w:hint="eastAsia"/>
          <w:color w:val="000000"/>
          <w:sz w:val="32"/>
          <w:szCs w:val="32"/>
        </w:rPr>
        <w:t>；公务接待费支出决算</w:t>
      </w:r>
      <w:r>
        <w:rPr>
          <w:rFonts w:ascii="仿宋" w:eastAsia="仿宋" w:hAnsi="仿宋"/>
          <w:color w:val="000000"/>
          <w:sz w:val="32"/>
          <w:szCs w:val="32"/>
        </w:rPr>
        <w:t>0</w:t>
      </w:r>
      <w:r>
        <w:rPr>
          <w:rFonts w:ascii="仿宋" w:eastAsia="仿宋" w:hAnsi="仿宋" w:hint="eastAsia"/>
          <w:color w:val="000000"/>
          <w:sz w:val="32"/>
          <w:szCs w:val="32"/>
        </w:rPr>
        <w:t>万元。</w:t>
      </w:r>
    </w:p>
    <w:p w:rsidR="005B63CD" w:rsidRDefault="005B63CD">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公务用车购置及运行维护费支出</w:t>
      </w:r>
      <w:r>
        <w:rPr>
          <w:rFonts w:ascii="仿宋_GB2312" w:eastAsia="仿宋_GB2312"/>
          <w:color w:val="000000"/>
          <w:sz w:val="32"/>
          <w:szCs w:val="32"/>
        </w:rPr>
        <w:t>8.83</w:t>
      </w:r>
      <w:r>
        <w:rPr>
          <w:rFonts w:ascii="仿宋_GB2312" w:eastAsia="仿宋_GB2312" w:hint="eastAsia"/>
          <w:color w:val="000000"/>
          <w:sz w:val="32"/>
          <w:szCs w:val="32"/>
        </w:rPr>
        <w:t>万元</w:t>
      </w:r>
      <w:r>
        <w:rPr>
          <w:rFonts w:ascii="仿宋_GB2312" w:eastAsia="仿宋_GB2312"/>
          <w:color w:val="000000"/>
          <w:sz w:val="32"/>
          <w:szCs w:val="32"/>
        </w:rPr>
        <w:t>,</w:t>
      </w:r>
      <w:r>
        <w:rPr>
          <w:rStyle w:val="Strong"/>
          <w:rFonts w:ascii="仿宋" w:eastAsia="仿宋" w:hAnsi="仿宋" w:hint="eastAsia"/>
          <w:b w:val="0"/>
          <w:bCs/>
          <w:color w:val="000000"/>
          <w:sz w:val="32"/>
          <w:szCs w:val="32"/>
        </w:rPr>
        <w:t>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2018</w:t>
      </w:r>
      <w:r>
        <w:rPr>
          <w:rFonts w:ascii="仿宋_GB2312" w:eastAsia="仿宋_GB2312" w:hint="eastAsia"/>
          <w:color w:val="000000"/>
          <w:sz w:val="32"/>
          <w:szCs w:val="32"/>
        </w:rPr>
        <w:t>年</w:t>
      </w:r>
      <w:r>
        <w:rPr>
          <w:rFonts w:ascii="仿宋_GB2312" w:eastAsia="仿宋_GB2312"/>
          <w:color w:val="000000"/>
          <w:sz w:val="32"/>
          <w:szCs w:val="32"/>
        </w:rPr>
        <w:t>5.35</w:t>
      </w:r>
      <w:r>
        <w:rPr>
          <w:rFonts w:ascii="仿宋_GB2312" w:eastAsia="仿宋_GB2312" w:hint="eastAsia"/>
          <w:color w:val="000000"/>
          <w:sz w:val="32"/>
          <w:szCs w:val="32"/>
        </w:rPr>
        <w:t>万元，增长</w:t>
      </w:r>
      <w:r>
        <w:rPr>
          <w:rFonts w:ascii="仿宋_GB2312" w:eastAsia="仿宋_GB2312"/>
          <w:color w:val="000000"/>
          <w:sz w:val="32"/>
          <w:szCs w:val="32"/>
        </w:rPr>
        <w:t>153.73%</w:t>
      </w:r>
      <w:r>
        <w:rPr>
          <w:rFonts w:ascii="仿宋_GB2312" w:eastAsia="仿宋_GB2312" w:hint="eastAsia"/>
          <w:color w:val="000000"/>
          <w:sz w:val="32"/>
          <w:szCs w:val="32"/>
        </w:rPr>
        <w:t>。主要原因是汽车年久维修增加。</w:t>
      </w:r>
    </w:p>
    <w:p w:rsidR="005B63CD" w:rsidRDefault="005B63CD">
      <w:pPr>
        <w:spacing w:line="600" w:lineRule="exact"/>
        <w:ind w:firstLine="640"/>
        <w:rPr>
          <w:rFonts w:ascii="黑体" w:eastAsia="黑体"/>
          <w:color w:val="000000"/>
          <w:sz w:val="32"/>
          <w:szCs w:val="32"/>
        </w:rPr>
      </w:pPr>
      <w:r>
        <w:rPr>
          <w:rFonts w:ascii="仿宋_GB2312" w:eastAsia="仿宋_GB2312" w:hint="eastAsia"/>
          <w:b/>
          <w:color w:val="000000"/>
          <w:sz w:val="32"/>
          <w:szCs w:val="32"/>
        </w:rPr>
        <w:t>公务用车运行维护费支出</w:t>
      </w:r>
      <w:r>
        <w:rPr>
          <w:rFonts w:ascii="仿宋_GB2312" w:eastAsia="仿宋_GB2312"/>
          <w:color w:val="000000"/>
          <w:sz w:val="32"/>
          <w:szCs w:val="32"/>
        </w:rPr>
        <w:t>8.83</w:t>
      </w:r>
      <w:r>
        <w:rPr>
          <w:rFonts w:ascii="仿宋_GB2312" w:eastAsia="仿宋_GB2312" w:hint="eastAsia"/>
          <w:color w:val="000000"/>
          <w:sz w:val="32"/>
          <w:szCs w:val="32"/>
        </w:rPr>
        <w:t>万元。主要用于所需的公务用车燃料费、维修费、过路过桥费、保险费等支出。</w:t>
      </w:r>
      <w:bookmarkStart w:id="43" w:name="_Toc15377218"/>
      <w:bookmarkStart w:id="44" w:name="_Toc15396610"/>
    </w:p>
    <w:bookmarkEnd w:id="43"/>
    <w:bookmarkEnd w:id="44"/>
    <w:p w:rsidR="005B63CD" w:rsidRDefault="005B63CD">
      <w:pPr>
        <w:spacing w:line="580" w:lineRule="exact"/>
        <w:jc w:val="center"/>
        <w:rPr>
          <w:rFonts w:ascii="方正小标宋简体" w:eastAsia="方正小标宋简体" w:hAnsi="方正小标宋简体" w:cs="方正小标宋简体"/>
          <w:sz w:val="44"/>
          <w:szCs w:val="44"/>
        </w:rPr>
      </w:pPr>
    </w:p>
    <w:p w:rsidR="005B63CD" w:rsidRDefault="005B63CD">
      <w:pPr>
        <w:spacing w:line="600" w:lineRule="exact"/>
        <w:ind w:firstLineChars="250" w:firstLine="803"/>
        <w:outlineLvl w:val="1"/>
        <w:rPr>
          <w:rStyle w:val="Heading2Char"/>
          <w:rFonts w:ascii="黑体" w:eastAsia="黑体" w:hAnsi="黑体"/>
        </w:rPr>
      </w:pPr>
      <w:bookmarkStart w:id="45" w:name="_Toc15396612"/>
      <w:bookmarkStart w:id="46" w:name="_Toc15377221"/>
      <w:r>
        <w:rPr>
          <w:rStyle w:val="Heading2Char"/>
          <w:rFonts w:ascii="黑体" w:eastAsia="黑体" w:hAnsi="黑体" w:hint="eastAsia"/>
        </w:rPr>
        <w:t>七、</w:t>
      </w:r>
      <w:r>
        <w:rPr>
          <w:rStyle w:val="Heading2Char"/>
          <w:rFonts w:ascii="黑体" w:eastAsia="黑体" w:hAnsi="黑体" w:hint="eastAsia"/>
          <w:b w:val="0"/>
        </w:rPr>
        <w:t>其他重要事项的情况说明</w:t>
      </w:r>
      <w:bookmarkEnd w:id="45"/>
      <w:bookmarkEnd w:id="46"/>
    </w:p>
    <w:p w:rsidR="005B63CD" w:rsidRDefault="005B63CD">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47" w:name="_Toc15377224"/>
      <w:r>
        <w:rPr>
          <w:rFonts w:ascii="仿宋" w:eastAsia="仿宋" w:hAnsi="仿宋" w:hint="eastAsia"/>
          <w:b/>
          <w:color w:val="000000"/>
          <w:sz w:val="32"/>
          <w:szCs w:val="32"/>
        </w:rPr>
        <w:t>（一）国有资产占有使用情况</w:t>
      </w:r>
      <w:bookmarkEnd w:id="47"/>
    </w:p>
    <w:p w:rsidR="005B63CD" w:rsidRDefault="005B63CD">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日，共有车辆</w:t>
      </w:r>
      <w:r>
        <w:rPr>
          <w:rFonts w:ascii="仿宋_GB2312" w:eastAsia="仿宋_GB2312"/>
          <w:color w:val="000000"/>
          <w:sz w:val="32"/>
          <w:szCs w:val="32"/>
        </w:rPr>
        <w:t>4</w:t>
      </w:r>
      <w:r>
        <w:rPr>
          <w:rFonts w:ascii="仿宋_GB2312" w:eastAsia="仿宋_GB2312" w:hint="eastAsia"/>
          <w:color w:val="000000"/>
          <w:sz w:val="32"/>
          <w:szCs w:val="32"/>
        </w:rPr>
        <w:t>辆，其中：轿车</w:t>
      </w:r>
      <w:r>
        <w:rPr>
          <w:rFonts w:ascii="仿宋_GB2312" w:eastAsia="仿宋_GB2312"/>
          <w:color w:val="000000"/>
          <w:sz w:val="32"/>
          <w:szCs w:val="32"/>
        </w:rPr>
        <w:t>2</w:t>
      </w:r>
      <w:r>
        <w:rPr>
          <w:rFonts w:ascii="仿宋_GB2312" w:eastAsia="仿宋_GB2312" w:hint="eastAsia"/>
          <w:color w:val="000000"/>
          <w:sz w:val="32"/>
          <w:szCs w:val="32"/>
        </w:rPr>
        <w:t>辆（有一辆已报废未下账）；其他车辆</w:t>
      </w:r>
      <w:r>
        <w:rPr>
          <w:rFonts w:ascii="仿宋_GB2312" w:eastAsia="仿宋_GB2312"/>
          <w:color w:val="000000"/>
          <w:sz w:val="32"/>
          <w:szCs w:val="32"/>
        </w:rPr>
        <w:t>2</w:t>
      </w:r>
      <w:r>
        <w:rPr>
          <w:rFonts w:ascii="仿宋_GB2312" w:eastAsia="仿宋_GB2312" w:hint="eastAsia"/>
          <w:color w:val="000000"/>
          <w:sz w:val="32"/>
          <w:szCs w:val="32"/>
        </w:rPr>
        <w:t>辆（有一辆已报废未下账）</w:t>
      </w:r>
    </w:p>
    <w:p w:rsidR="005B63CD" w:rsidRDefault="005B63CD">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（二）预算绩效管理情况。</w:t>
      </w:r>
    </w:p>
    <w:p w:rsidR="005B63CD" w:rsidRDefault="005B63C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根据预算绩效管理要求，本部门（单位）在年初预算编制阶段，组织对殡葬正常运转和定额补助项目开展了预算事前绩效评估，对</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个项目开展了绩效目标完成情况自评。</w:t>
      </w:r>
    </w:p>
    <w:p w:rsidR="005B63CD" w:rsidRDefault="005B63CD">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sz w:val="32"/>
          <w:szCs w:val="32"/>
        </w:rPr>
        <w:t>1.</w:t>
      </w:r>
      <w:r>
        <w:rPr>
          <w:rFonts w:ascii="楷体_GB2312" w:eastAsia="楷体_GB2312" w:hAnsi="楷体_GB2312" w:cs="楷体_GB2312" w:hint="eastAsia"/>
          <w:sz w:val="32"/>
          <w:szCs w:val="32"/>
        </w:rPr>
        <w:t>项目绩效目标完成情况。</w:t>
      </w:r>
      <w:r>
        <w:rPr>
          <w:rFonts w:ascii="楷体_GB2312" w:eastAsia="楷体_GB2312" w:hAnsi="楷体_GB2312" w:cs="楷体_GB2312"/>
          <w:sz w:val="32"/>
          <w:szCs w:val="32"/>
        </w:rPr>
        <w:br/>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年度部门决算中反映“殡葬正常运转”“定额补助”等</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个项目绩效目标实际完成情况良好。（</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）殡葬正常运转项目绩效目标完成情况综述。项目全年预算数</w:t>
      </w:r>
      <w:r>
        <w:rPr>
          <w:rFonts w:ascii="仿宋_GB2312" w:eastAsia="仿宋_GB2312" w:hAnsi="仿宋_GB2312" w:cs="仿宋_GB2312"/>
          <w:sz w:val="32"/>
          <w:szCs w:val="32"/>
        </w:rPr>
        <w:t>307.91</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307.91</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）定额补助项目绩效目标完成情况综述。项目全年预算数</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spacing w:line="580" w:lineRule="exact"/>
        <w:ind w:firstLineChars="200" w:firstLine="640"/>
        <w:rPr>
          <w:rFonts w:ascii="仿宋_GB2312" w:eastAsia="仿宋_GB2312" w:hAnsi="仿宋_GB2312" w:cs="仿宋_GB2312"/>
          <w:sz w:val="32"/>
          <w:szCs w:val="32"/>
        </w:rPr>
      </w:pPr>
    </w:p>
    <w:p w:rsidR="005B63CD" w:rsidRDefault="005B63CD">
      <w:pPr>
        <w:numPr>
          <w:ilvl w:val="0"/>
          <w:numId w:val="3"/>
        </w:numPr>
        <w:spacing w:line="600" w:lineRule="exact"/>
        <w:ind w:firstLineChars="150" w:firstLine="660"/>
        <w:jc w:val="center"/>
        <w:outlineLvl w:val="0"/>
        <w:rPr>
          <w:rStyle w:val="Heading1Char"/>
          <w:rFonts w:ascii="黑体" w:eastAsia="黑体" w:hAnsi="黑体"/>
          <w:b w:val="0"/>
        </w:rPr>
      </w:pPr>
      <w:bookmarkStart w:id="48" w:name="_Toc15377225"/>
      <w:bookmarkStart w:id="49" w:name="_Toc15396613"/>
      <w:r>
        <w:rPr>
          <w:rFonts w:ascii="黑体" w:eastAsia="黑体" w:hAnsi="黑体" w:hint="eastAsia"/>
          <w:color w:val="000000"/>
          <w:sz w:val="44"/>
          <w:szCs w:val="44"/>
        </w:rPr>
        <w:t>名</w:t>
      </w:r>
      <w:r>
        <w:rPr>
          <w:rStyle w:val="Heading1Char"/>
          <w:rFonts w:ascii="黑体" w:eastAsia="黑体" w:hAnsi="黑体" w:hint="eastAsia"/>
          <w:b w:val="0"/>
        </w:rPr>
        <w:t>词解释</w:t>
      </w:r>
      <w:bookmarkEnd w:id="48"/>
      <w:bookmarkEnd w:id="49"/>
    </w:p>
    <w:p w:rsidR="005B63CD" w:rsidRDefault="005B63CD">
      <w:pPr>
        <w:spacing w:line="600" w:lineRule="exact"/>
        <w:jc w:val="left"/>
        <w:rPr>
          <w:rFonts w:ascii="宋体"/>
          <w:b/>
          <w:color w:val="000000"/>
          <w:sz w:val="44"/>
          <w:szCs w:val="44"/>
        </w:rPr>
      </w:pPr>
    </w:p>
    <w:p w:rsidR="005B63CD" w:rsidRDefault="005B63CD">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5B63CD" w:rsidRDefault="005B63CD">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5B63CD" w:rsidRDefault="005B63CD">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5B63CD" w:rsidRDefault="005B63CD">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r>
        <w:rPr>
          <w:rFonts w:ascii="仿宋_GB2312" w:eastAsia="仿宋_GB2312"/>
          <w:sz w:val="32"/>
          <w:szCs w:val="32"/>
        </w:rPr>
        <w:t xml:space="preserve"> </w:t>
      </w:r>
    </w:p>
    <w:p w:rsidR="005B63CD" w:rsidRDefault="005B63CD">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5B63CD" w:rsidRDefault="005B63CD">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5B63CD" w:rsidRDefault="005B63CD">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5B63CD" w:rsidRDefault="005B63CD">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5B63CD" w:rsidRDefault="005B63CD">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基本支出：指为保障机构正常运转、完成日常工作任务而发生的人员支出和公用支出。</w:t>
      </w:r>
    </w:p>
    <w:p w:rsidR="005B63CD" w:rsidRDefault="005B63CD">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5B63CD" w:rsidRDefault="005B63CD">
      <w:pPr>
        <w:ind w:firstLineChars="200" w:firstLine="64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经营支出：指事业单位在专业业务活动及其辅助活动之外开展非独立核算经营活动发生的支出。</w:t>
      </w:r>
    </w:p>
    <w:p w:rsidR="005B63CD" w:rsidRDefault="005B63CD">
      <w:pPr>
        <w:pStyle w:val="Default"/>
        <w:spacing w:line="560" w:lineRule="exact"/>
        <w:ind w:firstLineChars="200" w:firstLine="640"/>
        <w:rPr>
          <w:rFonts w:ascii="仿宋_GB2312" w:eastAsia="仿宋_GB2312"/>
          <w:sz w:val="32"/>
          <w:szCs w:val="32"/>
        </w:rPr>
      </w:pPr>
      <w:r>
        <w:rPr>
          <w:rFonts w:ascii="仿宋_GB2312" w:eastAsia="仿宋_GB2312"/>
          <w:sz w:val="32"/>
          <w:szCs w:val="32"/>
        </w:rPr>
        <w:t>12.</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5B63CD" w:rsidRDefault="005B63CD">
      <w:pPr>
        <w:pStyle w:val="Default"/>
        <w:spacing w:line="560" w:lineRule="exact"/>
        <w:ind w:firstLineChars="200" w:firstLine="640"/>
        <w:rPr>
          <w:rFonts w:ascii="仿宋_GB2312" w:eastAsia="仿宋_GB2312"/>
          <w:sz w:val="32"/>
          <w:szCs w:val="32"/>
        </w:rPr>
      </w:pPr>
      <w:r>
        <w:rPr>
          <w:rFonts w:ascii="仿宋_GB2312" w:eastAsia="仿宋_GB2312"/>
          <w:sz w:val="32"/>
          <w:szCs w:val="32"/>
        </w:rPr>
        <w:t>13.</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0" w:name="_GoBack"/>
      <w:bookmarkEnd w:id="50"/>
    </w:p>
    <w:p w:rsidR="005B63CD" w:rsidRDefault="005B63CD">
      <w:pPr>
        <w:pStyle w:val="Default"/>
        <w:spacing w:line="560" w:lineRule="exact"/>
        <w:ind w:firstLineChars="200" w:firstLine="640"/>
        <w:rPr>
          <w:rFonts w:ascii="仿宋_GB2312" w:eastAsia="仿宋_GB2312" w:cs="黑体"/>
          <w:sz w:val="32"/>
          <w:szCs w:val="32"/>
        </w:rPr>
      </w:pPr>
    </w:p>
    <w:p w:rsidR="005B63CD" w:rsidRDefault="005B63CD">
      <w:pPr>
        <w:widowControl/>
        <w:jc w:val="left"/>
        <w:rPr>
          <w:rStyle w:val="Heading1Char"/>
          <w:rFonts w:ascii="黑体" w:eastAsia="黑体" w:hAnsi="黑体"/>
          <w:b w:val="0"/>
        </w:rPr>
      </w:pPr>
      <w:bookmarkStart w:id="51" w:name="_Toc15377226"/>
    </w:p>
    <w:p w:rsidR="005B63CD" w:rsidRDefault="005B63CD">
      <w:pPr>
        <w:spacing w:line="600" w:lineRule="exact"/>
        <w:jc w:val="center"/>
        <w:outlineLvl w:val="0"/>
        <w:rPr>
          <w:rStyle w:val="Heading1Char"/>
          <w:rFonts w:ascii="黑体" w:eastAsia="黑体" w:hAnsi="黑体"/>
          <w:b w:val="0"/>
        </w:rPr>
      </w:pPr>
    </w:p>
    <w:p w:rsidR="005B63CD" w:rsidRDefault="005B63CD">
      <w:pPr>
        <w:spacing w:line="600" w:lineRule="exact"/>
        <w:jc w:val="center"/>
        <w:outlineLvl w:val="0"/>
        <w:rPr>
          <w:rStyle w:val="Heading1Char"/>
          <w:rFonts w:ascii="黑体" w:eastAsia="黑体" w:hAnsi="黑体"/>
          <w:b w:val="0"/>
        </w:rPr>
      </w:pPr>
    </w:p>
    <w:p w:rsidR="005B63CD" w:rsidRDefault="005B63CD">
      <w:pPr>
        <w:spacing w:line="600" w:lineRule="exact"/>
        <w:jc w:val="center"/>
        <w:outlineLvl w:val="0"/>
        <w:rPr>
          <w:rStyle w:val="Heading1Char"/>
          <w:rFonts w:ascii="黑体" w:eastAsia="黑体" w:hAnsi="黑体"/>
          <w:b w:val="0"/>
        </w:rPr>
      </w:pPr>
    </w:p>
    <w:p w:rsidR="005B63CD" w:rsidRDefault="005B63CD">
      <w:pPr>
        <w:spacing w:line="600" w:lineRule="exact"/>
        <w:jc w:val="center"/>
        <w:outlineLvl w:val="0"/>
        <w:rPr>
          <w:rStyle w:val="Heading1Char"/>
          <w:rFonts w:ascii="黑体" w:eastAsia="黑体" w:hAnsi="黑体"/>
          <w:b w:val="0"/>
        </w:rPr>
      </w:pPr>
    </w:p>
    <w:p w:rsidR="005B63CD" w:rsidRDefault="005B63CD">
      <w:pPr>
        <w:spacing w:line="600" w:lineRule="exact"/>
        <w:jc w:val="center"/>
        <w:outlineLvl w:val="0"/>
        <w:rPr>
          <w:rStyle w:val="Heading1Char"/>
          <w:rFonts w:ascii="黑体" w:eastAsia="黑体" w:hAnsi="黑体"/>
          <w:b w:val="0"/>
        </w:rPr>
      </w:pPr>
    </w:p>
    <w:p w:rsidR="005B63CD" w:rsidRDefault="005B63CD">
      <w:pPr>
        <w:spacing w:line="600" w:lineRule="exact"/>
        <w:jc w:val="center"/>
        <w:outlineLvl w:val="0"/>
        <w:rPr>
          <w:rStyle w:val="Heading1Char"/>
          <w:rFonts w:ascii="黑体" w:eastAsia="黑体" w:hAnsi="黑体"/>
          <w:b w:val="0"/>
        </w:rPr>
      </w:pPr>
      <w:bookmarkStart w:id="52" w:name="_Toc15396618"/>
      <w:r>
        <w:rPr>
          <w:rFonts w:ascii="黑体" w:eastAsia="黑体" w:hAnsi="黑体" w:hint="eastAsia"/>
          <w:color w:val="000000"/>
          <w:sz w:val="44"/>
          <w:szCs w:val="44"/>
        </w:rPr>
        <w:t>第四</w:t>
      </w:r>
      <w:r>
        <w:rPr>
          <w:rStyle w:val="Heading1Char"/>
          <w:rFonts w:ascii="黑体" w:eastAsia="黑体" w:hAnsi="黑体" w:hint="eastAsia"/>
          <w:b w:val="0"/>
        </w:rPr>
        <w:t>部分</w:t>
      </w:r>
      <w:r>
        <w:rPr>
          <w:rStyle w:val="Heading1Char"/>
          <w:rFonts w:ascii="黑体" w:eastAsia="黑体" w:hAnsi="黑体"/>
          <w:b w:val="0"/>
        </w:rPr>
        <w:t xml:space="preserve"> </w:t>
      </w:r>
      <w:r>
        <w:rPr>
          <w:rStyle w:val="Heading1Char"/>
          <w:rFonts w:ascii="黑体" w:eastAsia="黑体" w:hAnsi="黑体" w:hint="eastAsia"/>
          <w:b w:val="0"/>
        </w:rPr>
        <w:t>附表</w:t>
      </w:r>
      <w:bookmarkEnd w:id="51"/>
      <w:bookmarkEnd w:id="52"/>
    </w:p>
    <w:p w:rsidR="005B63CD" w:rsidRDefault="005B63CD">
      <w:pPr>
        <w:pStyle w:val="Heading2"/>
        <w:rPr>
          <w:rFonts w:ascii="仿宋" w:eastAsia="仿宋" w:hAnsi="仿宋"/>
          <w:color w:val="000000"/>
        </w:rPr>
      </w:pPr>
      <w:bookmarkStart w:id="53" w:name="_Toc15396619"/>
      <w:r>
        <w:rPr>
          <w:rFonts w:ascii="仿宋" w:eastAsia="仿宋" w:hAnsi="仿宋" w:hint="eastAsia"/>
          <w:b w:val="0"/>
          <w:color w:val="000000"/>
        </w:rPr>
        <w:t>一、收</w:t>
      </w:r>
      <w:r>
        <w:rPr>
          <w:rStyle w:val="Heading2Char"/>
          <w:rFonts w:ascii="仿宋" w:eastAsia="仿宋" w:hAnsi="仿宋" w:hint="eastAsia"/>
        </w:rPr>
        <w:t>入支出决算总表</w:t>
      </w:r>
      <w:bookmarkEnd w:id="53"/>
    </w:p>
    <w:p w:rsidR="005B63CD" w:rsidRDefault="005B63CD">
      <w:pPr>
        <w:pStyle w:val="Heading2"/>
        <w:rPr>
          <w:rFonts w:ascii="仿宋" w:eastAsia="仿宋" w:hAnsi="仿宋"/>
          <w:color w:val="000000"/>
        </w:rPr>
      </w:pPr>
      <w:bookmarkStart w:id="54" w:name="_Toc15396620"/>
      <w:r>
        <w:rPr>
          <w:rFonts w:ascii="仿宋" w:eastAsia="仿宋" w:hAnsi="仿宋" w:hint="eastAsia"/>
          <w:b w:val="0"/>
          <w:color w:val="000000"/>
        </w:rPr>
        <w:t>二、收</w:t>
      </w:r>
      <w:r>
        <w:rPr>
          <w:rStyle w:val="Heading2Char"/>
          <w:rFonts w:ascii="仿宋" w:eastAsia="仿宋" w:hAnsi="仿宋" w:hint="eastAsia"/>
        </w:rPr>
        <w:t>入决算表</w:t>
      </w:r>
      <w:bookmarkEnd w:id="54"/>
    </w:p>
    <w:p w:rsidR="005B63CD" w:rsidRDefault="005B63CD">
      <w:pPr>
        <w:pStyle w:val="Heading2"/>
        <w:rPr>
          <w:rFonts w:ascii="仿宋" w:eastAsia="仿宋" w:hAnsi="仿宋"/>
          <w:color w:val="000000"/>
        </w:rPr>
      </w:pPr>
      <w:bookmarkStart w:id="55" w:name="_Toc15396621"/>
      <w:r>
        <w:rPr>
          <w:rStyle w:val="Heading2Char"/>
          <w:rFonts w:ascii="仿宋" w:eastAsia="仿宋" w:hAnsi="仿宋" w:hint="eastAsia"/>
        </w:rPr>
        <w:t>三、</w:t>
      </w:r>
      <w:r>
        <w:rPr>
          <w:rFonts w:ascii="仿宋" w:eastAsia="仿宋" w:hAnsi="仿宋" w:hint="eastAsia"/>
          <w:b w:val="0"/>
          <w:color w:val="000000"/>
        </w:rPr>
        <w:t>支</w:t>
      </w:r>
      <w:r>
        <w:rPr>
          <w:rStyle w:val="Heading2Char"/>
          <w:rFonts w:ascii="仿宋" w:eastAsia="仿宋" w:hAnsi="仿宋" w:hint="eastAsia"/>
        </w:rPr>
        <w:t>出决算表</w:t>
      </w:r>
      <w:bookmarkEnd w:id="55"/>
    </w:p>
    <w:p w:rsidR="005B63CD" w:rsidRDefault="005B63CD">
      <w:pPr>
        <w:pStyle w:val="Heading2"/>
        <w:rPr>
          <w:rFonts w:ascii="仿宋" w:eastAsia="仿宋" w:hAnsi="仿宋"/>
          <w:b w:val="0"/>
          <w:color w:val="000000"/>
        </w:rPr>
      </w:pPr>
      <w:bookmarkStart w:id="56" w:name="_Toc15396622"/>
      <w:r>
        <w:rPr>
          <w:rStyle w:val="Heading2Char"/>
          <w:rFonts w:ascii="仿宋" w:eastAsia="仿宋" w:hAnsi="仿宋" w:hint="eastAsia"/>
        </w:rPr>
        <w:t>四、</w:t>
      </w:r>
      <w:r>
        <w:rPr>
          <w:rFonts w:ascii="仿宋" w:eastAsia="仿宋" w:hAnsi="仿宋" w:hint="eastAsia"/>
          <w:b w:val="0"/>
          <w:color w:val="000000"/>
        </w:rPr>
        <w:t>财</w:t>
      </w:r>
      <w:r>
        <w:rPr>
          <w:rStyle w:val="Heading2Char"/>
          <w:rFonts w:ascii="仿宋" w:eastAsia="仿宋" w:hAnsi="仿宋" w:hint="eastAsia"/>
        </w:rPr>
        <w:t>政拨款收入支出决算总表</w:t>
      </w:r>
      <w:bookmarkEnd w:id="56"/>
    </w:p>
    <w:p w:rsidR="005B63CD" w:rsidRDefault="005B63CD">
      <w:pPr>
        <w:pStyle w:val="Heading2"/>
        <w:rPr>
          <w:rStyle w:val="Heading2Char"/>
          <w:rFonts w:ascii="仿宋" w:eastAsia="仿宋" w:hAnsi="仿宋"/>
        </w:rPr>
      </w:pPr>
      <w:bookmarkStart w:id="57" w:name="_Toc15396623"/>
      <w:r>
        <w:rPr>
          <w:rStyle w:val="Heading2Char"/>
          <w:rFonts w:ascii="仿宋" w:eastAsia="仿宋" w:hAnsi="仿宋" w:hint="eastAsia"/>
        </w:rPr>
        <w:t>五、</w:t>
      </w:r>
      <w:r>
        <w:rPr>
          <w:rFonts w:ascii="仿宋" w:eastAsia="仿宋" w:hAnsi="仿宋" w:hint="eastAsia"/>
          <w:b w:val="0"/>
          <w:color w:val="000000"/>
        </w:rPr>
        <w:t>财</w:t>
      </w:r>
      <w:r>
        <w:rPr>
          <w:rStyle w:val="Heading2Char"/>
          <w:rFonts w:ascii="仿宋" w:eastAsia="仿宋" w:hAnsi="仿宋" w:hint="eastAsia"/>
        </w:rPr>
        <w:t>政拨款支出决算明细表</w:t>
      </w:r>
      <w:bookmarkStart w:id="58" w:name="_Toc15396624"/>
      <w:bookmarkEnd w:id="57"/>
    </w:p>
    <w:p w:rsidR="005B63CD" w:rsidRDefault="005B63CD">
      <w:pPr>
        <w:pStyle w:val="Heading2"/>
        <w:rPr>
          <w:rFonts w:ascii="仿宋" w:eastAsia="仿宋" w:hAnsi="仿宋"/>
          <w:color w:val="000000"/>
        </w:rPr>
      </w:pPr>
      <w:r>
        <w:rPr>
          <w:rStyle w:val="Heading2Char"/>
          <w:rFonts w:ascii="仿宋" w:eastAsia="仿宋" w:hAnsi="仿宋" w:hint="eastAsia"/>
        </w:rPr>
        <w:t>六、</w:t>
      </w:r>
      <w:r>
        <w:rPr>
          <w:rFonts w:ascii="仿宋" w:eastAsia="仿宋" w:hAnsi="仿宋" w:hint="eastAsia"/>
          <w:b w:val="0"/>
          <w:color w:val="000000"/>
        </w:rPr>
        <w:t>一</w:t>
      </w:r>
      <w:r>
        <w:rPr>
          <w:rStyle w:val="Heading2Char"/>
          <w:rFonts w:ascii="仿宋" w:eastAsia="仿宋" w:hAnsi="仿宋" w:hint="eastAsia"/>
        </w:rPr>
        <w:t>般公共预算财政拨款支出决算表</w:t>
      </w:r>
      <w:bookmarkEnd w:id="58"/>
    </w:p>
    <w:p w:rsidR="005B63CD" w:rsidRDefault="005B63CD">
      <w:pPr>
        <w:pStyle w:val="Heading2"/>
        <w:rPr>
          <w:rFonts w:ascii="仿宋" w:eastAsia="仿宋" w:hAnsi="仿宋"/>
          <w:color w:val="000000"/>
        </w:rPr>
      </w:pPr>
      <w:bookmarkStart w:id="59" w:name="_Toc15396625"/>
      <w:r>
        <w:rPr>
          <w:rStyle w:val="Heading2Char"/>
          <w:rFonts w:ascii="仿宋" w:eastAsia="仿宋" w:hAnsi="仿宋" w:hint="eastAsia"/>
        </w:rPr>
        <w:t>七、</w:t>
      </w:r>
      <w:r>
        <w:rPr>
          <w:rFonts w:ascii="仿宋" w:eastAsia="仿宋" w:hAnsi="仿宋" w:hint="eastAsia"/>
          <w:b w:val="0"/>
          <w:color w:val="000000"/>
        </w:rPr>
        <w:t>一</w:t>
      </w:r>
      <w:r>
        <w:rPr>
          <w:rStyle w:val="Heading2Char"/>
          <w:rFonts w:ascii="仿宋" w:eastAsia="仿宋" w:hAnsi="仿宋" w:hint="eastAsia"/>
        </w:rPr>
        <w:t>般公共预算财政拨款支出决算明细表</w:t>
      </w:r>
      <w:bookmarkEnd w:id="59"/>
    </w:p>
    <w:p w:rsidR="005B63CD" w:rsidRDefault="005B63CD">
      <w:pPr>
        <w:pStyle w:val="Heading2"/>
        <w:rPr>
          <w:rFonts w:ascii="仿宋" w:eastAsia="仿宋" w:hAnsi="仿宋"/>
          <w:color w:val="000000"/>
        </w:rPr>
      </w:pPr>
      <w:bookmarkStart w:id="60" w:name="_Toc15396626"/>
      <w:r>
        <w:rPr>
          <w:rStyle w:val="Heading2Char"/>
          <w:rFonts w:ascii="仿宋" w:eastAsia="仿宋" w:hAnsi="仿宋" w:hint="eastAsia"/>
        </w:rPr>
        <w:t>八、</w:t>
      </w:r>
      <w:r>
        <w:rPr>
          <w:rFonts w:ascii="仿宋" w:eastAsia="仿宋" w:hAnsi="仿宋" w:hint="eastAsia"/>
          <w:b w:val="0"/>
          <w:color w:val="000000"/>
        </w:rPr>
        <w:t>一</w:t>
      </w:r>
      <w:r>
        <w:rPr>
          <w:rStyle w:val="Heading2Char"/>
          <w:rFonts w:ascii="仿宋" w:eastAsia="仿宋" w:hAnsi="仿宋" w:hint="eastAsia"/>
        </w:rPr>
        <w:t>般公共预算财政拨款基本支出决算表</w:t>
      </w:r>
      <w:bookmarkEnd w:id="60"/>
    </w:p>
    <w:p w:rsidR="005B63CD" w:rsidRDefault="005B63CD">
      <w:pPr>
        <w:pStyle w:val="Heading2"/>
        <w:rPr>
          <w:rFonts w:ascii="仿宋" w:eastAsia="仿宋" w:hAnsi="仿宋"/>
          <w:color w:val="000000"/>
        </w:rPr>
      </w:pPr>
      <w:bookmarkStart w:id="61" w:name="_Toc15396627"/>
      <w:r>
        <w:rPr>
          <w:rStyle w:val="Heading2Char"/>
          <w:rFonts w:ascii="仿宋" w:eastAsia="仿宋" w:hAnsi="仿宋" w:hint="eastAsia"/>
        </w:rPr>
        <w:t>九、</w:t>
      </w:r>
      <w:r>
        <w:rPr>
          <w:rFonts w:ascii="仿宋" w:eastAsia="仿宋" w:hAnsi="仿宋" w:hint="eastAsia"/>
          <w:b w:val="0"/>
          <w:color w:val="000000"/>
        </w:rPr>
        <w:t>一</w:t>
      </w:r>
      <w:r>
        <w:rPr>
          <w:rStyle w:val="Heading2Char"/>
          <w:rFonts w:ascii="仿宋" w:eastAsia="仿宋" w:hAnsi="仿宋" w:hint="eastAsia"/>
        </w:rPr>
        <w:t>般公共预算财政拨款项目支出决算表</w:t>
      </w:r>
      <w:bookmarkEnd w:id="61"/>
    </w:p>
    <w:p w:rsidR="005B63CD" w:rsidRDefault="005B63CD">
      <w:pPr>
        <w:pStyle w:val="Heading2"/>
        <w:rPr>
          <w:rFonts w:ascii="仿宋" w:eastAsia="仿宋" w:hAnsi="仿宋"/>
          <w:color w:val="000000"/>
        </w:rPr>
      </w:pPr>
      <w:bookmarkStart w:id="62" w:name="_Toc15396628"/>
      <w:r>
        <w:rPr>
          <w:rStyle w:val="Heading2Char"/>
          <w:rFonts w:ascii="仿宋" w:eastAsia="仿宋" w:hAnsi="仿宋" w:hint="eastAsia"/>
        </w:rPr>
        <w:t>十、</w:t>
      </w:r>
      <w:r>
        <w:rPr>
          <w:rFonts w:ascii="仿宋" w:eastAsia="仿宋" w:hAnsi="仿宋" w:hint="eastAsia"/>
          <w:b w:val="0"/>
          <w:color w:val="000000"/>
        </w:rPr>
        <w:t>一</w:t>
      </w:r>
      <w:r>
        <w:rPr>
          <w:rStyle w:val="Heading2Char"/>
          <w:rFonts w:ascii="仿宋" w:eastAsia="仿宋" w:hAnsi="仿宋" w:hint="eastAsia"/>
        </w:rPr>
        <w:t>般公共预算财政拨款“三公”经费支出决算表</w:t>
      </w:r>
      <w:bookmarkEnd w:id="62"/>
    </w:p>
    <w:p w:rsidR="005B63CD" w:rsidRDefault="005B63CD">
      <w:pPr>
        <w:pStyle w:val="Heading2"/>
        <w:rPr>
          <w:rFonts w:ascii="仿宋" w:eastAsia="仿宋" w:hAnsi="仿宋"/>
          <w:color w:val="000000"/>
        </w:rPr>
      </w:pPr>
      <w:bookmarkStart w:id="63" w:name="_Toc15396629"/>
      <w:r>
        <w:rPr>
          <w:rStyle w:val="Heading2Char"/>
          <w:rFonts w:ascii="仿宋" w:eastAsia="仿宋" w:hAnsi="仿宋" w:hint="eastAsia"/>
        </w:rPr>
        <w:t>十一、</w:t>
      </w:r>
      <w:r>
        <w:rPr>
          <w:rFonts w:ascii="仿宋" w:eastAsia="仿宋" w:hAnsi="仿宋" w:hint="eastAsia"/>
          <w:b w:val="0"/>
          <w:color w:val="000000"/>
        </w:rPr>
        <w:t>政</w:t>
      </w:r>
      <w:r>
        <w:rPr>
          <w:rStyle w:val="Heading2Char"/>
          <w:rFonts w:ascii="仿宋" w:eastAsia="仿宋" w:hAnsi="仿宋" w:hint="eastAsia"/>
        </w:rPr>
        <w:t>府性基金预算财政拨款收入支出决算表</w:t>
      </w:r>
      <w:bookmarkEnd w:id="63"/>
    </w:p>
    <w:p w:rsidR="005B63CD" w:rsidRDefault="005B63CD">
      <w:pPr>
        <w:pStyle w:val="Heading2"/>
        <w:rPr>
          <w:rFonts w:ascii="仿宋" w:eastAsia="仿宋" w:hAnsi="仿宋"/>
          <w:color w:val="000000"/>
        </w:rPr>
      </w:pPr>
      <w:bookmarkStart w:id="64" w:name="_Toc15396630"/>
      <w:r>
        <w:rPr>
          <w:rStyle w:val="Heading2Char"/>
          <w:rFonts w:ascii="仿宋" w:eastAsia="仿宋" w:hAnsi="仿宋" w:hint="eastAsia"/>
        </w:rPr>
        <w:t>十二、</w:t>
      </w:r>
      <w:r>
        <w:rPr>
          <w:rFonts w:ascii="仿宋" w:eastAsia="仿宋" w:hAnsi="仿宋" w:hint="eastAsia"/>
          <w:b w:val="0"/>
          <w:color w:val="000000"/>
        </w:rPr>
        <w:t>政</w:t>
      </w:r>
      <w:r>
        <w:rPr>
          <w:rStyle w:val="Heading2Char"/>
          <w:rFonts w:ascii="仿宋" w:eastAsia="仿宋" w:hAnsi="仿宋" w:hint="eastAsia"/>
        </w:rPr>
        <w:t>府性基金预算财政拨款“三公”经费支出决算表</w:t>
      </w:r>
      <w:bookmarkEnd w:id="64"/>
    </w:p>
    <w:p w:rsidR="005B63CD" w:rsidRDefault="005B63CD">
      <w:pPr>
        <w:pStyle w:val="Heading2"/>
        <w:rPr>
          <w:rFonts w:ascii="仿宋" w:eastAsia="仿宋" w:hAnsi="仿宋"/>
          <w:color w:val="000000"/>
        </w:rPr>
      </w:pPr>
      <w:bookmarkStart w:id="65" w:name="_Toc15396631"/>
      <w:r>
        <w:rPr>
          <w:rStyle w:val="Heading2Char"/>
          <w:rFonts w:ascii="仿宋" w:eastAsia="仿宋" w:hAnsi="仿宋" w:hint="eastAsia"/>
        </w:rPr>
        <w:t>十三、</w:t>
      </w:r>
      <w:r>
        <w:rPr>
          <w:rFonts w:ascii="仿宋" w:eastAsia="仿宋" w:hAnsi="仿宋" w:hint="eastAsia"/>
          <w:b w:val="0"/>
          <w:color w:val="000000"/>
        </w:rPr>
        <w:t>国</w:t>
      </w:r>
      <w:r>
        <w:rPr>
          <w:rStyle w:val="Heading2Char"/>
          <w:rFonts w:ascii="仿宋" w:eastAsia="仿宋" w:hAnsi="仿宋" w:hint="eastAsia"/>
        </w:rPr>
        <w:t>有资本经营预算支出决算表</w:t>
      </w:r>
      <w:bookmarkEnd w:id="65"/>
    </w:p>
    <w:sectPr w:rsidR="005B63CD" w:rsidSect="000043AD">
      <w:headerReference w:type="default" r:id="rId7"/>
      <w:footerReference w:type="defaul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3CD" w:rsidRDefault="005B63CD" w:rsidP="000043AD">
      <w:r>
        <w:separator/>
      </w:r>
    </w:p>
  </w:endnote>
  <w:endnote w:type="continuationSeparator" w:id="0">
    <w:p w:rsidR="005B63CD" w:rsidRDefault="005B63CD" w:rsidP="000043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方正小标宋简体">
    <w:altName w:val="方正隶书简体"/>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3CD" w:rsidRDefault="005B63CD">
    <w:pPr>
      <w:pStyle w:val="Footer"/>
      <w:jc w:val="center"/>
    </w:pPr>
    <w:fldSimple w:instr="PAGE   \* MERGEFORMAT">
      <w:r w:rsidRPr="008D07E1">
        <w:rPr>
          <w:noProof/>
          <w:lang w:val="zh-CN"/>
        </w:rPr>
        <w:t>2</w:t>
      </w:r>
    </w:fldSimple>
  </w:p>
  <w:p w:rsidR="005B63CD" w:rsidRDefault="005B6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3CD" w:rsidRDefault="005B63CD" w:rsidP="000043AD">
      <w:r>
        <w:separator/>
      </w:r>
    </w:p>
  </w:footnote>
  <w:footnote w:type="continuationSeparator" w:id="0">
    <w:p w:rsidR="005B63CD" w:rsidRDefault="005B63CD" w:rsidP="000043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3CD" w:rsidRDefault="005B63CD">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A047D"/>
    <w:multiLevelType w:val="singleLevel"/>
    <w:tmpl w:val="E2FA047D"/>
    <w:lvl w:ilvl="0">
      <w:start w:val="3"/>
      <w:numFmt w:val="chineseCounting"/>
      <w:suff w:val="space"/>
      <w:lvlText w:val="第%1部分"/>
      <w:lvlJc w:val="left"/>
      <w:rPr>
        <w:rFonts w:cs="Times New Roman" w:hint="eastAsia"/>
      </w:rPr>
    </w:lvl>
  </w:abstractNum>
  <w:abstractNum w:abstractNumId="1">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
    <w:nsid w:val="62621CDC"/>
    <w:multiLevelType w:val="multilevel"/>
    <w:tmpl w:val="62621CDC"/>
    <w:lvl w:ilvl="0">
      <w:start w:val="1"/>
      <w:numFmt w:val="decimal"/>
      <w:lvlText w:val="%1."/>
      <w:lvlJc w:val="left"/>
      <w:pPr>
        <w:ind w:left="1152" w:hanging="480"/>
      </w:pPr>
      <w:rPr>
        <w:rFonts w:cs="Times New Roman" w:hint="default"/>
      </w:rPr>
    </w:lvl>
    <w:lvl w:ilvl="1">
      <w:start w:val="1"/>
      <w:numFmt w:val="lowerLetter"/>
      <w:lvlText w:val="%2)"/>
      <w:lvlJc w:val="left"/>
      <w:pPr>
        <w:ind w:left="1512" w:hanging="420"/>
      </w:pPr>
      <w:rPr>
        <w:rFonts w:cs="Times New Roman"/>
      </w:rPr>
    </w:lvl>
    <w:lvl w:ilvl="2">
      <w:start w:val="1"/>
      <w:numFmt w:val="lowerRoman"/>
      <w:lvlText w:val="%3."/>
      <w:lvlJc w:val="right"/>
      <w:pPr>
        <w:ind w:left="1932" w:hanging="420"/>
      </w:pPr>
      <w:rPr>
        <w:rFonts w:cs="Times New Roman"/>
      </w:rPr>
    </w:lvl>
    <w:lvl w:ilvl="3">
      <w:start w:val="1"/>
      <w:numFmt w:val="decimal"/>
      <w:lvlText w:val="%4."/>
      <w:lvlJc w:val="left"/>
      <w:pPr>
        <w:ind w:left="2352" w:hanging="420"/>
      </w:pPr>
      <w:rPr>
        <w:rFonts w:cs="Times New Roman"/>
      </w:rPr>
    </w:lvl>
    <w:lvl w:ilvl="4">
      <w:start w:val="1"/>
      <w:numFmt w:val="lowerLetter"/>
      <w:lvlText w:val="%5)"/>
      <w:lvlJc w:val="left"/>
      <w:pPr>
        <w:ind w:left="2772" w:hanging="420"/>
      </w:pPr>
      <w:rPr>
        <w:rFonts w:cs="Times New Roman"/>
      </w:rPr>
    </w:lvl>
    <w:lvl w:ilvl="5">
      <w:start w:val="1"/>
      <w:numFmt w:val="lowerRoman"/>
      <w:lvlText w:val="%6."/>
      <w:lvlJc w:val="right"/>
      <w:pPr>
        <w:ind w:left="3192" w:hanging="420"/>
      </w:pPr>
      <w:rPr>
        <w:rFonts w:cs="Times New Roman"/>
      </w:rPr>
    </w:lvl>
    <w:lvl w:ilvl="6">
      <w:start w:val="1"/>
      <w:numFmt w:val="decimal"/>
      <w:lvlText w:val="%7."/>
      <w:lvlJc w:val="left"/>
      <w:pPr>
        <w:ind w:left="3612" w:hanging="420"/>
      </w:pPr>
      <w:rPr>
        <w:rFonts w:cs="Times New Roman"/>
      </w:rPr>
    </w:lvl>
    <w:lvl w:ilvl="7">
      <w:start w:val="1"/>
      <w:numFmt w:val="lowerLetter"/>
      <w:lvlText w:val="%8)"/>
      <w:lvlJc w:val="left"/>
      <w:pPr>
        <w:ind w:left="4032" w:hanging="420"/>
      </w:pPr>
      <w:rPr>
        <w:rFonts w:cs="Times New Roman"/>
      </w:rPr>
    </w:lvl>
    <w:lvl w:ilvl="8">
      <w:start w:val="1"/>
      <w:numFmt w:val="lowerRoman"/>
      <w:lvlText w:val="%9."/>
      <w:lvlJc w:val="right"/>
      <w:pPr>
        <w:ind w:left="4452" w:hanging="42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043A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B63CD"/>
    <w:rsid w:val="005C6BA7"/>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76896"/>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07E1"/>
    <w:rsid w:val="008E1DE7"/>
    <w:rsid w:val="008E707C"/>
    <w:rsid w:val="008F4C8B"/>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2D7612"/>
    <w:rsid w:val="05307C86"/>
    <w:rsid w:val="077D3225"/>
    <w:rsid w:val="0D847581"/>
    <w:rsid w:val="10C055FF"/>
    <w:rsid w:val="12BE252F"/>
    <w:rsid w:val="15CD1C43"/>
    <w:rsid w:val="16133EDB"/>
    <w:rsid w:val="16BB723D"/>
    <w:rsid w:val="18092F67"/>
    <w:rsid w:val="181C0629"/>
    <w:rsid w:val="1B811AE0"/>
    <w:rsid w:val="1B880770"/>
    <w:rsid w:val="1EC021E7"/>
    <w:rsid w:val="1F4A30BC"/>
    <w:rsid w:val="20AD7E99"/>
    <w:rsid w:val="240371BF"/>
    <w:rsid w:val="25B21AF6"/>
    <w:rsid w:val="27067B5D"/>
    <w:rsid w:val="29E1209D"/>
    <w:rsid w:val="29FD04D3"/>
    <w:rsid w:val="2B48754E"/>
    <w:rsid w:val="2E715EE8"/>
    <w:rsid w:val="2E9F7F2A"/>
    <w:rsid w:val="2FAE634C"/>
    <w:rsid w:val="319F7F4E"/>
    <w:rsid w:val="3219580F"/>
    <w:rsid w:val="34E23B76"/>
    <w:rsid w:val="38D2316C"/>
    <w:rsid w:val="3AD61201"/>
    <w:rsid w:val="3D7E4BB4"/>
    <w:rsid w:val="3DAF4503"/>
    <w:rsid w:val="3E2B4838"/>
    <w:rsid w:val="3ECD149F"/>
    <w:rsid w:val="423B0177"/>
    <w:rsid w:val="44483F36"/>
    <w:rsid w:val="4730401F"/>
    <w:rsid w:val="4740568E"/>
    <w:rsid w:val="4831495F"/>
    <w:rsid w:val="4EA67EBD"/>
    <w:rsid w:val="4ECE2238"/>
    <w:rsid w:val="51EA6CEB"/>
    <w:rsid w:val="51FD25E6"/>
    <w:rsid w:val="56102007"/>
    <w:rsid w:val="5A366F03"/>
    <w:rsid w:val="5B0A211B"/>
    <w:rsid w:val="610A6AD8"/>
    <w:rsid w:val="62106F56"/>
    <w:rsid w:val="621321D1"/>
    <w:rsid w:val="64C769D4"/>
    <w:rsid w:val="6CB04D8D"/>
    <w:rsid w:val="6CDF2F3F"/>
    <w:rsid w:val="6E9557D7"/>
    <w:rsid w:val="70A923AC"/>
    <w:rsid w:val="72734D90"/>
    <w:rsid w:val="789253E3"/>
    <w:rsid w:val="798C4E10"/>
    <w:rsid w:val="7A112E5D"/>
    <w:rsid w:val="7A554805"/>
    <w:rsid w:val="7A9D18B3"/>
    <w:rsid w:val="7C0E4351"/>
    <w:rsid w:val="7DE004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043AD"/>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0043A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0043AD"/>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0043AD"/>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43AD"/>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0043AD"/>
    <w:rPr>
      <w:rFonts w:ascii="Cambria" w:eastAsia="宋体" w:hAnsi="Cambria" w:cs="Times New Roman"/>
      <w:b/>
      <w:bCs/>
      <w:kern w:val="2"/>
      <w:sz w:val="32"/>
      <w:szCs w:val="32"/>
    </w:rPr>
  </w:style>
  <w:style w:type="character" w:customStyle="1" w:styleId="Heading3Char">
    <w:name w:val="Heading 3 Char"/>
    <w:basedOn w:val="DefaultParagraphFont"/>
    <w:link w:val="Heading3"/>
    <w:uiPriority w:val="99"/>
    <w:locked/>
    <w:rsid w:val="000043AD"/>
    <w:rPr>
      <w:rFonts w:ascii="Times New Roman" w:hAnsi="Times New Roman" w:cs="Times New Roman"/>
      <w:b/>
      <w:bCs/>
      <w:kern w:val="2"/>
      <w:sz w:val="32"/>
      <w:szCs w:val="32"/>
    </w:rPr>
  </w:style>
  <w:style w:type="paragraph" w:styleId="BodyText">
    <w:name w:val="Body Text"/>
    <w:basedOn w:val="Normal"/>
    <w:link w:val="BodyTextChar1"/>
    <w:uiPriority w:val="99"/>
    <w:rsid w:val="000043AD"/>
    <w:pPr>
      <w:spacing w:beforeLines="30"/>
    </w:pPr>
    <w:rPr>
      <w:rFonts w:ascii="仿宋_GB2312" w:eastAsia="仿宋_GB2312"/>
      <w:kern w:val="0"/>
      <w:sz w:val="24"/>
      <w:szCs w:val="20"/>
    </w:rPr>
  </w:style>
  <w:style w:type="character" w:customStyle="1" w:styleId="BodyTextChar">
    <w:name w:val="Body Text Char"/>
    <w:basedOn w:val="DefaultParagraphFont"/>
    <w:link w:val="BodyText"/>
    <w:uiPriority w:val="99"/>
    <w:semiHidden/>
    <w:rsid w:val="000043AD"/>
    <w:rPr>
      <w:rFonts w:ascii="Times New Roman" w:hAnsi="Times New Roman" w:cs="Times New Roman"/>
      <w:sz w:val="24"/>
      <w:szCs w:val="24"/>
    </w:rPr>
  </w:style>
  <w:style w:type="paragraph" w:styleId="TOC3">
    <w:name w:val="toc 3"/>
    <w:basedOn w:val="Normal"/>
    <w:next w:val="Normal"/>
    <w:uiPriority w:val="99"/>
    <w:rsid w:val="000043AD"/>
    <w:pPr>
      <w:tabs>
        <w:tab w:val="right" w:leader="dot" w:pos="8296"/>
      </w:tabs>
      <w:ind w:leftChars="400" w:left="840"/>
    </w:pPr>
  </w:style>
  <w:style w:type="paragraph" w:styleId="BalloonText">
    <w:name w:val="Balloon Text"/>
    <w:basedOn w:val="Normal"/>
    <w:link w:val="BalloonTextChar"/>
    <w:uiPriority w:val="99"/>
    <w:semiHidden/>
    <w:rsid w:val="000043AD"/>
    <w:rPr>
      <w:sz w:val="18"/>
      <w:szCs w:val="18"/>
    </w:rPr>
  </w:style>
  <w:style w:type="character" w:customStyle="1" w:styleId="BalloonTextChar">
    <w:name w:val="Balloon Text Char"/>
    <w:basedOn w:val="DefaultParagraphFont"/>
    <w:link w:val="BalloonText"/>
    <w:uiPriority w:val="99"/>
    <w:semiHidden/>
    <w:locked/>
    <w:rsid w:val="000043AD"/>
    <w:rPr>
      <w:rFonts w:ascii="Times New Roman" w:hAnsi="Times New Roman" w:cs="Times New Roman"/>
      <w:kern w:val="2"/>
      <w:sz w:val="18"/>
      <w:szCs w:val="18"/>
    </w:rPr>
  </w:style>
  <w:style w:type="paragraph" w:styleId="Footer">
    <w:name w:val="footer"/>
    <w:basedOn w:val="Normal"/>
    <w:link w:val="FooterChar1"/>
    <w:uiPriority w:val="99"/>
    <w:rsid w:val="000043AD"/>
    <w:pPr>
      <w:tabs>
        <w:tab w:val="center" w:pos="4153"/>
        <w:tab w:val="right" w:pos="8306"/>
      </w:tabs>
      <w:snapToGrid w:val="0"/>
      <w:jc w:val="left"/>
    </w:pPr>
    <w:rPr>
      <w:rFonts w:ascii="Calibri" w:hAnsi="Calibri"/>
      <w:kern w:val="0"/>
      <w:sz w:val="18"/>
      <w:szCs w:val="20"/>
    </w:rPr>
  </w:style>
  <w:style w:type="character" w:customStyle="1" w:styleId="FooterChar">
    <w:name w:val="Footer Char"/>
    <w:basedOn w:val="DefaultParagraphFont"/>
    <w:link w:val="Footer"/>
    <w:uiPriority w:val="99"/>
    <w:semiHidden/>
    <w:rsid w:val="000043AD"/>
    <w:rPr>
      <w:rFonts w:ascii="Times New Roman" w:hAnsi="Times New Roman" w:cs="Times New Roman"/>
      <w:sz w:val="18"/>
      <w:szCs w:val="18"/>
    </w:rPr>
  </w:style>
  <w:style w:type="paragraph" w:styleId="Header">
    <w:name w:val="header"/>
    <w:basedOn w:val="Normal"/>
    <w:link w:val="HeaderChar1"/>
    <w:uiPriority w:val="99"/>
    <w:semiHidden/>
    <w:rsid w:val="000043AD"/>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basedOn w:val="DefaultParagraphFont"/>
    <w:link w:val="Header"/>
    <w:uiPriority w:val="99"/>
    <w:semiHidden/>
    <w:rsid w:val="000043AD"/>
    <w:rPr>
      <w:rFonts w:ascii="Times New Roman" w:hAnsi="Times New Roman" w:cs="Times New Roman"/>
      <w:sz w:val="18"/>
      <w:szCs w:val="18"/>
    </w:rPr>
  </w:style>
  <w:style w:type="paragraph" w:styleId="TOC1">
    <w:name w:val="toc 1"/>
    <w:basedOn w:val="Normal"/>
    <w:next w:val="Normal"/>
    <w:uiPriority w:val="99"/>
    <w:rsid w:val="000043AD"/>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0043AD"/>
    <w:pPr>
      <w:tabs>
        <w:tab w:val="right" w:leader="dot" w:pos="8296"/>
      </w:tabs>
      <w:ind w:leftChars="200" w:left="420"/>
    </w:pPr>
  </w:style>
  <w:style w:type="character" w:styleId="Strong">
    <w:name w:val="Strong"/>
    <w:basedOn w:val="DefaultParagraphFont"/>
    <w:uiPriority w:val="99"/>
    <w:qFormat/>
    <w:rsid w:val="000043AD"/>
    <w:rPr>
      <w:rFonts w:cs="Times New Roman"/>
      <w:b/>
    </w:rPr>
  </w:style>
  <w:style w:type="character" w:styleId="Hyperlink">
    <w:name w:val="Hyperlink"/>
    <w:basedOn w:val="DefaultParagraphFont"/>
    <w:uiPriority w:val="99"/>
    <w:rsid w:val="000043AD"/>
    <w:rPr>
      <w:rFonts w:cs="Times New Roman"/>
      <w:color w:val="0000FF"/>
      <w:u w:val="single"/>
    </w:rPr>
  </w:style>
  <w:style w:type="character" w:customStyle="1" w:styleId="HeaderChar1">
    <w:name w:val="Header Char1"/>
    <w:link w:val="Header"/>
    <w:uiPriority w:val="99"/>
    <w:semiHidden/>
    <w:locked/>
    <w:rsid w:val="000043AD"/>
    <w:rPr>
      <w:sz w:val="18"/>
    </w:rPr>
  </w:style>
  <w:style w:type="character" w:customStyle="1" w:styleId="FooterChar1">
    <w:name w:val="Footer Char1"/>
    <w:link w:val="Footer"/>
    <w:uiPriority w:val="99"/>
    <w:locked/>
    <w:rsid w:val="000043AD"/>
    <w:rPr>
      <w:sz w:val="18"/>
    </w:rPr>
  </w:style>
  <w:style w:type="character" w:customStyle="1" w:styleId="BodyTextChar1">
    <w:name w:val="Body Text Char1"/>
    <w:link w:val="BodyText"/>
    <w:uiPriority w:val="99"/>
    <w:locked/>
    <w:rsid w:val="000043AD"/>
    <w:rPr>
      <w:rFonts w:ascii="仿宋_GB2312" w:eastAsia="仿宋_GB2312" w:hAnsi="Times New Roman"/>
      <w:sz w:val="24"/>
    </w:rPr>
  </w:style>
  <w:style w:type="paragraph" w:customStyle="1" w:styleId="Default">
    <w:name w:val="Default"/>
    <w:uiPriority w:val="99"/>
    <w:rsid w:val="000043AD"/>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0043AD"/>
    <w:pPr>
      <w:ind w:firstLineChars="200" w:firstLine="420"/>
    </w:pPr>
  </w:style>
  <w:style w:type="paragraph" w:customStyle="1" w:styleId="TOC10">
    <w:name w:val="TOC 标题1"/>
    <w:basedOn w:val="Heading1"/>
    <w:next w:val="Normal"/>
    <w:uiPriority w:val="99"/>
    <w:rsid w:val="000043AD"/>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Heading1"/>
    <w:next w:val="Normal"/>
    <w:uiPriority w:val="99"/>
    <w:rsid w:val="000043AD"/>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12</Pages>
  <Words>567</Words>
  <Characters>3237</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蓝电用户</cp:lastModifiedBy>
  <cp:revision>39</cp:revision>
  <cp:lastPrinted>2020-07-23T02:58:00Z</cp:lastPrinted>
  <dcterms:created xsi:type="dcterms:W3CDTF">2020-08-04T01:49:00Z</dcterms:created>
  <dcterms:modified xsi:type="dcterms:W3CDTF">2020-10-29T04:46:00Z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