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77425"/>
      <w:bookmarkStart w:id="4" w:name="_Toc15396597"/>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194"/>
      <w:bookmarkStart w:id="8" w:name="_Toc15377426"/>
      <w:bookmarkStart w:id="9" w:name="_Toc1539647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财政投资评审中心决算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公开时间：2020年10月2</w:t>
      </w:r>
      <w:r>
        <w:rPr>
          <w:rFonts w:hint="eastAsia"/>
          <w:lang w:val="en-US" w:eastAsia="zh-CN"/>
        </w:rPr>
        <w:t>8</w:t>
      </w:r>
      <w:r>
        <w:rPr>
          <w:rFonts w:hint="eastAsia"/>
        </w:rPr>
        <w:t>日</w:t>
      </w:r>
    </w:p>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第一部分部门概况</w:t>
      </w:r>
      <w:r>
        <w:rPr>
          <w:rFonts w:hint="eastAsia"/>
          <w:sz w:val="24"/>
          <w:lang w:val="en-US" w:eastAsia="zh-CN"/>
        </w:rPr>
        <w:t xml:space="preserve">                                            第4页</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一、基本职能及主要工作</w:t>
      </w:r>
      <w:r>
        <w:rPr>
          <w:rFonts w:hint="eastAsia"/>
          <w:sz w:val="24"/>
          <w:lang w:val="en-US" w:eastAsia="zh-CN"/>
        </w:rPr>
        <w:t xml:space="preserve">                                  第4页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 xml:space="preserve">                                            第4页</w:t>
      </w:r>
    </w:p>
    <w:p>
      <w:pPr>
        <w:pStyle w:val="10"/>
        <w:adjustRightInd w:val="0"/>
        <w:snapToGrid w:val="0"/>
        <w:spacing w:before="0" w:line="440" w:lineRule="exact"/>
        <w:jc w:val="left"/>
        <w:rPr>
          <w:rFonts w:hint="default" w:eastAsia="仿宋"/>
          <w:sz w:val="24"/>
          <w:szCs w:val="24"/>
          <w:lang w:val="en-US" w:eastAsia="zh-CN"/>
        </w:rPr>
      </w:pPr>
      <w:r>
        <w:rPr>
          <w:rFonts w:hint="eastAsia"/>
          <w:sz w:val="24"/>
        </w:rPr>
        <w:t>第二部分度部门决算情况说明</w:t>
      </w:r>
      <w:r>
        <w:rPr>
          <w:rFonts w:hint="eastAsia"/>
          <w:sz w:val="24"/>
          <w:lang w:val="en-US" w:eastAsia="zh-CN"/>
        </w:rPr>
        <w:t xml:space="preserve">                                 第5—14页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 xml:space="preserve">                            第5页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 xml:space="preserve">                                    第5—6页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 xml:space="preserve">                                    第6页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 xml:space="preserve">                    第6—7页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 xml:space="preserve">                第7—9页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 xml:space="preserve">            第9—10页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 xml:space="preserve">                第10—11页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 xml:space="preserve">                       第11页</w:t>
      </w:r>
    </w:p>
    <w:p>
      <w:pPr>
        <w:pStyle w:val="11"/>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sz w:val="24"/>
          <w:lang w:val="en-US" w:eastAsia="zh-CN"/>
        </w:rPr>
        <w:t xml:space="preserve">                    第11页</w:t>
      </w:r>
    </w:p>
    <w:p>
      <w:pPr>
        <w:adjustRightInd w:val="0"/>
        <w:snapToGrid w:val="0"/>
        <w:spacing w:line="440" w:lineRule="exact"/>
        <w:ind w:firstLine="480" w:firstLineChars="200"/>
        <w:jc w:val="left"/>
        <w:rPr>
          <w:rFonts w:hint="default" w:ascii="仿宋" w:hAnsi="仿宋" w:eastAsia="仿宋" w:cstheme="minorBidi"/>
          <w:sz w:val="24"/>
          <w:lang w:val="en-US" w:eastAsia="zh-CN"/>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lang w:val="en-US" w:eastAsia="zh-CN"/>
        </w:rPr>
        <w:t xml:space="preserve">                          第11—14页</w:t>
      </w:r>
    </w:p>
    <w:p>
      <w:pPr>
        <w:pStyle w:val="10"/>
        <w:adjustRightInd w:val="0"/>
        <w:snapToGrid w:val="0"/>
        <w:spacing w:before="0" w:line="440" w:lineRule="exact"/>
        <w:jc w:val="left"/>
        <w:rPr>
          <w:rFonts w:hint="default" w:eastAsia="仿宋" w:cstheme="minorBidi"/>
          <w:sz w:val="24"/>
          <w:szCs w:val="24"/>
          <w:lang w:val="en-US" w:eastAsia="zh-CN"/>
        </w:rPr>
      </w:pPr>
      <w:bookmarkStart w:id="12" w:name="_Toc15396599"/>
      <w:bookmarkStart w:id="13" w:name="_Toc15377196"/>
      <w:r>
        <w:rPr>
          <w:rFonts w:hint="eastAsia"/>
          <w:sz w:val="24"/>
        </w:rPr>
        <w:t>第三部分</w:t>
      </w:r>
      <w:r>
        <w:rPr>
          <w:sz w:val="24"/>
        </w:rPr>
        <w:t xml:space="preserve"> </w:t>
      </w:r>
      <w:r>
        <w:rPr>
          <w:rFonts w:hint="eastAsia"/>
          <w:sz w:val="24"/>
        </w:rPr>
        <w:t>名词解释</w:t>
      </w:r>
      <w:r>
        <w:rPr>
          <w:rFonts w:hint="eastAsia"/>
          <w:sz w:val="24"/>
          <w:lang w:val="en-US" w:eastAsia="zh-CN"/>
        </w:rPr>
        <w:t xml:space="preserve">                                         第15—17页</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 xml:space="preserve">                                             第18—24页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1</w:t>
      </w:r>
      <w:r>
        <w:rPr>
          <w:rFonts w:hint="eastAsia"/>
          <w:sz w:val="24"/>
          <w:lang w:val="en-US" w:eastAsia="zh-CN"/>
        </w:rPr>
        <w:t xml:space="preserve">                                                 第18—22页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2</w:t>
      </w:r>
      <w:r>
        <w:rPr>
          <w:rFonts w:hint="eastAsia"/>
          <w:sz w:val="24"/>
          <w:lang w:val="en-US" w:eastAsia="zh-CN"/>
        </w:rPr>
        <w:t xml:space="preserve">                                                 第23—24页</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 xml:space="preserve">                                             第25—38页                                           </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rPr>
          <w:rFonts w:hint="eastAsia"/>
          <w:sz w:val="24"/>
          <w:lang w:val="en-US" w:eastAsia="zh-CN"/>
        </w:rPr>
        <w:t xml:space="preserve">                                    第26页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rFonts w:hint="eastAsia"/>
          <w:sz w:val="24"/>
          <w:lang w:val="en-US" w:eastAsia="zh-CN"/>
        </w:rPr>
        <w:t xml:space="preserve">                                          第27页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rFonts w:hint="eastAsia"/>
          <w:sz w:val="24"/>
          <w:lang w:val="en-US" w:eastAsia="zh-CN"/>
        </w:rPr>
        <w:t xml:space="preserve">                                          第28页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四、</w:t>
      </w:r>
      <w:r>
        <w:rPr>
          <w:rFonts w:hint="eastAsia"/>
          <w:sz w:val="24"/>
        </w:rPr>
        <w:t>财政拨款收入支出决算总表</w:t>
      </w:r>
      <w:r>
        <w:rPr>
          <w:rFonts w:hint="eastAsia"/>
          <w:sz w:val="24"/>
          <w:lang w:val="en-US" w:eastAsia="zh-CN"/>
        </w:rPr>
        <w:t xml:space="preserve">                            第29页</w:t>
      </w:r>
    </w:p>
    <w:p>
      <w:pPr>
        <w:pStyle w:val="11"/>
        <w:adjustRightInd w:val="0"/>
        <w:snapToGrid w:val="0"/>
        <w:spacing w:line="440" w:lineRule="exact"/>
        <w:jc w:val="left"/>
        <w:rPr>
          <w:rFonts w:hint="default" w:ascii="仿宋" w:hAnsi="仿宋" w:eastAsia="仿宋"/>
          <w:sz w:val="24"/>
          <w:lang w:val="en-US" w:eastAsia="zh-CN"/>
        </w:rPr>
      </w:pPr>
      <w:r>
        <w:rPr>
          <w:rFonts w:hint="eastAsia" w:ascii="仿宋" w:hAnsi="仿宋" w:eastAsia="仿宋"/>
          <w:sz w:val="24"/>
        </w:rPr>
        <w:t>五、财政拨款支出决算明细表</w:t>
      </w:r>
      <w:r>
        <w:rPr>
          <w:rFonts w:hint="eastAsia" w:ascii="仿宋" w:hAnsi="仿宋" w:eastAsia="仿宋"/>
          <w:sz w:val="24"/>
          <w:lang w:val="en-US" w:eastAsia="zh-CN"/>
        </w:rPr>
        <w:t xml:space="preserve">                              第30页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六、</w:t>
      </w:r>
      <w:r>
        <w:rPr>
          <w:rFonts w:hint="eastAsia"/>
          <w:sz w:val="24"/>
        </w:rPr>
        <w:t>一般公共预算财政拨款支出决算表</w:t>
      </w:r>
      <w:r>
        <w:rPr>
          <w:rFonts w:hint="eastAsia"/>
          <w:sz w:val="24"/>
          <w:lang w:val="en-US" w:eastAsia="zh-CN"/>
        </w:rPr>
        <w:t xml:space="preserve">                      第31页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七、</w:t>
      </w:r>
      <w:r>
        <w:rPr>
          <w:rFonts w:hint="eastAsia"/>
          <w:sz w:val="24"/>
        </w:rPr>
        <w:t>一般公共预算财政拨款支出决算明细表</w:t>
      </w:r>
      <w:r>
        <w:rPr>
          <w:rFonts w:hint="eastAsia"/>
          <w:sz w:val="24"/>
          <w:lang w:val="en-US" w:eastAsia="zh-CN"/>
        </w:rPr>
        <w:t xml:space="preserve">                  第32页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八、</w:t>
      </w:r>
      <w:r>
        <w:rPr>
          <w:rFonts w:hint="eastAsia"/>
          <w:sz w:val="24"/>
        </w:rPr>
        <w:t>一般公共预算财政拨款基本支出决算表</w:t>
      </w:r>
      <w:r>
        <w:rPr>
          <w:rFonts w:hint="eastAsia"/>
          <w:sz w:val="24"/>
          <w:lang w:val="en-US" w:eastAsia="zh-CN"/>
        </w:rPr>
        <w:t xml:space="preserve">                  第33页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九、</w:t>
      </w:r>
      <w:r>
        <w:rPr>
          <w:rFonts w:hint="eastAsia"/>
          <w:sz w:val="24"/>
        </w:rPr>
        <w:t>一般公共预算财政拨款项目支出决算表</w:t>
      </w:r>
      <w:r>
        <w:rPr>
          <w:rFonts w:hint="eastAsia"/>
          <w:sz w:val="24"/>
          <w:lang w:val="en-US" w:eastAsia="zh-CN"/>
        </w:rPr>
        <w:t xml:space="preserve">                  第34页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w:t>
      </w:r>
      <w:r>
        <w:rPr>
          <w:rFonts w:hint="eastAsia"/>
          <w:sz w:val="24"/>
        </w:rPr>
        <w:t>一般公共预算财政拨款“三公”经费支出决算表</w:t>
      </w:r>
      <w:r>
        <w:rPr>
          <w:rFonts w:hint="eastAsia"/>
          <w:sz w:val="24"/>
          <w:lang w:val="en-US" w:eastAsia="zh-CN"/>
        </w:rPr>
        <w:t xml:space="preserve">          第35页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十一、</w:t>
      </w:r>
      <w:r>
        <w:rPr>
          <w:rFonts w:hint="eastAsia"/>
          <w:sz w:val="24"/>
        </w:rPr>
        <w:t>政府性基金预算财政拨款收入支出决算表</w:t>
      </w:r>
      <w:r>
        <w:rPr>
          <w:rFonts w:hint="eastAsia"/>
          <w:sz w:val="24"/>
          <w:lang w:val="en-US" w:eastAsia="zh-CN"/>
        </w:rPr>
        <w:t xml:space="preserve">              第36页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十二、</w:t>
      </w:r>
      <w:r>
        <w:rPr>
          <w:rFonts w:hint="eastAsia"/>
          <w:sz w:val="24"/>
        </w:rPr>
        <w:t>政府性基金预算财政拨款“三公”经费支出决算表</w:t>
      </w:r>
      <w:r>
        <w:rPr>
          <w:rFonts w:hint="eastAsia"/>
          <w:sz w:val="24"/>
          <w:lang w:val="en-US" w:eastAsia="zh-CN"/>
        </w:rPr>
        <w:t xml:space="preserve">      第37页</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十三、</w:t>
      </w:r>
      <w:r>
        <w:rPr>
          <w:rFonts w:hint="eastAsia"/>
          <w:sz w:val="24"/>
        </w:rPr>
        <w:t>国有资本经营预算支出决算表</w:t>
      </w:r>
      <w:r>
        <w:rPr>
          <w:rFonts w:hint="eastAsia"/>
          <w:sz w:val="24"/>
          <w:lang w:val="en-US" w:eastAsia="zh-CN"/>
        </w:rPr>
        <w:t xml:space="preserve">                        第38页</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pStyle w:val="2"/>
        <w:jc w:val="center"/>
        <w:rPr>
          <w:rFonts w:hint="eastAsia" w:ascii="黑体" w:hAnsi="黑体" w:eastAsia="黑体"/>
          <w:b w:val="0"/>
        </w:rPr>
      </w:pPr>
    </w:p>
    <w:p>
      <w:pPr>
        <w:pStyle w:val="2"/>
        <w:jc w:val="cente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rPr>
          <w:rFonts w:hint="eastAsia" w:ascii="黑体" w:hAnsi="黑体" w:eastAsia="黑体"/>
          <w:b w:val="0"/>
        </w:rPr>
      </w:pP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3"/>
        <w:rPr>
          <w:rFonts w:hint="eastAsia" w:ascii="黑体" w:hAnsi="黑体" w:eastAsia="黑体"/>
          <w:b w:val="0"/>
          <w:color w:val="000000"/>
        </w:rPr>
      </w:pPr>
      <w:bookmarkStart w:id="14" w:name="_Toc15377197"/>
      <w:bookmarkStart w:id="15" w:name="_Toc15396600"/>
    </w:p>
    <w:p>
      <w:pPr>
        <w:pStyle w:val="3"/>
        <w:rPr>
          <w:rStyle w:val="25"/>
          <w:rFonts w:ascii="仿宋" w:hAnsi="仿宋" w:eastAsia="仿宋"/>
          <w:b w:val="0"/>
          <w:bCs w:val="0"/>
        </w:rPr>
      </w:pPr>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Ansi="仿宋_GB2312" w:cs="仿宋_GB2312"/>
          <w:bCs/>
          <w:color w:val="000000"/>
          <w:sz w:val="32"/>
          <w:szCs w:val="32"/>
        </w:rPr>
      </w:pPr>
      <w:bookmarkStart w:id="16" w:name="_Toc15378445"/>
      <w:bookmarkStart w:id="17" w:name="_Toc15377198"/>
      <w:r>
        <w:rPr>
          <w:rFonts w:hint="eastAsia" w:hAnsi="仿宋_GB2312" w:cs="仿宋_GB2312"/>
          <w:bCs/>
          <w:color w:val="000000"/>
          <w:sz w:val="32"/>
          <w:szCs w:val="32"/>
        </w:rPr>
        <w:t>（一）主要职能</w:t>
      </w:r>
      <w:bookmarkEnd w:id="16"/>
      <w:bookmarkEnd w:id="17"/>
      <w:bookmarkStart w:id="18" w:name="_Toc15378446"/>
      <w:bookmarkStart w:id="19" w:name="_Toc15377199"/>
      <w:r>
        <w:rPr>
          <w:rFonts w:hint="eastAsia" w:hAnsi="仿宋_GB2312" w:cs="仿宋_GB2312"/>
          <w:bCs/>
          <w:color w:val="000000"/>
          <w:sz w:val="32"/>
          <w:szCs w:val="32"/>
        </w:rPr>
        <w:t>。</w:t>
      </w:r>
    </w:p>
    <w:p>
      <w:pPr>
        <w:pStyle w:val="5"/>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负责政府投资建设项目的预算评审；负责对政府投资工程项目招标文件、施工合同进行符合性审核；协助市财政局对工程进度及资金拨付情况进行监管；协助市财政局参与政府投资建设项目绩效评价和监督检查；完成市委、市政府交办的其他事项。</w:t>
      </w:r>
    </w:p>
    <w:p>
      <w:pPr>
        <w:pStyle w:val="5"/>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（二）2019年重点工作完成情</w:t>
      </w:r>
      <w:bookmarkEnd w:id="18"/>
      <w:bookmarkEnd w:id="19"/>
      <w:r>
        <w:rPr>
          <w:rFonts w:hint="eastAsia" w:hAnsi="仿宋_GB2312" w:cs="仿宋_GB2312"/>
          <w:bCs/>
          <w:color w:val="000000"/>
          <w:sz w:val="32"/>
          <w:szCs w:val="32"/>
        </w:rPr>
        <w:t>况。</w:t>
      </w:r>
    </w:p>
    <w:p>
      <w:pPr>
        <w:spacing w:line="600" w:lineRule="exact"/>
        <w:ind w:right="-332" w:rightChars="-15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1.完成项目评审422个(包括电力类95个和景区管委会项目49个)。其中：</w:t>
      </w:r>
    </w:p>
    <w:p>
      <w:pPr>
        <w:spacing w:line="600" w:lineRule="exact"/>
        <w:ind w:right="-332" w:rightChars="-15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预算项目评审354个，送审金额121391.84万元，审定金额101463.25万元，审减金额19928.60万元，审减率16.42%。</w:t>
      </w:r>
    </w:p>
    <w:p>
      <w:pPr>
        <w:spacing w:line="600" w:lineRule="exact"/>
        <w:ind w:right="-332" w:rightChars="-15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结算项目评审68个，送审金额3578.47万元，审定金额3189.97万元，审减金额388.5万元，审减率10.86%。</w:t>
      </w:r>
    </w:p>
    <w:p>
      <w:pPr>
        <w:numPr>
          <w:ilvl w:val="0"/>
          <w:numId w:val="1"/>
        </w:numPr>
        <w:spacing w:line="600" w:lineRule="exact"/>
        <w:ind w:right="-332" w:rightChars="-15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完成招标文件符合性审查67个，合同审查65个。</w:t>
      </w:r>
      <w:bookmarkStart w:id="20" w:name="_Toc15377200"/>
      <w:bookmarkStart w:id="21" w:name="_Toc15396601"/>
    </w:p>
    <w:p>
      <w:pPr>
        <w:spacing w:line="600" w:lineRule="exact"/>
        <w:ind w:right="-332" w:rightChars="-158" w:firstLine="320" w:firstLineChars="100"/>
      </w:pPr>
      <w:r>
        <w:rPr>
          <w:rFonts w:hint="eastAsia" w:ascii="黑体" w:hAnsi="黑体" w:eastAsia="黑体" w:cs="黑体"/>
          <w:sz w:val="32"/>
          <w:szCs w:val="32"/>
        </w:rPr>
        <w:t>二、</w:t>
      </w:r>
      <w:r>
        <w:rPr>
          <w:rFonts w:hint="eastAsia" w:ascii="黑体" w:hAnsi="黑体" w:eastAsia="黑体"/>
          <w:color w:val="000000"/>
          <w:sz w:val="32"/>
          <w:szCs w:val="32"/>
        </w:rPr>
        <w:t>机</w:t>
      </w:r>
      <w:r>
        <w:rPr>
          <w:rStyle w:val="25"/>
          <w:rFonts w:hint="eastAsia" w:ascii="黑体" w:hAnsi="黑体" w:eastAsia="黑体"/>
          <w:b w:val="0"/>
          <w:bCs w:val="0"/>
        </w:rPr>
        <w:t>构设置</w:t>
      </w:r>
      <w:bookmarkEnd w:id="20"/>
      <w:bookmarkEnd w:id="21"/>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峨眉山市财政投资评审中心为峨眉山市财政局下属事业单位。</w:t>
      </w:r>
      <w:bookmarkStart w:id="72" w:name="_GoBack"/>
      <w:bookmarkEnd w:id="72"/>
    </w:p>
    <w:p>
      <w:pPr>
        <w:pStyle w:val="2"/>
        <w:ind w:right="440" w:firstLine="440" w:firstLineChars="100"/>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24"/>
          <w:rFonts w:hint="eastAsia" w:ascii="黑体" w:hAnsi="黑体" w:eastAsia="黑体"/>
          <w:b w:val="0"/>
          <w:bCs w:val="0"/>
        </w:rPr>
        <w:t>2019年度部门决算情况说明</w:t>
      </w:r>
      <w:bookmarkEnd w:id="22"/>
      <w:bookmarkEnd w:id="23"/>
    </w:p>
    <w:p/>
    <w:p>
      <w:pPr>
        <w:pStyle w:val="23"/>
        <w:numPr>
          <w:ilvl w:val="0"/>
          <w:numId w:val="2"/>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2019年度收入总计447.6万元，支出总计447.65万元。与2018年相比，收、支总计各减少157.58万元、152.62万元，下降26.04%、25.43%。主要变动原因是评审项目减少，用于项目评审方面支出减少。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drawing>
          <wp:anchor distT="0" distB="0" distL="114300" distR="114300" simplePos="0" relativeHeight="251658240" behindDoc="0" locked="0" layoutInCell="1" allowOverlap="1">
            <wp:simplePos x="0" y="0"/>
            <wp:positionH relativeFrom="column">
              <wp:posOffset>347980</wp:posOffset>
            </wp:positionH>
            <wp:positionV relativeFrom="paragraph">
              <wp:posOffset>88900</wp:posOffset>
            </wp:positionV>
            <wp:extent cx="4656455" cy="2900045"/>
            <wp:effectExtent l="4445" t="4445" r="6350" b="1016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3"/>
        <w:numPr>
          <w:ilvl w:val="0"/>
          <w:numId w:val="2"/>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2019年本年收入合计447.6万元，其中：一般公共预算财政拨款收入447.6万元，占100%。</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420" w:firstLineChars="200"/>
        <w:outlineLvl w:val="1"/>
        <w:rPr>
          <w:rFonts w:hint="eastAsia" w:ascii="仿宋_GB2312" w:hAnsi="仿宋_GB2312" w:eastAsia="仿宋_GB2312" w:cs="仿宋_GB2312"/>
          <w:color w:val="000000"/>
          <w:sz w:val="32"/>
          <w:szCs w:val="32"/>
        </w:rPr>
      </w:pPr>
      <w:r>
        <w:drawing>
          <wp:anchor distT="0" distB="0" distL="114300" distR="114300" simplePos="0" relativeHeight="251659264" behindDoc="0" locked="0" layoutInCell="1" allowOverlap="1">
            <wp:simplePos x="0" y="0"/>
            <wp:positionH relativeFrom="column">
              <wp:posOffset>271145</wp:posOffset>
            </wp:positionH>
            <wp:positionV relativeFrom="paragraph">
              <wp:posOffset>-2525395</wp:posOffset>
            </wp:positionV>
            <wp:extent cx="3635375" cy="2820035"/>
            <wp:effectExtent l="4445" t="4445" r="17780" b="10160"/>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3"/>
        <w:numPr>
          <w:ilvl w:val="0"/>
          <w:numId w:val="2"/>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2019年本年支出合计447.65万元，其中：基本支出387.65万元，占86.6%；项目支出60万元，占13.4%。</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420" w:firstLineChars="200"/>
        <w:rPr>
          <w:rFonts w:ascii="仿宋" w:hAnsi="仿宋" w:eastAsia="仿宋"/>
          <w:color w:val="000000" w:themeColor="text1"/>
          <w:sz w:val="32"/>
          <w:szCs w:val="32"/>
        </w:rPr>
      </w:pPr>
      <w:r>
        <w:drawing>
          <wp:anchor distT="0" distB="0" distL="114300" distR="114300" simplePos="0" relativeHeight="251660288" behindDoc="0" locked="0" layoutInCell="1" allowOverlap="1">
            <wp:simplePos x="0" y="0"/>
            <wp:positionH relativeFrom="column">
              <wp:posOffset>271145</wp:posOffset>
            </wp:positionH>
            <wp:positionV relativeFrom="paragraph">
              <wp:posOffset>-2449195</wp:posOffset>
            </wp:positionV>
            <wp:extent cx="4572000" cy="2743200"/>
            <wp:effectExtent l="4445" t="4445" r="10795" b="10795"/>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outlineLvl w:val="1"/>
        <w:rPr>
          <w:rFonts w:ascii="仿宋_GB2312" w:hAnsi="仿宋_GB2312" w:eastAsia="仿宋_GB2312" w:cs="仿宋_GB2312"/>
          <w:color w:val="000000"/>
          <w:sz w:val="32"/>
          <w:szCs w:val="32"/>
        </w:rPr>
      </w:pP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2019年财政拨款收入总计447.6万元、支出总计447.6万元。与2018年相比，财政拨款收、支总计各减少117.58万元、117.58万元，均下降20.8%。主要变动原因是评审项目减少，用于项目评审方面支出减少。</w:t>
      </w: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rPr>
          <w:rFonts w:hint="eastAsia" w:ascii="仿宋_GB2312" w:hAnsi="仿宋_GB2312" w:eastAsia="仿宋_GB2312" w:cs="仿宋_GB2312"/>
          <w:color w:val="000000"/>
          <w:sz w:val="32"/>
          <w:szCs w:val="32"/>
        </w:rPr>
      </w:pPr>
      <w:r>
        <w:drawing>
          <wp:anchor distT="0" distB="0" distL="114300" distR="114300" simplePos="0" relativeHeight="251661312" behindDoc="0" locked="0" layoutInCell="1" allowOverlap="1">
            <wp:simplePos x="0" y="0"/>
            <wp:positionH relativeFrom="column">
              <wp:posOffset>410845</wp:posOffset>
            </wp:positionH>
            <wp:positionV relativeFrom="paragraph">
              <wp:posOffset>-2449195</wp:posOffset>
            </wp:positionV>
            <wp:extent cx="4572000" cy="2743200"/>
            <wp:effectExtent l="4445" t="4445" r="10795" b="10795"/>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仿宋_GB2312" w:hAnsi="仿宋_GB2312" w:eastAsia="仿宋_GB2312" w:cs="仿宋_GB2312"/>
          <w:bCs/>
          <w:color w:val="000000"/>
          <w:sz w:val="32"/>
          <w:szCs w:val="32"/>
        </w:rPr>
      </w:pPr>
      <w:bookmarkStart w:id="34" w:name="_Toc15377210"/>
      <w:r>
        <w:rPr>
          <w:rFonts w:hint="eastAsia" w:ascii="仿宋_GB2312" w:hAnsi="仿宋_GB2312" w:eastAsia="仿宋_GB2312" w:cs="仿宋_GB2312"/>
          <w:bCs/>
          <w:color w:val="000000"/>
          <w:sz w:val="32"/>
          <w:szCs w:val="32"/>
        </w:rPr>
        <w:t>（一）一般公共预算财政拨款支出决算总体情况</w:t>
      </w:r>
      <w:bookmarkEnd w:id="34"/>
      <w:r>
        <w:rPr>
          <w:rFonts w:hint="eastAsia" w:ascii="仿宋_GB2312" w:hAnsi="仿宋_GB2312" w:eastAsia="仿宋_GB2312" w:cs="仿宋_GB2312"/>
          <w:bCs/>
          <w:color w:val="000000"/>
          <w:sz w:val="32"/>
          <w:szCs w:val="32"/>
        </w:rPr>
        <w:t>。</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2019年一般公共预算财政拨款支出447.6万元，占本年支出合计的99.99%。与2018年相比，一般公共预算财政拨款减少117.58万元，下降20.8%。主要变动原因是评审项目减少，用于项目评审方面支出减少。</w:t>
      </w:r>
    </w:p>
    <w:p>
      <w:pPr>
        <w:spacing w:line="600" w:lineRule="exact"/>
        <w:ind w:firstLine="640"/>
        <w:rPr>
          <w:rFonts w:hint="eastAsia" w:ascii="仿宋_GB2312" w:hAnsi="仿宋_GB2312" w:eastAsia="仿宋_GB2312" w:cs="仿宋_GB2312"/>
          <w:color w:val="000000"/>
          <w:sz w:val="32"/>
          <w:szCs w:val="32"/>
        </w:rPr>
      </w:pPr>
      <w:r>
        <w:drawing>
          <wp:anchor distT="0" distB="0" distL="114300" distR="114300" simplePos="0" relativeHeight="251662336" behindDoc="0" locked="0" layoutInCell="1" allowOverlap="1">
            <wp:simplePos x="0" y="0"/>
            <wp:positionH relativeFrom="column">
              <wp:posOffset>296545</wp:posOffset>
            </wp:positionH>
            <wp:positionV relativeFrom="paragraph">
              <wp:posOffset>73025</wp:posOffset>
            </wp:positionV>
            <wp:extent cx="4251960" cy="2263775"/>
            <wp:effectExtent l="4445" t="4445" r="10795" b="17780"/>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outlineLvl w:val="2"/>
        <w:rPr>
          <w:rFonts w:ascii="仿宋_GB2312" w:hAnsi="仿宋_GB2312" w:eastAsia="仿宋_GB2312" w:cs="仿宋_GB2312"/>
          <w:bCs/>
          <w:color w:val="000000"/>
          <w:sz w:val="32"/>
          <w:szCs w:val="32"/>
        </w:rPr>
      </w:pPr>
      <w:bookmarkStart w:id="35" w:name="_Toc15377211"/>
      <w:r>
        <w:rPr>
          <w:rFonts w:hint="eastAsia" w:ascii="仿宋_GB2312" w:hAnsi="仿宋_GB2312" w:eastAsia="仿宋_GB2312" w:cs="仿宋_GB2312"/>
          <w:bCs/>
          <w:color w:val="000000"/>
          <w:sz w:val="32"/>
          <w:szCs w:val="32"/>
        </w:rPr>
        <w:t>（二）一般公共预算财政拨款支出决算结构情</w:t>
      </w:r>
      <w:bookmarkEnd w:id="35"/>
      <w:r>
        <w:rPr>
          <w:rFonts w:hint="eastAsia" w:ascii="仿宋_GB2312" w:hAnsi="仿宋_GB2312" w:eastAsia="仿宋_GB2312" w:cs="仿宋_GB2312"/>
          <w:bCs/>
          <w:color w:val="000000"/>
          <w:sz w:val="32"/>
          <w:szCs w:val="32"/>
        </w:rPr>
        <w:t>况。</w:t>
      </w:r>
    </w:p>
    <w:p>
      <w:p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2019年一般公共预算财</w:t>
      </w:r>
      <w:r>
        <w:rPr>
          <w:rFonts w:hint="eastAsia" w:ascii="仿宋_GB2312" w:hAnsi="仿宋_GB2312" w:eastAsia="仿宋_GB2312" w:cs="仿宋_GB2312"/>
          <w:color w:val="000000" w:themeColor="text1"/>
          <w:sz w:val="32"/>
          <w:szCs w:val="32"/>
        </w:rPr>
        <w:t>政拨款支出447.6万元，主要用于以下方面:</w:t>
      </w:r>
      <w:r>
        <w:rPr>
          <w:rFonts w:hint="eastAsia" w:ascii="仿宋_GB2312" w:hAnsi="仿宋_GB2312" w:eastAsia="仿宋_GB2312" w:cs="仿宋_GB2312"/>
          <w:b/>
          <w:color w:val="000000" w:themeColor="text1"/>
          <w:sz w:val="32"/>
          <w:szCs w:val="32"/>
        </w:rPr>
        <w:t>一般公共服务（类）</w:t>
      </w:r>
      <w:r>
        <w:rPr>
          <w:rFonts w:hint="eastAsia" w:ascii="仿宋_GB2312" w:hAnsi="仿宋_GB2312" w:eastAsia="仿宋_GB2312" w:cs="仿宋_GB2312"/>
          <w:color w:val="000000" w:themeColor="text1"/>
          <w:sz w:val="32"/>
          <w:szCs w:val="32"/>
        </w:rPr>
        <w:t>支出407.54万元，占91.05%；</w:t>
      </w:r>
      <w:r>
        <w:rPr>
          <w:rFonts w:hint="eastAsia" w:ascii="仿宋_GB2312" w:hAnsi="仿宋_GB2312" w:eastAsia="仿宋_GB2312" w:cs="仿宋_GB2312"/>
          <w:b/>
          <w:color w:val="000000" w:themeColor="text1"/>
          <w:sz w:val="32"/>
          <w:szCs w:val="32"/>
        </w:rPr>
        <w:t>社会保障和就业（类）</w:t>
      </w:r>
      <w:r>
        <w:rPr>
          <w:rFonts w:hint="eastAsia" w:ascii="仿宋_GB2312" w:hAnsi="仿宋_GB2312" w:eastAsia="仿宋_GB2312" w:cs="仿宋_GB2312"/>
          <w:color w:val="000000" w:themeColor="text1"/>
          <w:sz w:val="32"/>
          <w:szCs w:val="32"/>
        </w:rPr>
        <w:t>支出17.8万元，占3.98%；</w:t>
      </w:r>
      <w:r>
        <w:rPr>
          <w:rFonts w:hint="eastAsia" w:ascii="仿宋_GB2312" w:hAnsi="仿宋_GB2312" w:eastAsia="仿宋_GB2312" w:cs="仿宋_GB2312"/>
          <w:b/>
          <w:bCs/>
          <w:color w:val="000000" w:themeColor="text1"/>
          <w:sz w:val="32"/>
          <w:szCs w:val="32"/>
        </w:rPr>
        <w:t>卫生健康支出</w:t>
      </w:r>
      <w:r>
        <w:rPr>
          <w:rFonts w:hint="eastAsia" w:ascii="仿宋_GB2312" w:hAnsi="仿宋_GB2312" w:eastAsia="仿宋_GB2312" w:cs="仿宋_GB2312"/>
          <w:color w:val="000000" w:themeColor="text1"/>
          <w:sz w:val="32"/>
          <w:szCs w:val="32"/>
        </w:rPr>
        <w:t>5.00万元，占1.11%；</w:t>
      </w:r>
      <w:r>
        <w:rPr>
          <w:rFonts w:hint="eastAsia" w:ascii="仿宋_GB2312" w:hAnsi="仿宋_GB2312" w:eastAsia="仿宋_GB2312" w:cs="仿宋_GB2312"/>
          <w:b/>
          <w:bCs/>
          <w:color w:val="000000" w:themeColor="text1"/>
          <w:sz w:val="32"/>
          <w:szCs w:val="32"/>
        </w:rPr>
        <w:t>住房保障支出</w:t>
      </w:r>
      <w:r>
        <w:rPr>
          <w:rFonts w:hint="eastAsia" w:ascii="仿宋_GB2312" w:hAnsi="仿宋_GB2312" w:eastAsia="仿宋_GB2312" w:cs="仿宋_GB2312"/>
          <w:color w:val="000000" w:themeColor="text1"/>
          <w:sz w:val="32"/>
          <w:szCs w:val="32"/>
        </w:rPr>
        <w:t>17.26万元，占3.86%。</w:t>
      </w:r>
    </w:p>
    <w:p>
      <w:pPr>
        <w:spacing w:line="600" w:lineRule="exact"/>
        <w:ind w:firstLine="420" w:firstLineChars="200"/>
        <w:rPr>
          <w:rFonts w:hint="eastAsia" w:ascii="仿宋_GB2312" w:hAnsi="仿宋_GB2312" w:eastAsia="仿宋_GB2312" w:cs="仿宋_GB2312"/>
          <w:color w:val="000000" w:themeColor="text1"/>
          <w:sz w:val="32"/>
          <w:szCs w:val="32"/>
        </w:rPr>
      </w:pPr>
      <w:r>
        <w:drawing>
          <wp:anchor distT="0" distB="0" distL="114300" distR="114300" simplePos="0" relativeHeight="251663360" behindDoc="0" locked="0" layoutInCell="1" allowOverlap="1">
            <wp:simplePos x="0" y="0"/>
            <wp:positionH relativeFrom="column">
              <wp:posOffset>324485</wp:posOffset>
            </wp:positionH>
            <wp:positionV relativeFrom="paragraph">
              <wp:posOffset>118745</wp:posOffset>
            </wp:positionV>
            <wp:extent cx="4511675" cy="3154680"/>
            <wp:effectExtent l="4445" t="4445" r="10160" b="1079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rPr>
          <w:rFonts w:hint="eastAsia"/>
        </w:rPr>
      </w:pPr>
    </w:p>
    <w:p>
      <w:pPr>
        <w:spacing w:line="600" w:lineRule="exact"/>
        <w:ind w:firstLine="640" w:firstLineChars="200"/>
        <w:rPr>
          <w:rFonts w:hint="eastAsia" w:ascii="仿宋_GB2312" w:hAnsi="仿宋_GB2312" w:eastAsia="仿宋_GB2312" w:cs="仿宋_GB2312"/>
          <w:color w:val="000000" w:themeColor="text1"/>
          <w:sz w:val="32"/>
          <w:szCs w:val="32"/>
        </w:rPr>
      </w:pPr>
    </w:p>
    <w:p>
      <w:pPr>
        <w:spacing w:line="600" w:lineRule="exact"/>
        <w:ind w:firstLine="640" w:firstLineChars="200"/>
        <w:rPr>
          <w:rFonts w:hint="eastAsia" w:ascii="仿宋_GB2312" w:hAnsi="仿宋_GB2312" w:eastAsia="仿宋_GB2312" w:cs="仿宋_GB2312"/>
          <w:color w:val="000000" w:themeColor="text1"/>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outlineLvl w:val="2"/>
        <w:rPr>
          <w:rFonts w:ascii="仿宋_GB2312" w:hAnsi="仿宋_GB2312" w:eastAsia="仿宋_GB2312" w:cs="仿宋_GB2312"/>
          <w:bCs/>
          <w:color w:val="000000"/>
          <w:sz w:val="32"/>
          <w:szCs w:val="32"/>
        </w:rPr>
      </w:pPr>
      <w:bookmarkStart w:id="36" w:name="_Toc15377212"/>
      <w:r>
        <w:rPr>
          <w:rFonts w:hint="eastAsia" w:ascii="仿宋_GB2312" w:hAnsi="仿宋_GB2312" w:eastAsia="仿宋_GB2312" w:cs="仿宋_GB2312"/>
          <w:bCs/>
          <w:color w:val="000000"/>
          <w:sz w:val="32"/>
          <w:szCs w:val="32"/>
        </w:rPr>
        <w:t>（三）一般公共预算财政拨款支出决算具体情</w:t>
      </w:r>
      <w:bookmarkEnd w:id="36"/>
      <w:r>
        <w:rPr>
          <w:rFonts w:hint="eastAsia" w:ascii="仿宋_GB2312" w:hAnsi="仿宋_GB2312" w:eastAsia="仿宋_GB2312" w:cs="仿宋_GB2312"/>
          <w:bCs/>
          <w:color w:val="000000"/>
          <w:sz w:val="32"/>
          <w:szCs w:val="32"/>
        </w:rPr>
        <w:t>况。</w:t>
      </w:r>
    </w:p>
    <w:p>
      <w:pPr>
        <w:spacing w:line="600" w:lineRule="exact"/>
        <w:ind w:firstLine="640" w:firstLineChars="200"/>
        <w:outlineLvl w:val="2"/>
        <w:rPr>
          <w:rFonts w:ascii="仿宋_GB2312" w:hAnsi="仿宋_GB2312" w:eastAsia="仿宋_GB2312" w:cs="仿宋_GB2312"/>
          <w:bCs/>
          <w:color w:val="FF0000"/>
          <w:sz w:val="32"/>
          <w:szCs w:val="32"/>
        </w:rPr>
      </w:pPr>
      <w:bookmarkStart w:id="37" w:name="_Toc15378460"/>
      <w:bookmarkStart w:id="38" w:name="_Toc15377213"/>
      <w:bookmarkStart w:id="39" w:name="_Toc15377444"/>
      <w:r>
        <w:rPr>
          <w:rFonts w:hint="eastAsia" w:ascii="仿宋_GB2312" w:hAnsi="仿宋_GB2312" w:eastAsia="仿宋_GB2312" w:cs="仿宋_GB2312"/>
          <w:bCs/>
          <w:color w:val="000000" w:themeColor="text1"/>
          <w:sz w:val="32"/>
          <w:szCs w:val="32"/>
        </w:rPr>
        <w:t>2019年一般公共预算支出决算数为447.6万元，</w:t>
      </w:r>
      <w:r>
        <w:rPr>
          <w:rStyle w:val="14"/>
          <w:rFonts w:hint="eastAsia" w:ascii="仿宋_GB2312" w:hAnsi="仿宋_GB2312" w:eastAsia="仿宋_GB2312" w:cs="仿宋_GB2312"/>
          <w:b w:val="0"/>
          <w:bCs/>
          <w:color w:val="000000" w:themeColor="text1"/>
          <w:sz w:val="32"/>
          <w:szCs w:val="32"/>
        </w:rPr>
        <w:t>完成</w:t>
      </w:r>
      <w:r>
        <w:rPr>
          <w:rStyle w:val="14"/>
          <w:rFonts w:hint="eastAsia" w:ascii="仿宋_GB2312" w:hAnsi="仿宋_GB2312" w:eastAsia="仿宋_GB2312" w:cs="仿宋_GB2312"/>
          <w:b w:val="0"/>
          <w:bCs/>
          <w:color w:val="000000"/>
          <w:sz w:val="32"/>
          <w:szCs w:val="32"/>
        </w:rPr>
        <w:t>预算100%。其中：</w:t>
      </w:r>
      <w:bookmarkEnd w:id="37"/>
      <w:bookmarkEnd w:id="38"/>
      <w:bookmarkEnd w:id="39"/>
    </w:p>
    <w:p>
      <w:pPr>
        <w:spacing w:line="600" w:lineRule="exact"/>
        <w:ind w:firstLine="643"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1.一般公共服务（类）财政事务（款）事业运行（项）:</w:t>
      </w:r>
      <w:r>
        <w:rPr>
          <w:rStyle w:val="14"/>
          <w:rFonts w:hint="eastAsia" w:ascii="仿宋_GB2312" w:hAnsi="仿宋_GB2312" w:eastAsia="仿宋_GB2312" w:cs="仿宋_GB2312"/>
          <w:b w:val="0"/>
          <w:bCs/>
          <w:color w:val="000000"/>
          <w:sz w:val="32"/>
          <w:szCs w:val="32"/>
        </w:rPr>
        <w:t xml:space="preserve"> 支出决算为347.54万元，完成预算100%；</w:t>
      </w:r>
    </w:p>
    <w:p>
      <w:pPr>
        <w:spacing w:line="600" w:lineRule="exact"/>
        <w:ind w:firstLine="643"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rPr>
        <w:t>2.一般公共服务（类）财政事务（款）其他财政事务支出（项）：</w:t>
      </w:r>
      <w:r>
        <w:rPr>
          <w:rStyle w:val="14"/>
          <w:rFonts w:hint="eastAsia" w:ascii="仿宋_GB2312" w:hAnsi="仿宋_GB2312" w:eastAsia="仿宋_GB2312" w:cs="仿宋_GB2312"/>
          <w:b w:val="0"/>
          <w:color w:val="000000"/>
          <w:sz w:val="32"/>
          <w:szCs w:val="32"/>
        </w:rPr>
        <w:t>支出决算为60.00万元，完成预算100%。</w:t>
      </w:r>
    </w:p>
    <w:p>
      <w:pPr>
        <w:spacing w:line="600" w:lineRule="exact"/>
        <w:ind w:firstLine="643"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3.社会保障和就业（类）行政事业单位离退休（款）机关事业单位基本养老保险缴费支出（项）:</w:t>
      </w:r>
      <w:r>
        <w:rPr>
          <w:rStyle w:val="14"/>
          <w:rFonts w:hint="eastAsia" w:ascii="仿宋_GB2312" w:hAnsi="仿宋_GB2312" w:eastAsia="仿宋_GB2312" w:cs="仿宋_GB2312"/>
          <w:b w:val="0"/>
          <w:bCs/>
          <w:color w:val="000000"/>
          <w:sz w:val="32"/>
          <w:szCs w:val="32"/>
        </w:rPr>
        <w:t xml:space="preserve"> 支出决算为12.20万元，完成预算100%；</w:t>
      </w:r>
    </w:p>
    <w:p>
      <w:pPr>
        <w:spacing w:line="600" w:lineRule="exact"/>
        <w:ind w:firstLine="643"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4.社会保障和就业（类）行政事业单位离退休（款）机关事业单位职业年金缴费支出（项）:</w:t>
      </w:r>
      <w:r>
        <w:rPr>
          <w:rStyle w:val="14"/>
          <w:rFonts w:hint="eastAsia" w:ascii="仿宋_GB2312" w:hAnsi="仿宋_GB2312" w:eastAsia="仿宋_GB2312" w:cs="仿宋_GB2312"/>
          <w:b w:val="0"/>
          <w:bCs/>
          <w:color w:val="000000"/>
          <w:sz w:val="32"/>
          <w:szCs w:val="32"/>
        </w:rPr>
        <w:t xml:space="preserve"> 支出决算为5.60万元，完成预算100%。</w:t>
      </w:r>
    </w:p>
    <w:p>
      <w:pPr>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bCs/>
          <w:color w:val="000000" w:themeColor="text1"/>
          <w:sz w:val="32"/>
          <w:szCs w:val="32"/>
        </w:rPr>
        <w:t>5.卫生健康</w:t>
      </w:r>
      <w:r>
        <w:rPr>
          <w:rStyle w:val="14"/>
          <w:rFonts w:hint="eastAsia" w:ascii="仿宋_GB2312" w:hAnsi="仿宋_GB2312" w:eastAsia="仿宋_GB2312" w:cs="仿宋_GB2312"/>
          <w:bCs/>
          <w:color w:val="000000"/>
          <w:sz w:val="32"/>
          <w:szCs w:val="32"/>
        </w:rPr>
        <w:t>（类）行政事业单位医疗（款）事业单位医疗（项）:</w:t>
      </w:r>
      <w:r>
        <w:rPr>
          <w:rStyle w:val="14"/>
          <w:rFonts w:hint="eastAsia" w:ascii="仿宋_GB2312" w:hAnsi="仿宋_GB2312" w:eastAsia="仿宋_GB2312" w:cs="仿宋_GB2312"/>
          <w:b w:val="0"/>
          <w:bCs/>
          <w:color w:val="000000"/>
          <w:sz w:val="32"/>
          <w:szCs w:val="32"/>
        </w:rPr>
        <w:t>支出决算为5.00万元，完成预算100%。</w:t>
      </w:r>
    </w:p>
    <w:p>
      <w:pPr>
        <w:tabs>
          <w:tab w:val="right" w:pos="8306"/>
        </w:tabs>
        <w:spacing w:line="600" w:lineRule="exact"/>
        <w:ind w:firstLine="640"/>
        <w:outlineLvl w:val="1"/>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6.</w:t>
      </w:r>
      <w:bookmarkStart w:id="40" w:name="_Toc15396608"/>
      <w:bookmarkStart w:id="41" w:name="_Toc15377214"/>
      <w:r>
        <w:rPr>
          <w:rFonts w:hint="eastAsia" w:ascii="仿宋_GB2312" w:hAnsi="仿宋_GB2312" w:eastAsia="仿宋_GB2312" w:cs="仿宋_GB2312"/>
          <w:b/>
          <w:bCs/>
          <w:color w:val="000000"/>
          <w:sz w:val="32"/>
          <w:szCs w:val="32"/>
        </w:rPr>
        <w:t>住房保障（类）住房改革支出（款）住房公积金（项）：</w:t>
      </w:r>
      <w:r>
        <w:rPr>
          <w:rFonts w:hint="eastAsia" w:ascii="仿宋_GB2312" w:hAnsi="仿宋_GB2312" w:eastAsia="仿宋_GB2312" w:cs="仿宋_GB2312"/>
          <w:color w:val="000000"/>
          <w:sz w:val="32"/>
          <w:szCs w:val="32"/>
        </w:rPr>
        <w:t>支出决算为17.26万元，完成预算100%。</w:t>
      </w:r>
    </w:p>
    <w:p>
      <w:pPr>
        <w:tabs>
          <w:tab w:val="right" w:pos="8306"/>
        </w:tabs>
        <w:spacing w:line="600" w:lineRule="exact"/>
        <w:ind w:firstLine="640"/>
        <w:outlineLvl w:val="1"/>
        <w:rPr>
          <w:rStyle w:val="25"/>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2019年一般公共预算财政拨款基本支出387.6万元，其中：</w:t>
      </w:r>
    </w:p>
    <w:p>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184.24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203.36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_GB2312" w:hAnsi="仿宋_GB2312" w:eastAsia="仿宋_GB2312" w:cs="仿宋_GB2312"/>
          <w:bCs/>
          <w:color w:val="000000"/>
          <w:sz w:val="32"/>
          <w:szCs w:val="32"/>
        </w:rPr>
      </w:pPr>
      <w:bookmarkStart w:id="44" w:name="_Toc15377216"/>
      <w:r>
        <w:rPr>
          <w:rFonts w:hint="eastAsia" w:ascii="仿宋_GB2312" w:hAnsi="仿宋_GB2312" w:eastAsia="仿宋_GB2312" w:cs="仿宋_GB2312"/>
          <w:bCs/>
          <w:color w:val="000000"/>
          <w:sz w:val="32"/>
          <w:szCs w:val="32"/>
        </w:rPr>
        <w:t>（一）“三公”经费财政拨款支出决算总体情况说明</w:t>
      </w:r>
      <w:bookmarkEnd w:id="44"/>
      <w:r>
        <w:rPr>
          <w:rFonts w:hint="eastAsia" w:ascii="仿宋_GB2312" w:hAnsi="仿宋_GB2312" w:eastAsia="仿宋_GB2312" w:cs="仿宋_GB2312"/>
          <w:bCs/>
          <w:color w:val="000000"/>
          <w:sz w:val="32"/>
          <w:szCs w:val="32"/>
        </w:rPr>
        <w:t>。</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2019年“三公”经费财政拨款支出决算为6.68万元，完成预算100%。</w:t>
      </w:r>
    </w:p>
    <w:p>
      <w:pPr>
        <w:spacing w:line="600" w:lineRule="exact"/>
        <w:ind w:firstLine="640"/>
        <w:outlineLvl w:val="2"/>
        <w:rPr>
          <w:rFonts w:ascii="仿宋_GB2312" w:hAnsi="仿宋_GB2312" w:eastAsia="仿宋_GB2312" w:cs="仿宋_GB2312"/>
          <w:b/>
          <w:color w:val="000000"/>
          <w:sz w:val="32"/>
          <w:szCs w:val="32"/>
        </w:rPr>
      </w:pPr>
      <w:bookmarkStart w:id="45" w:name="_Toc15377217"/>
      <w:r>
        <w:rPr>
          <w:rFonts w:hint="eastAsia" w:ascii="仿宋_GB2312" w:hAnsi="仿宋_GB2312" w:eastAsia="仿宋_GB2312" w:cs="仿宋_GB2312"/>
          <w:bCs/>
          <w:color w:val="000000"/>
          <w:sz w:val="32"/>
          <w:szCs w:val="32"/>
        </w:rPr>
        <w:t>（二）“三公”经费财政拨款支出决算具体情况说</w:t>
      </w:r>
      <w:bookmarkEnd w:id="45"/>
      <w:r>
        <w:rPr>
          <w:rFonts w:hint="eastAsia" w:ascii="仿宋_GB2312" w:hAnsi="仿宋_GB2312" w:eastAsia="仿宋_GB2312" w:cs="仿宋_GB2312"/>
          <w:bCs/>
          <w:color w:val="000000"/>
          <w:sz w:val="32"/>
          <w:szCs w:val="32"/>
        </w:rPr>
        <w:t>明。</w:t>
      </w:r>
    </w:p>
    <w:p>
      <w:pPr>
        <w:spacing w:line="600" w:lineRule="exact"/>
        <w:ind w:firstLine="640"/>
        <w:rPr>
          <w:rFonts w:hint="eastAsia" w:ascii="仿宋_GB2312" w:hAnsi="仿宋_GB2312" w:eastAsia="仿宋_GB2312" w:cs="仿宋_GB2312"/>
          <w:color w:val="000000"/>
          <w:sz w:val="32"/>
          <w:szCs w:val="32"/>
        </w:rPr>
      </w:pPr>
      <w:r>
        <w:drawing>
          <wp:anchor distT="0" distB="0" distL="114300" distR="114300" simplePos="0" relativeHeight="251664384" behindDoc="0" locked="0" layoutInCell="1" allowOverlap="1">
            <wp:simplePos x="0" y="0"/>
            <wp:positionH relativeFrom="column">
              <wp:posOffset>357505</wp:posOffset>
            </wp:positionH>
            <wp:positionV relativeFrom="paragraph">
              <wp:posOffset>1497965</wp:posOffset>
            </wp:positionV>
            <wp:extent cx="4572000" cy="2743200"/>
            <wp:effectExtent l="4445" t="4445" r="10795" b="10795"/>
            <wp:wrapNone/>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color w:val="000000"/>
          <w:sz w:val="32"/>
          <w:szCs w:val="32"/>
        </w:rPr>
        <w:t>2019年“三公”经费财政拨款支出决算中，因公出国（境）费支出决算0万元；公务用车购置及运行维护费支出决算6.68万元，占100%；公务接待费支出决算0万元。具体情况如下：</w:t>
      </w: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rPr>
          <w:rFonts w:hint="eastAsia" w:ascii="仿宋_GB2312" w:hAnsi="仿宋_GB2312" w:eastAsia="仿宋_GB2312" w:cs="仿宋_GB2312"/>
          <w:color w:val="000000"/>
          <w:sz w:val="32"/>
          <w:szCs w:val="32"/>
        </w:rPr>
      </w:pP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（图7：“三公”经费财政拨款支出结构）（饼状图）</w:t>
      </w:r>
    </w:p>
    <w:p>
      <w:pPr>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1.公务用车购置及运行维护费支出</w:t>
      </w:r>
      <w:r>
        <w:rPr>
          <w:rFonts w:hint="eastAsia" w:ascii="仿宋_GB2312" w:hAnsi="仿宋_GB2312" w:eastAsia="仿宋_GB2312" w:cs="仿宋_GB2312"/>
          <w:bCs/>
          <w:color w:val="000000"/>
          <w:sz w:val="32"/>
          <w:szCs w:val="32"/>
        </w:rPr>
        <w:t>6.68万元</w:t>
      </w:r>
      <w:r>
        <w:rPr>
          <w:rFonts w:hint="eastAsia" w:ascii="仿宋_GB2312" w:hAnsi="仿宋_GB2312" w:eastAsia="仿宋_GB2312" w:cs="仿宋_GB2312"/>
          <w:color w:val="000000"/>
          <w:sz w:val="32"/>
          <w:szCs w:val="32"/>
        </w:rPr>
        <w:t>,</w:t>
      </w:r>
      <w:r>
        <w:rPr>
          <w:rStyle w:val="14"/>
          <w:rFonts w:hint="eastAsia" w:ascii="仿宋_GB2312" w:hAnsi="仿宋_GB2312" w:eastAsia="仿宋_GB2312" w:cs="仿宋_GB2312"/>
          <w:b w:val="0"/>
          <w:bCs/>
          <w:color w:val="000000"/>
          <w:sz w:val="32"/>
          <w:szCs w:val="32"/>
        </w:rPr>
        <w:t>完成预算100%。</w:t>
      </w:r>
      <w:r>
        <w:rPr>
          <w:rFonts w:hint="eastAsia" w:ascii="仿宋_GB2312" w:hAnsi="仿宋_GB2312" w:eastAsia="仿宋_GB2312" w:cs="仿宋_GB2312"/>
          <w:color w:val="000000"/>
          <w:sz w:val="32"/>
          <w:szCs w:val="32"/>
        </w:rPr>
        <w:t>公务用车购置及运行维护费支出决算比2018年增加0.11万元，增长率1.67%，与2018年基本持平。</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其中，公务用车运行维护费支出6.68万元。</w:t>
      </w:r>
      <w:r>
        <w:rPr>
          <w:rFonts w:hint="eastAsia" w:ascii="仿宋_GB2312" w:hAnsi="仿宋_GB2312" w:eastAsia="仿宋_GB2312" w:cs="仿宋_GB2312"/>
          <w:color w:val="000000"/>
          <w:sz w:val="32"/>
          <w:szCs w:val="32"/>
        </w:rPr>
        <w:t>主要用于评审项目现场监管等所需的公务用车燃料费、维修费、过路过桥费、保险费等支出。</w:t>
      </w:r>
    </w:p>
    <w:p>
      <w:pPr>
        <w:spacing w:line="600" w:lineRule="exact"/>
        <w:ind w:firstLine="640"/>
        <w:rPr>
          <w:rFonts w:ascii="仿宋_GB2312" w:eastAsia="仿宋_GB2312"/>
          <w:b/>
          <w:bCs/>
          <w:color w:val="000000"/>
          <w:sz w:val="32"/>
          <w:szCs w:val="32"/>
        </w:rPr>
      </w:pPr>
      <w:r>
        <w:rPr>
          <w:rFonts w:hint="eastAsia" w:ascii="仿宋_GB2312" w:hAnsi="仿宋_GB2312" w:eastAsia="仿宋_GB2312" w:cs="仿宋_GB2312"/>
          <w:b/>
          <w:bCs/>
          <w:color w:val="000000"/>
          <w:sz w:val="32"/>
          <w:szCs w:val="32"/>
        </w:rPr>
        <w:t>2.无</w:t>
      </w:r>
      <w:r>
        <w:rPr>
          <w:rFonts w:hint="eastAsia" w:ascii="仿宋_GB2312" w:eastAsia="仿宋_GB2312"/>
          <w:b/>
          <w:bCs/>
          <w:color w:val="000000"/>
          <w:sz w:val="32"/>
          <w:szCs w:val="32"/>
        </w:rPr>
        <w:t>因公出国（境）经费支出</w:t>
      </w:r>
    </w:p>
    <w:p>
      <w:pPr>
        <w:spacing w:line="600" w:lineRule="exact"/>
        <w:ind w:firstLine="64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3.无公务接待费支出</w:t>
      </w:r>
    </w:p>
    <w:p>
      <w:pPr>
        <w:spacing w:line="600" w:lineRule="exact"/>
        <w:ind w:firstLine="640"/>
        <w:outlineLvl w:val="1"/>
        <w:rPr>
          <w:rStyle w:val="25"/>
          <w:rFonts w:ascii="黑体" w:hAnsi="黑体" w:eastAsia="黑体"/>
        </w:rPr>
      </w:pPr>
      <w:bookmarkStart w:id="46" w:name="_Toc15377218"/>
      <w:bookmarkStart w:id="47" w:name="_Toc15396610"/>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评审中心</w:t>
      </w:r>
      <w:r>
        <w:rPr>
          <w:rFonts w:hint="eastAsia" w:ascii="仿宋_GB2312" w:eastAsia="仿宋_GB2312"/>
          <w:color w:val="000000"/>
          <w:sz w:val="32"/>
          <w:szCs w:val="32"/>
        </w:rPr>
        <w:t>政府性基金预算拨款支出0万元。</w:t>
      </w:r>
    </w:p>
    <w:p>
      <w:pPr>
        <w:numPr>
          <w:ilvl w:val="0"/>
          <w:numId w:val="3"/>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评审中心</w:t>
      </w:r>
      <w:r>
        <w:rPr>
          <w:rFonts w:hint="eastAsia" w:ascii="仿宋_GB2312" w:eastAsia="仿宋_GB2312"/>
          <w:color w:val="000000"/>
          <w:sz w:val="32"/>
          <w:szCs w:val="32"/>
        </w:rPr>
        <w:t>国有资本经营预算拨款支出0万元。</w:t>
      </w:r>
    </w:p>
    <w:p>
      <w:pPr>
        <w:spacing w:line="600" w:lineRule="exact"/>
        <w:ind w:firstLine="640" w:firstLineChars="20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hint="eastAsia" w:ascii="仿宋_GB2312" w:hAnsi="仿宋_GB2312" w:eastAsia="仿宋_GB2312" w:cs="仿宋_GB2312"/>
          <w:color w:val="000000"/>
          <w:sz w:val="32"/>
          <w:szCs w:val="32"/>
        </w:rPr>
      </w:pPr>
      <w:bookmarkStart w:id="52" w:name="_Toc15377222"/>
      <w:bookmarkStart w:id="53" w:name="_Toc15377224"/>
      <w:r>
        <w:rPr>
          <w:rFonts w:hint="eastAsia" w:ascii="仿宋_GB2312" w:hAnsi="仿宋_GB2312" w:eastAsia="仿宋_GB2312" w:cs="仿宋_GB2312"/>
          <w:b/>
          <w:color w:val="000000"/>
          <w:sz w:val="32"/>
          <w:szCs w:val="32"/>
        </w:rPr>
        <w:t>（一）机关运行经费支出情况</w:t>
      </w:r>
      <w:bookmarkEnd w:id="52"/>
    </w:p>
    <w:p>
      <w:pPr>
        <w:spacing w:line="600" w:lineRule="exact"/>
        <w:ind w:firstLine="640" w:firstLineChars="200"/>
        <w:rPr>
          <w:rFonts w:hint="eastAsia" w:ascii="仿宋_GB2312" w:hAnsi="仿宋_GB2312" w:eastAsia="仿宋_GB2312" w:cs="仿宋_GB2312"/>
          <w:bCs/>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，评审中心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bookmarkEnd w:id="53"/>
    <w:p>
      <w:pPr>
        <w:numPr>
          <w:ilvl w:val="0"/>
          <w:numId w:val="0"/>
        </w:numPr>
        <w:autoSpaceDE w:val="0"/>
        <w:autoSpaceDN w:val="0"/>
        <w:adjustRightInd w:val="0"/>
        <w:spacing w:line="600" w:lineRule="exact"/>
        <w:ind w:firstLine="643" w:firstLineChars="200"/>
        <w:jc w:val="left"/>
        <w:rPr>
          <w:rFonts w:hint="eastAsia" w:ascii="仿宋_GB2312" w:hAnsi="仿宋_GB2312" w:eastAsia="仿宋_GB2312" w:cs="仿宋_GB2312"/>
          <w:b/>
          <w:color w:val="000000"/>
          <w:sz w:val="32"/>
          <w:szCs w:val="32"/>
        </w:rPr>
      </w:pPr>
      <w:bookmarkStart w:id="54" w:name="_Toc15377223"/>
      <w:r>
        <w:rPr>
          <w:rFonts w:hint="eastAsia" w:ascii="仿宋_GB2312" w:hAnsi="仿宋_GB2312" w:eastAsia="仿宋_GB2312" w:cs="仿宋_GB2312"/>
          <w:b/>
          <w:color w:val="000000"/>
          <w:sz w:val="32"/>
          <w:szCs w:val="32"/>
          <w:lang w:eastAsia="zh-CN"/>
        </w:rPr>
        <w:t>（二）</w:t>
      </w:r>
      <w:r>
        <w:rPr>
          <w:rFonts w:hint="eastAsia" w:ascii="仿宋_GB2312" w:hAnsi="仿宋_GB2312" w:eastAsia="仿宋_GB2312" w:cs="仿宋_GB2312"/>
          <w:b/>
          <w:color w:val="000000"/>
          <w:sz w:val="32"/>
          <w:szCs w:val="32"/>
        </w:rPr>
        <w:t>政府采购支出情况</w:t>
      </w:r>
      <w:bookmarkEnd w:id="54"/>
    </w:p>
    <w:p>
      <w:pPr>
        <w:numPr>
          <w:ilvl w:val="0"/>
          <w:numId w:val="0"/>
        </w:numPr>
        <w:autoSpaceDE w:val="0"/>
        <w:autoSpaceDN w:val="0"/>
        <w:adjustRightInd w:val="0"/>
        <w:spacing w:line="600" w:lineRule="exact"/>
        <w:jc w:val="left"/>
        <w:rPr>
          <w:rFonts w:hint="default"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 xml:space="preserve">    2019年，评审中心无政府采购支出情况。</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（三）</w:t>
      </w:r>
      <w:r>
        <w:rPr>
          <w:rFonts w:hint="eastAsia" w:ascii="仿宋_GB2312" w:hAnsi="仿宋_GB2312" w:eastAsia="仿宋_GB2312" w:cs="仿宋_GB2312"/>
          <w:b/>
          <w:bCs/>
          <w:color w:val="000000"/>
          <w:sz w:val="32"/>
          <w:szCs w:val="32"/>
        </w:rPr>
        <w:t>国有资产占有使用情况</w:t>
      </w:r>
    </w:p>
    <w:p>
      <w:pPr>
        <w:numPr>
          <w:ilvl w:val="0"/>
          <w:numId w:val="0"/>
        </w:numPr>
        <w:autoSpaceDE w:val="0"/>
        <w:autoSpaceDN w:val="0"/>
        <w:adjustRightInd w:val="0"/>
        <w:spacing w:line="60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日，评审中心共有车辆2辆，其中：其他用车2辆</w:t>
      </w:r>
      <w:r>
        <w:rPr>
          <w:rFonts w:hint="eastAsia" w:ascii="仿宋_GB2312" w:eastAsia="仿宋_GB2312"/>
          <w:color w:val="000000"/>
          <w:sz w:val="32"/>
          <w:szCs w:val="32"/>
          <w:lang w:eastAsia="zh-CN"/>
        </w:rPr>
        <w:t>，无</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eastAsia="zh-CN"/>
        </w:rPr>
        <w:t>，无</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themeColor="text1"/>
          <w:sz w:val="32"/>
          <w:szCs w:val="32"/>
        </w:rPr>
        <w:t>其他用车主要是用于评审项目现场监管。</w:t>
      </w:r>
    </w:p>
    <w:p>
      <w:pPr>
        <w:numPr>
          <w:ilvl w:val="0"/>
          <w:numId w:val="0"/>
        </w:numPr>
        <w:autoSpaceDE w:val="0"/>
        <w:autoSpaceDN w:val="0"/>
        <w:adjustRightInd w:val="0"/>
        <w:spacing w:line="600" w:lineRule="exact"/>
        <w:ind w:firstLine="643" w:firstLineChars="200"/>
        <w:jc w:val="left"/>
        <w:rPr>
          <w:rFonts w:ascii="仿宋_GB2312" w:eastAsia="仿宋_GB2312"/>
          <w:b/>
          <w:bCs/>
          <w:color w:val="000000" w:themeColor="text1"/>
          <w:sz w:val="32"/>
          <w:szCs w:val="32"/>
        </w:rPr>
      </w:pPr>
      <w:r>
        <w:rPr>
          <w:rFonts w:hint="eastAsia" w:ascii="仿宋_GB2312" w:eastAsia="仿宋_GB2312"/>
          <w:b/>
          <w:bCs/>
          <w:color w:val="000000" w:themeColor="text1"/>
          <w:sz w:val="32"/>
          <w:szCs w:val="32"/>
          <w:lang w:eastAsia="zh-CN"/>
        </w:rPr>
        <w:t>（四）</w:t>
      </w:r>
      <w:r>
        <w:rPr>
          <w:rFonts w:hint="eastAsia" w:ascii="仿宋_GB2312" w:eastAsia="仿宋_GB2312"/>
          <w:b/>
          <w:bCs/>
          <w:color w:val="000000" w:themeColor="text1"/>
          <w:sz w:val="32"/>
          <w:szCs w:val="32"/>
        </w:rPr>
        <w:t>部门整体预算绩效管理情况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eastAsia="zh-CN"/>
        </w:rPr>
        <w:t>评审专项业务支出</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eastAsia="zh-CN"/>
        </w:rPr>
        <w:t>评审专项业务支出</w:t>
      </w:r>
      <w:r>
        <w:rPr>
          <w:rFonts w:hint="eastAsia" w:ascii="仿宋_GB2312" w:hAnsi="仿宋_GB2312" w:eastAsia="仿宋_GB2312" w:cs="仿宋_GB2312"/>
          <w:sz w:val="32"/>
          <w:szCs w:val="32"/>
        </w:rPr>
        <w:t>项目编制了绩效目标，预算执行过程中，</w:t>
      </w:r>
      <w:r>
        <w:rPr>
          <w:rFonts w:hint="eastAsia" w:ascii="仿宋_GB2312" w:hAnsi="仿宋_GB2312" w:eastAsia="仿宋_GB2312" w:cs="仿宋_GB2312"/>
          <w:sz w:val="32"/>
          <w:szCs w:val="32"/>
          <w:lang w:eastAsia="zh-CN"/>
        </w:rPr>
        <w:t>对该</w:t>
      </w:r>
      <w:r>
        <w:rPr>
          <w:rFonts w:hint="eastAsia" w:ascii="仿宋_GB2312" w:hAnsi="仿宋_GB2312" w:eastAsia="仿宋_GB2312" w:cs="仿宋_GB2312"/>
          <w:sz w:val="32"/>
          <w:szCs w:val="32"/>
        </w:rPr>
        <w:t>项目开展绩效监控，年终执行完毕后，对</w:t>
      </w:r>
      <w:r>
        <w:rPr>
          <w:rFonts w:hint="eastAsia" w:ascii="仿宋_GB2312" w:hAnsi="仿宋_GB2312" w:eastAsia="仿宋_GB2312" w:cs="仿宋_GB2312"/>
          <w:sz w:val="32"/>
          <w:szCs w:val="32"/>
          <w:lang w:eastAsia="zh-CN"/>
        </w:rPr>
        <w:t>评审专项业务支出</w:t>
      </w:r>
      <w:r>
        <w:rPr>
          <w:rFonts w:hint="eastAsia" w:ascii="仿宋_GB2312" w:hAnsi="仿宋_GB2312" w:eastAsia="仿宋_GB2312" w:cs="仿宋_GB2312"/>
          <w:sz w:val="32"/>
          <w:szCs w:val="32"/>
        </w:rPr>
        <w:t>项目开展了绩效目标完成情况自评。</w:t>
      </w:r>
    </w:p>
    <w:p>
      <w:pPr>
        <w:adjustRightInd w:val="0"/>
        <w:snapToGrid w:val="0"/>
        <w:spacing w:line="600" w:lineRule="exact"/>
        <w:ind w:firstLine="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2019年部门整体支出绩效评价情况开展自评，从评价情况看，评审中心2019年财政拨款收入447.6万元，与2018年相比，财政拨款收入总计减少117.58万元，下降20.8%。评审中心2019年度财政拨款支出总计447.6万元，与2018年相比，财政拨款支出总计减少117.58万元，下降20.8%。评审中心2019年一般公共预算财政拨款支出447.6万元，主要用于以下方面:</w:t>
      </w:r>
      <w:r>
        <w:rPr>
          <w:rFonts w:hint="eastAsia" w:ascii="仿宋_GB2312" w:hAnsi="仿宋_GB2312" w:eastAsia="仿宋_GB2312" w:cs="仿宋_GB2312"/>
          <w:bCs/>
          <w:color w:val="000000" w:themeColor="text1"/>
          <w:sz w:val="32"/>
          <w:szCs w:val="32"/>
        </w:rPr>
        <w:t>一般公共服务</w:t>
      </w:r>
      <w:r>
        <w:rPr>
          <w:rFonts w:hint="eastAsia" w:ascii="仿宋_GB2312" w:hAnsi="仿宋_GB2312" w:eastAsia="仿宋_GB2312" w:cs="仿宋_GB2312"/>
          <w:color w:val="000000" w:themeColor="text1"/>
          <w:sz w:val="32"/>
          <w:szCs w:val="32"/>
        </w:rPr>
        <w:t>支出407.54万元，占91.05%；</w:t>
      </w:r>
      <w:r>
        <w:rPr>
          <w:rFonts w:hint="eastAsia" w:ascii="仿宋_GB2312" w:hAnsi="仿宋_GB2312" w:eastAsia="仿宋_GB2312" w:cs="仿宋_GB2312"/>
          <w:bCs/>
          <w:color w:val="000000" w:themeColor="text1"/>
          <w:sz w:val="32"/>
          <w:szCs w:val="32"/>
        </w:rPr>
        <w:t>社会保障和就业</w:t>
      </w:r>
      <w:r>
        <w:rPr>
          <w:rFonts w:hint="eastAsia" w:ascii="仿宋_GB2312" w:hAnsi="仿宋_GB2312" w:eastAsia="仿宋_GB2312" w:cs="仿宋_GB2312"/>
          <w:color w:val="000000" w:themeColor="text1"/>
          <w:sz w:val="32"/>
          <w:szCs w:val="32"/>
        </w:rPr>
        <w:t>支出17.8万元，占3.98%；卫生健康支出5.00万元，占1.11%；住房保障支出17.26万元，占3.86%。</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评审专项业务项目支出专项用于评审项目的现场监管、评审方面等基本支出，截至2019年底，该项目实际支出60万元，完成预算的100%</w:t>
      </w:r>
      <w:r>
        <w:rPr>
          <w:rFonts w:hint="eastAsia" w:ascii="仿宋_GB2312" w:hAnsi="仿宋_GB2312" w:eastAsia="仿宋_GB2312" w:cs="仿宋_GB2312"/>
          <w:sz w:val="32"/>
          <w:szCs w:val="32"/>
          <w:lang w:eastAsia="zh-CN"/>
        </w:rPr>
        <w:t>。该项目的实施，</w:t>
      </w:r>
      <w:r>
        <w:rPr>
          <w:rFonts w:hint="eastAsia" w:ascii="仿宋_GB2312" w:hAnsi="仿宋_GB2312" w:eastAsia="仿宋_GB2312" w:cs="仿宋_GB2312"/>
          <w:sz w:val="32"/>
          <w:szCs w:val="32"/>
          <w:lang w:val="en-US" w:eastAsia="zh-CN"/>
        </w:rPr>
        <w:t>保障了本单位评审工作按时、保质保量的完成。使评审中心在</w:t>
      </w:r>
      <w:r>
        <w:rPr>
          <w:rFonts w:hint="eastAsia" w:ascii="仿宋_GB2312" w:hAnsi="仿宋_GB2312" w:eastAsia="仿宋_GB2312" w:cs="仿宋_GB2312"/>
          <w:sz w:val="32"/>
          <w:szCs w:val="32"/>
        </w:rPr>
        <w:t>切实把好项目评审关，规范我市政府投资行为、提高财政资金使用效益</w:t>
      </w:r>
      <w:r>
        <w:rPr>
          <w:rFonts w:hint="eastAsia" w:ascii="仿宋_GB2312" w:hAnsi="仿宋_GB2312" w:eastAsia="仿宋_GB2312" w:cs="仿宋_GB2312"/>
          <w:sz w:val="32"/>
          <w:szCs w:val="32"/>
          <w:lang w:eastAsia="zh-CN"/>
        </w:rPr>
        <w:t>方面发挥了更大作用。</w:t>
      </w:r>
    </w:p>
    <w:p>
      <w:pPr>
        <w:adjustRightInd w:val="0"/>
        <w:snapToGrid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1.项目绩效目标完成情况。</w:t>
      </w:r>
    </w:p>
    <w:p>
      <w:pPr>
        <w:adjustRightInd w:val="0"/>
        <w:snapToGrid w:val="0"/>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评审中心在2019年度部门决算中反映评审专项业务支出等1个项目绩效目标实际完成情况。</w:t>
      </w:r>
      <w:r>
        <w:rPr>
          <w:rFonts w:hint="eastAsia" w:ascii="楷体_GB2312" w:hAnsi="楷体_GB2312" w:eastAsia="楷体_GB2312" w:cs="楷体_GB2312"/>
          <w:sz w:val="32"/>
          <w:szCs w:val="32"/>
        </w:rPr>
        <w:t xml:space="preserve"> </w:t>
      </w:r>
    </w:p>
    <w:p>
      <w:pPr>
        <w:adjustRightInd w:val="0"/>
        <w:snapToGrid w:val="0"/>
        <w:spacing w:line="600" w:lineRule="exact"/>
        <w:ind w:firstLine="320" w:firstLineChars="100"/>
        <w:rPr>
          <w:rFonts w:ascii="楷体_GB2312" w:hAnsi="楷体_GB2312" w:eastAsia="楷体_GB2312" w:cs="楷体_GB2312"/>
          <w:sz w:val="32"/>
          <w:szCs w:val="32"/>
        </w:rPr>
      </w:pPr>
      <w:r>
        <w:rPr>
          <w:rFonts w:hint="eastAsia" w:ascii="仿宋_GB2312" w:hAnsi="仿宋_GB2312" w:eastAsia="仿宋_GB2312" w:cs="仿宋_GB2312"/>
          <w:sz w:val="32"/>
          <w:szCs w:val="32"/>
        </w:rPr>
        <w:t>（1）评审专项业务支出项目绩效目标完成情况综述。项目全年预算数60万元，执行数为60万元，完成预算的100%。通过项目实施，保障评审中心评审工作软、硬件设备的及时更新，评审工作的顺利开展。</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rPr>
              <w:t>评审专项业务费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峨眉山市财政投资评审中心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600000.00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600000.00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600000.00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600000.00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24"/>
              </w:rPr>
              <w:t>保障项目现场监管、项目评审顺利开展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sz w:val="24"/>
              </w:rPr>
              <w:t>保障评审中心评审工作软、硬件设备的及时更新，评审工作得以顺利开展</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24"/>
              </w:rPr>
              <w:t>保障项目现场监管、项目评审工作顺利开展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仿宋_GB2312" w:asciiTheme="minorEastAsia" w:hAnsiTheme="minorEastAsia" w:eastAsiaTheme="minorEastAsia"/>
                <w:sz w:val="24"/>
              </w:rPr>
              <w:t>保障评审中心评审工作软、硬件设备的及时更新，评审工作得以顺利开展</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保障项目评审工作保质保量完成。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保障项目评审工作保质保量完成。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保障本单位项目评审工作按时完成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保障本单位项目评审工作按时完成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仿宋" w:asciiTheme="minorEastAsia" w:hAnsiTheme="minorEastAsia" w:eastAsiaTheme="minorEastAsia"/>
                <w:sz w:val="24"/>
              </w:rPr>
              <w:t>切实把好项目评审关，规范我市政府投资行为、提高财政资金使用效益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仿宋" w:asciiTheme="minorEastAsia" w:hAnsiTheme="minorEastAsia" w:eastAsiaTheme="minorEastAsia"/>
                <w:sz w:val="24"/>
              </w:rPr>
              <w:t>切实把好项目评审关，规范我市政府投资行为、提高财政资金使用效益</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仿宋" w:asciiTheme="minorEastAsia" w:hAnsiTheme="minorEastAsia" w:eastAsiaTheme="minorEastAsia"/>
                <w:sz w:val="24"/>
              </w:rPr>
              <w:t>切实把好项目评审关，规范我市政府投资行为、提高财政资金使用效益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仿宋" w:asciiTheme="minorEastAsia" w:hAnsiTheme="minorEastAsia" w:eastAsiaTheme="minorEastAsia"/>
                <w:sz w:val="24"/>
              </w:rPr>
              <w:t>切实把好项目评审关，规范我市政府投资行为、提高财政资金使用效益</w:t>
            </w: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评审中心按要求对2019年部门整体支出绩效评价情况开展自评，《峨眉山市财政投资评审中心2019年部门整体支出绩效评价报告》见附件（附件1）。</w:t>
      </w:r>
    </w:p>
    <w:p>
      <w:pPr>
        <w:adjustRightInd w:val="0"/>
        <w:snapToGrid w:val="0"/>
        <w:spacing w:line="600" w:lineRule="exact"/>
        <w:rPr>
          <w:rFonts w:ascii="楷体_GB2312" w:hAnsi="楷体_GB2312" w:eastAsia="楷体_GB2312" w:cs="楷体_GB2312"/>
          <w:sz w:val="32"/>
          <w:szCs w:val="32"/>
        </w:rPr>
      </w:pPr>
      <w:r>
        <w:rPr>
          <w:rFonts w:hint="eastAsia" w:ascii="仿宋_GB2312" w:hAnsi="仿宋_GB2312" w:eastAsia="仿宋_GB2312" w:cs="仿宋_GB2312"/>
          <w:sz w:val="32"/>
          <w:szCs w:val="32"/>
          <w:lang w:eastAsia="zh-CN"/>
        </w:rPr>
        <w:t>评审中心</w:t>
      </w:r>
      <w:r>
        <w:rPr>
          <w:rFonts w:hint="eastAsia" w:ascii="仿宋_GB2312" w:hAnsi="仿宋_GB2312" w:eastAsia="仿宋_GB2312" w:cs="仿宋_GB2312"/>
          <w:sz w:val="32"/>
          <w:szCs w:val="32"/>
        </w:rPr>
        <w:t>自行组织对</w:t>
      </w:r>
      <w:r>
        <w:rPr>
          <w:rFonts w:hint="eastAsia" w:ascii="仿宋_GB2312" w:hAnsi="仿宋_GB2312" w:eastAsia="仿宋_GB2312" w:cs="仿宋_GB2312"/>
          <w:sz w:val="32"/>
          <w:szCs w:val="32"/>
          <w:lang w:eastAsia="zh-CN"/>
        </w:rPr>
        <w:t>评审专项业务支出</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峨眉山市财政投资评审中心评审专项业务支出</w:t>
      </w:r>
      <w:r>
        <w:rPr>
          <w:rFonts w:hint="eastAsia" w:ascii="仿宋_GB2312" w:hAnsi="仿宋_GB2312" w:eastAsia="仿宋_GB2312" w:cs="仿宋_GB2312"/>
          <w:sz w:val="32"/>
          <w:szCs w:val="32"/>
        </w:rPr>
        <w:t>项目2019年绩效评价报告》见附件（附件2）。</w:t>
      </w:r>
    </w:p>
    <w:p>
      <w:pPr>
        <w:widowControl/>
        <w:jc w:val="left"/>
        <w:rPr>
          <w:rStyle w:val="24"/>
          <w:rFonts w:ascii="黑体" w:hAnsi="黑体" w:eastAsia="黑体"/>
          <w:b w:val="0"/>
        </w:rPr>
      </w:pPr>
      <w:bookmarkStart w:id="55" w:name="_Toc15377226"/>
    </w:p>
    <w:p>
      <w:pPr>
        <w:widowControl/>
        <w:jc w:val="left"/>
        <w:rPr>
          <w:rStyle w:val="24"/>
          <w:rFonts w:ascii="黑体" w:hAnsi="黑体" w:eastAsia="黑体"/>
          <w:b w:val="0"/>
        </w:rPr>
      </w:pPr>
      <w:r>
        <w:rPr>
          <w:rStyle w:val="24"/>
          <w:rFonts w:ascii="黑体" w:hAnsi="黑体" w:eastAsia="黑体"/>
          <w:b w:val="0"/>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6" w:name="_Toc15377225"/>
      <w:bookmarkStart w:id="57"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6"/>
      <w:bookmarkEnd w:id="57"/>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2"/>
        <w:spacing w:line="560" w:lineRule="exact"/>
        <w:ind w:firstLine="640" w:firstLineChars="200"/>
        <w:rPr>
          <w:rFonts w:ascii="仿宋_GB2312" w:eastAsia="仿宋_GB2312" w:cs="黑体"/>
          <w:sz w:val="32"/>
          <w:szCs w:val="32"/>
        </w:rPr>
      </w:pPr>
    </w:p>
    <w:p>
      <w:pPr>
        <w:ind w:firstLine="640"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8" w:name="_Toc15396618"/>
      <w:r>
        <w:rPr>
          <w:rFonts w:hint="eastAsia" w:ascii="黑体" w:hAnsi="黑体" w:eastAsia="黑体"/>
          <w:color w:val="000000"/>
          <w:sz w:val="44"/>
          <w:szCs w:val="44"/>
        </w:rPr>
        <w:t>第四</w:t>
      </w:r>
      <w:r>
        <w:rPr>
          <w:rStyle w:val="24"/>
          <w:rFonts w:hint="eastAsia" w:ascii="黑体" w:hAnsi="黑体" w:eastAsia="黑体"/>
          <w:b w:val="0"/>
        </w:rPr>
        <w:t>部分 附</w:t>
      </w:r>
      <w:bookmarkEnd w:id="55"/>
      <w:bookmarkEnd w:id="58"/>
      <w:r>
        <w:rPr>
          <w:rStyle w:val="24"/>
          <w:rFonts w:hint="eastAsia" w:ascii="黑体" w:hAnsi="黑体" w:eastAsia="黑体"/>
          <w:b w:val="0"/>
        </w:rPr>
        <w:t>件</w:t>
      </w:r>
    </w:p>
    <w:p>
      <w:pPr>
        <w:spacing w:line="600" w:lineRule="exact"/>
        <w:jc w:val="center"/>
        <w:outlineLvl w:val="0"/>
        <w:rPr>
          <w:rStyle w:val="24"/>
          <w:rFonts w:ascii="黑体" w:hAnsi="黑体" w:eastAsia="黑体"/>
          <w:b w:val="0"/>
        </w:rPr>
      </w:pPr>
    </w:p>
    <w:p>
      <w:pPr>
        <w:spacing w:line="600" w:lineRule="exact"/>
        <w:jc w:val="left"/>
        <w:outlineLvl w:val="0"/>
        <w:rPr>
          <w:rFonts w:ascii="仿宋" w:hAnsi="仿宋" w:eastAsia="仿宋"/>
          <w:b/>
          <w:color w:val="000000"/>
          <w:sz w:val="32"/>
          <w:szCs w:val="32"/>
        </w:rPr>
      </w:pPr>
      <w:r>
        <w:rPr>
          <w:rFonts w:ascii="仿宋" w:hAnsi="仿宋" w:eastAsia="仿宋"/>
          <w:b/>
          <w:color w:val="000000"/>
          <w:sz w:val="32"/>
          <w:szCs w:val="32"/>
        </w:rPr>
        <w:t>附件</w:t>
      </w:r>
      <w:r>
        <w:rPr>
          <w:rFonts w:hint="eastAsia" w:ascii="仿宋" w:hAnsi="仿宋" w:eastAsia="仿宋"/>
          <w:b/>
          <w:color w:val="000000"/>
          <w:sz w:val="32"/>
          <w:szCs w:val="32"/>
        </w:rPr>
        <w:t>1</w:t>
      </w:r>
    </w:p>
    <w:p>
      <w:pPr>
        <w:spacing w:line="600" w:lineRule="exact"/>
        <w:jc w:val="left"/>
        <w:outlineLvl w:val="0"/>
        <w:rPr>
          <w:rFonts w:ascii="仿宋" w:hAnsi="仿宋" w:eastAsia="仿宋"/>
          <w:b/>
          <w:color w:val="000000"/>
          <w:sz w:val="32"/>
          <w:szCs w:val="32"/>
        </w:rPr>
      </w:pPr>
    </w:p>
    <w:p>
      <w:pPr>
        <w:widowControl/>
        <w:spacing w:line="580" w:lineRule="exact"/>
        <w:jc w:val="center"/>
        <w:rPr>
          <w:rFonts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峨眉山市财政投资评审中心</w:t>
      </w:r>
    </w:p>
    <w:p>
      <w:pPr>
        <w:widowControl/>
        <w:spacing w:line="580" w:lineRule="exact"/>
        <w:jc w:val="center"/>
        <w:rPr>
          <w:rFonts w:ascii="仿宋_GB2312" w:hAnsi="宋体"/>
          <w:szCs w:val="32"/>
          <w:shd w:val="clear" w:color="auto" w:fill="FFFFFF"/>
        </w:rPr>
      </w:pPr>
      <w:r>
        <w:rPr>
          <w:rFonts w:hint="eastAsia" w:ascii="方正小标宋_GBK" w:hAnsi="宋体" w:eastAsia="方正小标宋_GBK"/>
          <w:b/>
          <w:sz w:val="44"/>
          <w:szCs w:val="44"/>
          <w:shd w:val="clear" w:color="auto" w:fill="FFFFFF"/>
        </w:rPr>
        <w:t>2019年部门预算支出绩效报告</w:t>
      </w:r>
    </w:p>
    <w:p>
      <w:pPr>
        <w:widowControl/>
        <w:adjustRightInd w:val="0"/>
        <w:snapToGrid w:val="0"/>
        <w:spacing w:line="580" w:lineRule="exact"/>
        <w:ind w:firstLine="720"/>
        <w:jc w:val="left"/>
        <w:rPr>
          <w:rFonts w:ascii="黑体" w:hAnsi="宋体" w:eastAsia="黑体" w:cs="宋体"/>
          <w:color w:val="000000"/>
          <w:kern w:val="0"/>
          <w:sz w:val="24"/>
          <w:szCs w:val="32"/>
          <w:shd w:val="clear" w:color="auto" w:fill="FFFFFF"/>
        </w:rPr>
      </w:pPr>
    </w:p>
    <w:p>
      <w:pPr>
        <w:widowControl/>
        <w:adjustRightInd w:val="0"/>
        <w:snapToGrid w:val="0"/>
        <w:spacing w:line="600" w:lineRule="exact"/>
        <w:ind w:firstLine="720"/>
        <w:jc w:val="left"/>
        <w:rPr>
          <w:rFonts w:ascii="宋体" w:hAnsi="宋体" w:cs="宋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部门（单位）概况</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峨眉山市财政投资评审中心为峨眉山市财政局下属的事业单位。</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（二）机构职能。</w:t>
      </w:r>
    </w:p>
    <w:p>
      <w:pPr>
        <w:pStyle w:val="5"/>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负责政府投资建设项目的预算评审；负责对政府投资工程项目招标文件、施工合同进行符合性审核；协助市财政局对工程进度及资金拨付情况进行监管；协助市财政局参与政府投资建设项目绩效评价和监督检查；完成市委、市政府交办的其他事项。</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（三）人员概况。</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峨眉山市财政投资评审中心截止2019年12月事业管理的人员编制为15人，实际人数为12人。</w:t>
      </w:r>
      <w:r>
        <w:rPr>
          <w:rFonts w:hint="eastAsia" w:ascii="仿宋_GB2312" w:hAnsi="仿宋_GB2312" w:cs="仿宋_GB2312"/>
          <w:sz w:val="32"/>
          <w:szCs w:val="32"/>
        </w:rPr>
        <w:t>另</w:t>
      </w:r>
      <w:r>
        <w:rPr>
          <w:rFonts w:hint="eastAsia" w:ascii="仿宋_GB2312" w:hAnsi="仿宋_GB2312" w:eastAsia="仿宋_GB2312" w:cs="仿宋_GB2312"/>
          <w:sz w:val="32"/>
          <w:szCs w:val="32"/>
        </w:rPr>
        <w:t>聘用专业技术人员12人。</w:t>
      </w:r>
    </w:p>
    <w:p>
      <w:pPr>
        <w:widowControl/>
        <w:adjustRightInd w:val="0"/>
        <w:snapToGrid w:val="0"/>
        <w:spacing w:line="600" w:lineRule="exact"/>
        <w:ind w:firstLine="720"/>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（一）部门财政资金收入情况。</w:t>
      </w:r>
    </w:p>
    <w:p>
      <w:pPr>
        <w:widowControl/>
        <w:adjustRightInd w:val="0"/>
        <w:snapToGrid w:val="0"/>
        <w:spacing w:line="60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2019年峨眉山市评审中心总收入447.6万元，全部为财政拨款收入。其中：一般公务服务支出收入407.54万元，占总收入的91.05%，社会保障和就业支出收入17.8万元，占总收入的3.98%；医疗卫生与计划生育支收入5万元，占总收入的1.11%；住房保障支出收入17.26万元，占总收入的3.86%。</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（二）部门财政资金支出情况。</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2019年峨眉山市评审中心总支出为447.65万元，其中财政拨款支出447.6万元。财政拨款支出中：一般公务服务支出407.54万元，占总支出的91.05%；社会保障和就业支出17.8万元，占总支出的3.98%；医疗卫生与计划生育支5万元，占总支出的1.11%；住房保障支出17.26万元，占总支出的3.86%。</w:t>
      </w:r>
    </w:p>
    <w:p>
      <w:pPr>
        <w:widowControl/>
        <w:adjustRightInd w:val="0"/>
        <w:snapToGrid w:val="0"/>
        <w:spacing w:line="600" w:lineRule="exact"/>
        <w:ind w:firstLine="640" w:firstLineChars="200"/>
        <w:contextualSpacing/>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三、部门整体预算绩效管理情况</w:t>
      </w:r>
    </w:p>
    <w:p>
      <w:pPr>
        <w:widowControl/>
        <w:adjustRightInd w:val="0"/>
        <w:snapToGrid w:val="0"/>
        <w:spacing w:line="60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（一）部门预算管理</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1、绩效目标制定</w:t>
      </w:r>
    </w:p>
    <w:p>
      <w:pPr>
        <w:widowControl/>
        <w:adjustRightInd w:val="0"/>
        <w:snapToGrid w:val="0"/>
        <w:spacing w:line="600" w:lineRule="exact"/>
        <w:ind w:firstLine="7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严格按照《预算法》的要求根据项目具体情况和资金使用情况编制预决算、制定绩效目标，评审中心2019年度总体目标：（1）切实把好项目评审关；（2）强化项目现场监管；（3）加强项目资金监管；（4）进一步完善财政投资评审制度，加强对评审专业技术人员的管理。</w:t>
      </w:r>
    </w:p>
    <w:p>
      <w:pPr>
        <w:widowControl/>
        <w:adjustRightInd w:val="0"/>
        <w:snapToGrid w:val="0"/>
        <w:spacing w:line="600" w:lineRule="exact"/>
        <w:ind w:firstLine="720"/>
        <w:rPr>
          <w:rFonts w:hint="eastAsia" w:ascii="仿宋_GB2312" w:hAnsi="仿宋_GB2312" w:eastAsia="仿宋_GB2312" w:cs="仿宋_GB2312"/>
          <w:b/>
          <w:bCs/>
          <w:w w:val="95"/>
          <w:sz w:val="32"/>
          <w:szCs w:val="32"/>
        </w:rPr>
      </w:pPr>
    </w:p>
    <w:p>
      <w:pPr>
        <w:widowControl/>
        <w:adjustRightInd w:val="0"/>
        <w:snapToGrid w:val="0"/>
        <w:spacing w:line="600" w:lineRule="exact"/>
        <w:ind w:firstLine="720"/>
        <w:rPr>
          <w:rFonts w:hint="eastAsia" w:ascii="仿宋_GB2312" w:hAnsi="仿宋_GB2312" w:eastAsia="仿宋_GB2312" w:cs="仿宋_GB2312"/>
          <w:b/>
          <w:bCs/>
          <w:w w:val="95"/>
          <w:sz w:val="32"/>
          <w:szCs w:val="32"/>
        </w:rPr>
      </w:pPr>
    </w:p>
    <w:p>
      <w:pPr>
        <w:widowControl/>
        <w:adjustRightInd w:val="0"/>
        <w:snapToGrid w:val="0"/>
        <w:spacing w:line="600" w:lineRule="exact"/>
        <w:ind w:firstLine="720"/>
        <w:rPr>
          <w:rFonts w:hint="eastAsia" w:asciiTheme="minorEastAsia" w:hAnsiTheme="minorEastAsia" w:eastAsiaTheme="minorEastAsia" w:cstheme="minorEastAsia"/>
          <w:b/>
          <w:bCs/>
          <w:w w:val="95"/>
          <w:sz w:val="32"/>
          <w:szCs w:val="32"/>
        </w:rPr>
      </w:pPr>
      <w:r>
        <w:rPr>
          <w:rFonts w:hint="eastAsia" w:asciiTheme="minorEastAsia" w:hAnsiTheme="minorEastAsia" w:eastAsiaTheme="minorEastAsia" w:cstheme="minorEastAsia"/>
          <w:b/>
          <w:bCs/>
          <w:w w:val="95"/>
          <w:sz w:val="32"/>
          <w:szCs w:val="32"/>
        </w:rPr>
        <w:t>2019年峨眉山市财政投资评审中心整体支出绩效目标表：</w:t>
      </w:r>
    </w:p>
    <w:p>
      <w:pPr>
        <w:widowControl/>
        <w:adjustRightInd w:val="0"/>
        <w:snapToGrid w:val="0"/>
        <w:spacing w:line="600" w:lineRule="exact"/>
        <w:ind w:firstLine="720"/>
        <w:rPr>
          <w:rFonts w:hint="eastAsia" w:asciiTheme="minorEastAsia" w:hAnsiTheme="minorEastAsia" w:eastAsiaTheme="minorEastAsia" w:cstheme="minorEastAsia"/>
          <w:b/>
          <w:bCs/>
          <w:w w:val="95"/>
          <w:sz w:val="32"/>
          <w:szCs w:val="32"/>
        </w:rPr>
      </w:pPr>
    </w:p>
    <w:tbl>
      <w:tblPr>
        <w:tblStyle w:val="12"/>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4715"/>
        <w:gridCol w:w="1333"/>
        <w:gridCol w:w="1067"/>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77" w:type="dxa"/>
            <w:vMerge w:val="restart"/>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任务名称</w:t>
            </w:r>
          </w:p>
        </w:tc>
        <w:tc>
          <w:tcPr>
            <w:tcW w:w="4715" w:type="dxa"/>
            <w:vMerge w:val="restart"/>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主要内容</w:t>
            </w:r>
          </w:p>
        </w:tc>
        <w:tc>
          <w:tcPr>
            <w:tcW w:w="3328" w:type="dxa"/>
            <w:gridSpan w:val="3"/>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77" w:type="dxa"/>
            <w:vMerge w:val="continue"/>
            <w:tcBorders>
              <w:tl2br w:val="nil"/>
              <w:tr2bl w:val="nil"/>
            </w:tcBorders>
            <w:vAlign w:val="center"/>
          </w:tcPr>
          <w:p>
            <w:pPr>
              <w:widowControl/>
              <w:jc w:val="left"/>
              <w:rPr>
                <w:rFonts w:hint="eastAsia" w:ascii="仿宋_GB2312" w:hAnsi="仿宋_GB2312" w:eastAsia="仿宋_GB2312" w:cs="仿宋_GB2312"/>
                <w:kern w:val="0"/>
                <w:sz w:val="30"/>
                <w:szCs w:val="30"/>
              </w:rPr>
            </w:pPr>
          </w:p>
        </w:tc>
        <w:tc>
          <w:tcPr>
            <w:tcW w:w="4715" w:type="dxa"/>
            <w:vMerge w:val="continue"/>
            <w:tcBorders>
              <w:tl2br w:val="nil"/>
              <w:tr2bl w:val="nil"/>
            </w:tcBorders>
            <w:vAlign w:val="center"/>
          </w:tcPr>
          <w:p>
            <w:pPr>
              <w:widowControl/>
              <w:jc w:val="left"/>
              <w:rPr>
                <w:rFonts w:hint="eastAsia" w:ascii="仿宋_GB2312" w:hAnsi="仿宋_GB2312" w:eastAsia="仿宋_GB2312" w:cs="仿宋_GB2312"/>
                <w:kern w:val="0"/>
                <w:sz w:val="30"/>
                <w:szCs w:val="30"/>
              </w:rPr>
            </w:pPr>
          </w:p>
        </w:tc>
        <w:tc>
          <w:tcPr>
            <w:tcW w:w="1333" w:type="dxa"/>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总额</w:t>
            </w:r>
          </w:p>
        </w:tc>
        <w:tc>
          <w:tcPr>
            <w:tcW w:w="1067" w:type="dxa"/>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财政拨款</w:t>
            </w:r>
          </w:p>
        </w:tc>
        <w:tc>
          <w:tcPr>
            <w:tcW w:w="928" w:type="dxa"/>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677" w:type="dxa"/>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基本费用</w:t>
            </w:r>
          </w:p>
        </w:tc>
        <w:tc>
          <w:tcPr>
            <w:tcW w:w="4715" w:type="dxa"/>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人员工资、各项保险、公积金、职业年金、公用经费等基本费用</w:t>
            </w:r>
          </w:p>
        </w:tc>
        <w:tc>
          <w:tcPr>
            <w:tcW w:w="1333" w:type="dxa"/>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387.6 </w:t>
            </w:r>
          </w:p>
        </w:tc>
        <w:tc>
          <w:tcPr>
            <w:tcW w:w="1067" w:type="dxa"/>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387.6</w:t>
            </w:r>
          </w:p>
        </w:tc>
        <w:tc>
          <w:tcPr>
            <w:tcW w:w="928" w:type="dxa"/>
            <w:tcBorders>
              <w:tl2br w:val="nil"/>
              <w:tr2bl w:val="nil"/>
            </w:tcBorders>
            <w:vAlign w:val="center"/>
          </w:tcPr>
          <w:p>
            <w:pPr>
              <w:widowControl/>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77" w:type="dxa"/>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财政评审专项业务费</w:t>
            </w:r>
          </w:p>
        </w:tc>
        <w:tc>
          <w:tcPr>
            <w:tcW w:w="4715" w:type="dxa"/>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项目现场监管、项目评审等费用</w:t>
            </w:r>
          </w:p>
        </w:tc>
        <w:tc>
          <w:tcPr>
            <w:tcW w:w="1333" w:type="dxa"/>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60.00 </w:t>
            </w:r>
          </w:p>
        </w:tc>
        <w:tc>
          <w:tcPr>
            <w:tcW w:w="1067" w:type="dxa"/>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60.00 </w:t>
            </w:r>
          </w:p>
        </w:tc>
        <w:tc>
          <w:tcPr>
            <w:tcW w:w="928" w:type="dxa"/>
            <w:tcBorders>
              <w:tl2br w:val="nil"/>
              <w:tr2bl w:val="nil"/>
            </w:tcBorders>
            <w:vAlign w:val="center"/>
          </w:tcPr>
          <w:p>
            <w:pPr>
              <w:widowControl/>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392" w:type="dxa"/>
            <w:gridSpan w:val="2"/>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金额合计</w:t>
            </w:r>
          </w:p>
        </w:tc>
        <w:tc>
          <w:tcPr>
            <w:tcW w:w="1333" w:type="dxa"/>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447.6</w:t>
            </w:r>
          </w:p>
        </w:tc>
        <w:tc>
          <w:tcPr>
            <w:tcW w:w="1067" w:type="dxa"/>
            <w:tcBorders>
              <w:tl2br w:val="nil"/>
              <w:tr2bl w:val="nil"/>
            </w:tcBorders>
            <w:vAlign w:val="center"/>
          </w:tcPr>
          <w:p>
            <w:pPr>
              <w:widowControl/>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447.6</w:t>
            </w:r>
          </w:p>
        </w:tc>
        <w:tc>
          <w:tcPr>
            <w:tcW w:w="928" w:type="dxa"/>
            <w:tcBorders>
              <w:tl2br w:val="nil"/>
              <w:tr2bl w:val="nil"/>
            </w:tcBorders>
            <w:vAlign w:val="center"/>
          </w:tcPr>
          <w:p>
            <w:pPr>
              <w:widowControl/>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　</w:t>
            </w:r>
          </w:p>
        </w:tc>
      </w:tr>
    </w:tbl>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2、目标完成及预算编制准确</w:t>
      </w:r>
    </w:p>
    <w:p>
      <w:pPr>
        <w:widowControl/>
        <w:adjustRightInd w:val="0"/>
        <w:snapToGrid w:val="0"/>
        <w:spacing w:line="60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我单位严格按照计划完成资金拨付，根据预算合理控制支出数额及支出进度。2019年预算收入447.6万元，2019年实际支出447.65万元，预算编制基本准确。</w:t>
      </w:r>
    </w:p>
    <w:p>
      <w:pPr>
        <w:widowControl/>
        <w:adjustRightInd w:val="0"/>
        <w:snapToGrid w:val="0"/>
        <w:spacing w:line="60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3、执行进度</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2019年截止2019年6月30日，财政拨款支出255.26万元，支出进度为57.03%；截止2019年9月30日，财政拨款支出337.93万元，支出进度为75.5%；截止2019年11月30日，财政拨款支出为393.7万元，支出进度为87.96%，全年执行进度合理。</w:t>
      </w:r>
    </w:p>
    <w:p>
      <w:pPr>
        <w:widowControl/>
        <w:adjustRightInd w:val="0"/>
        <w:snapToGrid w:val="0"/>
        <w:spacing w:line="60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4、预算完成情况</w:t>
      </w:r>
    </w:p>
    <w:p>
      <w:pPr>
        <w:widowControl/>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部门支出绩效。公用经费方面，2019年评审中心公用经费支出203.36万元。其中：办公费0.54万元，邮电费0.71万元，差旅费3.4万元，维修费0.27万元，租赁费0.22万元，劳务费193.37万元，工会经费1.45万元，公务用车运行维护费2万元地，其他交通费用0.16万元，其他商品服务支出0.89万元，办公设备购置0.35万元。机关厉行节约方面，2019年评审中心无因公出国（境）费用、会议费、车辆购置和公务接待经费。      </w:t>
      </w:r>
    </w:p>
    <w:p>
      <w:pPr>
        <w:widowControl/>
        <w:adjustRightInd w:val="0"/>
        <w:snapToGrid w:val="0"/>
        <w:spacing w:line="60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（二）项目支出绩效。</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2019年，峨眉山市评审中心中心项目资金批复</w:t>
      </w:r>
      <w:r>
        <w:rPr>
          <w:rFonts w:hint="eastAsia" w:ascii="仿宋_GB2312" w:hAnsi="仿宋_GB2312" w:eastAsia="仿宋_GB2312" w:cs="仿宋_GB2312"/>
          <w:color w:val="000000"/>
          <w:kern w:val="0"/>
          <w:sz w:val="32"/>
          <w:szCs w:val="32"/>
          <w:shd w:val="clear" w:color="auto" w:fill="FFFFFF"/>
        </w:rPr>
        <w:t>6</w:t>
      </w:r>
      <w:r>
        <w:rPr>
          <w:rFonts w:hint="eastAsia" w:ascii="仿宋_GB2312" w:hAnsi="仿宋_GB2312" w:eastAsia="仿宋_GB2312" w:cs="仿宋_GB2312"/>
          <w:color w:val="000000"/>
          <w:kern w:val="0"/>
          <w:sz w:val="32"/>
          <w:szCs w:val="32"/>
          <w:shd w:val="clear" w:color="auto" w:fill="FFFFFF"/>
          <w:lang w:val="zh-CN"/>
        </w:rPr>
        <w:t>0.00万元，主要用于项目现场</w:t>
      </w:r>
      <w:r>
        <w:rPr>
          <w:rFonts w:hint="eastAsia" w:ascii="仿宋_GB2312" w:hAnsi="仿宋_GB2312" w:eastAsia="仿宋_GB2312" w:cs="仿宋_GB2312"/>
          <w:kern w:val="0"/>
          <w:sz w:val="32"/>
          <w:szCs w:val="32"/>
        </w:rPr>
        <w:t>监管、项目评审支出等</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kern w:val="0"/>
          <w:sz w:val="32"/>
          <w:szCs w:val="32"/>
        </w:rPr>
        <w:t>项目资金的管理都按照相关规定执行，实行专款专用。</w:t>
      </w:r>
      <w:r>
        <w:rPr>
          <w:rFonts w:hint="eastAsia" w:ascii="仿宋_GB2312" w:hAnsi="仿宋_GB2312" w:eastAsia="仿宋_GB2312" w:cs="仿宋_GB2312"/>
          <w:sz w:val="32"/>
          <w:szCs w:val="32"/>
          <w:lang w:val="zh-CN"/>
        </w:rPr>
        <w:t>严格财务管理，由经办人、审核人、主要领导签字确认后支付费用，会计核算和账务处理由专人负责，及时规范。</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（三）评价结果运用情况。</w:t>
      </w:r>
    </w:p>
    <w:p>
      <w:pPr>
        <w:widowControl/>
        <w:shd w:val="clear" w:color="auto" w:fill="FFFFFF"/>
        <w:adjustRightInd w:val="0"/>
        <w:snapToGrid w:val="0"/>
        <w:spacing w:line="600" w:lineRule="exact"/>
        <w:ind w:firstLine="555"/>
        <w:jc w:val="left"/>
        <w:outlineLvl w:val="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我中心认真开展绩效目标自评工作，绩效结果应用自评良好，绩效目标随同预决算及时向社会公开，收支管理严格按照财务管理制度和相关文件执行，评价结果及时报告，并针对工作中的不足及时改进。</w:t>
      </w:r>
    </w:p>
    <w:p>
      <w:pPr>
        <w:widowControl/>
        <w:adjustRightInd w:val="0"/>
        <w:snapToGrid w:val="0"/>
        <w:spacing w:line="600" w:lineRule="exact"/>
        <w:ind w:firstLine="720"/>
        <w:jc w:val="left"/>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四、评价结论及建议</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（一）评价结论</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优，9</w:t>
      </w:r>
      <w:r>
        <w:rPr>
          <w:rFonts w:hint="eastAsia" w:ascii="仿宋_GB2312" w:hAnsi="仿宋_GB2312" w:cs="仿宋_GB2312"/>
          <w:color w:val="000000"/>
          <w:kern w:val="0"/>
          <w:sz w:val="32"/>
          <w:szCs w:val="32"/>
          <w:shd w:val="clear" w:color="auto" w:fill="FFFFFF"/>
        </w:rPr>
        <w:t>8</w:t>
      </w:r>
      <w:r>
        <w:rPr>
          <w:rFonts w:hint="eastAsia" w:ascii="仿宋_GB2312" w:hAnsi="仿宋_GB2312" w:eastAsia="仿宋_GB2312" w:cs="仿宋_GB2312"/>
          <w:color w:val="000000"/>
          <w:kern w:val="0"/>
          <w:sz w:val="32"/>
          <w:szCs w:val="32"/>
          <w:shd w:val="clear" w:color="auto" w:fill="FFFFFF"/>
          <w:lang w:val="zh-CN"/>
        </w:rPr>
        <w:t>分。预算编制2</w:t>
      </w:r>
      <w:r>
        <w:rPr>
          <w:rFonts w:hint="eastAsia" w:ascii="仿宋_GB2312" w:hAnsi="仿宋_GB2312" w:cs="仿宋_GB2312"/>
          <w:color w:val="000000"/>
          <w:kern w:val="0"/>
          <w:sz w:val="32"/>
          <w:szCs w:val="32"/>
          <w:shd w:val="clear" w:color="auto" w:fill="FFFFFF"/>
        </w:rPr>
        <w:t>8</w:t>
      </w:r>
      <w:r>
        <w:rPr>
          <w:rFonts w:hint="eastAsia" w:ascii="仿宋_GB2312" w:hAnsi="仿宋_GB2312" w:eastAsia="仿宋_GB2312" w:cs="仿宋_GB2312"/>
          <w:color w:val="000000"/>
          <w:kern w:val="0"/>
          <w:sz w:val="32"/>
          <w:szCs w:val="32"/>
          <w:shd w:val="clear" w:color="auto" w:fill="FFFFFF"/>
          <w:lang w:val="zh-CN"/>
        </w:rPr>
        <w:t>分，其中：目标制定10分，目标完成10分，编制准确</w:t>
      </w:r>
      <w:r>
        <w:rPr>
          <w:rFonts w:hint="eastAsia" w:ascii="仿宋_GB2312" w:hAnsi="仿宋_GB2312" w:cs="仿宋_GB2312"/>
          <w:color w:val="000000"/>
          <w:kern w:val="0"/>
          <w:sz w:val="32"/>
          <w:szCs w:val="32"/>
          <w:shd w:val="clear" w:color="auto" w:fill="FFFFFF"/>
        </w:rPr>
        <w:t>8</w:t>
      </w:r>
      <w:r>
        <w:rPr>
          <w:rFonts w:hint="eastAsia" w:ascii="仿宋_GB2312" w:hAnsi="仿宋_GB2312" w:eastAsia="仿宋_GB2312" w:cs="仿宋_GB2312"/>
          <w:color w:val="000000"/>
          <w:kern w:val="0"/>
          <w:sz w:val="32"/>
          <w:szCs w:val="32"/>
          <w:shd w:val="clear" w:color="auto" w:fill="FFFFFF"/>
          <w:lang w:val="zh-CN"/>
        </w:rPr>
        <w:t>分；预算执行</w:t>
      </w:r>
      <w:r>
        <w:rPr>
          <w:rFonts w:hint="eastAsia" w:ascii="仿宋_GB2312" w:hAnsi="仿宋_GB2312" w:cs="仿宋_GB2312"/>
          <w:color w:val="000000"/>
          <w:kern w:val="0"/>
          <w:sz w:val="32"/>
          <w:szCs w:val="32"/>
          <w:shd w:val="clear" w:color="auto" w:fill="FFFFFF"/>
        </w:rPr>
        <w:t>30</w:t>
      </w:r>
      <w:r>
        <w:rPr>
          <w:rFonts w:hint="eastAsia" w:ascii="仿宋_GB2312" w:hAnsi="仿宋_GB2312" w:eastAsia="仿宋_GB2312" w:cs="仿宋_GB2312"/>
          <w:color w:val="000000"/>
          <w:kern w:val="0"/>
          <w:sz w:val="32"/>
          <w:szCs w:val="32"/>
          <w:shd w:val="clear" w:color="auto" w:fill="FFFFFF"/>
          <w:lang w:val="zh-CN"/>
        </w:rPr>
        <w:t>分，其中：支出控制</w:t>
      </w:r>
      <w:r>
        <w:rPr>
          <w:rFonts w:hint="eastAsia" w:ascii="仿宋_GB2312" w:hAnsi="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分，动态调整10分，执行进度10分；完成结果20分，其中：预算完成10分，违规记录10分；绩效结果运用</w:t>
      </w:r>
      <w:r>
        <w:rPr>
          <w:rFonts w:hint="eastAsia" w:ascii="仿宋_GB2312" w:hAnsi="仿宋_GB2312" w:cs="仿宋_GB2312"/>
          <w:color w:val="000000"/>
          <w:kern w:val="0"/>
          <w:sz w:val="32"/>
          <w:szCs w:val="32"/>
          <w:shd w:val="clear" w:color="auto" w:fill="FFFFFF"/>
        </w:rPr>
        <w:t>20</w:t>
      </w:r>
      <w:r>
        <w:rPr>
          <w:rFonts w:hint="eastAsia" w:ascii="仿宋_GB2312" w:hAnsi="仿宋_GB2312" w:eastAsia="仿宋_GB2312" w:cs="仿宋_GB2312"/>
          <w:color w:val="000000"/>
          <w:kern w:val="0"/>
          <w:sz w:val="32"/>
          <w:szCs w:val="32"/>
          <w:shd w:val="clear" w:color="auto" w:fill="FFFFFF"/>
          <w:lang w:val="zh-CN"/>
        </w:rPr>
        <w:t>分，其中：自评质量</w:t>
      </w:r>
      <w:r>
        <w:rPr>
          <w:rFonts w:hint="eastAsia" w:ascii="仿宋_GB2312" w:hAnsi="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分，信息公开8分，整改反馈</w:t>
      </w:r>
      <w:r>
        <w:rPr>
          <w:rFonts w:hint="eastAsia" w:ascii="仿宋_GB2312" w:hAnsi="仿宋_GB2312" w:cs="仿宋_GB2312"/>
          <w:color w:val="000000"/>
          <w:kern w:val="0"/>
          <w:sz w:val="32"/>
          <w:szCs w:val="32"/>
          <w:shd w:val="clear" w:color="auto" w:fill="FFFFFF"/>
        </w:rPr>
        <w:t>8</w:t>
      </w:r>
      <w:r>
        <w:rPr>
          <w:rFonts w:hint="eastAsia" w:ascii="仿宋_GB2312" w:hAnsi="仿宋_GB2312" w:eastAsia="仿宋_GB2312" w:cs="仿宋_GB2312"/>
          <w:color w:val="000000"/>
          <w:kern w:val="0"/>
          <w:sz w:val="32"/>
          <w:szCs w:val="32"/>
          <w:shd w:val="clear" w:color="auto" w:fill="FFFFFF"/>
          <w:lang w:val="zh-CN"/>
        </w:rPr>
        <w:t>分。</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（二）存在问题</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1、项目资金的预算编制准确率需要提高。</w:t>
      </w:r>
    </w:p>
    <w:p>
      <w:pPr>
        <w:widowControl/>
        <w:adjustRightInd w:val="0"/>
        <w:snapToGrid w:val="0"/>
        <w:spacing w:line="60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w:t>
      </w:r>
      <w:r>
        <w:rPr>
          <w:rFonts w:hint="eastAsia" w:ascii="仿宋_GB2312" w:hAnsi="Calibri" w:eastAsia="仿宋_GB2312" w:cs="仿宋"/>
          <w:color w:val="000000"/>
          <w:kern w:val="0"/>
          <w:sz w:val="32"/>
          <w:szCs w:val="32"/>
          <w:lang w:val="zh-CN"/>
        </w:rPr>
        <w:t>项目资金使用应更严格、规范，保证专款专用，严格执行政府采购等各项规章制度。</w:t>
      </w:r>
    </w:p>
    <w:p>
      <w:pPr>
        <w:widowControl/>
        <w:adjustRightInd w:val="0"/>
        <w:snapToGrid w:val="0"/>
        <w:spacing w:line="600" w:lineRule="exact"/>
        <w:ind w:firstLine="720"/>
        <w:jc w:val="left"/>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（三）建议</w:t>
      </w:r>
    </w:p>
    <w:p>
      <w:pPr>
        <w:widowControl/>
        <w:adjustRightInd w:val="0"/>
        <w:snapToGrid w:val="0"/>
        <w:spacing w:line="600" w:lineRule="exact"/>
        <w:ind w:firstLine="640" w:firstLineChars="200"/>
        <w:jc w:val="left"/>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针对预算执行过程中存在的问题，拟实施如下改进措施：</w:t>
      </w:r>
    </w:p>
    <w:p>
      <w:pPr>
        <w:widowControl/>
        <w:adjustRightInd w:val="0"/>
        <w:snapToGrid w:val="0"/>
        <w:spacing w:line="600" w:lineRule="exact"/>
        <w:ind w:firstLine="640" w:firstLineChars="200"/>
        <w:jc w:val="left"/>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1、细化预算编制工作，认真做好预算的编制。进一步加强预算管理意识，严格按照预算编制的相关制度和要求进行预算编制。</w:t>
      </w:r>
    </w:p>
    <w:p>
      <w:pPr>
        <w:widowControl/>
        <w:adjustRightInd w:val="0"/>
        <w:snapToGrid w:val="0"/>
        <w:spacing w:line="600" w:lineRule="exact"/>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 xml:space="preserve">   2、</w:t>
      </w:r>
      <w:r>
        <w:rPr>
          <w:rFonts w:hint="eastAsia" w:ascii="仿宋_GB2312" w:hAnsi="Calibri" w:eastAsia="仿宋_GB2312" w:cs="仿宋"/>
          <w:color w:val="000000"/>
          <w:kern w:val="0"/>
          <w:sz w:val="32"/>
          <w:szCs w:val="32"/>
          <w:lang w:val="zh-CN"/>
        </w:rPr>
        <w:t>加强财务管理，严格财务审核。加强我单位财务管理，健全单位财务管理制度体系，规范财务行为。</w:t>
      </w:r>
    </w:p>
    <w:p>
      <w:pPr>
        <w:widowControl/>
        <w:adjustRightInd w:val="0"/>
        <w:snapToGrid w:val="0"/>
        <w:spacing w:line="580" w:lineRule="exact"/>
        <w:ind w:firstLine="72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 xml:space="preserve">                       </w:t>
      </w:r>
    </w:p>
    <w:p>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p>
    <w:p>
      <w:pPr>
        <w:spacing w:line="600" w:lineRule="exact"/>
        <w:jc w:val="left"/>
        <w:outlineLvl w:val="0"/>
        <w:rPr>
          <w:rFonts w:ascii="仿宋" w:hAnsi="仿宋" w:eastAsia="仿宋"/>
          <w:b/>
          <w:color w:val="000000"/>
          <w:sz w:val="32"/>
          <w:szCs w:val="32"/>
        </w:rPr>
      </w:pPr>
    </w:p>
    <w:p>
      <w:pPr>
        <w:spacing w:line="600" w:lineRule="exact"/>
        <w:jc w:val="center"/>
        <w:outlineLvl w:val="0"/>
        <w:rPr>
          <w:rFonts w:hint="eastAsia" w:ascii="黑体" w:hAnsi="黑体" w:eastAsia="黑体"/>
          <w:color w:val="000000"/>
          <w:sz w:val="44"/>
          <w:szCs w:val="44"/>
        </w:rPr>
      </w:pPr>
      <w:bookmarkStart w:id="59" w:name="_Toc15396619"/>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left"/>
        <w:outlineLvl w:val="0"/>
        <w:rPr>
          <w:rFonts w:hint="eastAsia" w:ascii="仿宋" w:hAnsi="仿宋" w:eastAsia="仿宋"/>
          <w:b/>
          <w:color w:val="000000"/>
          <w:sz w:val="32"/>
          <w:szCs w:val="32"/>
          <w:lang w:eastAsia="zh-CN"/>
        </w:rPr>
      </w:pPr>
    </w:p>
    <w:p>
      <w:pPr>
        <w:spacing w:line="600" w:lineRule="exact"/>
        <w:jc w:val="left"/>
        <w:outlineLvl w:val="0"/>
        <w:rPr>
          <w:rFonts w:hint="eastAsia" w:ascii="仿宋" w:hAnsi="仿宋" w:eastAsia="仿宋"/>
          <w:b/>
          <w:color w:val="000000"/>
          <w:sz w:val="32"/>
          <w:szCs w:val="32"/>
          <w:lang w:eastAsia="zh-CN"/>
        </w:rPr>
      </w:pPr>
    </w:p>
    <w:p>
      <w:pPr>
        <w:spacing w:line="600" w:lineRule="exact"/>
        <w:jc w:val="left"/>
        <w:outlineLvl w:val="0"/>
        <w:rPr>
          <w:rFonts w:hint="eastAsia" w:ascii="仿宋" w:hAnsi="仿宋" w:eastAsia="仿宋"/>
          <w:b/>
          <w:color w:val="000000"/>
          <w:sz w:val="32"/>
          <w:szCs w:val="32"/>
          <w:lang w:val="en-US" w:eastAsia="zh-CN"/>
        </w:rPr>
      </w:pPr>
      <w:r>
        <w:rPr>
          <w:rFonts w:hint="eastAsia" w:ascii="仿宋" w:hAnsi="仿宋" w:eastAsia="仿宋"/>
          <w:b/>
          <w:color w:val="000000"/>
          <w:sz w:val="32"/>
          <w:szCs w:val="32"/>
          <w:lang w:eastAsia="zh-CN"/>
        </w:rPr>
        <w:t>附件</w:t>
      </w:r>
      <w:r>
        <w:rPr>
          <w:rFonts w:hint="eastAsia" w:ascii="仿宋" w:hAnsi="仿宋" w:eastAsia="仿宋"/>
          <w:b/>
          <w:color w:val="000000"/>
          <w:sz w:val="32"/>
          <w:szCs w:val="32"/>
          <w:lang w:val="en-US" w:eastAsia="zh-CN"/>
        </w:rPr>
        <w:t>2</w:t>
      </w:r>
    </w:p>
    <w:p>
      <w:pPr>
        <w:jc w:val="center"/>
        <w:rPr>
          <w:rFonts w:hint="eastAsia"/>
          <w:b/>
          <w:bCs/>
          <w:sz w:val="44"/>
          <w:szCs w:val="44"/>
        </w:rPr>
      </w:pPr>
      <w:r>
        <w:rPr>
          <w:rFonts w:hint="eastAsia"/>
          <w:b/>
          <w:bCs/>
          <w:sz w:val="44"/>
          <w:szCs w:val="44"/>
        </w:rPr>
        <w:t>峨眉山市财政投资评审中心</w:t>
      </w:r>
    </w:p>
    <w:p>
      <w:pPr>
        <w:jc w:val="center"/>
        <w:rPr>
          <w:rFonts w:hint="eastAsia"/>
          <w:b/>
          <w:bCs/>
          <w:sz w:val="44"/>
          <w:szCs w:val="44"/>
        </w:rPr>
      </w:pPr>
      <w:r>
        <w:rPr>
          <w:rFonts w:hint="eastAsia"/>
          <w:b/>
          <w:bCs/>
          <w:sz w:val="44"/>
          <w:szCs w:val="44"/>
          <w:lang w:eastAsia="zh-CN"/>
        </w:rPr>
        <w:t>评审专项业务</w:t>
      </w:r>
      <w:r>
        <w:rPr>
          <w:rFonts w:hint="eastAsia"/>
          <w:b/>
          <w:bCs/>
          <w:sz w:val="44"/>
          <w:szCs w:val="44"/>
        </w:rPr>
        <w:t>支出绩效自评报告</w:t>
      </w:r>
    </w:p>
    <w:p>
      <w:pPr>
        <w:rPr>
          <w:rFonts w:hint="eastAsia"/>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评审专项业务支出项目</w:t>
      </w:r>
      <w:r>
        <w:rPr>
          <w:rFonts w:hint="eastAsia" w:ascii="仿宋_GB2312" w:hAnsi="仿宋_GB2312" w:eastAsia="仿宋_GB2312" w:cs="仿宋_GB2312"/>
          <w:sz w:val="32"/>
          <w:szCs w:val="32"/>
        </w:rPr>
        <w:t>主要用于完成全市财政政投资预算评审、部分结算评审，项目监管，招标文件及合同审查，工程进度款拨付核查。</w:t>
      </w:r>
      <w:r>
        <w:rPr>
          <w:rFonts w:hint="eastAsia" w:ascii="仿宋_GB2312" w:hAnsi="仿宋_GB2312" w:eastAsia="仿宋_GB2312" w:cs="仿宋_GB2312"/>
          <w:sz w:val="32"/>
          <w:szCs w:val="32"/>
          <w:lang w:val="en-US" w:eastAsia="zh-CN"/>
        </w:rPr>
        <w:t>2019年初预算安排该项目资金60万元。</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）项目资金申报相符性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评审专项业务费申报内容与具体实施内容相符、申报目标合理可行。</w:t>
      </w:r>
    </w:p>
    <w:p>
      <w:pPr>
        <w:ind w:firstLine="645"/>
        <w:rPr>
          <w:rFonts w:hint="eastAsia" w:ascii="黑体" w:hAnsi="黑体" w:eastAsia="黑体" w:cs="黑体"/>
          <w:sz w:val="32"/>
          <w:szCs w:val="32"/>
        </w:rPr>
      </w:pPr>
      <w:r>
        <w:rPr>
          <w:rFonts w:hint="eastAsia" w:ascii="黑体" w:hAnsi="黑体" w:eastAsia="黑体" w:cs="黑体"/>
          <w:sz w:val="32"/>
          <w:szCs w:val="32"/>
        </w:rPr>
        <w:t>二、项目实施及管理情况</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（一）资金到位及使用情况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1．资金计划及到位。该项目年初预算安排资金</w:t>
      </w:r>
      <w:r>
        <w:rPr>
          <w:rFonts w:hint="eastAsia" w:ascii="仿宋_GB2312" w:hAnsi="仿宋_GB2312" w:eastAsia="仿宋_GB2312" w:cs="仿宋_GB2312"/>
          <w:color w:val="000000"/>
          <w:kern w:val="0"/>
          <w:sz w:val="32"/>
          <w:szCs w:val="32"/>
          <w:lang w:val="en-US" w:eastAsia="zh-CN" w:bidi="ar-SA"/>
        </w:rPr>
        <w:t>60</w:t>
      </w:r>
      <w:r>
        <w:rPr>
          <w:rFonts w:hint="eastAsia" w:ascii="仿宋_GB2312" w:hAnsi="仿宋_GB2312" w:eastAsia="仿宋_GB2312" w:cs="仿宋_GB2312"/>
          <w:color w:val="000000"/>
          <w:kern w:val="0"/>
          <w:sz w:val="32"/>
          <w:szCs w:val="32"/>
          <w:lang w:val="zh-CN" w:eastAsia="zh-CN" w:bidi="ar-SA"/>
        </w:rPr>
        <w:t>万元，截至评价之日到位</w:t>
      </w:r>
      <w:r>
        <w:rPr>
          <w:rFonts w:hint="eastAsia" w:ascii="仿宋_GB2312" w:hAnsi="仿宋_GB2312" w:eastAsia="仿宋_GB2312" w:cs="仿宋_GB2312"/>
          <w:color w:val="000000"/>
          <w:kern w:val="0"/>
          <w:sz w:val="32"/>
          <w:szCs w:val="32"/>
          <w:lang w:val="en-US" w:eastAsia="zh-CN" w:bidi="ar-SA"/>
        </w:rPr>
        <w:t>60万元</w:t>
      </w:r>
      <w:r>
        <w:rPr>
          <w:rFonts w:hint="eastAsia" w:ascii="仿宋_GB2312" w:hAnsi="仿宋_GB2312" w:eastAsia="仿宋_GB2312" w:cs="仿宋_GB2312"/>
          <w:color w:val="000000"/>
          <w:kern w:val="0"/>
          <w:sz w:val="32"/>
          <w:szCs w:val="32"/>
          <w:lang w:val="zh-CN" w:eastAsia="zh-CN" w:bidi="ar-SA"/>
        </w:rPr>
        <w:t>。</w:t>
      </w:r>
    </w:p>
    <w:p>
      <w:pPr>
        <w:widowControl/>
        <w:adjustRightInd w:val="0"/>
        <w:snapToGrid w:val="0"/>
        <w:spacing w:line="580" w:lineRule="exact"/>
        <w:ind w:firstLine="7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2.资金使用情况。</w:t>
      </w:r>
      <w:r>
        <w:rPr>
          <w:rFonts w:hint="eastAsia" w:ascii="仿宋_GB2312" w:hAnsi="仿宋_GB2312" w:eastAsia="仿宋_GB2312" w:cs="仿宋_GB2312"/>
          <w:color w:val="000000"/>
          <w:kern w:val="0"/>
          <w:sz w:val="32"/>
          <w:szCs w:val="32"/>
          <w:lang w:val="zh-CN" w:eastAsia="zh-CN" w:bidi="ar-SA"/>
        </w:rPr>
        <w:t>截至2019年年底，该项目资金实际支出</w:t>
      </w:r>
      <w:r>
        <w:rPr>
          <w:rFonts w:hint="eastAsia" w:ascii="仿宋_GB2312" w:hAnsi="仿宋_GB2312" w:eastAsia="仿宋_GB2312" w:cs="仿宋_GB2312"/>
          <w:color w:val="000000"/>
          <w:kern w:val="0"/>
          <w:sz w:val="32"/>
          <w:szCs w:val="32"/>
          <w:lang w:val="en-US" w:eastAsia="zh-CN" w:bidi="ar-SA"/>
        </w:rPr>
        <w:t>60</w:t>
      </w:r>
      <w:r>
        <w:rPr>
          <w:rFonts w:hint="eastAsia" w:ascii="仿宋_GB2312" w:hAnsi="仿宋_GB2312" w:eastAsia="仿宋_GB2312" w:cs="仿宋_GB2312"/>
          <w:color w:val="000000"/>
          <w:kern w:val="0"/>
          <w:sz w:val="32"/>
          <w:szCs w:val="32"/>
          <w:lang w:val="zh-CN" w:eastAsia="zh-CN" w:bidi="ar-SA"/>
        </w:rPr>
        <w:t>万元，已全额支付完毕，完成了项目计划目标的100%。支付依据合规合法，资金支付与预算相符。</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（二）项目财务管理情况</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财评中心属财政局下属事业单位，财务管理严格按照财政局财务管理制度执行，财务处理及时、会计核算规范。</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（三）项目组织实施情况</w:t>
      </w:r>
    </w:p>
    <w:p>
      <w:pPr>
        <w:numPr>
          <w:ilvl w:val="0"/>
          <w:numId w:val="0"/>
        </w:numPr>
        <w:spacing w:line="600" w:lineRule="exact"/>
        <w:ind w:right="-332" w:rightChars="-158"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该项目资金</w:t>
      </w:r>
      <w:r>
        <w:rPr>
          <w:rFonts w:hint="eastAsia" w:ascii="仿宋_GB2312" w:hAnsi="仿宋_GB2312" w:eastAsia="仿宋_GB2312" w:cs="仿宋_GB2312"/>
          <w:sz w:val="32"/>
          <w:szCs w:val="32"/>
          <w:lang w:eastAsia="zh-CN"/>
        </w:rPr>
        <w:t>实际支出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0万元，主要用于评审项目的现场监管、评审</w:t>
      </w:r>
      <w:r>
        <w:rPr>
          <w:rFonts w:hint="eastAsia" w:ascii="仿宋_GB2312" w:hAnsi="仿宋_GB2312" w:eastAsia="仿宋_GB2312" w:cs="仿宋_GB2312"/>
          <w:sz w:val="32"/>
          <w:szCs w:val="32"/>
          <w:lang w:eastAsia="zh-CN"/>
        </w:rPr>
        <w:t>专家劳务费</w:t>
      </w:r>
      <w:r>
        <w:rPr>
          <w:rFonts w:hint="eastAsia" w:ascii="仿宋_GB2312" w:hAnsi="仿宋_GB2312" w:eastAsia="仿宋_GB2312" w:cs="仿宋_GB2312"/>
          <w:sz w:val="32"/>
          <w:szCs w:val="32"/>
        </w:rPr>
        <w:t>等基本</w:t>
      </w:r>
      <w:r>
        <w:rPr>
          <w:rFonts w:hint="eastAsia" w:ascii="仿宋_GB2312" w:hAnsi="仿宋_GB2312" w:eastAsia="仿宋_GB2312" w:cs="仿宋_GB2312"/>
          <w:sz w:val="32"/>
          <w:szCs w:val="32"/>
          <w:lang w:eastAsia="zh-CN"/>
        </w:rPr>
        <w:t>支出。</w:t>
      </w:r>
    </w:p>
    <w:p>
      <w:pPr>
        <w:numPr>
          <w:ilvl w:val="0"/>
          <w:numId w:val="0"/>
        </w:numPr>
        <w:spacing w:line="600" w:lineRule="exact"/>
        <w:ind w:right="-332" w:rightChars="-158"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三、项目绩效完成情况</w:t>
      </w:r>
    </w:p>
    <w:p>
      <w:pPr>
        <w:numPr>
          <w:ilvl w:val="0"/>
          <w:numId w:val="0"/>
        </w:numPr>
        <w:spacing w:line="600" w:lineRule="exact"/>
        <w:ind w:right="-332" w:rightChars="-158"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（一）项目完成情况</w:t>
      </w:r>
    </w:p>
    <w:p>
      <w:pPr>
        <w:numPr>
          <w:ilvl w:val="0"/>
          <w:numId w:val="0"/>
        </w:numPr>
        <w:spacing w:line="600" w:lineRule="exact"/>
        <w:ind w:right="-332" w:rightChars="-15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2019年，评审中心完成</w:t>
      </w:r>
      <w:r>
        <w:rPr>
          <w:rFonts w:hint="eastAsia" w:ascii="仿宋_GB2312" w:hAnsi="仿宋_GB2312" w:eastAsia="仿宋_GB2312" w:cs="仿宋_GB2312"/>
          <w:sz w:val="32"/>
          <w:szCs w:val="32"/>
        </w:rPr>
        <w:t>预算项目评审354</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审减率16.42%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结算项目评审68个，审减率10.86%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完成招标文件符合性审查67个，合同审查65个。</w:t>
      </w:r>
    </w:p>
    <w:p>
      <w:pPr>
        <w:numPr>
          <w:ilvl w:val="0"/>
          <w:numId w:val="0"/>
        </w:numPr>
        <w:spacing w:line="600" w:lineRule="exact"/>
        <w:ind w:right="-332" w:rightChars="-158"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（二）项目效益情况</w:t>
      </w:r>
    </w:p>
    <w:p>
      <w:pPr>
        <w:numPr>
          <w:ilvl w:val="0"/>
          <w:numId w:val="0"/>
        </w:numPr>
        <w:spacing w:line="600" w:lineRule="exact"/>
        <w:ind w:right="-332" w:rightChars="-15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该专项支出的执行，保障了本单位评审工作按时、保质保量的完成。使评审中心在</w:t>
      </w:r>
      <w:r>
        <w:rPr>
          <w:rFonts w:hint="eastAsia" w:ascii="仿宋_GB2312" w:hAnsi="仿宋_GB2312" w:eastAsia="仿宋_GB2312" w:cs="仿宋_GB2312"/>
          <w:sz w:val="32"/>
          <w:szCs w:val="32"/>
        </w:rPr>
        <w:t>切实把好项目评审关，规范我市政府投资行为、提高财政资金使用效益</w:t>
      </w:r>
      <w:r>
        <w:rPr>
          <w:rFonts w:hint="eastAsia" w:ascii="仿宋_GB2312" w:hAnsi="仿宋_GB2312" w:eastAsia="仿宋_GB2312" w:cs="仿宋_GB2312"/>
          <w:sz w:val="32"/>
          <w:szCs w:val="32"/>
          <w:lang w:eastAsia="zh-CN"/>
        </w:rPr>
        <w:t>方面发挥了更大作用。</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p>
    <w:p>
      <w:pPr>
        <w:spacing w:line="600" w:lineRule="exact"/>
        <w:jc w:val="center"/>
        <w:outlineLvl w:val="0"/>
        <w:rPr>
          <w:rStyle w:val="24"/>
          <w:rFonts w:ascii="黑体" w:hAnsi="黑体" w:eastAsia="黑体"/>
          <w:b w:val="0"/>
        </w:rPr>
      </w:pPr>
      <w:r>
        <w:rPr>
          <w:rFonts w:hint="eastAsia" w:ascii="仿宋" w:hAnsi="仿宋" w:eastAsia="仿宋"/>
          <w:b w:val="0"/>
          <w:color w:val="000000"/>
          <w:lang w:val="en-US" w:eastAsia="zh-CN"/>
        </w:rPr>
        <w:t xml:space="preserve">     </w:t>
      </w:r>
    </w:p>
    <w:p>
      <w:pPr>
        <w:pStyle w:val="3"/>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bookmarkEnd w:id="59"/>
    </w:p>
    <w:p>
      <w:pPr>
        <w:pStyle w:val="3"/>
        <w:rPr>
          <w:rFonts w:ascii="仿宋" w:hAnsi="仿宋" w:eastAsia="仿宋"/>
          <w:color w:val="000000"/>
        </w:rPr>
      </w:pPr>
      <w:bookmarkStart w:id="60"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0"/>
    </w:p>
    <w:p>
      <w:pPr>
        <w:pStyle w:val="3"/>
        <w:rPr>
          <w:rFonts w:ascii="仿宋" w:hAnsi="仿宋" w:eastAsia="仿宋"/>
          <w:color w:val="000000"/>
        </w:rPr>
      </w:pPr>
      <w:bookmarkStart w:id="61"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1"/>
    </w:p>
    <w:p>
      <w:pPr>
        <w:pStyle w:val="3"/>
        <w:rPr>
          <w:rFonts w:ascii="仿宋" w:hAnsi="仿宋" w:eastAsia="仿宋"/>
          <w:b w:val="0"/>
          <w:color w:val="000000"/>
        </w:rPr>
      </w:pPr>
      <w:bookmarkStart w:id="62"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2"/>
    </w:p>
    <w:p>
      <w:pPr>
        <w:pStyle w:val="3"/>
        <w:rPr>
          <w:rStyle w:val="25"/>
          <w:rFonts w:ascii="仿宋" w:hAnsi="仿宋" w:eastAsia="仿宋"/>
          <w:b w:val="0"/>
          <w:bCs w:val="0"/>
        </w:rPr>
      </w:pPr>
      <w:bookmarkStart w:id="63"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3"/>
      <w:bookmarkStart w:id="64"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4"/>
    </w:p>
    <w:p>
      <w:pPr>
        <w:pStyle w:val="3"/>
        <w:rPr>
          <w:rFonts w:ascii="仿宋" w:hAnsi="仿宋" w:eastAsia="仿宋"/>
          <w:color w:val="000000"/>
        </w:rPr>
      </w:pPr>
      <w:bookmarkStart w:id="65"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5"/>
    </w:p>
    <w:p>
      <w:pPr>
        <w:pStyle w:val="3"/>
        <w:rPr>
          <w:rFonts w:ascii="仿宋" w:hAnsi="仿宋" w:eastAsia="仿宋"/>
          <w:color w:val="000000"/>
        </w:rPr>
      </w:pPr>
      <w:bookmarkStart w:id="66"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6"/>
    </w:p>
    <w:p>
      <w:pPr>
        <w:pStyle w:val="3"/>
        <w:rPr>
          <w:rFonts w:ascii="仿宋" w:hAnsi="仿宋" w:eastAsia="仿宋"/>
          <w:color w:val="000000"/>
        </w:rPr>
      </w:pPr>
      <w:bookmarkStart w:id="67"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7"/>
    </w:p>
    <w:p>
      <w:pPr>
        <w:pStyle w:val="3"/>
        <w:rPr>
          <w:rFonts w:ascii="仿宋" w:hAnsi="仿宋" w:eastAsia="仿宋"/>
          <w:color w:val="000000"/>
        </w:rPr>
      </w:pPr>
      <w:bookmarkStart w:id="68"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8"/>
    </w:p>
    <w:p>
      <w:pPr>
        <w:pStyle w:val="3"/>
        <w:rPr>
          <w:rFonts w:ascii="仿宋" w:hAnsi="仿宋" w:eastAsia="仿宋"/>
          <w:color w:val="000000"/>
        </w:rPr>
      </w:pPr>
      <w:bookmarkStart w:id="69"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9"/>
    </w:p>
    <w:p>
      <w:pPr>
        <w:pStyle w:val="3"/>
        <w:rPr>
          <w:rFonts w:ascii="仿宋" w:hAnsi="仿宋" w:eastAsia="仿宋"/>
          <w:color w:val="000000"/>
        </w:rPr>
      </w:pPr>
      <w:bookmarkStart w:id="70"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0"/>
    </w:p>
    <w:p>
      <w:pPr>
        <w:pStyle w:val="3"/>
        <w:rPr>
          <w:rFonts w:ascii="仿宋" w:hAnsi="仿宋" w:eastAsia="仿宋"/>
          <w:color w:val="000000" w:themeColor="text1"/>
        </w:rPr>
      </w:pPr>
      <w:bookmarkStart w:id="71"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E2A5DD"/>
    <w:multiLevelType w:val="singleLevel"/>
    <w:tmpl w:val="C5E2A5DD"/>
    <w:lvl w:ilvl="0" w:tentative="0">
      <w:start w:val="2"/>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A721E"/>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4747B"/>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05333"/>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93B"/>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95DE0"/>
    <w:rsid w:val="005B5C64"/>
    <w:rsid w:val="005C6BD0"/>
    <w:rsid w:val="005C6C4C"/>
    <w:rsid w:val="005D1C8B"/>
    <w:rsid w:val="005D468D"/>
    <w:rsid w:val="005D5CED"/>
    <w:rsid w:val="005F1A4C"/>
    <w:rsid w:val="00605688"/>
    <w:rsid w:val="006070AF"/>
    <w:rsid w:val="00607E6C"/>
    <w:rsid w:val="006101B1"/>
    <w:rsid w:val="00612DCB"/>
    <w:rsid w:val="00614E44"/>
    <w:rsid w:val="0062270A"/>
    <w:rsid w:val="00622830"/>
    <w:rsid w:val="00623DA0"/>
    <w:rsid w:val="00630AEF"/>
    <w:rsid w:val="00630B28"/>
    <w:rsid w:val="006325F8"/>
    <w:rsid w:val="00633463"/>
    <w:rsid w:val="00634C9A"/>
    <w:rsid w:val="006440E4"/>
    <w:rsid w:val="0066343B"/>
    <w:rsid w:val="00664777"/>
    <w:rsid w:val="006748A4"/>
    <w:rsid w:val="00681A31"/>
    <w:rsid w:val="00683E73"/>
    <w:rsid w:val="006A3141"/>
    <w:rsid w:val="006A5E34"/>
    <w:rsid w:val="006A61E6"/>
    <w:rsid w:val="006B2422"/>
    <w:rsid w:val="006B2B9A"/>
    <w:rsid w:val="006C1937"/>
    <w:rsid w:val="006F020C"/>
    <w:rsid w:val="007127B7"/>
    <w:rsid w:val="0071798E"/>
    <w:rsid w:val="00724DC5"/>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29AC"/>
    <w:rsid w:val="00813348"/>
    <w:rsid w:val="008253BB"/>
    <w:rsid w:val="008335B9"/>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353C3"/>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2221"/>
    <w:rsid w:val="00D7035F"/>
    <w:rsid w:val="00D8365D"/>
    <w:rsid w:val="00DA634F"/>
    <w:rsid w:val="00DA65AC"/>
    <w:rsid w:val="00DB1913"/>
    <w:rsid w:val="00DB6584"/>
    <w:rsid w:val="00DC410D"/>
    <w:rsid w:val="00DC5A81"/>
    <w:rsid w:val="00DC68CA"/>
    <w:rsid w:val="00DC7CBA"/>
    <w:rsid w:val="00DD73B7"/>
    <w:rsid w:val="00DF28BC"/>
    <w:rsid w:val="00DF34B9"/>
    <w:rsid w:val="00DF6A06"/>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98719F"/>
    <w:rsid w:val="0EE940E7"/>
    <w:rsid w:val="10C055FF"/>
    <w:rsid w:val="16BB723D"/>
    <w:rsid w:val="1CE222E6"/>
    <w:rsid w:val="1DB63B95"/>
    <w:rsid w:val="23956CBD"/>
    <w:rsid w:val="240371BF"/>
    <w:rsid w:val="29FD04D3"/>
    <w:rsid w:val="2F885403"/>
    <w:rsid w:val="319F7F4E"/>
    <w:rsid w:val="3AB66F7F"/>
    <w:rsid w:val="3F6B04ED"/>
    <w:rsid w:val="40471488"/>
    <w:rsid w:val="40E04862"/>
    <w:rsid w:val="41456F22"/>
    <w:rsid w:val="4ECE2238"/>
    <w:rsid w:val="54C677F7"/>
    <w:rsid w:val="56793862"/>
    <w:rsid w:val="56831BE2"/>
    <w:rsid w:val="5A183FF5"/>
    <w:rsid w:val="5A2918C3"/>
    <w:rsid w:val="5A607F26"/>
    <w:rsid w:val="5F834554"/>
    <w:rsid w:val="5F9B730C"/>
    <w:rsid w:val="5FF6382A"/>
    <w:rsid w:val="653B7B42"/>
    <w:rsid w:val="72734D90"/>
    <w:rsid w:val="75197F2E"/>
    <w:rsid w:val="7B171D9D"/>
    <w:rsid w:val="7DB253B4"/>
    <w:rsid w:val="7E585CB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075"/>
          <c:y val="0.0231666666666667"/>
          <c:w val="0.8711"/>
          <c:h val="0.7169"/>
        </c:manualLayout>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delete val="1"/>
          </c:dLbls>
          <c:cat>
            <c:strRef>
              <c:f>Sheet1!$A$2:$A$5</c:f>
              <c:strCache>
                <c:ptCount val="4"/>
                <c:pt idx="0">
                  <c:v>收入</c:v>
                </c:pt>
                <c:pt idx="1">
                  <c:v>支出</c:v>
                </c:pt>
              </c:strCache>
            </c:strRef>
          </c:cat>
          <c:val>
            <c:numRef>
              <c:f>Sheet1!$B$2:$B$5</c:f>
              <c:numCache>
                <c:formatCode>General</c:formatCode>
                <c:ptCount val="4"/>
                <c:pt idx="0">
                  <c:v>605.18</c:v>
                </c:pt>
                <c:pt idx="1">
                  <c:v>600.27</c:v>
                </c:pt>
              </c:numCache>
            </c:numRef>
          </c:val>
        </c:ser>
        <c:ser>
          <c:idx val="1"/>
          <c:order val="1"/>
          <c:tx>
            <c:strRef>
              <c:f>Sheet1!$C$1</c:f>
              <c:strCache>
                <c:ptCount val="1"/>
                <c:pt idx="0">
                  <c:v>2019年</c:v>
                </c:pt>
              </c:strCache>
            </c:strRef>
          </c:tx>
          <c:spPr>
            <a:solidFill>
              <a:schemeClr val="accent2"/>
            </a:solidFill>
            <a:ln>
              <a:noFill/>
            </a:ln>
            <a:effectLst/>
          </c:spPr>
          <c:invertIfNegative val="0"/>
          <c:dLbls>
            <c:delete val="1"/>
          </c:dLbls>
          <c:cat>
            <c:strRef>
              <c:f>Sheet1!$A$2:$A$5</c:f>
              <c:strCache>
                <c:ptCount val="4"/>
                <c:pt idx="0">
                  <c:v>收入</c:v>
                </c:pt>
                <c:pt idx="1">
                  <c:v>支出</c:v>
                </c:pt>
              </c:strCache>
            </c:strRef>
          </c:cat>
          <c:val>
            <c:numRef>
              <c:f>Sheet1!$C$2:$C$5</c:f>
              <c:numCache>
                <c:formatCode>General</c:formatCode>
                <c:ptCount val="4"/>
                <c:pt idx="0">
                  <c:v>447.6</c:v>
                </c:pt>
                <c:pt idx="1">
                  <c:v>447.65</c:v>
                </c:pt>
              </c:numCache>
            </c:numRef>
          </c:val>
        </c:ser>
        <c:dLbls>
          <c:showLegendKey val="0"/>
          <c:showVal val="0"/>
          <c:showCatName val="0"/>
          <c:showSerName val="0"/>
          <c:showPercent val="0"/>
          <c:showBubbleSize val="0"/>
        </c:dLbls>
        <c:gapWidth val="219"/>
        <c:overlap val="-27"/>
        <c:axId val="70396928"/>
        <c:axId val="70439680"/>
      </c:barChart>
      <c:lineChart>
        <c:grouping val="standard"/>
        <c:varyColors val="0"/>
        <c:ser>
          <c:idx val="2"/>
          <c:order val="2"/>
          <c:tx>
            <c:strRef>
              <c:f>Sheet1!$D$1</c:f>
              <c:strCache>
                <c:ptCount val="1"/>
                <c:pt idx="0">
                  <c:v/>
                </c:pt>
              </c:strCache>
            </c:strRef>
          </c:tx>
          <c:spPr>
            <a:ln w="28575" cap="rnd">
              <a:solidFill>
                <a:schemeClr val="accent3"/>
              </a:solidFill>
              <a:round/>
            </a:ln>
            <a:effectLst/>
          </c:spPr>
          <c:marker>
            <c:symbol val="none"/>
          </c:marker>
          <c:dLbls>
            <c:delete val="1"/>
          </c:dLbls>
          <c:cat>
            <c:strRef>
              <c:f>Sheet1!$A$2:$A$5</c:f>
              <c:strCache>
                <c:ptCount val="4"/>
                <c:pt idx="0">
                  <c:v>收入</c:v>
                </c:pt>
                <c:pt idx="1">
                  <c:v>支出</c:v>
                </c:pt>
              </c:strCache>
            </c:strRef>
          </c:cat>
          <c:val>
            <c:numRef>
              <c:f>Sheet1!$D$2:$D$5</c:f>
              <c:numCache>
                <c:formatCode>General</c:formatCode>
                <c:ptCount val="4"/>
              </c:numCache>
            </c:numRef>
          </c:val>
          <c:smooth val="0"/>
        </c:ser>
        <c:dLbls>
          <c:showLegendKey val="0"/>
          <c:showVal val="0"/>
          <c:showCatName val="0"/>
          <c:showSerName val="0"/>
          <c:showPercent val="0"/>
          <c:showBubbleSize val="0"/>
        </c:dLbls>
        <c:marker val="0"/>
        <c:smooth val="0"/>
        <c:axId val="70441216"/>
        <c:axId val="70443008"/>
      </c:lineChart>
      <c:catAx>
        <c:axId val="703969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439680"/>
        <c:crosses val="autoZero"/>
        <c:auto val="1"/>
        <c:lblAlgn val="ctr"/>
        <c:lblOffset val="100"/>
        <c:noMultiLvlLbl val="0"/>
      </c:catAx>
      <c:valAx>
        <c:axId val="7043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396928"/>
        <c:crosses val="autoZero"/>
        <c:crossBetween val="between"/>
      </c:valAx>
      <c:catAx>
        <c:axId val="70441216"/>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443008"/>
        <c:crosses val="autoZero"/>
        <c:auto val="1"/>
        <c:lblAlgn val="ctr"/>
        <c:lblOffset val="100"/>
        <c:noMultiLvlLbl val="0"/>
      </c:catAx>
      <c:valAx>
        <c:axId val="70443008"/>
        <c:scaling>
          <c:orientation val="minMax"/>
        </c:scaling>
        <c:delete val="0"/>
        <c:axPos val="r"/>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441216"/>
        <c:crosses val="max"/>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[工作簿1]Sheet1!$A$1</c:f>
              <c:strCache>
                <c:ptCount val="1"/>
                <c:pt idx="0">
                  <c:v>一般公共预算财政拨款收入（万元）</c:v>
                </c:pt>
              </c:strCache>
            </c:strRef>
          </c:tx>
          <c:spPr/>
          <c:explosion val="0"/>
          <c:dPt>
            <c:idx val="0"/>
            <c:bubble3D val="0"/>
            <c:spPr>
              <a:solidFill>
                <a:schemeClr val="accent1"/>
              </a:solidFill>
              <a:ln w="19050">
                <a:solidFill>
                  <a:schemeClr val="lt1"/>
                </a:solidFill>
              </a:ln>
              <a:effectLst/>
            </c:spPr>
          </c:dPt>
          <c:dLbls>
            <c:dLbl>
              <c:idx val="0"/>
              <c:layout>
                <c:manualLayout>
                  <c:x val="-0.0266669671054479"/>
                  <c:y val="-0.28495521806611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447.6</a:t>
                    </a:r>
                    <a:r>
                      <a:rPr altLang="en-US"/>
                      <a:t>万元</a:t>
                    </a:r>
                    <a:r>
                      <a:t>100%</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220138888888889"/>
                      <c:h val="0.119548286604361"/>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[工作簿1]Sheet1!$B$1</c:f>
              <c:numCache>
                <c:formatCode>General</c:formatCode>
                <c:ptCount val="1"/>
                <c:pt idx="0">
                  <c:v>447.6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[工作簿1]Sheet1!$A$7:$A$8</c:f>
              <c:strCache>
                <c:ptCount val="2"/>
                <c:pt idx="0">
                  <c:v>基本支出（万元）</c:v>
                </c:pt>
                <c:pt idx="1">
                  <c:v>项目支出（万元）</c:v>
                </c:pt>
              </c:strCache>
            </c:strRef>
          </c:cat>
          <c:val>
            <c:numRef>
              <c:f>[工作簿1]Sheet1!$B$7:$B$8</c:f>
              <c:numCache>
                <c:formatCode>General</c:formatCode>
                <c:ptCount val="2"/>
                <c:pt idx="0">
                  <c:v>387.65</c:v>
                </c:pt>
                <c:pt idx="1">
                  <c:v>60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[工作簿1]Sheet1!$A$15:$A$16</c:f>
              <c:strCache>
                <c:ptCount val="2"/>
                <c:pt idx="0">
                  <c:v>2019年（万元）</c:v>
                </c:pt>
                <c:pt idx="1">
                  <c:v>2018年（万元）</c:v>
                </c:pt>
              </c:strCache>
            </c:strRef>
          </c:cat>
          <c:val>
            <c:numRef>
              <c:f>[工作簿1]Sheet1!$B$15:$B$16</c:f>
              <c:numCache>
                <c:formatCode>General</c:formatCode>
                <c:ptCount val="2"/>
                <c:pt idx="0">
                  <c:v>447.6</c:v>
                </c:pt>
                <c:pt idx="1">
                  <c:v>565.18</c:v>
                </c:pt>
              </c:numCache>
            </c:numRef>
          </c:val>
        </c:ser>
        <c:dLbls>
          <c:showLegendKey val="0"/>
          <c:showVal val="0"/>
          <c:showCatName val="0"/>
          <c:showSerName val="0"/>
          <c:showPercent val="0"/>
          <c:showBubbleSize val="0"/>
        </c:dLbls>
        <c:gapWidth val="219"/>
        <c:overlap val="-27"/>
        <c:axId val="853050480"/>
        <c:axId val="288722047"/>
      </c:barChart>
      <c:catAx>
        <c:axId val="8530504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722047"/>
        <c:crosses val="autoZero"/>
        <c:auto val="1"/>
        <c:lblAlgn val="ctr"/>
        <c:lblOffset val="100"/>
        <c:noMultiLvlLbl val="0"/>
      </c:catAx>
      <c:valAx>
        <c:axId val="288722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3050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09916367980884"/>
          <c:y val="0.0370266479663394"/>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[工作簿1]Sheet1!$A$27:$A$28</c:f>
              <c:strCache>
                <c:ptCount val="2"/>
                <c:pt idx="0">
                  <c:v>2019年（万元）</c:v>
                </c:pt>
                <c:pt idx="1">
                  <c:v>2018年（万元）</c:v>
                </c:pt>
              </c:strCache>
            </c:strRef>
          </c:cat>
          <c:val>
            <c:numRef>
              <c:f>[工作簿1]Sheet1!$B$27:$B$28</c:f>
              <c:numCache>
                <c:formatCode>General</c:formatCode>
                <c:ptCount val="2"/>
                <c:pt idx="0">
                  <c:v>447.6</c:v>
                </c:pt>
                <c:pt idx="1">
                  <c:v>565.18</c:v>
                </c:pt>
              </c:numCache>
            </c:numRef>
          </c:val>
        </c:ser>
        <c:dLbls>
          <c:showLegendKey val="0"/>
          <c:showVal val="0"/>
          <c:showCatName val="0"/>
          <c:showSerName val="0"/>
          <c:showPercent val="0"/>
          <c:showBubbleSize val="0"/>
        </c:dLbls>
        <c:gapWidth val="219"/>
        <c:overlap val="-27"/>
        <c:axId val="938001827"/>
        <c:axId val="996293126"/>
      </c:barChart>
      <c:catAx>
        <c:axId val="9380018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6293126"/>
        <c:crosses val="autoZero"/>
        <c:auto val="1"/>
        <c:lblAlgn val="ctr"/>
        <c:lblOffset val="100"/>
        <c:noMultiLvlLbl val="0"/>
      </c:catAx>
      <c:valAx>
        <c:axId val="9962931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0018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407.50</a:t>
                    </a:r>
                    <a:r>
                      <a:rPr altLang="en-US"/>
                      <a:t>；</a:t>
                    </a:r>
                    <a:r>
                      <a:t>91%</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manualLayout>
                  <c:x val="0.0372468809252293"/>
                  <c:y val="0.21958322485483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17.80</a:t>
                    </a:r>
                    <a:r>
                      <a:rPr altLang="en-US"/>
                      <a:t>；</a:t>
                    </a:r>
                    <a:r>
                      <a:t>4%</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82584509246624"/>
                  <c:y val="0.054698408667481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5.00</a:t>
                    </a:r>
                    <a:r>
                      <a:rPr altLang="en-US"/>
                      <a:t>；</a:t>
                    </a:r>
                    <a:r>
                      <a:t>1%</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825182542323137"/>
                  <c:y val="0.17007111605166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17.26</a:t>
                    </a:r>
                    <a:r>
                      <a:rPr altLang="en-US"/>
                      <a:t>；</a:t>
                    </a:r>
                    <a:r>
                      <a:t>4%</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[工作簿1]Sheet1!$A$38:$A$41</c:f>
              <c:strCache>
                <c:ptCount val="4"/>
                <c:pt idx="0">
                  <c:v>一般公共服务（类）（万元）</c:v>
                </c:pt>
                <c:pt idx="1">
                  <c:v>社会保障和就业（类）（万元）</c:v>
                </c:pt>
                <c:pt idx="2">
                  <c:v>卫生健康支出（万元）</c:v>
                </c:pt>
                <c:pt idx="3">
                  <c:v>住房保障支出（万元）</c:v>
                </c:pt>
              </c:strCache>
            </c:strRef>
          </c:cat>
          <c:val>
            <c:numRef>
              <c:f>[工作簿1]Sheet1!$B$38:$B$41</c:f>
              <c:numCache>
                <c:formatCode>General</c:formatCode>
                <c:ptCount val="4"/>
                <c:pt idx="0">
                  <c:v>407.54</c:v>
                </c:pt>
                <c:pt idx="1">
                  <c:v>17.8</c:v>
                </c:pt>
                <c:pt idx="2">
                  <c:v>5</c:v>
                </c:pt>
                <c:pt idx="3">
                  <c:v>17.26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[工作簿1]Sheet1!$A$42:$A$44</c:f>
              <c:strCache>
                <c:ptCount val="3"/>
                <c:pt idx="0">
                  <c:v>公务用车购置及运行维护费</c:v>
                </c:pt>
                <c:pt idx="1">
                  <c:v>因公出国（境）费</c:v>
                </c:pt>
                <c:pt idx="2">
                  <c:v>公务接待费</c:v>
                </c:pt>
              </c:strCache>
            </c:strRef>
          </c:cat>
          <c:val>
            <c:numRef>
              <c:f>[工作簿1]Sheet1!$B$42:$B$44</c:f>
              <c:numCache>
                <c:formatCode>General</c:formatCode>
                <c:ptCount val="3"/>
                <c:pt idx="0">
                  <c:v>6.68</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6896</Words>
  <Characters>1173</Characters>
  <Lines>9</Lines>
  <Paragraphs>16</Paragraphs>
  <TotalTime>109</TotalTime>
  <ScaleCrop>false</ScaleCrop>
  <LinksUpToDate>false</LinksUpToDate>
  <CharactersWithSpaces>8053</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2020-10-28T08:48:00Z</cp:lastPrinted>
  <dcterms:modified xsi:type="dcterms:W3CDTF">2020-10-29T02:55:25Z</dcterms:modified>
  <dc:title>四川省***</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