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96597"/>
      <w:bookmarkStart w:id="4" w:name="_Toc1537742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8442"/>
      <w:bookmarkStart w:id="8" w:name="_Toc15396476"/>
      <w:bookmarkStart w:id="9" w:name="_Toc15377194"/>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峨眉山市国有资产服务中心</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w:t>
      </w:r>
      <w:r>
        <w:rPr>
          <w:rFonts w:hint="eastAsia"/>
          <w:lang w:val="en-US" w:eastAsia="zh-CN"/>
        </w:rPr>
        <w:t>29</w:t>
      </w:r>
      <w:bookmarkStart w:id="74" w:name="_GoBack"/>
      <w:bookmarkEnd w:id="74"/>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spacing w:line="590" w:lineRule="exact"/>
        <w:ind w:firstLine="645"/>
        <w:rPr>
          <w:rFonts w:hint="eastAsia" w:ascii="仿宋_GB2312" w:eastAsia="仿宋_GB2312"/>
          <w:sz w:val="32"/>
          <w:szCs w:val="32"/>
        </w:rPr>
      </w:pPr>
      <w:r>
        <w:rPr>
          <w:rFonts w:hint="eastAsia" w:ascii="仿宋_GB2312" w:eastAsia="仿宋_GB2312"/>
          <w:sz w:val="32"/>
          <w:szCs w:val="32"/>
          <w:lang w:val="zh-CN"/>
        </w:rPr>
        <w:t>峨眉山市国有资产服务中心主要贯彻执行国有资产监督管理的办法和制度；负责全市国有资产的监管；负责国有资产产权登记、界定工作；负责解缴国有资产收益；负责国有资产的统计、分析工作，提出国有资产管理的有效措施，实现国有资产的保值增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590" w:lineRule="exact"/>
        <w:ind w:firstLine="645"/>
        <w:rPr>
          <w:rFonts w:hint="eastAsia" w:ascii="仿宋_GB2312" w:eastAsia="仿宋_GB2312"/>
          <w:sz w:val="32"/>
          <w:szCs w:val="32"/>
        </w:rPr>
      </w:pPr>
      <w:r>
        <w:rPr>
          <w:rFonts w:hint="eastAsia" w:ascii="楷体_GB2312" w:eastAsia="楷体_GB2312"/>
          <w:sz w:val="32"/>
          <w:szCs w:val="32"/>
          <w:lang w:val="en-US" w:eastAsia="zh-CN"/>
        </w:rPr>
        <w:t>1.</w:t>
      </w:r>
      <w:r>
        <w:rPr>
          <w:rFonts w:hint="eastAsia" w:ascii="楷体_GB2312" w:eastAsia="楷体_GB2312"/>
          <w:color w:val="000000"/>
          <w:sz w:val="32"/>
          <w:szCs w:val="32"/>
        </w:rPr>
        <w:t>向</w:t>
      </w:r>
      <w:r>
        <w:rPr>
          <w:rFonts w:hint="eastAsia" w:ascii="楷体_GB2312" w:eastAsia="楷体_GB2312"/>
          <w:sz w:val="32"/>
          <w:szCs w:val="32"/>
        </w:rPr>
        <w:t>人大常委会</w:t>
      </w:r>
      <w:r>
        <w:rPr>
          <w:rFonts w:hint="eastAsia" w:ascii="楷体_GB2312" w:eastAsia="楷体_GB2312"/>
          <w:color w:val="000000"/>
          <w:sz w:val="32"/>
          <w:szCs w:val="32"/>
        </w:rPr>
        <w:t>报告国资“家底”。</w:t>
      </w:r>
      <w:r>
        <w:rPr>
          <w:rFonts w:hint="eastAsia" w:ascii="仿宋_GB2312" w:eastAsia="仿宋_GB2312"/>
          <w:sz w:val="32"/>
          <w:szCs w:val="32"/>
        </w:rPr>
        <w:t>为贯彻落实中共中央《关于建立国务院向全国人大常委会报告国有资产管理情况制度的意见》，根据《峨眉山市人大常委会关于印发〈峨眉山市人大常委会2019年工作要点〉的通知》（峨人大〔2019〕6号），于2019年9月27日，在峨眉山市第十七届人大常委会第二十六次会议上，市政府首次向市人大常委会报告了《关于2018年行政事业性国有资产管理的专项报告》，同时会上还书面审议了《峨眉山市人民政府</w:t>
      </w:r>
      <w:r>
        <w:rPr>
          <w:rFonts w:hint="eastAsia" w:ascii="仿宋_GB2312" w:hAnsi="宋体" w:eastAsia="仿宋_GB2312"/>
          <w:sz w:val="32"/>
          <w:szCs w:val="32"/>
        </w:rPr>
        <w:t>关于2018年度国有资产管理的综合报告</w:t>
      </w:r>
      <w:r>
        <w:rPr>
          <w:rFonts w:hint="eastAsia" w:ascii="仿宋_GB2312" w:eastAsia="仿宋_GB2312"/>
          <w:sz w:val="32"/>
          <w:szCs w:val="32"/>
        </w:rPr>
        <w:t>》。</w:t>
      </w:r>
    </w:p>
    <w:p>
      <w:pPr>
        <w:spacing w:line="590" w:lineRule="exact"/>
        <w:ind w:firstLine="645"/>
        <w:rPr>
          <w:rFonts w:hint="eastAsia" w:ascii="楷体_GB2312" w:eastAsia="楷体_GB2312"/>
          <w:color w:val="000000"/>
          <w:sz w:val="32"/>
          <w:szCs w:val="32"/>
        </w:rPr>
      </w:pPr>
      <w:r>
        <w:rPr>
          <w:rFonts w:hint="eastAsia" w:ascii="楷体_GB2312" w:eastAsia="楷体_GB2312"/>
          <w:sz w:val="32"/>
          <w:szCs w:val="32"/>
          <w:lang w:val="en-US" w:eastAsia="zh-CN"/>
        </w:rPr>
        <w:t>2.</w:t>
      </w:r>
      <w:r>
        <w:rPr>
          <w:rFonts w:hint="eastAsia" w:ascii="楷体_GB2312" w:eastAsia="楷体_GB2312"/>
          <w:sz w:val="32"/>
          <w:szCs w:val="32"/>
        </w:rPr>
        <w:t>解决历年遗留问题</w:t>
      </w:r>
      <w:r>
        <w:rPr>
          <w:rFonts w:hint="eastAsia" w:ascii="楷体_GB2312" w:eastAsia="楷体_GB2312"/>
          <w:color w:val="000000"/>
          <w:sz w:val="32"/>
          <w:szCs w:val="32"/>
        </w:rPr>
        <w:t>。</w:t>
      </w:r>
      <w:r>
        <w:rPr>
          <w:rFonts w:hint="eastAsia" w:ascii="仿宋_GB2312" w:eastAsia="仿宋_GB2312"/>
          <w:sz w:val="32"/>
          <w:szCs w:val="32"/>
        </w:rPr>
        <w:t>2015年，市国土资源局收储符汶橡胶厂土地、机器设备，收储价款1760万元。对于该部分收储价款的权属，绥山镇政府主张系国有资产，应收归国有；符汶橡胶厂主张系集体资产，要予以分配。符汶橡胶厂职工因该资产权属问题不断上访。市国资办报请市人民政府批准成立了符汶橡胶厂产权界定小组，推进该资产权属界定工作。截至目前，产权鉴定小组已按照相关证据，形成界定结论并报市政府常务会审定。</w:t>
      </w:r>
    </w:p>
    <w:p>
      <w:pPr>
        <w:spacing w:line="590" w:lineRule="exact"/>
        <w:ind w:right="25" w:rightChars="12" w:firstLine="640" w:firstLineChars="200"/>
        <w:rPr>
          <w:rFonts w:hint="eastAsia" w:ascii="黑体" w:eastAsia="黑体"/>
          <w:sz w:val="32"/>
          <w:szCs w:val="32"/>
        </w:rPr>
      </w:pPr>
      <w:r>
        <w:rPr>
          <w:rFonts w:hint="eastAsia" w:ascii="楷体_GB2312" w:hAnsi="仿宋" w:eastAsia="楷体_GB2312" w:cs="仿宋"/>
          <w:sz w:val="32"/>
          <w:szCs w:val="32"/>
          <w:lang w:val="en-US" w:eastAsia="zh-CN"/>
        </w:rPr>
        <w:t>3.</w:t>
      </w:r>
      <w:r>
        <w:rPr>
          <w:rFonts w:hint="eastAsia" w:ascii="楷体_GB2312" w:hAnsi="仿宋" w:eastAsia="楷体_GB2312" w:cs="仿宋"/>
          <w:sz w:val="32"/>
          <w:szCs w:val="32"/>
        </w:rPr>
        <w:t>国企改革重组。</w:t>
      </w:r>
      <w:r>
        <w:rPr>
          <w:rFonts w:hint="eastAsia" w:ascii="仿宋_GB2312" w:hAnsi="仿宋_GB2312" w:eastAsia="仿宋_GB2312" w:cs="仿宋_GB2312"/>
          <w:color w:val="000000"/>
          <w:sz w:val="32"/>
          <w:szCs w:val="32"/>
        </w:rPr>
        <w:t>制定并印发了《峨眉山市国资国企管理改革工作方案》（峨委办</w:t>
      </w:r>
      <w:r>
        <w:rPr>
          <w:rFonts w:hint="eastAsia" w:ascii="仿宋_GB2312" w:eastAsia="仿宋_GB2312"/>
          <w:sz w:val="32"/>
          <w:szCs w:val="32"/>
        </w:rPr>
        <w:t>〔</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40</w:t>
      </w:r>
      <w:r>
        <w:rPr>
          <w:rFonts w:hint="eastAsia" w:ascii="仿宋_GB2312" w:eastAsia="仿宋_GB2312"/>
          <w:sz w:val="32"/>
          <w:szCs w:val="32"/>
        </w:rPr>
        <w:t>号</w:t>
      </w:r>
      <w:r>
        <w:rPr>
          <w:rFonts w:hint="eastAsia" w:ascii="仿宋_GB2312" w:hAnsi="仿宋_GB2312" w:eastAsia="仿宋_GB2312" w:cs="仿宋_GB2312"/>
          <w:color w:val="000000"/>
          <w:sz w:val="32"/>
          <w:szCs w:val="32"/>
        </w:rPr>
        <w:t>）</w:t>
      </w:r>
      <w:r>
        <w:rPr>
          <w:rFonts w:hint="eastAsia" w:ascii="仿宋_GB2312" w:hAnsi="仿宋" w:eastAsia="仿宋_GB2312" w:cs="仿宋"/>
          <w:sz w:val="32"/>
          <w:szCs w:val="32"/>
        </w:rPr>
        <w:t>。在全面清查全市市属国有企业资产数量、价值、权属等，摸清每家企业资产、负债结构及规模的基础上，有针对性地开展整合。按照峨眉山市委“137”发展总体思路，对应“生态立市、文旅兴市、产业强市”三大发展战略，建立健全“1＋3＋n”国资国企架构体系。优化整合开源国投、城投公司等20家企业组建峨眉发展，峨眉发展下设峨秀、峨旅、峨城3家集团公司。</w:t>
      </w:r>
    </w:p>
    <w:p>
      <w:pPr>
        <w:spacing w:line="590" w:lineRule="exact"/>
        <w:ind w:right="25" w:rightChars="12"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lang w:val="en-US" w:eastAsia="zh-CN"/>
        </w:rPr>
        <w:t>4.</w:t>
      </w:r>
      <w:r>
        <w:rPr>
          <w:rFonts w:hint="eastAsia" w:ascii="楷体_GB2312" w:hAnsi="仿宋" w:eastAsia="楷体_GB2312" w:cs="仿宋"/>
          <w:sz w:val="32"/>
          <w:szCs w:val="32"/>
        </w:rPr>
        <w:t>初步建立企业法人治理结构体系。</w:t>
      </w:r>
      <w:r>
        <w:rPr>
          <w:rFonts w:hint="eastAsia" w:ascii="仿宋_GB2312" w:hAnsi="仿宋" w:eastAsia="仿宋_GB2312" w:cs="仿宋"/>
          <w:sz w:val="32"/>
          <w:szCs w:val="32"/>
        </w:rPr>
        <w:t>选拔并任命峨眉发展董事会成员6名、监事会主席1名、副总经理2名，批准任命峨秀集团、峨旅集团、峨城集团副总以上管理人员12名。峨眉发展完成三中心两部门人员调配，各部门已按既定职责有序开展工作，下属三大集团内设机构、人员也已基本调配到位。截至目前，峨眉发展“两会一层”正常运转，自组建以来已召开董事会6次，上会研究并决定重大事项近50项。</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峨眉山市国有资产服务中心是峨眉山市财政局</w:t>
      </w:r>
      <w:r>
        <w:rPr>
          <w:rFonts w:hint="eastAsia" w:ascii="仿宋" w:hAnsi="仿宋" w:eastAsia="仿宋"/>
          <w:sz w:val="32"/>
          <w:szCs w:val="32"/>
        </w:rPr>
        <w:t>下属</w:t>
      </w:r>
      <w:r>
        <w:rPr>
          <w:rFonts w:hint="eastAsia" w:ascii="仿宋" w:hAnsi="仿宋" w:eastAsia="仿宋"/>
          <w:sz w:val="32"/>
          <w:szCs w:val="32"/>
          <w:lang w:eastAsia="zh-CN"/>
        </w:rPr>
        <w:t>全额拨款事业单位</w:t>
      </w:r>
      <w:r>
        <w:rPr>
          <w:rFonts w:hint="eastAsia" w:ascii="仿宋" w:hAnsi="仿宋" w:eastAsia="仿宋"/>
          <w:sz w:val="32"/>
          <w:szCs w:val="32"/>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845.83</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515.37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155.96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2019年调整部分全市大预算项目至我单位支出。</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59264" behindDoc="0" locked="0" layoutInCell="1" allowOverlap="1">
            <wp:simplePos x="0" y="0"/>
            <wp:positionH relativeFrom="column">
              <wp:posOffset>255905</wp:posOffset>
            </wp:positionH>
            <wp:positionV relativeFrom="paragraph">
              <wp:posOffset>149225</wp:posOffset>
            </wp:positionV>
            <wp:extent cx="4572000" cy="2743200"/>
            <wp:effectExtent l="4445" t="4445" r="10795" b="1079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420" w:firstLineChars="200"/>
        <w:outlineLvl w:val="1"/>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393065</wp:posOffset>
            </wp:positionH>
            <wp:positionV relativeFrom="paragraph">
              <wp:posOffset>725805</wp:posOffset>
            </wp:positionV>
            <wp:extent cx="4488815" cy="2362200"/>
            <wp:effectExtent l="4445" t="5080" r="17780" b="1016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845.83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845.83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outlineLvl w:val="1"/>
      </w:pPr>
    </w:p>
    <w:p>
      <w:pPr>
        <w:spacing w:line="600" w:lineRule="exact"/>
        <w:ind w:firstLine="420" w:firstLineChars="200"/>
        <w:outlineLvl w:val="1"/>
      </w:pPr>
    </w:p>
    <w:p>
      <w:pPr>
        <w:spacing w:line="600" w:lineRule="exact"/>
        <w:ind w:firstLine="420" w:firstLineChars="200"/>
        <w:outlineLvl w:val="1"/>
      </w:pPr>
    </w:p>
    <w:p>
      <w:pPr>
        <w:spacing w:line="600" w:lineRule="exact"/>
        <w:ind w:firstLine="420" w:firstLineChars="200"/>
        <w:outlineLvl w:val="1"/>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845.83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169.92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20.09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675.91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79.91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61312" behindDoc="0" locked="0" layoutInCell="1" allowOverlap="1">
            <wp:simplePos x="0" y="0"/>
            <wp:positionH relativeFrom="column">
              <wp:posOffset>225425</wp:posOffset>
            </wp:positionH>
            <wp:positionV relativeFrom="paragraph">
              <wp:posOffset>141605</wp:posOffset>
            </wp:positionV>
            <wp:extent cx="4572000" cy="2743200"/>
            <wp:effectExtent l="4445" t="4445" r="10795" b="1079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outlineLvl w:val="1"/>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845.83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515.37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155.96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2019年调整部分全市大预算项目至我单位支出。</w:t>
      </w:r>
    </w:p>
    <w:p>
      <w:pPr>
        <w:spacing w:line="600" w:lineRule="exact"/>
      </w:pPr>
      <w:r>
        <w:drawing>
          <wp:anchor distT="0" distB="0" distL="114300" distR="114300" simplePos="0" relativeHeight="251662336" behindDoc="0" locked="0" layoutInCell="1" allowOverlap="1">
            <wp:simplePos x="0" y="0"/>
            <wp:positionH relativeFrom="column">
              <wp:posOffset>320040</wp:posOffset>
            </wp:positionH>
            <wp:positionV relativeFrom="paragraph">
              <wp:posOffset>68580</wp:posOffset>
            </wp:positionV>
            <wp:extent cx="4572000" cy="2743200"/>
            <wp:effectExtent l="4445" t="4445" r="10795" b="10795"/>
            <wp:wrapNone/>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845.83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607.98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255.61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2019年调整部分全市大预算项目至我单位支出。</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236220</wp:posOffset>
            </wp:positionH>
            <wp:positionV relativeFrom="paragraph">
              <wp:posOffset>198120</wp:posOffset>
            </wp:positionV>
            <wp:extent cx="4572000" cy="2743200"/>
            <wp:effectExtent l="4445" t="4445" r="10795" b="10795"/>
            <wp:wrapNone/>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845.83</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204.04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24.12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社会保障和就业</w:t>
      </w:r>
      <w:r>
        <w:rPr>
          <w:rFonts w:hint="eastAsia" w:ascii="仿宋" w:hAnsi="仿宋" w:eastAsia="仿宋"/>
          <w:b/>
          <w:color w:val="000000" w:themeColor="text1"/>
          <w:sz w:val="32"/>
          <w:szCs w:val="32"/>
        </w:rPr>
        <w:t>（类）</w:t>
      </w:r>
      <w:r>
        <w:rPr>
          <w:rFonts w:hint="eastAsia" w:ascii="仿宋" w:hAnsi="仿宋" w:eastAsia="仿宋"/>
          <w:b/>
          <w:color w:val="000000" w:themeColor="text1"/>
          <w:sz w:val="32"/>
          <w:szCs w:val="32"/>
          <w:lang w:eastAsia="zh-CN"/>
        </w:rPr>
        <w:t>支出</w:t>
      </w:r>
      <w:r>
        <w:rPr>
          <w:rFonts w:hint="eastAsia" w:ascii="仿宋" w:hAnsi="仿宋" w:eastAsia="仿宋"/>
          <w:color w:val="000000" w:themeColor="text1"/>
          <w:sz w:val="32"/>
          <w:szCs w:val="32"/>
          <w:lang w:val="en-US" w:eastAsia="zh-CN"/>
        </w:rPr>
        <w:t>622.11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73.55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卫生健康</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4.33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0.51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15.35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1.82</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600" w:lineRule="exact"/>
        <w:ind w:firstLine="640"/>
        <w:rPr>
          <w:rFonts w:hint="eastAsia" w:ascii="仿宋" w:hAnsi="仿宋" w:eastAsia="仿宋"/>
          <w:color w:val="000000" w:themeColor="text1"/>
          <w:sz w:val="32"/>
          <w:szCs w:val="32"/>
          <w:lang w:eastAsia="zh-CN"/>
        </w:rPr>
      </w:pPr>
    </w:p>
    <w:p>
      <w:pPr>
        <w:spacing w:line="600" w:lineRule="exact"/>
        <w:ind w:firstLine="640"/>
        <w:rPr>
          <w:rFonts w:hint="eastAsia" w:ascii="仿宋" w:hAnsi="仿宋" w:eastAsia="仿宋"/>
          <w:color w:val="000000" w:themeColor="text1"/>
          <w:sz w:val="32"/>
          <w:szCs w:val="32"/>
          <w:lang w:eastAsia="zh-CN"/>
        </w:rPr>
      </w:pPr>
      <w:r>
        <w:drawing>
          <wp:anchor distT="0" distB="0" distL="114300" distR="114300" simplePos="0" relativeHeight="251664384" behindDoc="0" locked="0" layoutInCell="1" allowOverlap="1">
            <wp:simplePos x="0" y="0"/>
            <wp:positionH relativeFrom="column">
              <wp:posOffset>197485</wp:posOffset>
            </wp:positionH>
            <wp:positionV relativeFrom="paragraph">
              <wp:posOffset>-18415</wp:posOffset>
            </wp:positionV>
            <wp:extent cx="4572000" cy="2743200"/>
            <wp:effectExtent l="4445" t="4445" r="10795" b="1079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themeColor="text1"/>
          <w:sz w:val="32"/>
          <w:szCs w:val="32"/>
          <w:lang w:eastAsia="zh-CN"/>
        </w:rPr>
      </w:pPr>
    </w:p>
    <w:p>
      <w:pPr>
        <w:spacing w:line="600" w:lineRule="exact"/>
        <w:ind w:firstLine="640"/>
        <w:rPr>
          <w:rFonts w:hint="eastAsia" w:ascii="仿宋" w:hAnsi="仿宋" w:eastAsia="仿宋"/>
          <w:color w:val="000000" w:themeColor="text1"/>
          <w:sz w:val="32"/>
          <w:szCs w:val="32"/>
          <w:lang w:eastAsia="zh-CN"/>
        </w:rPr>
      </w:pPr>
    </w:p>
    <w:p>
      <w:pPr>
        <w:spacing w:line="600" w:lineRule="exact"/>
        <w:ind w:firstLine="640"/>
        <w:rPr>
          <w:rFonts w:hint="eastAsia" w:ascii="仿宋" w:hAnsi="仿宋" w:eastAsia="仿宋"/>
          <w:color w:val="000000" w:themeColor="text1"/>
          <w:sz w:val="32"/>
          <w:szCs w:val="32"/>
          <w:lang w:eastAsia="zh-CN"/>
        </w:rPr>
      </w:pPr>
    </w:p>
    <w:p>
      <w:pPr>
        <w:spacing w:line="600" w:lineRule="exact"/>
        <w:ind w:firstLine="640"/>
        <w:rPr>
          <w:rFonts w:hint="eastAsia" w:ascii="仿宋" w:hAnsi="仿宋" w:eastAsia="仿宋"/>
          <w:color w:val="000000" w:themeColor="text1"/>
          <w:sz w:val="32"/>
          <w:szCs w:val="32"/>
          <w:lang w:eastAsia="zh-CN"/>
        </w:rPr>
      </w:pPr>
    </w:p>
    <w:p>
      <w:pPr>
        <w:spacing w:line="600" w:lineRule="exact"/>
        <w:ind w:firstLine="640"/>
        <w:rPr>
          <w:rFonts w:hint="eastAsia" w:ascii="仿宋" w:hAnsi="仿宋" w:eastAsia="仿宋"/>
          <w:color w:val="000000" w:themeColor="text1"/>
          <w:sz w:val="32"/>
          <w:szCs w:val="32"/>
          <w:lang w:eastAsia="zh-CN"/>
        </w:rPr>
      </w:pPr>
    </w:p>
    <w:p>
      <w:pPr>
        <w:spacing w:line="600" w:lineRule="exact"/>
        <w:ind w:firstLine="640"/>
        <w:rPr>
          <w:rFonts w:hint="eastAsia" w:ascii="仿宋" w:hAnsi="仿宋" w:eastAsia="仿宋"/>
          <w:color w:val="000000" w:themeColor="text1"/>
          <w:sz w:val="32"/>
          <w:szCs w:val="32"/>
          <w:lang w:eastAsia="zh-CN"/>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845.83</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财政事务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事业运行</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130.70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财政事务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其他财政事务支出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73.33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eastAsia="zh-CN"/>
        </w:rPr>
        <w:t>行政事业单位离退休</w:t>
      </w:r>
      <w:r>
        <w:rPr>
          <w:rStyle w:val="14"/>
          <w:rFonts w:hint="eastAsia" w:ascii="仿宋" w:hAnsi="仿宋" w:eastAsia="仿宋"/>
          <w:bCs/>
          <w:color w:val="000000"/>
          <w:sz w:val="32"/>
          <w:szCs w:val="32"/>
        </w:rPr>
        <w:t>（款）机关事业单位基本养老保险缴费支出（项）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13.76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eastAsia="zh-CN"/>
        </w:rPr>
        <w:t>行政事业单位离退休</w:t>
      </w:r>
      <w:r>
        <w:rPr>
          <w:rStyle w:val="14"/>
          <w:rFonts w:hint="eastAsia" w:ascii="仿宋" w:hAnsi="仿宋" w:eastAsia="仿宋"/>
          <w:bCs/>
          <w:color w:val="000000"/>
          <w:sz w:val="32"/>
          <w:szCs w:val="32"/>
        </w:rPr>
        <w:t>（款）机关事业单位职业年金缴费支出（项）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5.77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eastAsia="zh-CN"/>
        </w:rPr>
        <w:t>企业改革补助</w:t>
      </w:r>
      <w:r>
        <w:rPr>
          <w:rStyle w:val="14"/>
          <w:rFonts w:hint="eastAsia" w:ascii="仿宋" w:hAnsi="仿宋" w:eastAsia="仿宋"/>
          <w:bCs/>
          <w:color w:val="000000"/>
          <w:sz w:val="32"/>
          <w:szCs w:val="32"/>
        </w:rPr>
        <w:t>（款）其他企业改革发展补助（项）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602.58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事业单位医疗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4.33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7.</w:t>
      </w:r>
      <w:r>
        <w:rPr>
          <w:rFonts w:hint="eastAsia" w:ascii="仿宋" w:hAnsi="仿宋" w:eastAsia="仿宋"/>
          <w:b/>
          <w:bCs/>
          <w:color w:val="000000" w:themeColor="text1"/>
          <w:sz w:val="32"/>
          <w:szCs w:val="32"/>
          <w:lang w:eastAsia="zh-CN"/>
        </w:rPr>
        <w:t>住房保障</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住房改革</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住房公积金</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15.35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169.92</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167.16</w:t>
      </w:r>
      <w:r>
        <w:rPr>
          <w:rFonts w:hint="eastAsia" w:ascii="仿宋" w:hAnsi="仿宋" w:eastAsia="仿宋"/>
          <w:color w:val="000000"/>
          <w:sz w:val="32"/>
          <w:szCs w:val="32"/>
        </w:rPr>
        <w:t>万元，主要包括：基本工资、津贴补贴、绩效工资、机关事业单位基本养老保险缴费、职业年金缴费、其他社会保障缴费、职工基本医疗保险缴费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生活补助、奖励金、住房公积金等。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2.76</w:t>
      </w:r>
      <w:r>
        <w:rPr>
          <w:rFonts w:hint="eastAsia" w:ascii="仿宋" w:hAnsi="仿宋" w:eastAsia="仿宋"/>
          <w:color w:val="000000"/>
          <w:sz w:val="32"/>
          <w:szCs w:val="32"/>
        </w:rPr>
        <w:t>万元，主要包括：办公费、邮电费、工会经费、公务用车运行维护费、其他交通费等。</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4.06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9年“三公”经费财政拨款支出决算中，公务用车购置及运行维护费支出决算</w:t>
      </w:r>
      <w:r>
        <w:rPr>
          <w:rFonts w:hint="eastAsia" w:ascii="仿宋" w:hAnsi="仿宋" w:eastAsia="仿宋"/>
          <w:color w:val="000000"/>
          <w:sz w:val="32"/>
          <w:szCs w:val="32"/>
          <w:lang w:val="en-US" w:eastAsia="zh-CN"/>
        </w:rPr>
        <w:t>4.00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98.52</w:t>
      </w:r>
      <w:r>
        <w:rPr>
          <w:rFonts w:ascii="仿宋" w:hAnsi="仿宋" w:eastAsia="仿宋"/>
          <w:color w:val="000000"/>
          <w:sz w:val="32"/>
          <w:szCs w:val="32"/>
        </w:rPr>
        <w:t>%</w:t>
      </w:r>
      <w:r>
        <w:rPr>
          <w:rFonts w:hint="eastAsia" w:ascii="仿宋" w:hAnsi="仿宋" w:eastAsia="仿宋"/>
          <w:color w:val="000000"/>
          <w:sz w:val="32"/>
          <w:szCs w:val="32"/>
          <w:lang w:eastAsia="zh-CN"/>
        </w:rPr>
        <w:t>；公务接待费支出决算</w:t>
      </w:r>
      <w:r>
        <w:rPr>
          <w:rFonts w:hint="eastAsia" w:ascii="仿宋" w:hAnsi="仿宋" w:eastAsia="仿宋"/>
          <w:color w:val="000000"/>
          <w:sz w:val="32"/>
          <w:szCs w:val="32"/>
          <w:lang w:val="en-US" w:eastAsia="zh-CN"/>
        </w:rPr>
        <w:t>0.06万元，占1.48%。</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266065</wp:posOffset>
            </wp:positionH>
            <wp:positionV relativeFrom="paragraph">
              <wp:posOffset>4445</wp:posOffset>
            </wp:positionV>
            <wp:extent cx="4572000" cy="2743200"/>
            <wp:effectExtent l="4445" t="4445" r="10795" b="1079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lang w:eastAsia="zh-CN"/>
        </w:rPr>
        <w:t>无</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eastAsia="zh-CN"/>
        </w:rPr>
        <w:t>。</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4.00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4.00</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2019年新增两台车辆。</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bCs/>
          <w:color w:val="000000"/>
          <w:sz w:val="32"/>
          <w:szCs w:val="32"/>
          <w:lang w:eastAsia="zh-CN"/>
        </w:rPr>
        <w:t>无</w:t>
      </w:r>
      <w:r>
        <w:rPr>
          <w:rFonts w:hint="eastAsia" w:ascii="仿宋_GB2312" w:eastAsia="仿宋_GB2312"/>
          <w:b/>
          <w:bCs/>
          <w:color w:val="000000"/>
          <w:sz w:val="32"/>
          <w:szCs w:val="32"/>
        </w:rPr>
        <w:t>公务用车购置支出</w:t>
      </w:r>
      <w:r>
        <w:rPr>
          <w:rFonts w:hint="eastAsia" w:ascii="仿宋_GB2312" w:eastAsia="仿宋_GB2312"/>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4.00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国有资产监管</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3.00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val="en-US" w:eastAsia="zh-CN"/>
        </w:rPr>
        <w:t>区县</w:t>
      </w:r>
      <w:r>
        <w:rPr>
          <w:rFonts w:hint="eastAsia" w:ascii="仿宋_GB2312" w:eastAsia="仿宋_GB2312"/>
          <w:color w:val="000000" w:themeColor="text1"/>
          <w:sz w:val="32"/>
          <w:szCs w:val="32"/>
          <w:lang w:eastAsia="zh-CN"/>
        </w:rPr>
        <w:t>国有资产监督管理局来我单位考察学习，</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0.06</w:t>
      </w:r>
      <w:r>
        <w:rPr>
          <w:rFonts w:hint="eastAsia" w:ascii="仿宋_GB2312" w:eastAsia="仿宋_GB2312"/>
          <w:color w:val="000000"/>
          <w:sz w:val="32"/>
          <w:szCs w:val="32"/>
        </w:rPr>
        <w:t>万元，主要用于</w:t>
      </w:r>
      <w:r>
        <w:rPr>
          <w:rFonts w:hint="eastAsia" w:ascii="仿宋_GB2312" w:eastAsia="仿宋_GB2312"/>
          <w:color w:val="000000" w:themeColor="text1"/>
          <w:sz w:val="32"/>
          <w:szCs w:val="32"/>
          <w:lang w:val="en-US" w:eastAsia="zh-CN"/>
        </w:rPr>
        <w:t>区县</w:t>
      </w:r>
      <w:r>
        <w:rPr>
          <w:rFonts w:hint="eastAsia" w:ascii="仿宋_GB2312" w:eastAsia="仿宋_GB2312"/>
          <w:color w:val="000000" w:themeColor="text1"/>
          <w:sz w:val="32"/>
          <w:szCs w:val="32"/>
          <w:lang w:eastAsia="zh-CN"/>
        </w:rPr>
        <w:t>国有资产监督管理局来我单位考察学习</w:t>
      </w:r>
      <w:r>
        <w:rPr>
          <w:rFonts w:hint="eastAsia" w:ascii="仿宋_GB2312" w:eastAsia="仿宋_GB2312"/>
          <w:color w:val="000000"/>
          <w:sz w:val="32"/>
          <w:szCs w:val="32"/>
        </w:rPr>
        <w:t>开支的用餐费。国内公务接待</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万元，具体内容</w:t>
      </w:r>
      <w:r>
        <w:rPr>
          <w:rFonts w:hint="eastAsia" w:ascii="仿宋_GB2312" w:eastAsia="仿宋_GB2312"/>
          <w:color w:val="000000"/>
          <w:sz w:val="32"/>
          <w:szCs w:val="32"/>
          <w:lang w:eastAsia="zh-CN"/>
        </w:rPr>
        <w:t>为</w:t>
      </w:r>
      <w:r>
        <w:rPr>
          <w:rFonts w:hint="eastAsia" w:ascii="仿宋_GB2312" w:eastAsia="仿宋_GB2312"/>
          <w:color w:val="000000" w:themeColor="text1"/>
          <w:sz w:val="32"/>
          <w:szCs w:val="32"/>
          <w:lang w:val="en-US" w:eastAsia="zh-CN"/>
        </w:rPr>
        <w:t>区县</w:t>
      </w:r>
      <w:r>
        <w:rPr>
          <w:rFonts w:hint="eastAsia" w:ascii="仿宋_GB2312" w:eastAsia="仿宋_GB2312"/>
          <w:color w:val="000000" w:themeColor="text1"/>
          <w:sz w:val="32"/>
          <w:szCs w:val="32"/>
          <w:lang w:eastAsia="zh-CN"/>
        </w:rPr>
        <w:t>国有资产监督管理局来我单位考察学习国企监管工作</w:t>
      </w:r>
      <w:r>
        <w:rPr>
          <w:rFonts w:hint="eastAsia" w:ascii="仿宋_GB2312" w:eastAsia="仿宋_GB2312"/>
          <w:color w:val="000000"/>
          <w:sz w:val="32"/>
          <w:szCs w:val="32"/>
        </w:rPr>
        <w:t>。</w:t>
      </w:r>
    </w:p>
    <w:p>
      <w:pPr>
        <w:spacing w:line="600" w:lineRule="exact"/>
        <w:ind w:firstLine="643" w:firstLineChars="200"/>
        <w:rPr>
          <w:rFonts w:hint="eastAsia" w:ascii="仿宋_GB2312" w:eastAsia="仿宋"/>
          <w:color w:val="000000" w:themeColor="text1"/>
          <w:sz w:val="32"/>
          <w:szCs w:val="32"/>
          <w:lang w:eastAsia="zh-CN"/>
        </w:rPr>
      </w:pPr>
      <w:r>
        <w:rPr>
          <w:rFonts w:hint="eastAsia" w:ascii="仿宋" w:hAnsi="仿宋" w:eastAsia="仿宋"/>
          <w:b/>
          <w:color w:val="000000"/>
          <w:sz w:val="32"/>
          <w:szCs w:val="32"/>
          <w:lang w:eastAsia="zh-CN"/>
        </w:rPr>
        <w:t>无</w:t>
      </w:r>
      <w:r>
        <w:rPr>
          <w:rFonts w:hint="eastAsia" w:ascii="仿宋" w:hAnsi="仿宋" w:eastAsia="仿宋"/>
          <w:b/>
          <w:color w:val="000000"/>
          <w:sz w:val="32"/>
          <w:szCs w:val="32"/>
        </w:rPr>
        <w:t>外事接待支出</w:t>
      </w:r>
      <w:r>
        <w:rPr>
          <w:rFonts w:hint="eastAsia" w:ascii="仿宋" w:hAnsi="仿宋" w:eastAsia="仿宋"/>
          <w:b/>
          <w:color w:val="000000"/>
          <w:sz w:val="32"/>
          <w:szCs w:val="32"/>
          <w:lang w:eastAsia="zh-CN"/>
        </w:rPr>
        <w:t>。</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峨眉山市国有资产服务中心</w:t>
      </w: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pPr>
        <w:numPr>
          <w:ilvl w:val="0"/>
          <w:numId w:val="2"/>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峨眉山市国有资产服务中心</w:t>
      </w: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峨眉山市国有资产服务中心无</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峨眉山市国有资产服务中心无政府采购支出</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峨眉山市国有资产服务中心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均为</w:t>
      </w:r>
      <w:r>
        <w:rPr>
          <w:rFonts w:hint="eastAsia" w:ascii="仿宋_GB2312" w:eastAsia="仿宋_GB2312"/>
          <w:color w:val="000000"/>
          <w:sz w:val="32"/>
          <w:szCs w:val="32"/>
        </w:rPr>
        <w:t>应急保障用车</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单位无年初</w:t>
      </w:r>
      <w:r>
        <w:rPr>
          <w:rFonts w:hint="eastAsia" w:ascii="仿宋_GB2312" w:hAnsi="仿宋_GB2312" w:eastAsia="仿宋_GB2312" w:cs="仿宋_GB2312"/>
          <w:sz w:val="32"/>
          <w:szCs w:val="32"/>
        </w:rPr>
        <w:t>专项预算项目，因此未组织开展项目支出绩效评价。</w:t>
      </w:r>
    </w:p>
    <w:p>
      <w:pPr>
        <w:numPr>
          <w:ilvl w:val="0"/>
          <w:numId w:val="3"/>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bookmarkStart w:id="57"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其他收入：指单位取得的除上述收入以外的各项收入。主要是利息收入、国有资产出租收入等。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pStyle w:val="31"/>
        <w:ind w:firstLine="640"/>
        <w:rPr>
          <w:rFonts w:hint="eastAsia"/>
        </w:rPr>
      </w:pPr>
      <w:r>
        <w:rPr>
          <w:rFonts w:hint="eastAsia"/>
          <w:lang w:val="en-US" w:eastAsia="zh-CN"/>
        </w:rPr>
        <w:t>7</w:t>
      </w:r>
      <w:r>
        <w:rPr>
          <w:rFonts w:hint="eastAsia"/>
        </w:rPr>
        <w:t>. 一般公共服务支出（类）财政事务（款）</w:t>
      </w:r>
      <w:r>
        <w:rPr>
          <w:rFonts w:hint="eastAsia"/>
          <w:lang w:eastAsia="zh-CN"/>
        </w:rPr>
        <w:t>事业</w:t>
      </w:r>
      <w:r>
        <w:rPr>
          <w:rFonts w:hint="eastAsia"/>
        </w:rPr>
        <w:t>运行（项）：反映</w:t>
      </w:r>
      <w:r>
        <w:rPr>
          <w:rFonts w:hint="eastAsia"/>
          <w:lang w:eastAsia="zh-CN"/>
        </w:rPr>
        <w:t>事业</w:t>
      </w:r>
      <w:r>
        <w:rPr>
          <w:rFonts w:hint="eastAsia"/>
        </w:rPr>
        <w:t>单位的基本支出。</w:t>
      </w:r>
    </w:p>
    <w:p>
      <w:pPr>
        <w:pStyle w:val="31"/>
        <w:ind w:firstLine="640"/>
      </w:pPr>
      <w:r>
        <w:rPr>
          <w:rFonts w:hint="eastAsia"/>
          <w:lang w:val="en-US" w:eastAsia="zh-CN"/>
        </w:rPr>
        <w:t>8</w:t>
      </w:r>
      <w:r>
        <w:rPr>
          <w:rFonts w:hint="eastAsia"/>
        </w:rPr>
        <w:t>. 一般公共服务支出（类）财政事务（款）其他财政事务（项）：反映其他财政事务方面的支出。</w:t>
      </w:r>
    </w:p>
    <w:p>
      <w:pPr>
        <w:pStyle w:val="31"/>
        <w:ind w:firstLine="640"/>
        <w:rPr>
          <w:rFonts w:hint="eastAsia"/>
        </w:rPr>
      </w:pPr>
      <w:r>
        <w:rPr>
          <w:rFonts w:hint="eastAsia"/>
          <w:lang w:val="en-US" w:eastAsia="zh-CN"/>
        </w:rPr>
        <w:t>9</w:t>
      </w:r>
      <w:r>
        <w:rPr>
          <w:rFonts w:hint="eastAsia"/>
        </w:rPr>
        <w:t>.社会保障和就业支出（类）行政事业单位养老支出（款）机关事业单位职业年金缴费支出（项）：反映机关事业单位实施养老保险制度由单位缴纳的基本养老保险费支出。</w:t>
      </w:r>
      <w:r>
        <w:br w:type="textWrapping"/>
      </w:r>
      <w:r>
        <w:rPr>
          <w:rFonts w:hint="eastAsia"/>
        </w:rPr>
        <w:t>　　</w:t>
      </w:r>
      <w:r>
        <w:rPr>
          <w:rFonts w:hint="eastAsia"/>
          <w:lang w:val="en-US" w:eastAsia="zh-CN"/>
        </w:rPr>
        <w:t>10</w:t>
      </w:r>
      <w:r>
        <w:rPr>
          <w:rFonts w:hint="eastAsia"/>
        </w:rPr>
        <w:t>.社会保障和就业支出（类）行政事业单位养老支出（款）机关事业单位基本养老保险缴费支出（项）：反映机关事业单位实施养老保险制度由单位缴纳的职业年金支出。</w:t>
      </w:r>
      <w:r>
        <w:br w:type="textWrapping"/>
      </w:r>
      <w:r>
        <w:rPr>
          <w:rFonts w:hint="eastAsia"/>
        </w:rPr>
        <w:t>　　</w:t>
      </w:r>
      <w:r>
        <w:rPr>
          <w:rFonts w:hint="eastAsia"/>
          <w:lang w:val="en-US" w:eastAsia="zh-CN"/>
        </w:rPr>
        <w:t>11</w:t>
      </w:r>
      <w:r>
        <w:t>.</w:t>
      </w:r>
      <w:r>
        <w:rPr>
          <w:rFonts w:hint="eastAsia"/>
        </w:rPr>
        <w:t xml:space="preserve"> 社会保障和就业支出（类）抚恤（款）其他优抚支出（项）：反映其他用于优抚方面的支出。</w:t>
      </w:r>
    </w:p>
    <w:p>
      <w:pPr>
        <w:pStyle w:val="31"/>
        <w:ind w:firstLine="640"/>
        <w:rPr>
          <w:rFonts w:hint="eastAsia" w:ascii="仿宋_GB2312" w:hAnsi="Calibri" w:eastAsia="仿宋_GB2312" w:cs="仿宋"/>
          <w:color w:val="000000"/>
          <w:kern w:val="0"/>
          <w:sz w:val="32"/>
          <w:szCs w:val="32"/>
          <w:lang w:val="en-US" w:eastAsia="zh-CN" w:bidi="ar-SA"/>
        </w:rPr>
      </w:pPr>
      <w:r>
        <w:rPr>
          <w:rFonts w:hint="eastAsia"/>
          <w:lang w:val="en-US" w:eastAsia="zh-CN"/>
        </w:rPr>
        <w:t>12</w:t>
      </w:r>
      <w:r>
        <w:t>.</w:t>
      </w:r>
      <w:r>
        <w:rPr>
          <w:rFonts w:hint="eastAsia"/>
        </w:rPr>
        <w:t xml:space="preserve"> 社会保障和就业支出（类）其他社会保障和就业支出（款）其他社会保障和就业支出（项）：反映其他用于社会保障和就业方面的支出。</w:t>
      </w:r>
      <w:r>
        <w:br w:type="textWrapping"/>
      </w:r>
      <w:r>
        <w:rPr>
          <w:rFonts w:hint="eastAsia"/>
        </w:rPr>
        <w:t>　　</w:t>
      </w:r>
      <w:r>
        <w:rPr>
          <w:rFonts w:hint="eastAsia"/>
          <w:lang w:val="en-US" w:eastAsia="zh-CN"/>
        </w:rPr>
        <w:t>13</w:t>
      </w:r>
      <w:r>
        <w:t>.</w:t>
      </w:r>
      <w:r>
        <w:rPr>
          <w:rFonts w:hint="eastAsia"/>
        </w:rPr>
        <w:t>卫生健康支出（类）行政事业单位医疗（款）行政单位医疗（项）：反映财政部门安排的行政单位（包括实行</w:t>
      </w:r>
      <w:r>
        <w:rPr>
          <w:rFonts w:hint="eastAsia" w:ascii="仿宋_GB2312" w:hAnsi="Calibri" w:eastAsia="仿宋_GB2312" w:cs="仿宋"/>
          <w:color w:val="000000"/>
          <w:kern w:val="0"/>
          <w:sz w:val="32"/>
          <w:szCs w:val="32"/>
          <w:lang w:val="en-US" w:eastAsia="zh-CN" w:bidi="ar-SA"/>
        </w:rPr>
        <w:t>公务员管理的事业单位）基本医疗保险缴费经费。　　</w:t>
      </w:r>
    </w:p>
    <w:p>
      <w:pPr>
        <w:spacing w:line="600" w:lineRule="exact"/>
        <w:ind w:firstLine="64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14. 卫生健康支出（类）行政事业单位医疗（款）事业单位医疗（项）：反映财政部门安排的事业单位基本医疗保险缴费经费。</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　　15.住房保障支出（类）住房改革支出（款）住房公积金（项）：反映行政事业单位按人力资源和社会保障部、财政部规定的基本工资和津贴补贴以及规定比例为职工缴纳的住房公积金。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lang w:val="en-US" w:eastAsia="zh-CN" w:bidi="ar-SA"/>
        </w:rPr>
        <w:t>16.基本支出：指为保障机构正常运转、完成日常工作任务而发生的人员支</w:t>
      </w:r>
      <w:r>
        <w:rPr>
          <w:rFonts w:hint="eastAsia" w:ascii="仿宋_GB2312" w:eastAsia="仿宋_GB2312"/>
          <w:color w:val="000000"/>
          <w:sz w:val="32"/>
          <w:szCs w:val="32"/>
        </w:rPr>
        <w:t>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峨眉山市国有资产服务中心</w:t>
      </w:r>
    </w:p>
    <w:p>
      <w:pPr>
        <w:spacing w:line="640" w:lineRule="exact"/>
        <w:jc w:val="center"/>
        <w:rPr>
          <w:rFonts w:ascii="方正小标宋简体" w:hAnsi="宋体" w:eastAsia="方正小标宋简体"/>
          <w:sz w:val="44"/>
          <w:szCs w:val="44"/>
        </w:rPr>
      </w:pPr>
      <w:r>
        <w:rPr>
          <w:rFonts w:ascii="方正小标宋简体" w:hAnsi="宋体" w:eastAsia="方正小标宋简体" w:cs="宋体"/>
          <w:bCs/>
          <w:color w:val="000000"/>
          <w:kern w:val="0"/>
          <w:sz w:val="44"/>
          <w:szCs w:val="44"/>
        </w:rPr>
        <w:t>2019</w:t>
      </w:r>
      <w:r>
        <w:rPr>
          <w:rFonts w:hint="eastAsia" w:ascii="方正小标宋简体" w:hAnsi="宋体" w:eastAsia="方正小标宋简体" w:cs="宋体"/>
          <w:bCs/>
          <w:color w:val="000000"/>
          <w:kern w:val="0"/>
          <w:sz w:val="44"/>
          <w:szCs w:val="44"/>
        </w:rPr>
        <w:t>年</w:t>
      </w:r>
      <w:r>
        <w:rPr>
          <w:rFonts w:hint="eastAsia" w:ascii="方正小标宋简体" w:hAnsi="宋体" w:eastAsia="方正小标宋简体" w:cs="宋体"/>
          <w:bCs/>
          <w:color w:val="000000"/>
          <w:kern w:val="0"/>
          <w:sz w:val="44"/>
          <w:szCs w:val="44"/>
          <w:lang w:eastAsia="zh-CN"/>
        </w:rPr>
        <w:t>整体</w:t>
      </w:r>
      <w:r>
        <w:rPr>
          <w:rFonts w:hint="eastAsia" w:ascii="方正小标宋简体" w:hAnsi="宋体" w:eastAsia="方正小标宋简体" w:cs="宋体"/>
          <w:bCs/>
          <w:color w:val="000000"/>
          <w:kern w:val="0"/>
          <w:sz w:val="44"/>
          <w:szCs w:val="44"/>
        </w:rPr>
        <w:t>支出绩效</w:t>
      </w:r>
      <w:r>
        <w:rPr>
          <w:rFonts w:hint="eastAsia" w:ascii="方正小标宋简体" w:hAnsi="宋体" w:eastAsia="方正小标宋简体" w:cs="宋体"/>
          <w:bCs/>
          <w:color w:val="000000"/>
          <w:kern w:val="0"/>
          <w:sz w:val="44"/>
          <w:szCs w:val="44"/>
          <w:lang w:eastAsia="zh-CN"/>
        </w:rPr>
        <w:t>评价</w:t>
      </w:r>
      <w:r>
        <w:rPr>
          <w:rFonts w:hint="eastAsia" w:ascii="方正小标宋简体" w:hAnsi="宋体" w:eastAsia="方正小标宋简体" w:cs="宋体"/>
          <w:bCs/>
          <w:color w:val="000000"/>
          <w:kern w:val="0"/>
          <w:sz w:val="44"/>
          <w:szCs w:val="44"/>
        </w:rPr>
        <w:t>报告</w:t>
      </w:r>
    </w:p>
    <w:p>
      <w:pPr>
        <w:adjustRightInd w:val="0"/>
        <w:snapToGrid w:val="0"/>
        <w:spacing w:line="560" w:lineRule="exact"/>
        <w:rPr>
          <w:rFonts w:ascii="仿宋_GB2312" w:hAnsi="宋体" w:eastAsia="仿宋_GB2312"/>
          <w:sz w:val="32"/>
          <w:szCs w:val="32"/>
        </w:rPr>
      </w:pPr>
    </w:p>
    <w:p>
      <w:pPr>
        <w:adjustRightInd w:val="0"/>
        <w:snapToGrid w:val="0"/>
        <w:spacing w:line="560" w:lineRule="exact"/>
        <w:ind w:firstLine="720"/>
        <w:rPr>
          <w:rFonts w:ascii="黑体" w:hAnsi="黑体" w:eastAsia="黑体"/>
          <w:sz w:val="32"/>
          <w:szCs w:val="32"/>
        </w:rPr>
      </w:pPr>
      <w:r>
        <w:rPr>
          <w:rFonts w:hint="eastAsia" w:ascii="黑体" w:hAnsi="黑体" w:eastAsia="黑体"/>
          <w:sz w:val="32"/>
          <w:szCs w:val="32"/>
        </w:rPr>
        <w:t>一、部门（单位）概况</w:t>
      </w:r>
    </w:p>
    <w:p>
      <w:pPr>
        <w:adjustRightInd w:val="0"/>
        <w:snapToGrid w:val="0"/>
        <w:spacing w:line="560" w:lineRule="exact"/>
        <w:ind w:firstLine="720"/>
        <w:rPr>
          <w:rFonts w:ascii="楷体_GB2312" w:hAnsi="宋体" w:eastAsia="楷体_GB2312"/>
          <w:sz w:val="32"/>
          <w:szCs w:val="32"/>
        </w:rPr>
      </w:pPr>
      <w:r>
        <w:rPr>
          <w:rFonts w:hint="eastAsia" w:ascii="楷体_GB2312" w:hAnsi="宋体" w:eastAsia="楷体_GB2312"/>
          <w:sz w:val="32"/>
          <w:szCs w:val="32"/>
        </w:rPr>
        <w:t>（一）机构组成</w:t>
      </w:r>
    </w:p>
    <w:p>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峨眉山市国有资产服务中心为峨眉山市财政局下属全额拨款事业单位。</w:t>
      </w:r>
    </w:p>
    <w:p>
      <w:pPr>
        <w:adjustRightInd w:val="0"/>
        <w:snapToGrid w:val="0"/>
        <w:spacing w:line="560" w:lineRule="exact"/>
        <w:ind w:firstLine="720"/>
        <w:rPr>
          <w:rFonts w:ascii="楷体_GB2312" w:hAnsi="宋体" w:eastAsia="楷体_GB2312"/>
          <w:sz w:val="32"/>
          <w:szCs w:val="32"/>
        </w:rPr>
      </w:pPr>
      <w:r>
        <w:rPr>
          <w:rFonts w:hint="eastAsia" w:ascii="楷体_GB2312" w:hAnsi="宋体" w:eastAsia="楷体_GB2312"/>
          <w:sz w:val="32"/>
          <w:szCs w:val="32"/>
        </w:rPr>
        <w:t>（二）机构职能</w:t>
      </w:r>
    </w:p>
    <w:p>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贯彻执行国有资产监督管理的办法和制度；负责全市国有资产的监管；负责国有资产产权登记、界定工作；负责解缴国有资产收益；负责国有资产的统计、分析工作，提出国有资产管理的有效措施，实现国有资产的保值增值。</w:t>
      </w:r>
    </w:p>
    <w:p>
      <w:pPr>
        <w:adjustRightInd w:val="0"/>
        <w:snapToGrid w:val="0"/>
        <w:spacing w:line="560" w:lineRule="exact"/>
        <w:ind w:firstLine="720"/>
        <w:rPr>
          <w:rFonts w:hint="default" w:ascii="楷体_GB2312" w:hAnsi="宋体" w:eastAsia="楷体_GB2312"/>
          <w:sz w:val="32"/>
          <w:szCs w:val="32"/>
          <w:lang w:val="en-US" w:eastAsia="zh-CN"/>
        </w:rPr>
      </w:pPr>
      <w:r>
        <w:rPr>
          <w:rFonts w:hint="eastAsia" w:ascii="楷体_GB2312" w:hAnsi="宋体" w:eastAsia="楷体_GB2312"/>
          <w:sz w:val="32"/>
          <w:szCs w:val="32"/>
        </w:rPr>
        <w:t>（三）人员概况</w:t>
      </w:r>
      <w:r>
        <w:rPr>
          <w:rFonts w:hint="eastAsia" w:ascii="楷体_GB2312" w:hAnsi="宋体" w:eastAsia="楷体_GB2312"/>
          <w:sz w:val="32"/>
          <w:szCs w:val="32"/>
          <w:lang w:val="en-US" w:eastAsia="zh-CN"/>
        </w:rPr>
        <w:t xml:space="preserve">  </w:t>
      </w:r>
    </w:p>
    <w:p>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峨眉山市国有资产服务中心截止</w:t>
      </w:r>
      <w:r>
        <w:rPr>
          <w:rFonts w:ascii="仿宋_GB2312" w:hAnsi="宋体" w:eastAsia="仿宋_GB2312"/>
          <w:sz w:val="32"/>
          <w:szCs w:val="32"/>
        </w:rPr>
        <w:t>201</w:t>
      </w:r>
      <w:r>
        <w:rPr>
          <w:rFonts w:hint="eastAsia" w:ascii="仿宋_GB2312" w:hAnsi="宋体" w:eastAsia="仿宋_GB2312"/>
          <w:sz w:val="32"/>
          <w:szCs w:val="32"/>
        </w:rPr>
        <w:t>9年</w:t>
      </w:r>
      <w:r>
        <w:rPr>
          <w:rFonts w:ascii="仿宋_GB2312" w:hAnsi="宋体" w:eastAsia="仿宋_GB2312"/>
          <w:sz w:val="32"/>
          <w:szCs w:val="32"/>
        </w:rPr>
        <w:t>12</w:t>
      </w:r>
      <w:r>
        <w:rPr>
          <w:rFonts w:hint="eastAsia" w:ascii="仿宋_GB2312" w:hAnsi="宋体" w:eastAsia="仿宋_GB2312"/>
          <w:sz w:val="32"/>
          <w:szCs w:val="32"/>
        </w:rPr>
        <w:t>月事业人员编制为</w:t>
      </w:r>
      <w:r>
        <w:rPr>
          <w:rFonts w:ascii="仿宋_GB2312" w:hAnsi="宋体" w:eastAsia="仿宋_GB2312"/>
          <w:sz w:val="32"/>
          <w:szCs w:val="32"/>
        </w:rPr>
        <w:t>14</w:t>
      </w:r>
      <w:r>
        <w:rPr>
          <w:rFonts w:hint="eastAsia" w:ascii="仿宋_GB2312" w:hAnsi="宋体" w:eastAsia="仿宋_GB2312"/>
          <w:sz w:val="32"/>
          <w:szCs w:val="32"/>
        </w:rPr>
        <w:t>人，实际人数为</w:t>
      </w:r>
      <w:r>
        <w:rPr>
          <w:rFonts w:ascii="仿宋_GB2312" w:hAnsi="宋体" w:eastAsia="仿宋_GB2312"/>
          <w:sz w:val="32"/>
          <w:szCs w:val="32"/>
        </w:rPr>
        <w:t>13</w:t>
      </w:r>
      <w:r>
        <w:rPr>
          <w:rFonts w:hint="eastAsia" w:ascii="仿宋_GB2312" w:hAnsi="宋体" w:eastAsia="仿宋_GB2312"/>
          <w:sz w:val="32"/>
          <w:szCs w:val="32"/>
        </w:rPr>
        <w:t>人，与</w:t>
      </w:r>
      <w:r>
        <w:rPr>
          <w:rFonts w:ascii="仿宋_GB2312" w:hAnsi="宋体" w:eastAsia="仿宋_GB2312"/>
          <w:sz w:val="32"/>
          <w:szCs w:val="32"/>
        </w:rPr>
        <w:t>201</w:t>
      </w:r>
      <w:r>
        <w:rPr>
          <w:rFonts w:hint="eastAsia" w:ascii="仿宋_GB2312" w:hAnsi="宋体" w:eastAsia="仿宋_GB2312"/>
          <w:sz w:val="32"/>
          <w:szCs w:val="32"/>
        </w:rPr>
        <w:t>8年底相同。</w:t>
      </w:r>
    </w:p>
    <w:p>
      <w:pPr>
        <w:adjustRightInd w:val="0"/>
        <w:snapToGrid w:val="0"/>
        <w:spacing w:line="560" w:lineRule="exact"/>
        <w:ind w:firstLine="720"/>
        <w:rPr>
          <w:rFonts w:ascii="黑体" w:hAnsi="黑体" w:eastAsia="黑体"/>
          <w:sz w:val="32"/>
          <w:szCs w:val="32"/>
        </w:rPr>
      </w:pPr>
      <w:r>
        <w:rPr>
          <w:rFonts w:hint="eastAsia" w:ascii="黑体" w:hAnsi="黑体" w:eastAsia="黑体"/>
          <w:sz w:val="32"/>
          <w:szCs w:val="32"/>
        </w:rPr>
        <w:t>二、部门财政资金收支情况</w:t>
      </w:r>
    </w:p>
    <w:p>
      <w:pPr>
        <w:adjustRightInd w:val="0"/>
        <w:snapToGrid w:val="0"/>
        <w:spacing w:line="560" w:lineRule="exact"/>
        <w:ind w:firstLine="720"/>
        <w:rPr>
          <w:rFonts w:ascii="楷体_GB2312" w:hAnsi="宋体" w:eastAsia="楷体_GB2312"/>
          <w:sz w:val="32"/>
          <w:szCs w:val="32"/>
        </w:rPr>
      </w:pPr>
      <w:r>
        <w:rPr>
          <w:rFonts w:hint="eastAsia" w:ascii="楷体_GB2312" w:hAnsi="宋体" w:eastAsia="楷体_GB2312"/>
          <w:sz w:val="32"/>
          <w:szCs w:val="32"/>
        </w:rPr>
        <w:t>（一）部门财政资金收入情况</w:t>
      </w:r>
    </w:p>
    <w:p>
      <w:pPr>
        <w:adjustRightInd w:val="0"/>
        <w:snapToGrid w:val="0"/>
        <w:spacing w:line="580" w:lineRule="exact"/>
        <w:ind w:firstLine="720"/>
        <w:jc w:val="left"/>
        <w:rPr>
          <w:rFonts w:ascii="仿宋_GB2312" w:hAnsi="宋体" w:eastAsia="仿宋_GB2312"/>
          <w:sz w:val="32"/>
          <w:szCs w:val="32"/>
        </w:rPr>
      </w:pPr>
      <w:r>
        <w:rPr>
          <w:rFonts w:ascii="仿宋_GB2312" w:hAnsi="宋体" w:eastAsia="仿宋_GB2312"/>
          <w:sz w:val="32"/>
          <w:szCs w:val="32"/>
        </w:rPr>
        <w:t>201</w:t>
      </w:r>
      <w:r>
        <w:rPr>
          <w:rFonts w:hint="eastAsia" w:ascii="仿宋_GB2312" w:hAnsi="宋体" w:eastAsia="仿宋_GB2312"/>
          <w:sz w:val="32"/>
          <w:szCs w:val="32"/>
        </w:rPr>
        <w:t>9年峨眉山市国有资产服务中心总收入</w:t>
      </w:r>
      <w:r>
        <w:rPr>
          <w:rFonts w:ascii="仿宋_GB2312" w:hAnsi="宋体" w:eastAsia="仿宋_GB2312"/>
          <w:sz w:val="32"/>
          <w:szCs w:val="32"/>
        </w:rPr>
        <w:t>845.83</w:t>
      </w:r>
      <w:r>
        <w:rPr>
          <w:rFonts w:hint="eastAsia" w:ascii="仿宋_GB2312" w:hAnsi="宋体" w:eastAsia="仿宋_GB2312"/>
          <w:sz w:val="32"/>
          <w:szCs w:val="32"/>
        </w:rPr>
        <w:t>万元，全部为财政拨款收入。其中：一般公务服务支出收入</w:t>
      </w:r>
      <w:r>
        <w:rPr>
          <w:rFonts w:ascii="仿宋_GB2312" w:hAnsi="宋体" w:eastAsia="仿宋_GB2312"/>
          <w:sz w:val="32"/>
          <w:szCs w:val="32"/>
        </w:rPr>
        <w:t>204.04</w:t>
      </w:r>
      <w:r>
        <w:rPr>
          <w:rFonts w:hint="eastAsia" w:ascii="仿宋_GB2312" w:hAnsi="宋体" w:eastAsia="仿宋_GB2312"/>
          <w:sz w:val="32"/>
          <w:szCs w:val="32"/>
        </w:rPr>
        <w:t>万元，占总收入的</w:t>
      </w:r>
      <w:r>
        <w:rPr>
          <w:rFonts w:ascii="仿宋_GB2312" w:hAnsi="宋体" w:eastAsia="仿宋_GB2312"/>
          <w:sz w:val="32"/>
          <w:szCs w:val="32"/>
        </w:rPr>
        <w:t>24.</w:t>
      </w:r>
      <w:r>
        <w:rPr>
          <w:rFonts w:hint="eastAsia" w:ascii="仿宋_GB2312" w:hAnsi="宋体" w:eastAsia="仿宋_GB2312"/>
          <w:sz w:val="32"/>
          <w:szCs w:val="32"/>
          <w:lang w:val="en-US" w:eastAsia="zh-CN"/>
        </w:rPr>
        <w:t>12</w:t>
      </w:r>
      <w:r>
        <w:rPr>
          <w:rFonts w:ascii="仿宋_GB2312" w:hAnsi="宋体" w:eastAsia="仿宋_GB2312"/>
          <w:sz w:val="32"/>
          <w:szCs w:val="32"/>
        </w:rPr>
        <w:t>%</w:t>
      </w:r>
      <w:r>
        <w:rPr>
          <w:rFonts w:hint="eastAsia" w:ascii="仿宋_GB2312" w:hAnsi="宋体" w:eastAsia="仿宋_GB2312"/>
          <w:sz w:val="32"/>
          <w:szCs w:val="32"/>
        </w:rPr>
        <w:t>，社会保障和就业支出收入</w:t>
      </w:r>
      <w:r>
        <w:rPr>
          <w:rFonts w:ascii="仿宋_GB2312" w:hAnsi="宋体" w:eastAsia="仿宋_GB2312"/>
          <w:sz w:val="32"/>
          <w:szCs w:val="32"/>
        </w:rPr>
        <w:t>622.11</w:t>
      </w:r>
      <w:r>
        <w:rPr>
          <w:rFonts w:hint="eastAsia" w:ascii="仿宋_GB2312" w:hAnsi="宋体" w:eastAsia="仿宋_GB2312"/>
          <w:sz w:val="32"/>
          <w:szCs w:val="32"/>
        </w:rPr>
        <w:t>万元，占总收入的</w:t>
      </w:r>
      <w:r>
        <w:rPr>
          <w:rFonts w:ascii="仿宋_GB2312" w:hAnsi="宋体" w:eastAsia="仿宋_GB2312"/>
          <w:sz w:val="32"/>
          <w:szCs w:val="32"/>
        </w:rPr>
        <w:t>7</w:t>
      </w:r>
      <w:r>
        <w:rPr>
          <w:rFonts w:hint="eastAsia" w:ascii="仿宋_GB2312" w:hAnsi="宋体" w:eastAsia="仿宋_GB2312"/>
          <w:sz w:val="32"/>
          <w:szCs w:val="32"/>
          <w:lang w:val="en-US" w:eastAsia="zh-CN"/>
        </w:rPr>
        <w:t>3.55</w:t>
      </w:r>
      <w:r>
        <w:rPr>
          <w:rFonts w:ascii="仿宋_GB2312" w:hAnsi="宋体" w:eastAsia="仿宋_GB2312"/>
          <w:sz w:val="32"/>
          <w:szCs w:val="32"/>
        </w:rPr>
        <w:t>%</w:t>
      </w:r>
      <w:r>
        <w:rPr>
          <w:rFonts w:hint="eastAsia" w:ascii="仿宋_GB2312" w:hAnsi="宋体" w:eastAsia="仿宋_GB2312"/>
          <w:sz w:val="32"/>
          <w:szCs w:val="32"/>
        </w:rPr>
        <w:t>；卫生健康支出收入</w:t>
      </w:r>
      <w:r>
        <w:rPr>
          <w:rFonts w:ascii="仿宋_GB2312" w:hAnsi="宋体" w:eastAsia="仿宋_GB2312"/>
          <w:sz w:val="32"/>
          <w:szCs w:val="32"/>
        </w:rPr>
        <w:t>4.33</w:t>
      </w:r>
      <w:r>
        <w:rPr>
          <w:rFonts w:hint="eastAsia" w:ascii="仿宋_GB2312" w:hAnsi="宋体" w:eastAsia="仿宋_GB2312"/>
          <w:sz w:val="32"/>
          <w:szCs w:val="32"/>
        </w:rPr>
        <w:t>万元，占总收入的</w:t>
      </w:r>
      <w:r>
        <w:rPr>
          <w:rFonts w:ascii="仿宋_GB2312" w:hAnsi="宋体" w:eastAsia="仿宋_GB2312"/>
          <w:sz w:val="32"/>
          <w:szCs w:val="32"/>
        </w:rPr>
        <w:t>0.</w:t>
      </w:r>
      <w:r>
        <w:rPr>
          <w:rFonts w:hint="eastAsia" w:ascii="仿宋_GB2312" w:hAnsi="宋体" w:eastAsia="仿宋_GB2312"/>
          <w:sz w:val="32"/>
          <w:szCs w:val="32"/>
          <w:lang w:val="en-US" w:eastAsia="zh-CN"/>
        </w:rPr>
        <w:t>51</w:t>
      </w:r>
      <w:r>
        <w:rPr>
          <w:rFonts w:ascii="仿宋_GB2312" w:hAnsi="宋体" w:eastAsia="仿宋_GB2312"/>
          <w:sz w:val="32"/>
          <w:szCs w:val="32"/>
        </w:rPr>
        <w:t>%</w:t>
      </w:r>
      <w:r>
        <w:rPr>
          <w:rFonts w:hint="eastAsia" w:ascii="仿宋_GB2312" w:hAnsi="宋体" w:eastAsia="仿宋_GB2312"/>
          <w:sz w:val="32"/>
          <w:szCs w:val="32"/>
        </w:rPr>
        <w:t>；</w:t>
      </w:r>
      <w:bookmarkStart w:id="59" w:name="_Hlk23237439"/>
      <w:r>
        <w:rPr>
          <w:rFonts w:ascii="仿宋_GB2312" w:hAnsi="宋体" w:eastAsia="仿宋_GB2312"/>
          <w:sz w:val="32"/>
          <w:szCs w:val="32"/>
        </w:rPr>
        <w:t xml:space="preserve"> </w:t>
      </w:r>
      <w:bookmarkEnd w:id="59"/>
      <w:r>
        <w:rPr>
          <w:rFonts w:hint="eastAsia" w:ascii="仿宋_GB2312" w:hAnsi="宋体" w:eastAsia="仿宋_GB2312"/>
          <w:sz w:val="32"/>
          <w:szCs w:val="32"/>
        </w:rPr>
        <w:t>住房保障支出收入</w:t>
      </w:r>
      <w:r>
        <w:rPr>
          <w:rFonts w:ascii="仿宋_GB2312" w:hAnsi="宋体" w:eastAsia="仿宋_GB2312"/>
          <w:sz w:val="32"/>
          <w:szCs w:val="32"/>
        </w:rPr>
        <w:t>15.35</w:t>
      </w:r>
      <w:r>
        <w:rPr>
          <w:rFonts w:hint="eastAsia" w:ascii="仿宋_GB2312" w:hAnsi="宋体" w:eastAsia="仿宋_GB2312"/>
          <w:sz w:val="32"/>
          <w:szCs w:val="32"/>
        </w:rPr>
        <w:t>万元，占总收入的</w:t>
      </w:r>
      <w:r>
        <w:rPr>
          <w:rFonts w:hint="eastAsia" w:ascii="仿宋_GB2312" w:hAnsi="宋体" w:eastAsia="仿宋_GB2312"/>
          <w:sz w:val="32"/>
          <w:szCs w:val="32"/>
          <w:lang w:val="en-US" w:eastAsia="zh-CN"/>
        </w:rPr>
        <w:t>1.82</w:t>
      </w:r>
      <w:r>
        <w:rPr>
          <w:rFonts w:ascii="仿宋_GB2312" w:hAnsi="宋体" w:eastAsia="仿宋_GB2312"/>
          <w:sz w:val="32"/>
          <w:szCs w:val="32"/>
        </w:rPr>
        <w:t>%</w:t>
      </w:r>
      <w:r>
        <w:rPr>
          <w:rFonts w:hint="eastAsia" w:ascii="仿宋_GB2312" w:hAnsi="宋体" w:eastAsia="仿宋_GB2312"/>
          <w:sz w:val="32"/>
          <w:szCs w:val="32"/>
        </w:rPr>
        <w:t>。</w:t>
      </w:r>
    </w:p>
    <w:p>
      <w:pPr>
        <w:adjustRightInd w:val="0"/>
        <w:snapToGrid w:val="0"/>
        <w:spacing w:line="560" w:lineRule="exact"/>
        <w:ind w:firstLine="720"/>
        <w:rPr>
          <w:rFonts w:ascii="楷体_GB2312" w:hAnsi="宋体" w:eastAsia="楷体_GB2312"/>
          <w:sz w:val="32"/>
          <w:szCs w:val="32"/>
        </w:rPr>
      </w:pPr>
      <w:r>
        <w:rPr>
          <w:rFonts w:hint="eastAsia" w:ascii="楷体_GB2312" w:hAnsi="宋体" w:eastAsia="楷体_GB2312"/>
          <w:sz w:val="32"/>
          <w:szCs w:val="32"/>
        </w:rPr>
        <w:t>（二）部门财政资金支出情况</w:t>
      </w:r>
    </w:p>
    <w:p>
      <w:pPr>
        <w:adjustRightInd w:val="0"/>
        <w:snapToGrid w:val="0"/>
        <w:spacing w:line="560" w:lineRule="exact"/>
        <w:ind w:firstLine="720"/>
        <w:rPr>
          <w:rFonts w:ascii="仿宋_GB2312" w:hAnsi="宋体" w:eastAsia="仿宋_GB2312"/>
          <w:sz w:val="32"/>
          <w:szCs w:val="32"/>
        </w:rPr>
      </w:pPr>
      <w:r>
        <w:rPr>
          <w:rFonts w:ascii="仿宋_GB2312" w:hAnsi="宋体" w:eastAsia="仿宋_GB2312"/>
          <w:sz w:val="32"/>
          <w:szCs w:val="32"/>
        </w:rPr>
        <w:t>201</w:t>
      </w:r>
      <w:r>
        <w:rPr>
          <w:rFonts w:hint="eastAsia" w:ascii="仿宋_GB2312" w:hAnsi="宋体" w:eastAsia="仿宋_GB2312"/>
          <w:sz w:val="32"/>
          <w:szCs w:val="32"/>
        </w:rPr>
        <w:t>9年峨眉山市国有资产服务中心总支出为</w:t>
      </w:r>
      <w:r>
        <w:rPr>
          <w:rFonts w:ascii="仿宋_GB2312" w:hAnsi="宋体" w:eastAsia="仿宋_GB2312"/>
          <w:sz w:val="32"/>
          <w:szCs w:val="32"/>
        </w:rPr>
        <w:t>845.83</w:t>
      </w:r>
      <w:r>
        <w:rPr>
          <w:rFonts w:hint="eastAsia" w:ascii="仿宋_GB2312" w:hAnsi="宋体" w:eastAsia="仿宋_GB2312"/>
          <w:sz w:val="32"/>
          <w:szCs w:val="32"/>
        </w:rPr>
        <w:t>万元，全部为财政拨款支出。其中：一般公务服务支出</w:t>
      </w:r>
      <w:r>
        <w:rPr>
          <w:rFonts w:ascii="仿宋_GB2312" w:hAnsi="宋体" w:eastAsia="仿宋_GB2312"/>
          <w:sz w:val="32"/>
          <w:szCs w:val="32"/>
        </w:rPr>
        <w:t>204.04</w:t>
      </w:r>
      <w:r>
        <w:rPr>
          <w:rFonts w:hint="eastAsia" w:ascii="仿宋_GB2312" w:hAnsi="宋体" w:eastAsia="仿宋_GB2312"/>
          <w:sz w:val="32"/>
          <w:szCs w:val="32"/>
        </w:rPr>
        <w:t>万元，占总支出的</w:t>
      </w:r>
      <w:r>
        <w:rPr>
          <w:rFonts w:ascii="仿宋_GB2312" w:hAnsi="宋体" w:eastAsia="仿宋_GB2312"/>
          <w:sz w:val="32"/>
          <w:szCs w:val="32"/>
        </w:rPr>
        <w:t>24.</w:t>
      </w:r>
      <w:r>
        <w:rPr>
          <w:rFonts w:hint="eastAsia" w:ascii="仿宋_GB2312" w:hAnsi="宋体" w:eastAsia="仿宋_GB2312"/>
          <w:sz w:val="32"/>
          <w:szCs w:val="32"/>
          <w:lang w:val="en-US" w:eastAsia="zh-CN"/>
        </w:rPr>
        <w:t>12</w:t>
      </w:r>
      <w:r>
        <w:rPr>
          <w:rFonts w:ascii="仿宋_GB2312" w:hAnsi="宋体" w:eastAsia="仿宋_GB2312"/>
          <w:sz w:val="32"/>
          <w:szCs w:val="32"/>
        </w:rPr>
        <w:t>%</w:t>
      </w:r>
      <w:r>
        <w:rPr>
          <w:rFonts w:hint="eastAsia" w:ascii="仿宋_GB2312" w:hAnsi="宋体" w:eastAsia="仿宋_GB2312"/>
          <w:sz w:val="32"/>
          <w:szCs w:val="32"/>
        </w:rPr>
        <w:t>；社会保障和就业支出</w:t>
      </w:r>
      <w:r>
        <w:rPr>
          <w:rFonts w:ascii="仿宋_GB2312" w:hAnsi="宋体" w:eastAsia="仿宋_GB2312"/>
          <w:sz w:val="32"/>
          <w:szCs w:val="32"/>
        </w:rPr>
        <w:t>622.11</w:t>
      </w:r>
      <w:r>
        <w:rPr>
          <w:rFonts w:hint="eastAsia" w:ascii="仿宋_GB2312" w:hAnsi="宋体" w:eastAsia="仿宋_GB2312"/>
          <w:sz w:val="32"/>
          <w:szCs w:val="32"/>
        </w:rPr>
        <w:t>万元，占总支出的</w:t>
      </w:r>
      <w:r>
        <w:rPr>
          <w:rFonts w:ascii="仿宋_GB2312" w:hAnsi="宋体" w:eastAsia="仿宋_GB2312"/>
          <w:sz w:val="32"/>
          <w:szCs w:val="32"/>
        </w:rPr>
        <w:t>7</w:t>
      </w:r>
      <w:r>
        <w:rPr>
          <w:rFonts w:hint="eastAsia" w:ascii="仿宋_GB2312" w:hAnsi="宋体" w:eastAsia="仿宋_GB2312"/>
          <w:sz w:val="32"/>
          <w:szCs w:val="32"/>
          <w:lang w:val="en-US" w:eastAsia="zh-CN"/>
        </w:rPr>
        <w:t>3.55</w:t>
      </w:r>
      <w:r>
        <w:rPr>
          <w:rFonts w:ascii="仿宋_GB2312" w:hAnsi="宋体" w:eastAsia="仿宋_GB2312"/>
          <w:sz w:val="32"/>
          <w:szCs w:val="32"/>
        </w:rPr>
        <w:t>%</w:t>
      </w:r>
      <w:r>
        <w:rPr>
          <w:rFonts w:hint="eastAsia" w:ascii="仿宋_GB2312" w:hAnsi="宋体" w:eastAsia="仿宋_GB2312"/>
          <w:sz w:val="32"/>
          <w:szCs w:val="32"/>
        </w:rPr>
        <w:t>；卫生健康支出</w:t>
      </w:r>
      <w:r>
        <w:rPr>
          <w:rFonts w:ascii="仿宋_GB2312" w:hAnsi="宋体" w:eastAsia="仿宋_GB2312"/>
          <w:sz w:val="32"/>
          <w:szCs w:val="32"/>
        </w:rPr>
        <w:t>4.33</w:t>
      </w:r>
      <w:r>
        <w:rPr>
          <w:rFonts w:hint="eastAsia" w:ascii="仿宋_GB2312" w:hAnsi="宋体" w:eastAsia="仿宋_GB2312"/>
          <w:sz w:val="32"/>
          <w:szCs w:val="32"/>
        </w:rPr>
        <w:t>万元，占总支出的</w:t>
      </w:r>
      <w:r>
        <w:rPr>
          <w:rFonts w:ascii="仿宋_GB2312" w:hAnsi="宋体" w:eastAsia="仿宋_GB2312"/>
          <w:sz w:val="32"/>
          <w:szCs w:val="32"/>
        </w:rPr>
        <w:t>0.</w:t>
      </w:r>
      <w:r>
        <w:rPr>
          <w:rFonts w:hint="eastAsia" w:ascii="仿宋_GB2312" w:hAnsi="宋体" w:eastAsia="仿宋_GB2312"/>
          <w:sz w:val="32"/>
          <w:szCs w:val="32"/>
          <w:lang w:val="en-US" w:eastAsia="zh-CN"/>
        </w:rPr>
        <w:t>51</w:t>
      </w:r>
      <w:r>
        <w:rPr>
          <w:rFonts w:ascii="仿宋_GB2312" w:hAnsi="宋体" w:eastAsia="仿宋_GB2312"/>
          <w:sz w:val="32"/>
          <w:szCs w:val="32"/>
        </w:rPr>
        <w:t>%</w:t>
      </w:r>
      <w:r>
        <w:rPr>
          <w:rFonts w:hint="eastAsia" w:ascii="仿宋_GB2312" w:hAnsi="宋体" w:eastAsia="仿宋_GB2312"/>
          <w:sz w:val="32"/>
          <w:szCs w:val="32"/>
        </w:rPr>
        <w:t>；住房保障支出</w:t>
      </w:r>
      <w:r>
        <w:rPr>
          <w:rFonts w:ascii="仿宋_GB2312" w:hAnsi="宋体" w:eastAsia="仿宋_GB2312"/>
          <w:sz w:val="32"/>
          <w:szCs w:val="32"/>
        </w:rPr>
        <w:t>15.35</w:t>
      </w:r>
      <w:r>
        <w:rPr>
          <w:rFonts w:hint="eastAsia" w:ascii="仿宋_GB2312" w:hAnsi="宋体" w:eastAsia="仿宋_GB2312"/>
          <w:sz w:val="32"/>
          <w:szCs w:val="32"/>
        </w:rPr>
        <w:t>万元，占总支出的</w:t>
      </w:r>
      <w:r>
        <w:rPr>
          <w:rFonts w:hint="eastAsia" w:ascii="仿宋_GB2312" w:hAnsi="宋体" w:eastAsia="仿宋_GB2312"/>
          <w:sz w:val="32"/>
          <w:szCs w:val="32"/>
          <w:lang w:val="en-US" w:eastAsia="zh-CN"/>
        </w:rPr>
        <w:t>1.82</w:t>
      </w:r>
      <w:r>
        <w:rPr>
          <w:rFonts w:ascii="仿宋_GB2312" w:hAnsi="宋体" w:eastAsia="仿宋_GB2312"/>
          <w:sz w:val="32"/>
          <w:szCs w:val="32"/>
        </w:rPr>
        <w:t>%</w:t>
      </w:r>
      <w:r>
        <w:rPr>
          <w:rFonts w:hint="eastAsia" w:ascii="仿宋_GB2312" w:hAnsi="宋体" w:eastAsia="仿宋_GB2312"/>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黑体" w:eastAsia="黑体"/>
          <w:sz w:val="32"/>
          <w:szCs w:val="32"/>
        </w:rPr>
        <w:t>三、</w:t>
      </w:r>
      <w:r>
        <w:rPr>
          <w:rFonts w:hint="eastAsia" w:ascii="黑体" w:hAnsi="宋体" w:eastAsia="黑体" w:cs="宋体"/>
          <w:color w:val="000000"/>
          <w:kern w:val="0"/>
          <w:sz w:val="32"/>
          <w:szCs w:val="32"/>
          <w:shd w:val="clear" w:color="auto" w:fill="FFFFFF"/>
        </w:rPr>
        <w:t>部门整体预算绩效管理情况</w:t>
      </w:r>
    </w:p>
    <w:p>
      <w:pPr>
        <w:adjustRightInd w:val="0"/>
        <w:snapToGrid w:val="0"/>
        <w:spacing w:line="560" w:lineRule="exact"/>
        <w:ind w:firstLine="720"/>
        <w:rPr>
          <w:rFonts w:hint="eastAsia" w:ascii="仿宋_GB2312" w:hAnsi="宋体" w:eastAsia="仿宋_GB2312" w:cs="宋体"/>
          <w:color w:val="000000"/>
          <w:kern w:val="0"/>
          <w:sz w:val="32"/>
          <w:szCs w:val="32"/>
          <w:shd w:val="clear" w:color="auto" w:fill="FFFFFF"/>
          <w:lang w:val="zh-CN"/>
        </w:rPr>
      </w:pPr>
      <w:r>
        <w:rPr>
          <w:rFonts w:hint="eastAsia" w:ascii="楷体_GB2312" w:hAnsi="宋体" w:eastAsia="楷体_GB2312"/>
          <w:sz w:val="32"/>
          <w:szCs w:val="32"/>
        </w:rPr>
        <w:t>（一）</w:t>
      </w:r>
      <w:r>
        <w:rPr>
          <w:rFonts w:hint="eastAsia" w:ascii="仿宋_GB2312" w:hAnsi="宋体" w:eastAsia="仿宋_GB2312" w:cs="宋体"/>
          <w:color w:val="000000"/>
          <w:kern w:val="0"/>
          <w:sz w:val="32"/>
          <w:szCs w:val="32"/>
          <w:shd w:val="clear" w:color="auto" w:fill="FFFFFF"/>
          <w:lang w:val="zh-CN"/>
        </w:rPr>
        <w:t>部门预算管理。</w:t>
      </w:r>
    </w:p>
    <w:p>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我单位严格按照《预算法》的要求根据项目具体情况和资金使用情况编制预决算、填报绩效目标和专项项目进度表。</w:t>
      </w:r>
    </w:p>
    <w:p>
      <w:pPr>
        <w:adjustRightInd w:val="0"/>
        <w:snapToGrid w:val="0"/>
        <w:spacing w:beforeLines="50" w:after="100" w:afterAutospacing="1" w:line="560" w:lineRule="exact"/>
        <w:jc w:val="center"/>
        <w:rPr>
          <w:rFonts w:ascii="仿宋_GB2312" w:hAnsi="宋体" w:eastAsia="仿宋_GB2312"/>
          <w:b/>
          <w:sz w:val="32"/>
          <w:szCs w:val="32"/>
        </w:rPr>
      </w:pPr>
      <w:r>
        <w:rPr>
          <w:rFonts w:ascii="仿宋_GB2312" w:hAnsi="宋体" w:eastAsia="仿宋_GB2312"/>
          <w:b/>
          <w:sz w:val="32"/>
          <w:szCs w:val="32"/>
        </w:rPr>
        <w:t>201</w:t>
      </w:r>
      <w:r>
        <w:rPr>
          <w:rFonts w:hint="eastAsia" w:ascii="仿宋_GB2312" w:hAnsi="宋体" w:eastAsia="仿宋_GB2312"/>
          <w:b/>
          <w:sz w:val="32"/>
          <w:szCs w:val="32"/>
        </w:rPr>
        <w:t>9年峨眉山市国有资产服务中心预算编制情况</w:t>
      </w:r>
    </w:p>
    <w:tbl>
      <w:tblPr>
        <w:tblStyle w:val="12"/>
        <w:tblW w:w="8940" w:type="dxa"/>
        <w:tblInd w:w="108" w:type="dxa"/>
        <w:tblLayout w:type="autofit"/>
        <w:tblCellMar>
          <w:top w:w="0" w:type="dxa"/>
          <w:left w:w="108" w:type="dxa"/>
          <w:bottom w:w="0" w:type="dxa"/>
          <w:right w:w="108" w:type="dxa"/>
        </w:tblCellMar>
      </w:tblPr>
      <w:tblGrid>
        <w:gridCol w:w="1522"/>
        <w:gridCol w:w="4915"/>
        <w:gridCol w:w="850"/>
        <w:gridCol w:w="846"/>
        <w:gridCol w:w="807"/>
      </w:tblGrid>
      <w:tr>
        <w:tblPrEx>
          <w:tblCellMar>
            <w:top w:w="0" w:type="dxa"/>
            <w:left w:w="108" w:type="dxa"/>
            <w:bottom w:w="0" w:type="dxa"/>
            <w:right w:w="108" w:type="dxa"/>
          </w:tblCellMar>
        </w:tblPrEx>
        <w:trPr>
          <w:trHeight w:val="439" w:hRule="atLeast"/>
        </w:trPr>
        <w:tc>
          <w:tcPr>
            <w:tcW w:w="1522" w:type="dxa"/>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b/>
                <w:kern w:val="0"/>
                <w:szCs w:val="21"/>
              </w:rPr>
            </w:pPr>
            <w:r>
              <w:rPr>
                <w:rFonts w:hint="eastAsia" w:ascii="宋体" w:hAnsi="宋体" w:cs="宋体"/>
                <w:b/>
                <w:kern w:val="0"/>
                <w:szCs w:val="21"/>
              </w:rPr>
              <w:t>任务名称</w:t>
            </w:r>
          </w:p>
        </w:tc>
        <w:tc>
          <w:tcPr>
            <w:tcW w:w="4915" w:type="dxa"/>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b/>
                <w:kern w:val="0"/>
                <w:szCs w:val="21"/>
              </w:rPr>
            </w:pPr>
            <w:r>
              <w:rPr>
                <w:rFonts w:hint="eastAsia" w:ascii="宋体" w:hAnsi="宋体" w:cs="宋体"/>
                <w:b/>
                <w:kern w:val="0"/>
                <w:szCs w:val="21"/>
              </w:rPr>
              <w:t>主要内容</w:t>
            </w:r>
          </w:p>
        </w:tc>
        <w:tc>
          <w:tcPr>
            <w:tcW w:w="2503" w:type="dxa"/>
            <w:gridSpan w:val="3"/>
            <w:tcBorders>
              <w:top w:val="single" w:color="auto" w:sz="4" w:space="0"/>
              <w:left w:val="nil"/>
              <w:bottom w:val="single" w:color="auto" w:sz="4" w:space="0"/>
              <w:right w:val="single" w:color="000000" w:sz="4" w:space="0"/>
            </w:tcBorders>
            <w:vAlign w:val="center"/>
          </w:tcPr>
          <w:p>
            <w:pPr>
              <w:jc w:val="center"/>
              <w:rPr>
                <w:rFonts w:ascii="宋体" w:cs="宋体"/>
                <w:b/>
                <w:kern w:val="0"/>
                <w:szCs w:val="21"/>
              </w:rPr>
            </w:pPr>
            <w:r>
              <w:rPr>
                <w:rFonts w:hint="eastAsia" w:ascii="宋体" w:hAnsi="宋体" w:cs="宋体"/>
                <w:b/>
                <w:kern w:val="0"/>
                <w:szCs w:val="21"/>
              </w:rPr>
              <w:t>预算金额（万元）</w:t>
            </w:r>
          </w:p>
        </w:tc>
      </w:tr>
      <w:tr>
        <w:tblPrEx>
          <w:tblCellMar>
            <w:top w:w="0" w:type="dxa"/>
            <w:left w:w="108" w:type="dxa"/>
            <w:bottom w:w="0" w:type="dxa"/>
            <w:right w:w="108" w:type="dxa"/>
          </w:tblCellMar>
        </w:tblPrEx>
        <w:trPr>
          <w:trHeight w:val="525" w:hRule="atLeast"/>
        </w:trPr>
        <w:tc>
          <w:tcPr>
            <w:tcW w:w="1522" w:type="dxa"/>
            <w:vMerge w:val="continue"/>
            <w:tcBorders>
              <w:top w:val="single" w:color="auto" w:sz="4" w:space="0"/>
              <w:left w:val="single" w:color="auto" w:sz="4" w:space="0"/>
              <w:bottom w:val="single" w:color="000000" w:sz="4" w:space="0"/>
              <w:right w:val="single" w:color="000000" w:sz="4" w:space="0"/>
            </w:tcBorders>
            <w:vAlign w:val="center"/>
          </w:tcPr>
          <w:p>
            <w:pPr>
              <w:jc w:val="left"/>
              <w:rPr>
                <w:rFonts w:ascii="宋体" w:cs="宋体"/>
                <w:b/>
                <w:kern w:val="0"/>
                <w:szCs w:val="21"/>
              </w:rPr>
            </w:pPr>
          </w:p>
        </w:tc>
        <w:tc>
          <w:tcPr>
            <w:tcW w:w="4915" w:type="dxa"/>
            <w:vMerge w:val="continue"/>
            <w:tcBorders>
              <w:top w:val="single" w:color="auto" w:sz="4" w:space="0"/>
              <w:left w:val="single" w:color="auto" w:sz="4" w:space="0"/>
              <w:bottom w:val="single" w:color="000000" w:sz="4" w:space="0"/>
              <w:right w:val="single" w:color="000000" w:sz="4" w:space="0"/>
            </w:tcBorders>
            <w:vAlign w:val="center"/>
          </w:tcPr>
          <w:p>
            <w:pPr>
              <w:jc w:val="left"/>
              <w:rPr>
                <w:rFonts w:ascii="宋体" w:cs="宋体"/>
                <w:b/>
                <w:kern w:val="0"/>
                <w:szCs w:val="21"/>
              </w:rPr>
            </w:pPr>
          </w:p>
        </w:tc>
        <w:tc>
          <w:tcPr>
            <w:tcW w:w="850" w:type="dxa"/>
            <w:tcBorders>
              <w:top w:val="nil"/>
              <w:left w:val="nil"/>
              <w:bottom w:val="single" w:color="auto" w:sz="4" w:space="0"/>
              <w:right w:val="single" w:color="auto" w:sz="4" w:space="0"/>
            </w:tcBorders>
            <w:vAlign w:val="center"/>
          </w:tcPr>
          <w:p>
            <w:pPr>
              <w:jc w:val="center"/>
              <w:rPr>
                <w:rFonts w:ascii="宋体" w:cs="宋体"/>
                <w:b/>
                <w:kern w:val="0"/>
                <w:szCs w:val="21"/>
              </w:rPr>
            </w:pPr>
            <w:r>
              <w:rPr>
                <w:rFonts w:hint="eastAsia" w:ascii="宋体" w:hAnsi="宋体" w:cs="宋体"/>
                <w:b/>
                <w:kern w:val="0"/>
                <w:szCs w:val="21"/>
              </w:rPr>
              <w:t>总额</w:t>
            </w:r>
          </w:p>
        </w:tc>
        <w:tc>
          <w:tcPr>
            <w:tcW w:w="846" w:type="dxa"/>
            <w:tcBorders>
              <w:top w:val="nil"/>
              <w:left w:val="nil"/>
              <w:bottom w:val="single" w:color="auto" w:sz="4" w:space="0"/>
              <w:right w:val="single" w:color="auto" w:sz="4" w:space="0"/>
            </w:tcBorders>
            <w:vAlign w:val="center"/>
          </w:tcPr>
          <w:p>
            <w:pPr>
              <w:jc w:val="center"/>
              <w:rPr>
                <w:rFonts w:ascii="宋体" w:cs="宋体"/>
                <w:b/>
                <w:kern w:val="0"/>
                <w:szCs w:val="21"/>
              </w:rPr>
            </w:pPr>
            <w:r>
              <w:rPr>
                <w:rFonts w:hint="eastAsia" w:ascii="宋体" w:hAnsi="宋体" w:cs="宋体"/>
                <w:b/>
                <w:kern w:val="0"/>
                <w:szCs w:val="21"/>
              </w:rPr>
              <w:t>财政拨款</w:t>
            </w:r>
          </w:p>
        </w:tc>
        <w:tc>
          <w:tcPr>
            <w:tcW w:w="807" w:type="dxa"/>
            <w:tcBorders>
              <w:top w:val="nil"/>
              <w:left w:val="nil"/>
              <w:bottom w:val="single" w:color="auto" w:sz="4" w:space="0"/>
              <w:right w:val="single" w:color="auto" w:sz="4" w:space="0"/>
            </w:tcBorders>
            <w:vAlign w:val="center"/>
          </w:tcPr>
          <w:p>
            <w:pPr>
              <w:jc w:val="center"/>
              <w:rPr>
                <w:rFonts w:ascii="宋体" w:cs="宋体"/>
                <w:b/>
                <w:kern w:val="0"/>
                <w:szCs w:val="21"/>
              </w:rPr>
            </w:pPr>
            <w:r>
              <w:rPr>
                <w:rFonts w:hint="eastAsia" w:ascii="宋体" w:hAnsi="宋体" w:cs="宋体"/>
                <w:b/>
                <w:kern w:val="0"/>
                <w:szCs w:val="21"/>
              </w:rPr>
              <w:t>其他资金</w:t>
            </w:r>
          </w:p>
        </w:tc>
      </w:tr>
      <w:tr>
        <w:tblPrEx>
          <w:tblCellMar>
            <w:top w:w="0" w:type="dxa"/>
            <w:left w:w="108" w:type="dxa"/>
            <w:bottom w:w="0" w:type="dxa"/>
            <w:right w:w="108" w:type="dxa"/>
          </w:tblCellMar>
        </w:tblPrEx>
        <w:trPr>
          <w:trHeight w:val="525" w:hRule="atLeast"/>
        </w:trPr>
        <w:tc>
          <w:tcPr>
            <w:tcW w:w="152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kern w:val="0"/>
                <w:szCs w:val="21"/>
              </w:rPr>
            </w:pPr>
            <w:r>
              <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lor="auto" w:sz="4" w:space="0"/>
            </w:tcBorders>
            <w:vAlign w:val="center"/>
          </w:tcPr>
          <w:p>
            <w:pPr>
              <w:jc w:val="center"/>
              <w:rPr>
                <w:rFonts w:ascii="宋体" w:cs="宋体"/>
                <w:kern w:val="0"/>
                <w:szCs w:val="21"/>
              </w:rPr>
            </w:pPr>
            <w:r>
              <w:rPr>
                <w:rFonts w:hint="eastAsia" w:ascii="宋体" w:hAnsi="宋体" w:cs="宋体"/>
                <w:kern w:val="0"/>
                <w:szCs w:val="21"/>
              </w:rPr>
              <w:t>人员工资、养老保险、医疗保险、公积金、职业年金、公用经费等基本费用</w:t>
            </w:r>
          </w:p>
        </w:tc>
        <w:tc>
          <w:tcPr>
            <w:tcW w:w="850" w:type="dxa"/>
            <w:tcBorders>
              <w:top w:val="nil"/>
              <w:left w:val="nil"/>
              <w:bottom w:val="single" w:color="auto" w:sz="4" w:space="0"/>
              <w:right w:val="single" w:color="auto" w:sz="4" w:space="0"/>
            </w:tcBorders>
            <w:vAlign w:val="center"/>
          </w:tcPr>
          <w:p>
            <w:pPr>
              <w:jc w:val="center"/>
              <w:rPr>
                <w:rFonts w:ascii="宋体" w:cs="宋体"/>
                <w:kern w:val="0"/>
                <w:szCs w:val="21"/>
              </w:rPr>
            </w:pPr>
            <w:r>
              <w:rPr>
                <w:rFonts w:ascii="宋体" w:hAnsi="宋体" w:cs="宋体"/>
                <w:kern w:val="0"/>
                <w:szCs w:val="21"/>
              </w:rPr>
              <w:t>126.49</w:t>
            </w:r>
          </w:p>
        </w:tc>
        <w:tc>
          <w:tcPr>
            <w:tcW w:w="846" w:type="dxa"/>
            <w:tcBorders>
              <w:top w:val="nil"/>
              <w:left w:val="nil"/>
              <w:bottom w:val="single" w:color="auto" w:sz="4" w:space="0"/>
              <w:right w:val="single" w:color="auto" w:sz="4" w:space="0"/>
            </w:tcBorders>
            <w:vAlign w:val="center"/>
          </w:tcPr>
          <w:p>
            <w:pPr>
              <w:jc w:val="center"/>
              <w:rPr>
                <w:rFonts w:ascii="宋体" w:cs="宋体"/>
                <w:kern w:val="0"/>
                <w:szCs w:val="21"/>
              </w:rPr>
            </w:pPr>
            <w:r>
              <w:rPr>
                <w:rFonts w:ascii="宋体" w:hAnsi="宋体" w:cs="宋体"/>
                <w:kern w:val="0"/>
                <w:szCs w:val="21"/>
              </w:rPr>
              <w:t>126.49</w:t>
            </w:r>
          </w:p>
        </w:tc>
        <w:tc>
          <w:tcPr>
            <w:tcW w:w="807" w:type="dxa"/>
            <w:tcBorders>
              <w:top w:val="nil"/>
              <w:left w:val="nil"/>
              <w:bottom w:val="single" w:color="auto" w:sz="4" w:space="0"/>
              <w:right w:val="single" w:color="auto" w:sz="4" w:space="0"/>
            </w:tcBorders>
            <w:vAlign w:val="center"/>
          </w:tcPr>
          <w:p>
            <w:pPr>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5" w:hRule="atLeast"/>
        </w:trPr>
        <w:tc>
          <w:tcPr>
            <w:tcW w:w="1522" w:type="dxa"/>
            <w:tcBorders>
              <w:top w:val="single" w:color="auto" w:sz="4" w:space="0"/>
              <w:left w:val="single" w:color="auto" w:sz="4" w:space="0"/>
              <w:bottom w:val="single" w:color="auto" w:sz="4" w:space="0"/>
              <w:right w:val="single" w:color="000000" w:sz="4" w:space="0"/>
            </w:tcBorders>
            <w:vAlign w:val="center"/>
          </w:tcPr>
          <w:p>
            <w:pPr>
              <w:jc w:val="center"/>
              <w:rPr>
                <w:rFonts w:ascii="宋体" w:cs="宋体"/>
                <w:kern w:val="0"/>
                <w:szCs w:val="21"/>
              </w:rPr>
            </w:pPr>
            <w:r>
              <w:rPr>
                <w:rFonts w:hint="eastAsia" w:ascii="宋体" w:hAnsi="宋体" w:cs="宋体"/>
                <w:kern w:val="0"/>
                <w:szCs w:val="21"/>
              </w:rPr>
              <w:t>金额合计</w:t>
            </w:r>
          </w:p>
        </w:tc>
        <w:tc>
          <w:tcPr>
            <w:tcW w:w="4915" w:type="dxa"/>
            <w:tcBorders>
              <w:top w:val="nil"/>
              <w:left w:val="nil"/>
              <w:bottom w:val="single" w:color="auto" w:sz="4" w:space="0"/>
              <w:right w:val="single" w:color="auto" w:sz="4" w:space="0"/>
            </w:tcBorders>
            <w:vAlign w:val="center"/>
          </w:tcPr>
          <w:p>
            <w:pPr>
              <w:rPr>
                <w:rFonts w:ascii="宋体" w:cs="宋体"/>
                <w:kern w:val="0"/>
                <w:szCs w:val="21"/>
              </w:rPr>
            </w:pPr>
          </w:p>
        </w:tc>
        <w:tc>
          <w:tcPr>
            <w:tcW w:w="850" w:type="dxa"/>
            <w:tcBorders>
              <w:top w:val="nil"/>
              <w:left w:val="nil"/>
              <w:bottom w:val="single" w:color="auto" w:sz="4" w:space="0"/>
              <w:right w:val="single" w:color="auto" w:sz="4" w:space="0"/>
            </w:tcBorders>
            <w:vAlign w:val="center"/>
          </w:tcPr>
          <w:p>
            <w:pPr>
              <w:jc w:val="center"/>
              <w:rPr>
                <w:rFonts w:ascii="宋体" w:cs="宋体"/>
                <w:kern w:val="0"/>
                <w:szCs w:val="21"/>
              </w:rPr>
            </w:pPr>
            <w:r>
              <w:rPr>
                <w:rFonts w:ascii="宋体" w:hAnsi="宋体" w:cs="宋体"/>
                <w:kern w:val="0"/>
                <w:szCs w:val="21"/>
              </w:rPr>
              <w:t>126.49</w:t>
            </w:r>
          </w:p>
        </w:tc>
        <w:tc>
          <w:tcPr>
            <w:tcW w:w="846" w:type="dxa"/>
            <w:tcBorders>
              <w:top w:val="nil"/>
              <w:left w:val="nil"/>
              <w:bottom w:val="single" w:color="auto" w:sz="4" w:space="0"/>
              <w:right w:val="single" w:color="auto" w:sz="4" w:space="0"/>
            </w:tcBorders>
            <w:vAlign w:val="center"/>
          </w:tcPr>
          <w:p>
            <w:pPr>
              <w:jc w:val="center"/>
              <w:rPr>
                <w:rFonts w:ascii="宋体" w:cs="宋体"/>
                <w:kern w:val="0"/>
                <w:szCs w:val="21"/>
              </w:rPr>
            </w:pPr>
            <w:r>
              <w:rPr>
                <w:rFonts w:ascii="宋体" w:hAnsi="宋体" w:cs="宋体"/>
                <w:kern w:val="0"/>
                <w:szCs w:val="21"/>
              </w:rPr>
              <w:t>126.49</w:t>
            </w:r>
            <w:r>
              <w:rPr>
                <w:rFonts w:hint="eastAsia"/>
                <w:kern w:val="0"/>
                <w:szCs w:val="21"/>
              </w:rPr>
              <w:t>　</w:t>
            </w:r>
          </w:p>
        </w:tc>
        <w:tc>
          <w:tcPr>
            <w:tcW w:w="807" w:type="dxa"/>
            <w:tcBorders>
              <w:top w:val="single" w:color="auto" w:sz="4" w:space="0"/>
              <w:left w:val="single" w:color="auto" w:sz="4" w:space="0"/>
              <w:bottom w:val="single" w:color="auto" w:sz="4" w:space="0"/>
              <w:right w:val="single" w:color="auto" w:sz="4" w:space="0"/>
            </w:tcBorders>
          </w:tcPr>
          <w:p>
            <w:pPr>
              <w:jc w:val="center"/>
              <w:rPr>
                <w:rFonts w:ascii="宋体" w:cs="宋体"/>
                <w:kern w:val="0"/>
                <w:szCs w:val="21"/>
              </w:rPr>
            </w:pPr>
          </w:p>
        </w:tc>
      </w:tr>
      <w:tr>
        <w:tblPrEx>
          <w:tblCellMar>
            <w:top w:w="0" w:type="dxa"/>
            <w:left w:w="108" w:type="dxa"/>
            <w:bottom w:w="0" w:type="dxa"/>
            <w:right w:w="108" w:type="dxa"/>
          </w:tblCellMar>
        </w:tblPrEx>
        <w:trPr>
          <w:trHeight w:val="439" w:hRule="atLeast"/>
        </w:trPr>
        <w:tc>
          <w:tcPr>
            <w:tcW w:w="6437"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cs="宋体"/>
                <w:kern w:val="0"/>
                <w:szCs w:val="21"/>
              </w:rPr>
            </w:pPr>
          </w:p>
        </w:tc>
        <w:tc>
          <w:tcPr>
            <w:tcW w:w="850" w:type="dxa"/>
            <w:tcBorders>
              <w:top w:val="nil"/>
              <w:left w:val="nil"/>
              <w:bottom w:val="single" w:color="auto" w:sz="4" w:space="0"/>
              <w:right w:val="single" w:color="auto" w:sz="4" w:space="0"/>
            </w:tcBorders>
            <w:vAlign w:val="center"/>
          </w:tcPr>
          <w:p>
            <w:pPr>
              <w:jc w:val="center"/>
              <w:rPr>
                <w:rFonts w:ascii="宋体" w:cs="宋体"/>
                <w:kern w:val="0"/>
                <w:szCs w:val="21"/>
              </w:rPr>
            </w:pPr>
          </w:p>
        </w:tc>
        <w:tc>
          <w:tcPr>
            <w:tcW w:w="846" w:type="dxa"/>
            <w:tcBorders>
              <w:top w:val="nil"/>
              <w:left w:val="nil"/>
              <w:bottom w:val="single" w:color="auto" w:sz="4" w:space="0"/>
              <w:right w:val="single" w:color="auto" w:sz="4" w:space="0"/>
            </w:tcBorders>
            <w:vAlign w:val="center"/>
          </w:tcPr>
          <w:p>
            <w:pPr>
              <w:jc w:val="center"/>
              <w:rPr>
                <w:rFonts w:ascii="宋体" w:cs="宋体"/>
                <w:kern w:val="0"/>
                <w:szCs w:val="21"/>
              </w:rPr>
            </w:pPr>
          </w:p>
        </w:tc>
        <w:tc>
          <w:tcPr>
            <w:tcW w:w="807" w:type="dxa"/>
            <w:tcBorders>
              <w:top w:val="single" w:color="auto" w:sz="4" w:space="0"/>
              <w:left w:val="nil"/>
              <w:bottom w:val="single" w:color="auto" w:sz="4" w:space="0"/>
              <w:right w:val="single" w:color="auto" w:sz="4" w:space="0"/>
            </w:tcBorders>
            <w:vAlign w:val="center"/>
          </w:tcPr>
          <w:p>
            <w:pPr>
              <w:jc w:val="left"/>
              <w:rPr>
                <w:kern w:val="0"/>
                <w:szCs w:val="21"/>
              </w:rPr>
            </w:pPr>
          </w:p>
        </w:tc>
      </w:tr>
    </w:tbl>
    <w:p>
      <w:pPr>
        <w:adjustRightInd w:val="0"/>
        <w:snapToGrid w:val="0"/>
        <w:spacing w:line="560" w:lineRule="exact"/>
        <w:ind w:firstLine="720"/>
        <w:rPr>
          <w:rFonts w:hint="eastAsia" w:ascii="仿宋_GB2312" w:hAnsi="宋体" w:eastAsia="仿宋_GB2312"/>
          <w:sz w:val="32"/>
          <w:szCs w:val="32"/>
        </w:rPr>
      </w:pPr>
      <w:r>
        <w:rPr>
          <w:rFonts w:hint="eastAsia" w:ascii="仿宋_GB2312" w:hAnsi="宋体" w:eastAsia="仿宋_GB2312"/>
          <w:sz w:val="32"/>
          <w:szCs w:val="32"/>
        </w:rPr>
        <w:t>我单位严格按照上报的资金计划完成资金拨付，根据预算合理控制支出数额及支出进度。</w:t>
      </w:r>
      <w:r>
        <w:rPr>
          <w:rFonts w:ascii="仿宋_GB2312" w:hAnsi="宋体" w:eastAsia="仿宋_GB2312"/>
          <w:sz w:val="32"/>
          <w:szCs w:val="32"/>
        </w:rPr>
        <w:t>2019</w:t>
      </w:r>
      <w:r>
        <w:rPr>
          <w:rFonts w:hint="eastAsia" w:ascii="仿宋_GB2312" w:hAnsi="宋体" w:eastAsia="仿宋_GB2312"/>
          <w:sz w:val="32"/>
          <w:szCs w:val="32"/>
        </w:rPr>
        <w:t>年调整预算收入</w:t>
      </w:r>
      <w:r>
        <w:rPr>
          <w:rFonts w:hint="eastAsia" w:ascii="仿宋_GB2312" w:hAnsi="宋体" w:eastAsia="仿宋_GB2312"/>
          <w:sz w:val="32"/>
          <w:szCs w:val="32"/>
          <w:lang w:val="en-US" w:eastAsia="zh-CN"/>
        </w:rPr>
        <w:t>719.34</w:t>
      </w:r>
      <w:r>
        <w:rPr>
          <w:rFonts w:hint="eastAsia" w:ascii="仿宋_GB2312" w:hAnsi="宋体" w:eastAsia="仿宋_GB2312"/>
          <w:sz w:val="32"/>
          <w:szCs w:val="32"/>
        </w:rPr>
        <w:t>万元，</w:t>
      </w:r>
      <w:r>
        <w:rPr>
          <w:rFonts w:hint="eastAsia" w:ascii="仿宋_GB2312" w:hAnsi="宋体" w:eastAsia="仿宋_GB2312"/>
          <w:sz w:val="32"/>
          <w:szCs w:val="32"/>
          <w:lang w:eastAsia="zh-CN"/>
        </w:rPr>
        <w:t>均为全市大预算项目调整至我单位。</w:t>
      </w:r>
      <w:r>
        <w:rPr>
          <w:rFonts w:hint="eastAsia" w:ascii="仿宋_GB2312" w:hAnsi="宋体" w:eastAsia="仿宋_GB2312"/>
          <w:sz w:val="32"/>
          <w:szCs w:val="32"/>
        </w:rPr>
        <w:t>截止</w:t>
      </w:r>
      <w:r>
        <w:rPr>
          <w:rFonts w:ascii="仿宋_GB2312" w:hAnsi="宋体" w:eastAsia="仿宋_GB2312"/>
          <w:sz w:val="32"/>
          <w:szCs w:val="32"/>
        </w:rPr>
        <w:t>2019</w:t>
      </w:r>
      <w:r>
        <w:rPr>
          <w:rFonts w:hint="eastAsia" w:ascii="仿宋_GB2312" w:hAnsi="宋体" w:eastAsia="仿宋_GB2312"/>
          <w:sz w:val="32"/>
          <w:szCs w:val="32"/>
        </w:rPr>
        <w:t>年</w:t>
      </w:r>
      <w:r>
        <w:rPr>
          <w:rFonts w:ascii="仿宋_GB2312" w:hAnsi="宋体" w:eastAsia="仿宋_GB2312"/>
          <w:sz w:val="32"/>
          <w:szCs w:val="32"/>
        </w:rPr>
        <w:t>6</w:t>
      </w:r>
      <w:r>
        <w:rPr>
          <w:rFonts w:hint="eastAsia" w:ascii="仿宋_GB2312" w:hAnsi="宋体" w:eastAsia="仿宋_GB2312"/>
          <w:sz w:val="32"/>
          <w:szCs w:val="32"/>
        </w:rPr>
        <w:t>月</w:t>
      </w:r>
      <w:r>
        <w:rPr>
          <w:rFonts w:ascii="仿宋_GB2312" w:hAnsi="宋体" w:eastAsia="仿宋_GB2312"/>
          <w:sz w:val="32"/>
          <w:szCs w:val="32"/>
        </w:rPr>
        <w:t>30</w:t>
      </w:r>
      <w:r>
        <w:rPr>
          <w:rFonts w:hint="eastAsia" w:ascii="仿宋_GB2312" w:hAnsi="宋体" w:eastAsia="仿宋_GB2312"/>
          <w:sz w:val="32"/>
          <w:szCs w:val="32"/>
        </w:rPr>
        <w:t>日，财政拨款支出</w:t>
      </w:r>
      <w:r>
        <w:rPr>
          <w:rFonts w:hint="eastAsia" w:ascii="仿宋_GB2312" w:hAnsi="宋体" w:eastAsia="仿宋_GB2312"/>
          <w:sz w:val="32"/>
          <w:szCs w:val="32"/>
          <w:lang w:val="en-US" w:eastAsia="zh-CN"/>
        </w:rPr>
        <w:t>131.67</w:t>
      </w:r>
      <w:r>
        <w:rPr>
          <w:rFonts w:hint="eastAsia" w:ascii="仿宋_GB2312" w:hAnsi="宋体" w:eastAsia="仿宋_GB2312"/>
          <w:sz w:val="32"/>
          <w:szCs w:val="32"/>
        </w:rPr>
        <w:t>万元，支出进度为</w:t>
      </w:r>
      <w:r>
        <w:rPr>
          <w:rFonts w:hint="eastAsia" w:ascii="仿宋_GB2312" w:hAnsi="宋体" w:eastAsia="仿宋_GB2312"/>
          <w:sz w:val="32"/>
          <w:szCs w:val="32"/>
          <w:lang w:val="en-US" w:eastAsia="zh-CN"/>
        </w:rPr>
        <w:t>15.57</w:t>
      </w:r>
      <w:r>
        <w:rPr>
          <w:rFonts w:ascii="仿宋_GB2312" w:hAnsi="宋体" w:eastAsia="仿宋_GB2312"/>
          <w:sz w:val="32"/>
          <w:szCs w:val="32"/>
        </w:rPr>
        <w:t>%</w:t>
      </w:r>
      <w:r>
        <w:rPr>
          <w:rFonts w:hint="eastAsia" w:ascii="仿宋_GB2312" w:hAnsi="宋体" w:eastAsia="仿宋_GB2312"/>
          <w:sz w:val="32"/>
          <w:szCs w:val="32"/>
        </w:rPr>
        <w:t>；截止</w:t>
      </w:r>
      <w:r>
        <w:rPr>
          <w:rFonts w:ascii="仿宋_GB2312" w:hAnsi="宋体" w:eastAsia="仿宋_GB2312"/>
          <w:sz w:val="32"/>
          <w:szCs w:val="32"/>
        </w:rPr>
        <w:t>2019</w:t>
      </w:r>
      <w:r>
        <w:rPr>
          <w:rFonts w:hint="eastAsia" w:ascii="仿宋_GB2312" w:hAnsi="宋体" w:eastAsia="仿宋_GB2312"/>
          <w:sz w:val="32"/>
          <w:szCs w:val="32"/>
        </w:rPr>
        <w:t>年</w:t>
      </w:r>
      <w:r>
        <w:rPr>
          <w:rFonts w:ascii="仿宋_GB2312" w:hAnsi="宋体" w:eastAsia="仿宋_GB2312"/>
          <w:sz w:val="32"/>
          <w:szCs w:val="32"/>
        </w:rPr>
        <w:t>9</w:t>
      </w:r>
      <w:r>
        <w:rPr>
          <w:rFonts w:hint="eastAsia" w:ascii="仿宋_GB2312" w:hAnsi="宋体" w:eastAsia="仿宋_GB2312"/>
          <w:sz w:val="32"/>
          <w:szCs w:val="32"/>
        </w:rPr>
        <w:t>月</w:t>
      </w:r>
      <w:r>
        <w:rPr>
          <w:rFonts w:ascii="仿宋_GB2312" w:hAnsi="宋体" w:eastAsia="仿宋_GB2312"/>
          <w:sz w:val="32"/>
          <w:szCs w:val="32"/>
        </w:rPr>
        <w:t>30</w:t>
      </w:r>
      <w:r>
        <w:rPr>
          <w:rFonts w:hint="eastAsia" w:ascii="仿宋_GB2312" w:hAnsi="宋体" w:eastAsia="仿宋_GB2312"/>
          <w:sz w:val="32"/>
          <w:szCs w:val="32"/>
        </w:rPr>
        <w:t>日，财政拨款支出</w:t>
      </w:r>
      <w:r>
        <w:rPr>
          <w:rFonts w:hint="eastAsia" w:ascii="仿宋_GB2312" w:hAnsi="宋体" w:eastAsia="仿宋_GB2312"/>
          <w:sz w:val="32"/>
          <w:szCs w:val="32"/>
          <w:lang w:val="en-US" w:eastAsia="zh-CN"/>
        </w:rPr>
        <w:t>820.31</w:t>
      </w:r>
      <w:r>
        <w:rPr>
          <w:rFonts w:hint="eastAsia" w:ascii="仿宋_GB2312" w:hAnsi="宋体" w:eastAsia="仿宋_GB2312"/>
          <w:sz w:val="32"/>
          <w:szCs w:val="32"/>
        </w:rPr>
        <w:t>万元，支出进度为</w:t>
      </w:r>
      <w:r>
        <w:rPr>
          <w:rFonts w:hint="eastAsia" w:ascii="仿宋_GB2312" w:hAnsi="宋体" w:eastAsia="仿宋_GB2312"/>
          <w:sz w:val="32"/>
          <w:szCs w:val="32"/>
          <w:lang w:val="en-US" w:eastAsia="zh-CN"/>
        </w:rPr>
        <w:t>96.98</w:t>
      </w:r>
      <w:r>
        <w:rPr>
          <w:rFonts w:ascii="仿宋_GB2312" w:hAnsi="宋体" w:eastAsia="仿宋_GB2312"/>
          <w:sz w:val="32"/>
          <w:szCs w:val="32"/>
        </w:rPr>
        <w:t>%</w:t>
      </w:r>
      <w:r>
        <w:rPr>
          <w:rFonts w:hint="eastAsia" w:ascii="仿宋_GB2312" w:hAnsi="宋体" w:eastAsia="仿宋_GB2312"/>
          <w:sz w:val="32"/>
          <w:szCs w:val="32"/>
        </w:rPr>
        <w:t>；截止</w:t>
      </w:r>
      <w:r>
        <w:rPr>
          <w:rFonts w:ascii="仿宋_GB2312" w:hAnsi="宋体" w:eastAsia="仿宋_GB2312"/>
          <w:sz w:val="32"/>
          <w:szCs w:val="32"/>
        </w:rPr>
        <w:t>2019</w:t>
      </w:r>
      <w:r>
        <w:rPr>
          <w:rFonts w:hint="eastAsia" w:ascii="仿宋_GB2312" w:hAnsi="宋体" w:eastAsia="仿宋_GB2312"/>
          <w:sz w:val="32"/>
          <w:szCs w:val="32"/>
        </w:rPr>
        <w:t>年</w:t>
      </w:r>
      <w:r>
        <w:rPr>
          <w:rFonts w:ascii="仿宋_GB2312" w:hAnsi="宋体" w:eastAsia="仿宋_GB2312"/>
          <w:sz w:val="32"/>
          <w:szCs w:val="32"/>
        </w:rPr>
        <w:t>12</w:t>
      </w:r>
      <w:r>
        <w:rPr>
          <w:rFonts w:hint="eastAsia" w:ascii="仿宋_GB2312" w:hAnsi="宋体" w:eastAsia="仿宋_GB2312"/>
          <w:sz w:val="32"/>
          <w:szCs w:val="32"/>
        </w:rPr>
        <w:t>月</w:t>
      </w:r>
      <w:r>
        <w:rPr>
          <w:rFonts w:ascii="仿宋_GB2312" w:hAnsi="宋体" w:eastAsia="仿宋_GB2312"/>
          <w:sz w:val="32"/>
          <w:szCs w:val="32"/>
        </w:rPr>
        <w:t>31</w:t>
      </w:r>
      <w:r>
        <w:rPr>
          <w:rFonts w:hint="eastAsia" w:ascii="仿宋_GB2312" w:hAnsi="宋体" w:eastAsia="仿宋_GB2312"/>
          <w:sz w:val="32"/>
          <w:szCs w:val="32"/>
        </w:rPr>
        <w:t>日，财政拨款支出为</w:t>
      </w:r>
      <w:r>
        <w:rPr>
          <w:rFonts w:ascii="仿宋_GB2312" w:hAnsi="宋体" w:eastAsia="仿宋_GB2312"/>
          <w:sz w:val="32"/>
          <w:szCs w:val="32"/>
        </w:rPr>
        <w:t>845.83</w:t>
      </w:r>
      <w:r>
        <w:rPr>
          <w:rFonts w:hint="eastAsia" w:ascii="仿宋_GB2312" w:hAnsi="宋体" w:eastAsia="仿宋_GB2312"/>
          <w:sz w:val="32"/>
          <w:szCs w:val="32"/>
        </w:rPr>
        <w:t>万元，支出进度为</w:t>
      </w:r>
      <w:r>
        <w:rPr>
          <w:rFonts w:ascii="仿宋_GB2312" w:hAnsi="宋体" w:eastAsia="仿宋_GB2312"/>
          <w:sz w:val="32"/>
          <w:szCs w:val="32"/>
        </w:rPr>
        <w:t>100%</w:t>
      </w:r>
      <w:r>
        <w:rPr>
          <w:rFonts w:hint="eastAsia" w:ascii="仿宋_GB2312" w:hAnsi="宋体" w:eastAsia="仿宋_GB2312"/>
          <w:sz w:val="32"/>
          <w:szCs w:val="32"/>
        </w:rPr>
        <w:t>，全年执行进度合理。</w:t>
      </w:r>
    </w:p>
    <w:p>
      <w:pPr>
        <w:adjustRightInd w:val="0"/>
        <w:snapToGrid w:val="0"/>
        <w:spacing w:line="560" w:lineRule="exact"/>
        <w:ind w:firstLine="720"/>
        <w:rPr>
          <w:rFonts w:ascii="仿宋_GB2312" w:hAnsi="宋体" w:eastAsia="仿宋_GB2312"/>
          <w:sz w:val="32"/>
          <w:szCs w:val="32"/>
        </w:rPr>
      </w:pPr>
      <w:r>
        <w:rPr>
          <w:rFonts w:ascii="仿宋_GB2312" w:hAnsi="宋体" w:eastAsia="仿宋_GB2312"/>
          <w:sz w:val="32"/>
          <w:szCs w:val="32"/>
        </w:rPr>
        <w:t>201</w:t>
      </w:r>
      <w:r>
        <w:rPr>
          <w:rFonts w:hint="eastAsia" w:ascii="仿宋_GB2312" w:hAnsi="宋体" w:eastAsia="仿宋_GB2312"/>
          <w:sz w:val="32"/>
          <w:szCs w:val="32"/>
        </w:rPr>
        <w:t>9年末峨眉山市国有资产服务中心无结转结余资金。</w:t>
      </w:r>
    </w:p>
    <w:p>
      <w:pPr>
        <w:adjustRightInd w:val="0"/>
        <w:snapToGrid w:val="0"/>
        <w:spacing w:line="560" w:lineRule="exact"/>
        <w:ind w:firstLine="720"/>
        <w:rPr>
          <w:rFonts w:hint="eastAsia" w:ascii="仿宋_GB2312" w:hAnsi="宋体" w:eastAsia="仿宋_GB2312" w:cs="宋体"/>
          <w:color w:val="000000"/>
          <w:kern w:val="0"/>
          <w:sz w:val="32"/>
          <w:szCs w:val="32"/>
          <w:shd w:val="clear" w:color="auto" w:fill="FFFFFF"/>
          <w:lang w:val="zh-CN"/>
        </w:rPr>
      </w:pPr>
      <w:r>
        <w:rPr>
          <w:rFonts w:hint="eastAsia" w:ascii="楷体_GB2312" w:hAnsi="宋体" w:eastAsia="楷体_GB2312"/>
          <w:sz w:val="32"/>
          <w:szCs w:val="32"/>
        </w:rPr>
        <w:t>（二）</w:t>
      </w:r>
      <w:r>
        <w:rPr>
          <w:rFonts w:hint="eastAsia" w:ascii="仿宋_GB2312" w:hAnsi="宋体" w:eastAsia="仿宋_GB2312" w:cs="宋体"/>
          <w:color w:val="000000"/>
          <w:kern w:val="0"/>
          <w:sz w:val="32"/>
          <w:szCs w:val="32"/>
          <w:shd w:val="clear" w:color="auto" w:fill="FFFFFF"/>
          <w:lang w:val="zh-CN"/>
        </w:rPr>
        <w:t>结果应用情况。</w:t>
      </w:r>
    </w:p>
    <w:p>
      <w:pPr>
        <w:adjustRightInd w:val="0"/>
        <w:snapToGrid w:val="0"/>
        <w:spacing w:line="580" w:lineRule="exact"/>
        <w:ind w:firstLine="72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．部门支出绩效</w:t>
      </w:r>
    </w:p>
    <w:p>
      <w:pPr>
        <w:adjustRightInd w:val="0"/>
        <w:snapToGrid w:val="0"/>
        <w:spacing w:line="580" w:lineRule="exact"/>
        <w:ind w:firstLine="720"/>
        <w:jc w:val="left"/>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）行政运转保障</w:t>
      </w:r>
    </w:p>
    <w:p>
      <w:pPr>
        <w:widowControl/>
        <w:spacing w:line="480" w:lineRule="auto"/>
        <w:ind w:firstLine="640" w:firstLineChars="200"/>
        <w:rPr>
          <w:rFonts w:ascii="仿宋_GB2312" w:hAnsi="宋体" w:eastAsia="仿宋_GB2312"/>
          <w:sz w:val="32"/>
          <w:szCs w:val="32"/>
        </w:rPr>
      </w:pPr>
      <w:r>
        <w:rPr>
          <w:rFonts w:ascii="仿宋_GB2312" w:hAnsi="宋体" w:eastAsia="仿宋_GB2312"/>
          <w:sz w:val="32"/>
          <w:szCs w:val="32"/>
        </w:rPr>
        <w:t>2019</w:t>
      </w:r>
      <w:r>
        <w:rPr>
          <w:rFonts w:hint="eastAsia" w:ascii="仿宋_GB2312" w:hAnsi="宋体" w:eastAsia="仿宋_GB2312"/>
          <w:sz w:val="32"/>
          <w:szCs w:val="32"/>
        </w:rPr>
        <w:t>年国资服务中心机关基本支出包括人员经费和日常公用经费。其中</w:t>
      </w:r>
      <w:r>
        <w:rPr>
          <w:rFonts w:ascii="仿宋_GB2312" w:hAnsi="宋体" w:eastAsia="仿宋_GB2312"/>
          <w:sz w:val="32"/>
          <w:szCs w:val="32"/>
        </w:rPr>
        <w:t>:</w:t>
      </w:r>
      <w:r>
        <w:rPr>
          <w:rFonts w:hint="eastAsia" w:ascii="仿宋_GB2312" w:hAnsi="宋体" w:eastAsia="仿宋_GB2312"/>
          <w:sz w:val="32"/>
          <w:szCs w:val="32"/>
        </w:rPr>
        <w:t>人员经费</w:t>
      </w:r>
      <w:r>
        <w:rPr>
          <w:rFonts w:ascii="仿宋_GB2312" w:hAnsi="宋体" w:eastAsia="仿宋_GB2312"/>
          <w:sz w:val="32"/>
          <w:szCs w:val="32"/>
        </w:rPr>
        <w:t>167.16</w:t>
      </w:r>
      <w:r>
        <w:rPr>
          <w:rFonts w:hint="eastAsia" w:ascii="仿宋_GB2312" w:hAnsi="宋体" w:eastAsia="仿宋_GB2312"/>
          <w:sz w:val="32"/>
          <w:szCs w:val="32"/>
        </w:rPr>
        <w:t>万元（工资福利支出</w:t>
      </w:r>
      <w:r>
        <w:rPr>
          <w:rFonts w:ascii="仿宋_GB2312" w:hAnsi="宋体" w:eastAsia="仿宋_GB2312"/>
          <w:sz w:val="32"/>
          <w:szCs w:val="32"/>
        </w:rPr>
        <w:t>166.11</w:t>
      </w:r>
      <w:r>
        <w:rPr>
          <w:rFonts w:hint="eastAsia" w:ascii="仿宋_GB2312" w:hAnsi="宋体" w:eastAsia="仿宋_GB2312"/>
          <w:sz w:val="32"/>
          <w:szCs w:val="32"/>
        </w:rPr>
        <w:t>万元，对个人和家庭的补助</w:t>
      </w:r>
      <w:r>
        <w:rPr>
          <w:rFonts w:ascii="仿宋_GB2312" w:hAnsi="宋体" w:eastAsia="仿宋_GB2312"/>
          <w:sz w:val="32"/>
          <w:szCs w:val="32"/>
        </w:rPr>
        <w:t>1.05</w:t>
      </w:r>
      <w:r>
        <w:rPr>
          <w:rFonts w:hint="eastAsia" w:ascii="仿宋_GB2312" w:hAnsi="宋体" w:eastAsia="仿宋_GB2312"/>
          <w:sz w:val="32"/>
          <w:szCs w:val="32"/>
        </w:rPr>
        <w:t>万元），日常公用经费</w:t>
      </w:r>
      <w:r>
        <w:rPr>
          <w:rFonts w:ascii="仿宋_GB2312" w:hAnsi="宋体" w:eastAsia="仿宋_GB2312"/>
          <w:sz w:val="32"/>
          <w:szCs w:val="32"/>
        </w:rPr>
        <w:t>2.76</w:t>
      </w:r>
      <w:r>
        <w:rPr>
          <w:rFonts w:hint="eastAsia" w:ascii="仿宋_GB2312" w:hAnsi="宋体" w:eastAsia="仿宋_GB2312"/>
          <w:sz w:val="32"/>
          <w:szCs w:val="32"/>
        </w:rPr>
        <w:t>万元。基本支出能够保障本中心的基本运转。</w:t>
      </w:r>
    </w:p>
    <w:p>
      <w:pPr>
        <w:adjustRightInd w:val="0"/>
        <w:snapToGrid w:val="0"/>
        <w:spacing w:line="580" w:lineRule="exact"/>
        <w:ind w:firstLine="720"/>
        <w:jc w:val="left"/>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．项目支出绩效</w:t>
      </w:r>
    </w:p>
    <w:p>
      <w:pPr>
        <w:spacing w:line="48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）项目资金分配情况</w:t>
      </w:r>
    </w:p>
    <w:p>
      <w:pPr>
        <w:ind w:firstLine="640" w:firstLineChars="200"/>
        <w:rPr>
          <w:rFonts w:ascii="仿宋_GB2312" w:hAnsi="宋体" w:eastAsia="仿宋_GB2312"/>
          <w:sz w:val="32"/>
          <w:szCs w:val="32"/>
        </w:rPr>
      </w:pPr>
      <w:r>
        <w:rPr>
          <w:rFonts w:ascii="仿宋_GB2312" w:hAnsi="宋体" w:eastAsia="仿宋_GB2312"/>
          <w:sz w:val="32"/>
          <w:szCs w:val="32"/>
        </w:rPr>
        <w:t>2019</w:t>
      </w:r>
      <w:r>
        <w:rPr>
          <w:rFonts w:hint="eastAsia" w:ascii="仿宋_GB2312" w:hAnsi="宋体" w:eastAsia="仿宋_GB2312"/>
          <w:sz w:val="32"/>
          <w:szCs w:val="32"/>
        </w:rPr>
        <w:t>年，由于工作需要，将全市预算项目719.34万元调整至峨眉山市</w:t>
      </w:r>
      <w:r>
        <w:rPr>
          <w:rFonts w:hint="eastAsia" w:ascii="仿宋_GB2312" w:hAnsi="宋体" w:eastAsia="仿宋_GB2312"/>
          <w:sz w:val="32"/>
          <w:szCs w:val="32"/>
          <w:lang w:eastAsia="zh-CN"/>
        </w:rPr>
        <w:t>国有资产服务中心</w:t>
      </w:r>
      <w:r>
        <w:rPr>
          <w:rFonts w:hint="eastAsia" w:ascii="仿宋_GB2312" w:hAnsi="宋体" w:eastAsia="仿宋_GB2312"/>
          <w:sz w:val="32"/>
          <w:szCs w:val="32"/>
        </w:rPr>
        <w:t>。主要用于开展存量国有资产管理、国有资产处置评估、资产权证办理等工作。</w:t>
      </w:r>
    </w:p>
    <w:p>
      <w:pPr>
        <w:spacing w:line="48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）项目资金管理情况</w:t>
      </w:r>
    </w:p>
    <w:p>
      <w:pPr>
        <w:spacing w:line="480" w:lineRule="auto"/>
        <w:ind w:firstLine="640" w:firstLineChars="200"/>
        <w:rPr>
          <w:rFonts w:ascii="仿宋_GB2312" w:eastAsia="仿宋_GB2312"/>
          <w:sz w:val="32"/>
          <w:szCs w:val="32"/>
        </w:rPr>
      </w:pPr>
      <w:r>
        <w:rPr>
          <w:rFonts w:hint="eastAsia" w:ascii="仿宋_GB2312" w:hAnsi="宋体" w:eastAsia="仿宋_GB2312"/>
          <w:sz w:val="32"/>
          <w:szCs w:val="32"/>
          <w:lang w:eastAsia="zh-CN"/>
        </w:rPr>
        <w:t>峨眉山市国有资产服务</w:t>
      </w:r>
      <w:r>
        <w:rPr>
          <w:rFonts w:hint="eastAsia" w:ascii="仿宋_GB2312" w:hAnsi="宋体" w:eastAsia="仿宋_GB2312"/>
          <w:sz w:val="32"/>
          <w:szCs w:val="32"/>
        </w:rPr>
        <w:t>中心属</w:t>
      </w:r>
      <w:r>
        <w:rPr>
          <w:rFonts w:hint="eastAsia" w:ascii="仿宋_GB2312" w:hAnsi="宋体" w:eastAsia="仿宋_GB2312"/>
          <w:sz w:val="32"/>
          <w:szCs w:val="32"/>
          <w:lang w:eastAsia="zh-CN"/>
        </w:rPr>
        <w:t>峨眉山市</w:t>
      </w:r>
      <w:r>
        <w:rPr>
          <w:rFonts w:hint="eastAsia" w:ascii="仿宋_GB2312" w:hAnsi="宋体" w:eastAsia="仿宋_GB2312"/>
          <w:sz w:val="32"/>
          <w:szCs w:val="32"/>
        </w:rPr>
        <w:t>财政局下属事业单位，财务管理严格按照财政局财务管理制度执行，财务处理及时、会计核算规范，</w:t>
      </w:r>
      <w:r>
        <w:rPr>
          <w:rFonts w:hint="eastAsia" w:ascii="仿宋_GB2312" w:hAnsi="宋体" w:eastAsia="仿宋_GB2312"/>
          <w:sz w:val="32"/>
          <w:szCs w:val="32"/>
          <w:lang w:eastAsia="zh-CN"/>
        </w:rPr>
        <w:t>项目资金</w:t>
      </w:r>
      <w:r>
        <w:rPr>
          <w:rFonts w:hint="eastAsia" w:ascii="仿宋_GB2312" w:hAnsi="宋体" w:eastAsia="仿宋_GB2312"/>
          <w:sz w:val="32"/>
          <w:szCs w:val="32"/>
        </w:rPr>
        <w:t>专款专用。</w:t>
      </w:r>
    </w:p>
    <w:p>
      <w:pPr>
        <w:adjustRightInd w:val="0"/>
        <w:snapToGrid w:val="0"/>
        <w:spacing w:line="580" w:lineRule="exact"/>
        <w:ind w:firstLine="720"/>
        <w:jc w:val="left"/>
        <w:rPr>
          <w:rFonts w:ascii="仿宋_GB2312" w:hAnsi="宋体" w:eastAsia="仿宋_GB2312"/>
          <w:sz w:val="32"/>
          <w:szCs w:val="32"/>
        </w:rPr>
      </w:pPr>
      <w:r>
        <w:rPr>
          <w:rFonts w:hint="eastAsia" w:ascii="仿宋_GB2312" w:hAnsi="宋体" w:eastAsia="仿宋_GB2312"/>
          <w:sz w:val="32"/>
          <w:szCs w:val="32"/>
        </w:rPr>
        <w:t>根据《峨眉山市财政局关于开展</w:t>
      </w:r>
      <w:r>
        <w:rPr>
          <w:rFonts w:ascii="仿宋_GB2312" w:hAnsi="宋体" w:eastAsia="仿宋_GB2312"/>
          <w:sz w:val="32"/>
          <w:szCs w:val="32"/>
        </w:rPr>
        <w:t>2019</w:t>
      </w:r>
      <w:r>
        <w:rPr>
          <w:rFonts w:hint="eastAsia" w:ascii="仿宋_GB2312" w:hAnsi="宋体" w:eastAsia="仿宋_GB2312"/>
          <w:sz w:val="32"/>
          <w:szCs w:val="32"/>
        </w:rPr>
        <w:t>年财政支出绩效评价工作的通知》（峨财通</w:t>
      </w:r>
      <w:r>
        <w:rPr>
          <w:rFonts w:ascii="仿宋_GB2312" w:hAnsi="宋体" w:eastAsia="仿宋_GB2312"/>
          <w:sz w:val="32"/>
          <w:szCs w:val="32"/>
        </w:rPr>
        <w:t>[2019]55</w:t>
      </w:r>
      <w:r>
        <w:rPr>
          <w:rFonts w:hint="eastAsia" w:ascii="仿宋_GB2312" w:hAnsi="宋体" w:eastAsia="仿宋_GB2312"/>
          <w:sz w:val="32"/>
          <w:szCs w:val="32"/>
        </w:rPr>
        <w:t>号）文件精神，我中心积极配合评价小组工作，提供相关检查材料，并且根据文件要求认真进行了自查、自评，查找出问题，提出解决措施。</w:t>
      </w:r>
    </w:p>
    <w:p>
      <w:pPr>
        <w:adjustRightInd w:val="0"/>
        <w:snapToGrid w:val="0"/>
        <w:spacing w:line="580" w:lineRule="exact"/>
        <w:ind w:firstLine="72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adjustRightInd w:val="0"/>
        <w:snapToGrid w:val="0"/>
        <w:spacing w:line="580" w:lineRule="exact"/>
        <w:ind w:firstLine="720"/>
        <w:jc w:val="left"/>
        <w:rPr>
          <w:rFonts w:hint="eastAsia" w:ascii="仿宋_GB2312" w:hAnsi="宋体" w:eastAsia="仿宋_GB2312"/>
          <w:sz w:val="32"/>
          <w:szCs w:val="32"/>
          <w:lang w:val="zh-CN"/>
        </w:rPr>
      </w:pPr>
      <w:r>
        <w:rPr>
          <w:rFonts w:hint="eastAsia" w:ascii="仿宋_GB2312" w:hAnsi="宋体" w:eastAsia="仿宋_GB2312"/>
          <w:sz w:val="32"/>
          <w:szCs w:val="32"/>
          <w:lang w:val="zh-CN"/>
        </w:rPr>
        <w:t>优，</w:t>
      </w:r>
      <w:r>
        <w:rPr>
          <w:rFonts w:hint="eastAsia" w:ascii="仿宋_GB2312" w:hAnsi="宋体" w:eastAsia="仿宋_GB2312"/>
          <w:sz w:val="32"/>
          <w:szCs w:val="32"/>
          <w:lang w:val="en-US" w:eastAsia="zh-CN"/>
        </w:rPr>
        <w:t>91</w:t>
      </w:r>
      <w:r>
        <w:rPr>
          <w:rFonts w:hint="eastAsia" w:ascii="仿宋_GB2312" w:hAnsi="宋体" w:eastAsia="仿宋_GB2312"/>
          <w:sz w:val="32"/>
          <w:szCs w:val="32"/>
          <w:lang w:val="zh-CN"/>
        </w:rPr>
        <w:t>分。预算编制2</w:t>
      </w:r>
      <w:r>
        <w:rPr>
          <w:rFonts w:hint="eastAsia" w:ascii="仿宋_GB2312" w:hAnsi="宋体" w:eastAsia="仿宋_GB2312"/>
          <w:sz w:val="32"/>
          <w:szCs w:val="32"/>
          <w:lang w:val="en-US" w:eastAsia="zh-CN"/>
        </w:rPr>
        <w:t>7</w:t>
      </w:r>
      <w:r>
        <w:rPr>
          <w:rFonts w:hint="eastAsia" w:ascii="仿宋_GB2312" w:hAnsi="宋体" w:eastAsia="仿宋_GB2312"/>
          <w:sz w:val="32"/>
          <w:szCs w:val="32"/>
          <w:lang w:val="zh-CN"/>
        </w:rPr>
        <w:t>分，其中：目标制定</w:t>
      </w:r>
      <w:r>
        <w:rPr>
          <w:rFonts w:hint="eastAsia" w:ascii="仿宋_GB2312" w:hAnsi="宋体" w:eastAsia="仿宋_GB2312"/>
          <w:sz w:val="32"/>
          <w:szCs w:val="32"/>
          <w:lang w:val="en-US" w:eastAsia="zh-CN"/>
        </w:rPr>
        <w:t>9</w:t>
      </w:r>
      <w:r>
        <w:rPr>
          <w:rFonts w:hint="eastAsia" w:ascii="仿宋_GB2312" w:hAnsi="宋体" w:eastAsia="仿宋_GB2312"/>
          <w:sz w:val="32"/>
          <w:szCs w:val="32"/>
          <w:lang w:val="zh-CN"/>
        </w:rPr>
        <w:t>分，目标完成</w:t>
      </w:r>
      <w:r>
        <w:rPr>
          <w:rFonts w:hint="eastAsia" w:ascii="仿宋_GB2312" w:hAnsi="宋体" w:eastAsia="仿宋_GB2312"/>
          <w:sz w:val="32"/>
          <w:szCs w:val="32"/>
          <w:lang w:val="en-US" w:eastAsia="zh-CN"/>
        </w:rPr>
        <w:t>9</w:t>
      </w:r>
      <w:r>
        <w:rPr>
          <w:rFonts w:hint="eastAsia" w:ascii="仿宋_GB2312" w:hAnsi="宋体" w:eastAsia="仿宋_GB2312"/>
          <w:sz w:val="32"/>
          <w:szCs w:val="32"/>
          <w:lang w:val="zh-CN"/>
        </w:rPr>
        <w:t>分，编制准确9分；预算执行25分，其中：支出控制5分，动态调整10分，执行进度10分；完成结果20分，其中：预算完成10分，违规记录10分；绩效结果运用</w:t>
      </w:r>
      <w:r>
        <w:rPr>
          <w:rFonts w:hint="eastAsia" w:ascii="仿宋_GB2312" w:hAnsi="宋体" w:eastAsia="仿宋_GB2312"/>
          <w:sz w:val="32"/>
          <w:szCs w:val="32"/>
          <w:lang w:val="en-US" w:eastAsia="zh-CN"/>
        </w:rPr>
        <w:t>19</w:t>
      </w:r>
      <w:r>
        <w:rPr>
          <w:rFonts w:hint="eastAsia" w:ascii="仿宋_GB2312" w:hAnsi="宋体" w:eastAsia="仿宋_GB2312"/>
          <w:sz w:val="32"/>
          <w:szCs w:val="32"/>
          <w:lang w:val="zh-CN"/>
        </w:rPr>
        <w:t>分，其中：自评质量</w:t>
      </w: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分，信息公开8分，整改反馈8分。</w:t>
      </w:r>
    </w:p>
    <w:p>
      <w:pPr>
        <w:adjustRightInd w:val="0"/>
        <w:snapToGrid w:val="0"/>
        <w:spacing w:line="580" w:lineRule="exact"/>
        <w:ind w:firstLine="720"/>
        <w:jc w:val="left"/>
        <w:rPr>
          <w:rFonts w:hint="eastAsia" w:ascii="仿宋_GB2312" w:hAnsi="宋体" w:eastAsia="仿宋_GB2312"/>
          <w:sz w:val="32"/>
          <w:szCs w:val="32"/>
          <w:lang w:val="zh-CN"/>
        </w:rPr>
      </w:pPr>
      <w:r>
        <w:rPr>
          <w:rFonts w:hint="eastAsia" w:ascii="仿宋_GB2312" w:hAnsi="宋体" w:eastAsia="仿宋_GB2312"/>
          <w:sz w:val="32"/>
          <w:szCs w:val="32"/>
          <w:lang w:val="zh-CN"/>
        </w:rPr>
        <w:t>（二）存在问题和建议</w:t>
      </w:r>
    </w:p>
    <w:p>
      <w:pPr>
        <w:adjustRightInd w:val="0"/>
        <w:snapToGrid w:val="0"/>
        <w:spacing w:line="580" w:lineRule="exact"/>
        <w:ind w:firstLine="720"/>
        <w:jc w:val="left"/>
        <w:rPr>
          <w:rFonts w:hint="eastAsia" w:ascii="仿宋_GB2312" w:hAnsi="宋体" w:eastAsia="仿宋_GB2312"/>
          <w:sz w:val="32"/>
          <w:szCs w:val="32"/>
        </w:rPr>
      </w:pPr>
      <w:r>
        <w:rPr>
          <w:rFonts w:hint="eastAsia" w:ascii="仿宋_GB2312" w:hAnsi="宋体" w:eastAsia="仿宋_GB2312"/>
          <w:sz w:val="32"/>
          <w:szCs w:val="32"/>
        </w:rPr>
        <w:t>1.项目资金的预算编制准确率需要提高。项目资金的预算编制应多考察、论证，提高准确率，因为和财政局机关一起办公，系统设备有共用情况，所以产生预算资金调整，在今后的预算编制中，可提前安排、划分。</w:t>
      </w:r>
    </w:p>
    <w:p>
      <w:pPr>
        <w:adjustRightInd w:val="0"/>
        <w:snapToGrid w:val="0"/>
        <w:spacing w:line="580" w:lineRule="exact"/>
        <w:ind w:firstLine="720"/>
        <w:jc w:val="left"/>
        <w:rPr>
          <w:rFonts w:hint="eastAsia" w:ascii="仿宋_GB2312" w:hAnsi="宋体" w:eastAsia="仿宋_GB2312"/>
          <w:sz w:val="32"/>
          <w:szCs w:val="32"/>
        </w:rPr>
      </w:pPr>
      <w:r>
        <w:rPr>
          <w:rFonts w:hint="eastAsia" w:ascii="仿宋_GB2312" w:hAnsi="宋体" w:eastAsia="仿宋_GB2312"/>
          <w:sz w:val="32"/>
          <w:szCs w:val="32"/>
        </w:rPr>
        <w:t>2.项目资金使用应更严格、规范，保证专款专用，严格执行政府采购等各项规章制度。</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60"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60"/>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2"/>
    </w:p>
    <w:p>
      <w:pPr>
        <w:pStyle w:val="3"/>
        <w:rPr>
          <w:rFonts w:ascii="仿宋" w:hAnsi="仿宋" w:eastAsia="仿宋"/>
          <w:color w:val="000000"/>
        </w:rPr>
      </w:pPr>
      <w:bookmarkStart w:id="63"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3"/>
    </w:p>
    <w:p>
      <w:pPr>
        <w:pStyle w:val="3"/>
        <w:rPr>
          <w:rFonts w:ascii="仿宋" w:hAnsi="仿宋" w:eastAsia="仿宋"/>
          <w:b w:val="0"/>
          <w:color w:val="000000"/>
        </w:rPr>
      </w:pPr>
      <w:bookmarkStart w:id="64"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4"/>
    </w:p>
    <w:p>
      <w:pPr>
        <w:pStyle w:val="3"/>
        <w:rPr>
          <w:rStyle w:val="26"/>
          <w:rFonts w:ascii="仿宋" w:hAnsi="仿宋" w:eastAsia="仿宋"/>
          <w:b w:val="0"/>
          <w:bCs w:val="0"/>
        </w:rPr>
      </w:pPr>
      <w:bookmarkStart w:id="65"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5"/>
      <w:bookmarkStart w:id="66"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2"/>
    </w:p>
    <w:p>
      <w:pPr>
        <w:pStyle w:val="3"/>
        <w:rPr>
          <w:rFonts w:ascii="仿宋" w:hAnsi="仿宋" w:eastAsia="仿宋"/>
          <w:color w:val="000000" w:themeColor="text1"/>
        </w:rPr>
      </w:pPr>
      <w:bookmarkStart w:id="73"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A1FBF"/>
    <w:rsid w:val="074576C6"/>
    <w:rsid w:val="086C0522"/>
    <w:rsid w:val="0C2E526F"/>
    <w:rsid w:val="10C055FF"/>
    <w:rsid w:val="13D45BE6"/>
    <w:rsid w:val="143723EB"/>
    <w:rsid w:val="16BB723D"/>
    <w:rsid w:val="1A8E72E5"/>
    <w:rsid w:val="1DBA4897"/>
    <w:rsid w:val="240371BF"/>
    <w:rsid w:val="2435418D"/>
    <w:rsid w:val="27506982"/>
    <w:rsid w:val="29FD04D3"/>
    <w:rsid w:val="2A663B77"/>
    <w:rsid w:val="2C66543F"/>
    <w:rsid w:val="2D417512"/>
    <w:rsid w:val="2E887BE3"/>
    <w:rsid w:val="2EC67B0E"/>
    <w:rsid w:val="31735AA4"/>
    <w:rsid w:val="319F7F4E"/>
    <w:rsid w:val="32F70509"/>
    <w:rsid w:val="32F83756"/>
    <w:rsid w:val="34246130"/>
    <w:rsid w:val="3EFF7A57"/>
    <w:rsid w:val="3F133125"/>
    <w:rsid w:val="47911C74"/>
    <w:rsid w:val="4E1A52CD"/>
    <w:rsid w:val="4ECE2238"/>
    <w:rsid w:val="55D8573E"/>
    <w:rsid w:val="592E4B3E"/>
    <w:rsid w:val="7112710E"/>
    <w:rsid w:val="72734D90"/>
    <w:rsid w:val="74A47B9F"/>
    <w:rsid w:val="78947117"/>
    <w:rsid w:val="7C172C26"/>
    <w:rsid w:val="7E330EEA"/>
    <w:rsid w:val="7F485E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2"/>
    <w:qFormat/>
    <w:uiPriority w:val="9"/>
    <w:rPr>
      <w:rFonts w:ascii="Times New Roman" w:hAnsi="Times New Roman"/>
      <w:b/>
      <w:bCs/>
      <w:kern w:val="44"/>
      <w:sz w:val="44"/>
      <w:szCs w:val="44"/>
    </w:rPr>
  </w:style>
  <w:style w:type="character" w:customStyle="1" w:styleId="26">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4037;&#20316;&#31807;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4037;&#20316;&#3180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4037;&#20316;&#3180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4037;&#20316;&#3180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4037;&#20316;&#31807;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4037;&#20316;&#31807;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[工作簿1.xlsx]Sheet2!$A$1:$A$2</c:f>
              <c:strCache>
                <c:ptCount val="2"/>
                <c:pt idx="0">
                  <c:v>2019年（万元）</c:v>
                </c:pt>
                <c:pt idx="1">
                  <c:v>2018年（万元）</c:v>
                </c:pt>
              </c:strCache>
            </c:strRef>
          </c:cat>
          <c:val>
            <c:numRef>
              <c:f>[工作簿1.xlsx]Sheet2!$B$1:$B$2</c:f>
              <c:numCache>
                <c:formatCode>General</c:formatCode>
                <c:ptCount val="2"/>
                <c:pt idx="0">
                  <c:v>845.83</c:v>
                </c:pt>
                <c:pt idx="1">
                  <c:v>330.46</c:v>
                </c:pt>
              </c:numCache>
            </c:numRef>
          </c:val>
        </c:ser>
        <c:dLbls>
          <c:showLegendKey val="0"/>
          <c:showVal val="0"/>
          <c:showCatName val="0"/>
          <c:showSerName val="0"/>
          <c:showPercent val="0"/>
          <c:showBubbleSize val="0"/>
        </c:dLbls>
        <c:gapWidth val="219"/>
        <c:overlap val="-27"/>
        <c:axId val="430102059"/>
        <c:axId val="86343767"/>
      </c:barChart>
      <c:catAx>
        <c:axId val="4301020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43767"/>
        <c:crosses val="autoZero"/>
        <c:auto val="1"/>
        <c:lblAlgn val="ctr"/>
        <c:lblOffset val="100"/>
        <c:noMultiLvlLbl val="0"/>
      </c:catAx>
      <c:valAx>
        <c:axId val="86343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1020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[工作簿1.xlsx]Sheet2!$A$9</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dLbl>
              <c:idx val="0"/>
              <c:layout>
                <c:manualLayout>
                  <c:x val="-0.0297234160568664"/>
                  <c:y val="-0.2904096475434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一般公共预算财政拨款收入</a:t>
                    </a:r>
                    <a:endParaRPr lang="en-US" altLang="zh-CN"/>
                  </a:p>
                  <a:p>
                    <a:pPr defTabSz="914400">
                      <a:defRPr lang="zh-CN" sz="900" b="0" i="0" u="none" strike="noStrike" kern="1200" baseline="0">
                        <a:solidFill>
                          <a:schemeClr val="tx1">
                            <a:lumMod val="75000"/>
                            <a:lumOff val="25000"/>
                          </a:schemeClr>
                        </a:solidFill>
                        <a:latin typeface="+mn-lt"/>
                        <a:ea typeface="+mn-ea"/>
                        <a:cs typeface="+mn-cs"/>
                      </a:defRPr>
                    </a:pPr>
                    <a:r>
                      <a:rPr lang="en-US" altLang="zh-CN"/>
                      <a:t>845.83</a:t>
                    </a:r>
                    <a:r>
                      <a:t>万元</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32310086292262"/>
                      <c:h val="0.233333333333333"/>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[工作簿1.xlsx]Sheet2!$B$9</c:f>
              <c:numCache>
                <c:formatCode>General</c:formatCode>
                <c:ptCount val="1"/>
                <c:pt idx="0">
                  <c:v>845.83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[工作簿1.xlsx]Sheet2!$A$28:$A$29</c:f>
              <c:strCache>
                <c:ptCount val="2"/>
                <c:pt idx="0">
                  <c:v>基本支出（万元）</c:v>
                </c:pt>
                <c:pt idx="1">
                  <c:v>项目支出（万元）</c:v>
                </c:pt>
              </c:strCache>
            </c:strRef>
          </c:cat>
          <c:val>
            <c:numRef>
              <c:f>[工作簿1.xlsx]Sheet2!$B$28:$B$29</c:f>
              <c:numCache>
                <c:formatCode>General</c:formatCode>
                <c:ptCount val="2"/>
                <c:pt idx="0">
                  <c:v>169.92</c:v>
                </c:pt>
                <c:pt idx="1">
                  <c:v>675.91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[工作簿1.xlsx]Sheet2!$A$1:$A$2</c:f>
              <c:strCache>
                <c:ptCount val="2"/>
                <c:pt idx="0">
                  <c:v>2019年（万元）</c:v>
                </c:pt>
                <c:pt idx="1">
                  <c:v>2018年（万元）</c:v>
                </c:pt>
              </c:strCache>
            </c:strRef>
          </c:cat>
          <c:val>
            <c:numRef>
              <c:f>[工作簿1.xlsx]Sheet2!$B$1:$B$2</c:f>
              <c:numCache>
                <c:formatCode>General</c:formatCode>
                <c:ptCount val="2"/>
                <c:pt idx="0">
                  <c:v>845.83</c:v>
                </c:pt>
                <c:pt idx="1">
                  <c:v>330.46</c:v>
                </c:pt>
              </c:numCache>
            </c:numRef>
          </c:val>
        </c:ser>
        <c:dLbls>
          <c:showLegendKey val="0"/>
          <c:showVal val="0"/>
          <c:showCatName val="0"/>
          <c:showSerName val="0"/>
          <c:showPercent val="0"/>
          <c:showBubbleSize val="0"/>
        </c:dLbls>
        <c:gapWidth val="219"/>
        <c:overlap val="-27"/>
        <c:axId val="430102059"/>
        <c:axId val="86343767"/>
      </c:barChart>
      <c:catAx>
        <c:axId val="4301020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43767"/>
        <c:crosses val="autoZero"/>
        <c:auto val="1"/>
        <c:lblAlgn val="ctr"/>
        <c:lblOffset val="100"/>
        <c:noMultiLvlLbl val="0"/>
      </c:catAx>
      <c:valAx>
        <c:axId val="86343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1020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[工作簿1.xlsx]Sheet2!$A$1:$A$2</c:f>
              <c:strCache>
                <c:ptCount val="2"/>
                <c:pt idx="0">
                  <c:v>2019年（万元）</c:v>
                </c:pt>
                <c:pt idx="1">
                  <c:v>2018年（万元）</c:v>
                </c:pt>
              </c:strCache>
            </c:strRef>
          </c:cat>
          <c:val>
            <c:numRef>
              <c:f>[工作簿1.xlsx]Sheet2!$B$1:$B$2</c:f>
              <c:numCache>
                <c:formatCode>General</c:formatCode>
                <c:ptCount val="2"/>
                <c:pt idx="0">
                  <c:v>845.83</c:v>
                </c:pt>
                <c:pt idx="1">
                  <c:v>330.46</c:v>
                </c:pt>
              </c:numCache>
            </c:numRef>
          </c:val>
        </c:ser>
        <c:dLbls>
          <c:showLegendKey val="0"/>
          <c:showVal val="0"/>
          <c:showCatName val="0"/>
          <c:showSerName val="0"/>
          <c:showPercent val="0"/>
          <c:showBubbleSize val="0"/>
        </c:dLbls>
        <c:gapWidth val="219"/>
        <c:overlap val="-27"/>
        <c:axId val="430102059"/>
        <c:axId val="86343767"/>
      </c:barChart>
      <c:catAx>
        <c:axId val="4301020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43767"/>
        <c:crosses val="autoZero"/>
        <c:auto val="1"/>
        <c:lblAlgn val="ctr"/>
        <c:lblOffset val="100"/>
        <c:noMultiLvlLbl val="0"/>
      </c:catAx>
      <c:valAx>
        <c:axId val="86343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1020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607413111503969"/>
                  <c:y val="0.03825896533120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45867221382753"/>
                  <c:y val="0.00494293162006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[工作簿1.xlsx]Sheet2!$A$33:$A$36</c:f>
              <c:strCache>
                <c:ptCount val="4"/>
                <c:pt idx="0">
                  <c:v>一般公共服务（类）（万元）</c:v>
                </c:pt>
                <c:pt idx="1">
                  <c:v>社会保障和就业（类）（万元）</c:v>
                </c:pt>
                <c:pt idx="2">
                  <c:v>卫生健康（类）（万元）</c:v>
                </c:pt>
                <c:pt idx="3">
                  <c:v>住房保障支出（万元）</c:v>
                </c:pt>
              </c:strCache>
            </c:strRef>
          </c:cat>
          <c:val>
            <c:numRef>
              <c:f>[工作簿1.xlsx]Sheet2!$B$33:$B$36</c:f>
              <c:numCache>
                <c:formatCode>General</c:formatCode>
                <c:ptCount val="4"/>
                <c:pt idx="0">
                  <c:v>204.04</c:v>
                </c:pt>
                <c:pt idx="1">
                  <c:v>622.11</c:v>
                </c:pt>
                <c:pt idx="2">
                  <c:v>4.33</c:v>
                </c:pt>
                <c:pt idx="3">
                  <c:v>15.35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184444444444444"/>
          <c:y val="0.03333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133333333333333"/>
                  <c:y val="0.00833333333333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7607582320822"/>
                  <c:y val="0.01883320714959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[工作簿1.xlsx]Sheet2!$A$49:$A$51</c:f>
              <c:strCache>
                <c:ptCount val="3"/>
                <c:pt idx="0">
                  <c:v>因公出国（境）经费（万元）</c:v>
                </c:pt>
                <c:pt idx="1">
                  <c:v>公务用车购置及运行维护费（万元）</c:v>
                </c:pt>
                <c:pt idx="2">
                  <c:v>公务接待费（万元）</c:v>
                </c:pt>
              </c:strCache>
            </c:strRef>
          </c:cat>
          <c:val>
            <c:numRef>
              <c:f>[工作簿1.xlsx]Sheet2!$B$49:$B$51</c:f>
              <c:numCache>
                <c:formatCode>General</c:formatCode>
                <c:ptCount val="3"/>
                <c:pt idx="0">
                  <c:v>0</c:v>
                </c:pt>
                <c:pt idx="1">
                  <c:v>4</c:v>
                </c:pt>
                <c:pt idx="2">
                  <c:v>0.06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882638888888889"/>
          <c:y val="0.83981481481481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118</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2020-10-29T06:06:24Z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