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黑体" w:hAnsi="黑体" w:eastAsia="黑体"/>
          <w:color w:val="000000"/>
          <w:sz w:val="72"/>
          <w:szCs w:val="72"/>
        </w:rPr>
      </w:pPr>
      <w:bookmarkStart w:id="0" w:name="_Toc15378441"/>
      <w:bookmarkStart w:id="1" w:name="_Toc15377425"/>
      <w:bookmarkStart w:id="2" w:name="_Toc15396597"/>
      <w:bookmarkStart w:id="3" w:name="_Toc15396475"/>
      <w:bookmarkStart w:id="4" w:name="_Toc15377193"/>
    </w:p>
    <w:p>
      <w:pPr>
        <w:adjustRightInd w:val="0"/>
        <w:snapToGrid w:val="0"/>
        <w:spacing w:line="360" w:lineRule="auto"/>
        <w:jc w:val="center"/>
        <w:outlineLvl w:val="0"/>
        <w:rPr>
          <w:rFonts w:ascii="黑体" w:hAnsi="黑体" w:eastAsia="黑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5" w:name="_Toc15378442"/>
      <w:bookmarkStart w:id="6" w:name="_Toc15396476"/>
      <w:bookmarkStart w:id="7" w:name="_Toc15377426"/>
      <w:bookmarkStart w:id="8" w:name="_Toc15396598"/>
      <w:bookmarkStart w:id="9" w:name="_Toc15377194"/>
      <w:r>
        <w:rPr>
          <w:rFonts w:hint="eastAsia" w:ascii="方正小标宋简体" w:hAnsi="宋体" w:eastAsia="方正小标宋简体"/>
          <w:color w:val="000000"/>
          <w:sz w:val="72"/>
          <w:szCs w:val="72"/>
        </w:rPr>
        <w:t>四川省</w:t>
      </w:r>
      <w:bookmarkStart w:id="10" w:name="_Toc15306268"/>
      <w:r>
        <w:rPr>
          <w:rFonts w:hint="eastAsia" w:ascii="方正小标宋简体" w:hAnsi="宋体" w:eastAsia="方正小标宋简体"/>
          <w:color w:val="000000"/>
          <w:sz w:val="72"/>
          <w:szCs w:val="72"/>
          <w:lang w:eastAsia="zh-CN"/>
        </w:rPr>
        <w:t>峨眉山市</w:t>
      </w:r>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国库支付中心</w:t>
      </w:r>
      <w:r>
        <w:rPr>
          <w:rFonts w:hint="eastAsia" w:ascii="方正小标宋简体" w:hAnsi="宋体" w:eastAsia="方正小标宋简体"/>
          <w:color w:val="000000"/>
          <w:sz w:val="72"/>
          <w:szCs w:val="72"/>
        </w:rPr>
        <w:t>决算</w:t>
      </w:r>
      <w:bookmarkEnd w:id="5"/>
      <w:bookmarkEnd w:id="6"/>
      <w:bookmarkEnd w:id="7"/>
      <w:bookmarkEnd w:id="8"/>
      <w:bookmarkEnd w:id="9"/>
      <w:bookmarkEnd w:id="10"/>
    </w:p>
    <w:p>
      <w:pPr>
        <w:adjustRightInd w:val="0"/>
        <w:snapToGrid w:val="0"/>
        <w:spacing w:line="360" w:lineRule="auto"/>
        <w:jc w:val="center"/>
        <w:outlineLvl w:val="0"/>
        <w:rPr>
          <w:rFonts w:hint="eastAsia"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Pr>
        <w:widowControl/>
        <w:jc w:val="center"/>
        <w:rPr>
          <w:rFonts w:ascii="黑体" w:hAnsi="黑体" w:eastAsia="黑体" w:cstheme="minorBidi"/>
          <w:sz w:val="28"/>
          <w:szCs w:val="28"/>
        </w:rPr>
      </w:pPr>
    </w:p>
    <w:p>
      <w:pPr>
        <w:pStyle w:val="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公开时间：2020年</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29</w:t>
      </w:r>
      <w:r>
        <w:rPr>
          <w:rFonts w:hint="eastAsia" w:ascii="仿宋_GB2312" w:hAnsi="仿宋_GB2312" w:eastAsia="仿宋_GB2312" w:cs="仿宋_GB2312"/>
          <w:sz w:val="24"/>
          <w:szCs w:val="24"/>
        </w:rPr>
        <w:t>日</w:t>
      </w:r>
    </w:p>
    <w:p>
      <w:pPr>
        <w:rPr>
          <w:rFonts w:hint="eastAsia" w:ascii="仿宋_GB2312" w:hAnsi="仿宋_GB2312" w:eastAsia="仿宋_GB2312" w:cs="仿宋_GB2312"/>
          <w:sz w:val="24"/>
          <w:szCs w:val="24"/>
        </w:rPr>
      </w:pPr>
    </w:p>
    <w:p>
      <w:pPr>
        <w:pStyle w:val="7"/>
        <w:adjustRightInd w:val="0"/>
        <w:snapToGrid w:val="0"/>
        <w:spacing w:before="0" w:line="440" w:lineRule="exact"/>
        <w:jc w:val="left"/>
        <w:rPr>
          <w:rFonts w:hint="eastAsia" w:ascii="黑体" w:hAnsi="黑体" w:eastAsia="黑体" w:cs="黑体"/>
          <w:sz w:val="24"/>
          <w:szCs w:val="24"/>
        </w:rPr>
      </w:pPr>
      <w:r>
        <w:rPr>
          <w:rFonts w:hint="eastAsia" w:ascii="黑体" w:hAnsi="黑体" w:eastAsia="黑体" w:cs="黑体"/>
          <w:sz w:val="24"/>
          <w:szCs w:val="24"/>
        </w:rPr>
        <w:t>第一部分 部门概况</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一、基本职能及主要工作</w:t>
      </w:r>
    </w:p>
    <w:p>
      <w:pPr>
        <w:pStyle w:val="8"/>
        <w:numPr>
          <w:ilvl w:val="0"/>
          <w:numId w:val="1"/>
        </w:numPr>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机构设置</w:t>
      </w:r>
    </w:p>
    <w:p>
      <w:pPr>
        <w:widowControl/>
        <w:adjustRightInd w:val="0"/>
        <w:snapToGrid w:val="0"/>
        <w:spacing w:line="580" w:lineRule="exact"/>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第二部分度部门决算情况说明</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一、收入支出决算总体情况说明</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二、收入决算情况说明</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三、支出决算情况说明</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四、财政拨款收入支出决算总体情况说明</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五、一般公共预算财政拨款支出决算情况说明</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六、一般公共预算财政拨款基本支出决算情况说明</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七、“三公”经费财政拨款支出决算情况说明</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八、政府性基金预算支出决算情况说明</w:t>
      </w:r>
    </w:p>
    <w:p>
      <w:pPr>
        <w:pStyle w:val="8"/>
        <w:adjustRightInd w:val="0"/>
        <w:snapToGrid w:val="0"/>
        <w:spacing w:line="440" w:lineRule="exact"/>
        <w:ind w:lef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 国有资本经营预算支出决算情况说明</w:t>
      </w:r>
    </w:p>
    <w:p>
      <w:pPr>
        <w:adjustRightInd w:val="0"/>
        <w:snapToGrid w:val="0"/>
        <w:spacing w:line="440" w:lineRule="exact"/>
        <w:ind w:firstLine="480" w:firstLineChars="200"/>
        <w:jc w:val="left"/>
        <w:rPr>
          <w:rFonts w:hint="eastAsia" w:ascii="仿宋_GB2312" w:hAnsi="仿宋_GB2312" w:eastAsia="仿宋_GB2312" w:cs="仿宋_GB2312"/>
          <w:sz w:val="24"/>
          <w:szCs w:val="24"/>
        </w:rPr>
      </w:pPr>
      <w:r>
        <w:rPr>
          <w:rStyle w:val="12"/>
          <w:rFonts w:hint="eastAsia" w:ascii="仿宋_GB2312" w:hAnsi="仿宋_GB2312" w:eastAsia="仿宋_GB2312" w:cs="仿宋_GB2312"/>
          <w:color w:val="000000" w:themeColor="text1"/>
          <w:sz w:val="24"/>
          <w:szCs w:val="24"/>
          <w:u w:val="none"/>
          <w14:textFill>
            <w14:solidFill>
              <w14:schemeClr w14:val="tx1"/>
            </w14:solidFill>
          </w14:textFill>
        </w:rPr>
        <w:t>十、</w:t>
      </w:r>
      <w:r>
        <w:rPr>
          <w:rFonts w:hint="eastAsia" w:ascii="仿宋_GB2312" w:hAnsi="仿宋_GB2312" w:eastAsia="仿宋_GB2312" w:cs="仿宋_GB2312"/>
          <w:sz w:val="24"/>
          <w:szCs w:val="24"/>
        </w:rPr>
        <w:t>其他重要事项的情况说明</w:t>
      </w:r>
      <w:r>
        <w:rPr>
          <w:rFonts w:hint="eastAsia" w:ascii="仿宋_GB2312" w:hAnsi="仿宋_GB2312" w:eastAsia="仿宋_GB2312" w:cs="仿宋_GB2312"/>
          <w:sz w:val="24"/>
          <w:szCs w:val="24"/>
        </w:rPr>
        <w:tab/>
      </w:r>
    </w:p>
    <w:p>
      <w:pPr>
        <w:pStyle w:val="7"/>
        <w:adjustRightInd w:val="0"/>
        <w:snapToGrid w:val="0"/>
        <w:spacing w:before="0" w:line="440" w:lineRule="exact"/>
        <w:jc w:val="left"/>
        <w:rPr>
          <w:rFonts w:hint="eastAsia" w:ascii="黑体" w:hAnsi="黑体" w:eastAsia="黑体" w:cs="黑体"/>
          <w:sz w:val="24"/>
          <w:szCs w:val="24"/>
        </w:rPr>
      </w:pPr>
      <w:r>
        <w:rPr>
          <w:rFonts w:hint="eastAsia" w:ascii="黑体" w:hAnsi="黑体" w:eastAsia="黑体" w:cs="黑体"/>
          <w:sz w:val="24"/>
          <w:szCs w:val="24"/>
        </w:rPr>
        <w:t>第三部分 名词解释</w:t>
      </w:r>
    </w:p>
    <w:p>
      <w:pPr>
        <w:pStyle w:val="7"/>
        <w:adjustRightInd w:val="0"/>
        <w:snapToGrid w:val="0"/>
        <w:spacing w:before="0" w:line="440" w:lineRule="exact"/>
        <w:jc w:val="left"/>
        <w:rPr>
          <w:rFonts w:hint="eastAsia" w:ascii="黑体" w:hAnsi="黑体" w:eastAsia="黑体" w:cs="黑体"/>
          <w:sz w:val="24"/>
          <w:szCs w:val="24"/>
        </w:rPr>
      </w:pPr>
      <w:r>
        <w:rPr>
          <w:rFonts w:hint="eastAsia" w:ascii="黑体" w:hAnsi="黑体" w:eastAsia="黑体" w:cs="黑体"/>
          <w:sz w:val="24"/>
          <w:szCs w:val="24"/>
        </w:rPr>
        <w:t>第四部分 附件</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w:t>
      </w:r>
    </w:p>
    <w:p>
      <w:pPr>
        <w:pStyle w:val="7"/>
        <w:adjustRightInd w:val="0"/>
        <w:snapToGrid w:val="0"/>
        <w:spacing w:before="0" w:line="440" w:lineRule="exact"/>
        <w:jc w:val="left"/>
        <w:rPr>
          <w:rFonts w:hint="eastAsia" w:ascii="黑体" w:hAnsi="黑体" w:eastAsia="黑体" w:cs="黑体"/>
          <w:sz w:val="24"/>
          <w:szCs w:val="24"/>
        </w:rPr>
      </w:pPr>
      <w:r>
        <w:rPr>
          <w:rFonts w:hint="eastAsia" w:ascii="黑体" w:hAnsi="黑体" w:eastAsia="黑体" w:cs="黑体"/>
          <w:sz w:val="24"/>
          <w:szCs w:val="24"/>
        </w:rPr>
        <w:t>第五部分 附表</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一、收入支出决算总表</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二、收入决算表</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三、支出决算表</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四、财政拨款收入支出决算总表</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五、财政拨款支出决算明细表</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六、一般公共预算财政拨款支出决算表</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七、一般公共预算财政拨款支出决算明细表</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八、一般公共预算财政拨款基本支出决算表</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九、一般公共预算财政拨款项目支出决算表</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十、一般公共预算财政拨款“三公”经费支出决算表</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十一、政府性基金预算财政拨款收入支出决算表</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十二、政府性基金预算财政拨款“三公”经费支出决算表</w:t>
      </w:r>
    </w:p>
    <w:p>
      <w:pPr>
        <w:pStyle w:val="8"/>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十三、国有资本经营预算支出决算表</w:t>
      </w:r>
    </w:p>
    <w:p>
      <w:pPr>
        <w:widowControl/>
        <w:spacing w:line="440" w:lineRule="exact"/>
        <w:jc w:val="left"/>
        <w:rPr>
          <w:rFonts w:ascii="仿宋" w:hAnsi="仿宋" w:eastAsia="仿宋"/>
          <w:bCs/>
          <w:kern w:val="44"/>
          <w:sz w:val="24"/>
        </w:rPr>
      </w:pPr>
      <w:bookmarkStart w:id="11" w:name="_Toc15377196"/>
      <w:bookmarkStart w:id="12" w:name="_Toc15396599"/>
      <w:r>
        <w:rPr>
          <w:rFonts w:ascii="仿宋" w:hAnsi="仿宋" w:eastAsia="仿宋"/>
          <w:b/>
          <w:sz w:val="24"/>
        </w:rPr>
        <w:br w:type="page"/>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第一部分 部门概况</w:t>
      </w:r>
      <w:bookmarkEnd w:id="11"/>
      <w:bookmarkEnd w:id="12"/>
    </w:p>
    <w:p>
      <w:pPr>
        <w:keepNext w:val="0"/>
        <w:keepLines w:val="0"/>
        <w:pageBreakBefore w:val="0"/>
        <w:widowControl w:val="0"/>
        <w:kinsoku/>
        <w:wordWrap/>
        <w:overflowPunct/>
        <w:topLinePunct w:val="0"/>
        <w:autoSpaceDE/>
        <w:autoSpaceDN/>
        <w:bidi w:val="0"/>
        <w:spacing w:line="600" w:lineRule="exact"/>
        <w:textAlignment w:val="auto"/>
        <w:rPr>
          <w:rFonts w:hint="eastAsia" w:ascii="方正小标宋_GBK" w:hAnsi="方正小标宋_GBK" w:eastAsia="方正小标宋_GBK" w:cs="方正小标宋_GBK"/>
          <w:b/>
          <w:bCs/>
          <w:sz w:val="44"/>
          <w:szCs w:val="44"/>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rPr>
      </w:pPr>
      <w:bookmarkStart w:id="13" w:name="_Toc15396600"/>
      <w:bookmarkStart w:id="14" w:name="_Toc15377197"/>
      <w:r>
        <w:rPr>
          <w:rFonts w:hint="eastAsia" w:ascii="黑体" w:hAnsi="黑体" w:eastAsia="黑体" w:cs="黑体"/>
          <w:b w:val="0"/>
          <w:bCs w:val="0"/>
          <w:sz w:val="32"/>
          <w:szCs w:val="32"/>
        </w:rPr>
        <w:t>一、基本职能及主要工作</w:t>
      </w:r>
      <w:bookmarkEnd w:id="13"/>
      <w:bookmarkEnd w:id="1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15" w:name="_Toc15378445"/>
      <w:bookmarkStart w:id="16" w:name="_Toc15377198"/>
      <w:r>
        <w:rPr>
          <w:rFonts w:hint="eastAsia" w:ascii="楷体_GB2312" w:hAnsi="楷体_GB2312" w:eastAsia="楷体_GB2312" w:cs="楷体_GB2312"/>
          <w:sz w:val="32"/>
          <w:szCs w:val="32"/>
        </w:rPr>
        <w:t>（一）主要职能</w:t>
      </w:r>
      <w:bookmarkEnd w:id="15"/>
      <w:bookmarkEnd w:id="16"/>
      <w:bookmarkStart w:id="17" w:name="_Toc15377199"/>
      <w:bookmarkStart w:id="18" w:name="_Toc1537844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库集中支付改革要求，办理财政资金直接支付业务；严格按《预算法》进行预算执行动态监控管理工作，以实时监控、跟踪问效为手段，及时预警信息进行处理，保证财政资金安全、有效使用，规范单位支付行；统一管理单位代管资金，认真做好代管资金收支管理，规范代管资金支付流程，建立对账制度，严控大额现金支出，有效保障代管资金安全、合规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（二）2019年重点工作完成情况</w:t>
      </w:r>
      <w:bookmarkEnd w:id="17"/>
      <w:bookmarkEnd w:id="1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眉山市国库支付中心全年完成财政直接支付工资、政府工程款项等5511笔，金额合计473793.29万元；代管全市财政资金759.19万元，清理存量资金借款363.00万元；执行动态监控3321笔预警、违规支付业务，金额共计6466.61万元，保证了财政资金使用合法合规。与会计法规股一起组织了全市机关事业单位《政府会计制度》培训，保证新旧制度正常对接，新制度正常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9" w:name="_Toc15377200"/>
      <w:bookmarkStart w:id="20" w:name="_Toc15396601"/>
      <w:r>
        <w:rPr>
          <w:rFonts w:hint="eastAsia" w:ascii="黑体" w:hAnsi="黑体" w:eastAsia="黑体" w:cs="黑体"/>
          <w:sz w:val="32"/>
          <w:szCs w:val="32"/>
          <w:lang w:eastAsia="zh-CN"/>
        </w:rPr>
        <w:t>二、</w:t>
      </w:r>
      <w:r>
        <w:rPr>
          <w:rFonts w:hint="eastAsia" w:ascii="黑体" w:hAnsi="黑体" w:eastAsia="黑体" w:cs="黑体"/>
          <w:sz w:val="32"/>
          <w:szCs w:val="32"/>
        </w:rPr>
        <w:t>机构设置</w:t>
      </w:r>
      <w:bookmarkEnd w:id="19"/>
      <w:bookmarkEnd w:id="2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峨眉山市国库支付中心为峨眉山市财政局下属参照公务员法管理的事业单位。截止2019年12月参照公务员法管理的人员编制为29人，实际人数为26人，比2018年减少2人，原因为：退休2人。</w:t>
      </w:r>
      <w:bookmarkStart w:id="21" w:name="_Toc15396602"/>
      <w:bookmarkStart w:id="22" w:name="_Toc15377204"/>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2019年度部门决算情况说明</w:t>
      </w:r>
      <w:bookmarkEnd w:id="21"/>
      <w:bookmarkEnd w:id="2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rPr>
      </w:pPr>
    </w:p>
    <w:p>
      <w:pPr>
        <w:pStyle w:val="15"/>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600" w:lineRule="exact"/>
        <w:ind w:leftChars="0" w:firstLine="640" w:firstLineChars="200"/>
        <w:textAlignment w:val="auto"/>
        <w:outlineLvl w:val="1"/>
        <w:rPr>
          <w:rStyle w:val="14"/>
          <w:rFonts w:hint="eastAsia" w:ascii="黑体" w:hAnsi="黑体" w:eastAsia="黑体" w:cs="黑体"/>
          <w:b w:val="0"/>
          <w:sz w:val="32"/>
          <w:szCs w:val="32"/>
        </w:rPr>
      </w:pPr>
      <w:bookmarkStart w:id="23" w:name="_Toc15396603"/>
      <w:bookmarkStart w:id="24" w:name="_Toc15377205"/>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收</w:t>
      </w:r>
      <w:r>
        <w:rPr>
          <w:rStyle w:val="14"/>
          <w:rFonts w:hint="eastAsia" w:ascii="黑体" w:hAnsi="黑体" w:eastAsia="黑体" w:cs="黑体"/>
          <w:b w:val="0"/>
          <w:sz w:val="32"/>
          <w:szCs w:val="32"/>
        </w:rPr>
        <w:t>入支出决算总体情况说明</w:t>
      </w:r>
      <w:bookmarkEnd w:id="23"/>
      <w:bookmarkEnd w:id="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2019年度收</w:t>
      </w:r>
      <w:r>
        <w:rPr>
          <w:rFonts w:hint="eastAsia" w:ascii="仿宋_GB2312" w:hAnsi="仿宋_GB2312" w:eastAsia="仿宋_GB2312" w:cs="仿宋_GB2312"/>
          <w:color w:val="000000"/>
          <w:sz w:val="32"/>
          <w:szCs w:val="32"/>
          <w:lang w:eastAsia="zh-CN"/>
        </w:rPr>
        <w:t>入总计</w:t>
      </w:r>
      <w:r>
        <w:rPr>
          <w:rFonts w:hint="eastAsia" w:ascii="仿宋_GB2312" w:hAnsi="仿宋_GB2312" w:eastAsia="仿宋_GB2312" w:cs="仿宋_GB2312"/>
          <w:color w:val="000000"/>
          <w:sz w:val="32"/>
          <w:szCs w:val="32"/>
          <w:lang w:val="en-US" w:eastAsia="zh-CN"/>
        </w:rPr>
        <w:t>417.56万元，</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rPr>
        <w:t>总计</w:t>
      </w:r>
      <w:r>
        <w:rPr>
          <w:rFonts w:hint="eastAsia" w:ascii="仿宋_GB2312" w:hAnsi="仿宋_GB2312" w:eastAsia="仿宋_GB2312" w:cs="仿宋_GB2312"/>
          <w:color w:val="000000"/>
          <w:sz w:val="32"/>
          <w:szCs w:val="32"/>
          <w:lang w:val="en-US" w:eastAsia="zh-CN"/>
        </w:rPr>
        <w:t>418.56</w:t>
      </w:r>
      <w:r>
        <w:rPr>
          <w:rFonts w:hint="eastAsia" w:ascii="仿宋_GB2312" w:hAnsi="仿宋_GB2312" w:eastAsia="仿宋_GB2312" w:cs="仿宋_GB2312"/>
          <w:color w:val="000000"/>
          <w:sz w:val="32"/>
          <w:szCs w:val="32"/>
        </w:rPr>
        <w:t>万元。与2018年相比，收、支总计各减少</w:t>
      </w:r>
      <w:r>
        <w:rPr>
          <w:rFonts w:hint="eastAsia" w:ascii="仿宋_GB2312" w:hAnsi="仿宋_GB2312" w:eastAsia="仿宋_GB2312" w:cs="仿宋_GB2312"/>
          <w:color w:val="000000"/>
          <w:sz w:val="32"/>
          <w:szCs w:val="32"/>
          <w:lang w:val="en-US" w:eastAsia="zh-CN"/>
        </w:rPr>
        <w:t>46.93和45.24</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10.10%和9.75%</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人员退休，项目支出减少。</w:t>
      </w:r>
    </w:p>
    <w:p>
      <w:pPr>
        <w:spacing w:line="600" w:lineRule="exact"/>
        <w:ind w:firstLine="640" w:firstLineChars="200"/>
        <w:jc w:val="left"/>
        <w:rPr>
          <w:rFonts w:ascii="仿宋_GB2312" w:eastAsia="仿宋_GB2312"/>
          <w:color w:val="000000"/>
          <w:sz w:val="32"/>
          <w:szCs w:val="32"/>
        </w:rPr>
      </w:pPr>
      <w:r>
        <w:rPr>
          <w:rFonts w:hint="eastAsia" w:ascii="仿宋_GB2312" w:hAnsi="仿宋_GB2312" w:eastAsia="仿宋_GB2312" w:cs="仿宋_GB2312"/>
          <w:sz w:val="32"/>
          <w:szCs w:val="32"/>
        </w:rPr>
        <w:drawing>
          <wp:anchor distT="0" distB="0" distL="114300" distR="114300" simplePos="0" relativeHeight="251658240" behindDoc="0" locked="0" layoutInCell="1" allowOverlap="1">
            <wp:simplePos x="0" y="0"/>
            <wp:positionH relativeFrom="column">
              <wp:posOffset>579755</wp:posOffset>
            </wp:positionH>
            <wp:positionV relativeFrom="paragraph">
              <wp:posOffset>97790</wp:posOffset>
            </wp:positionV>
            <wp:extent cx="4324985" cy="2115185"/>
            <wp:effectExtent l="5080" t="4445" r="13335" b="13970"/>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（图1：收、支决算总计变动情况图）</w:t>
      </w:r>
    </w:p>
    <w:p>
      <w:pPr>
        <w:pStyle w:val="15"/>
        <w:keepNext w:val="0"/>
        <w:keepLines w:val="0"/>
        <w:pageBreakBefore w:val="0"/>
        <w:widowControl w:val="0"/>
        <w:numPr>
          <w:ilvl w:val="0"/>
          <w:numId w:val="0"/>
        </w:numPr>
        <w:tabs>
          <w:tab w:val="left" w:pos="625"/>
        </w:tabs>
        <w:kinsoku/>
        <w:wordWrap/>
        <w:overflowPunct/>
        <w:topLinePunct w:val="0"/>
        <w:autoSpaceDE/>
        <w:autoSpaceDN/>
        <w:bidi w:val="0"/>
        <w:adjustRightInd/>
        <w:snapToGrid/>
        <w:spacing w:line="600" w:lineRule="exact"/>
        <w:ind w:firstLine="640" w:firstLineChars="200"/>
        <w:textAlignment w:val="auto"/>
        <w:outlineLvl w:val="1"/>
        <w:rPr>
          <w:rStyle w:val="14"/>
          <w:rFonts w:ascii="黑体" w:hAnsi="黑体" w:eastAsia="黑体"/>
          <w:b w:val="0"/>
        </w:rPr>
      </w:pPr>
      <w:bookmarkStart w:id="25" w:name="_Toc15396604"/>
      <w:bookmarkStart w:id="26"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14"/>
          <w:rFonts w:hint="eastAsia" w:ascii="黑体" w:hAnsi="黑体" w:eastAsia="黑体"/>
          <w:b w:val="0"/>
        </w:rPr>
        <w:t>入决算情况说明</w:t>
      </w:r>
      <w:bookmarkEnd w:id="25"/>
      <w:bookmarkEnd w:id="2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2019年本年收入合计</w:t>
      </w:r>
      <w:r>
        <w:rPr>
          <w:rFonts w:hint="eastAsia" w:ascii="仿宋_GB2312" w:hAnsi="仿宋_GB2312" w:eastAsia="仿宋_GB2312" w:cs="仿宋_GB2312"/>
          <w:color w:val="000000"/>
          <w:sz w:val="32"/>
          <w:szCs w:val="32"/>
          <w:lang w:val="en-US" w:eastAsia="zh-CN"/>
        </w:rPr>
        <w:t>417.56</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417.56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spacing w:line="600" w:lineRule="exact"/>
        <w:ind w:firstLine="420" w:firstLineChars="200"/>
        <w:outlineLvl w:val="1"/>
        <w:rPr>
          <w:rFonts w:hint="eastAsia" w:ascii="仿宋" w:hAnsi="仿宋" w:eastAsia="仿宋"/>
          <w:color w:val="000000"/>
          <w:sz w:val="32"/>
          <w:szCs w:val="32"/>
        </w:rPr>
      </w:pPr>
      <w:r>
        <w:drawing>
          <wp:anchor distT="0" distB="0" distL="114300" distR="114300" simplePos="0" relativeHeight="251659264" behindDoc="0" locked="0" layoutInCell="1" allowOverlap="1">
            <wp:simplePos x="0" y="0"/>
            <wp:positionH relativeFrom="column">
              <wp:posOffset>633095</wp:posOffset>
            </wp:positionH>
            <wp:positionV relativeFrom="paragraph">
              <wp:posOffset>8255</wp:posOffset>
            </wp:positionV>
            <wp:extent cx="4342765" cy="1981835"/>
            <wp:effectExtent l="4445" t="4445" r="15240" b="13970"/>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（图2：收入决算结构图）</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4"/>
          <w:rFonts w:hint="eastAsia" w:ascii="黑体" w:hAnsi="黑体" w:eastAsia="黑体" w:cs="黑体"/>
          <w:b w:val="0"/>
        </w:rPr>
      </w:pPr>
      <w:bookmarkStart w:id="27" w:name="_Toc15396605"/>
      <w:bookmarkStart w:id="28" w:name="_Toc15377207"/>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支</w:t>
      </w:r>
      <w:r>
        <w:rPr>
          <w:rStyle w:val="14"/>
          <w:rFonts w:hint="eastAsia" w:ascii="黑体" w:hAnsi="黑体" w:eastAsia="黑体" w:cs="黑体"/>
          <w:b w:val="0"/>
        </w:rPr>
        <w:t>出决算情况说明</w:t>
      </w:r>
      <w:bookmarkEnd w:id="27"/>
      <w:bookmarkEnd w:id="2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2019年本年支出合计</w:t>
      </w:r>
      <w:r>
        <w:rPr>
          <w:rFonts w:hint="eastAsia" w:ascii="仿宋_GB2312" w:hAnsi="仿宋_GB2312" w:eastAsia="仿宋_GB2312" w:cs="仿宋_GB2312"/>
          <w:color w:val="000000"/>
          <w:sz w:val="32"/>
          <w:szCs w:val="32"/>
          <w:lang w:val="en-US" w:eastAsia="zh-CN"/>
        </w:rPr>
        <w:t>418.56</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411.26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98.26</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7.30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1.74</w:t>
      </w:r>
      <w:r>
        <w:rPr>
          <w:rFonts w:hint="eastAsia" w:ascii="仿宋_GB2312" w:hAnsi="仿宋_GB2312" w:eastAsia="仿宋_GB2312" w:cs="仿宋_GB2312"/>
          <w:color w:val="000000"/>
          <w:sz w:val="32"/>
          <w:szCs w:val="32"/>
        </w:rPr>
        <w:t>%。</w:t>
      </w:r>
    </w:p>
    <w:p>
      <w:pPr>
        <w:spacing w:line="600" w:lineRule="exact"/>
        <w:ind w:firstLine="420" w:firstLineChars="200"/>
        <w:outlineLvl w:val="1"/>
        <w:rPr>
          <w:rFonts w:hint="eastAsia" w:ascii="仿宋" w:hAnsi="仿宋" w:eastAsia="仿宋"/>
          <w:color w:val="000000"/>
          <w:sz w:val="32"/>
          <w:szCs w:val="32"/>
        </w:rPr>
      </w:pPr>
      <w:r>
        <w:drawing>
          <wp:anchor distT="0" distB="0" distL="114300" distR="114300" simplePos="0" relativeHeight="251660288" behindDoc="0" locked="0" layoutInCell="1" allowOverlap="1">
            <wp:simplePos x="0" y="0"/>
            <wp:positionH relativeFrom="column">
              <wp:posOffset>400685</wp:posOffset>
            </wp:positionH>
            <wp:positionV relativeFrom="paragraph">
              <wp:posOffset>34925</wp:posOffset>
            </wp:positionV>
            <wp:extent cx="4344035" cy="2087245"/>
            <wp:effectExtent l="5080" t="4445" r="13335" b="22860"/>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outlineLvl w:val="1"/>
        <w:rPr>
          <w:rFonts w:hint="eastAsia" w:ascii="仿宋" w:hAnsi="仿宋" w:eastAsia="仿宋"/>
          <w:color w:val="000000"/>
          <w:sz w:val="32"/>
          <w:szCs w:val="32"/>
        </w:rPr>
      </w:pPr>
    </w:p>
    <w:p>
      <w:pPr>
        <w:spacing w:line="600" w:lineRule="exact"/>
        <w:ind w:firstLine="2240" w:firstLineChars="7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（图3：支出决算结构图）</w:t>
      </w:r>
    </w:p>
    <w:p>
      <w:pPr>
        <w:spacing w:line="600" w:lineRule="exact"/>
        <w:ind w:firstLine="640" w:firstLineChars="200"/>
        <w:outlineLvl w:val="1"/>
        <w:rPr>
          <w:rStyle w:val="14"/>
          <w:rFonts w:ascii="黑体" w:hAnsi="黑体" w:eastAsia="黑体"/>
          <w:b w:val="0"/>
        </w:rPr>
      </w:pPr>
      <w:bookmarkStart w:id="29" w:name="_Toc15377208"/>
      <w:bookmarkStart w:id="30" w:name="_Toc15396606"/>
      <w:r>
        <w:rPr>
          <w:rFonts w:hint="eastAsia" w:ascii="黑体" w:hAnsi="黑体" w:eastAsia="黑体"/>
          <w:color w:val="000000"/>
          <w:sz w:val="32"/>
          <w:szCs w:val="32"/>
        </w:rPr>
        <w:t>四、财</w:t>
      </w:r>
      <w:r>
        <w:rPr>
          <w:rStyle w:val="14"/>
          <w:rFonts w:hint="eastAsia" w:ascii="黑体" w:hAnsi="黑体" w:eastAsia="黑体"/>
          <w:b w:val="0"/>
        </w:rPr>
        <w:t>政拨款收入支出决算总体情况说明</w:t>
      </w:r>
      <w:bookmarkEnd w:id="29"/>
      <w:bookmarkEnd w:id="3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2019年财政拨款收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rPr>
        <w:t>总计</w:t>
      </w:r>
      <w:r>
        <w:rPr>
          <w:rFonts w:hint="eastAsia" w:ascii="仿宋_GB2312" w:hAnsi="仿宋_GB2312" w:eastAsia="仿宋_GB2312" w:cs="仿宋_GB2312"/>
          <w:color w:val="000000"/>
          <w:sz w:val="32"/>
          <w:szCs w:val="32"/>
          <w:lang w:val="en-US" w:eastAsia="zh-CN"/>
        </w:rPr>
        <w:t>417.56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，支出总计</w:t>
      </w:r>
      <w:r>
        <w:rPr>
          <w:rFonts w:hint="eastAsia" w:ascii="仿宋_GB2312" w:hAnsi="仿宋_GB2312" w:eastAsia="仿宋_GB2312" w:cs="仿宋_GB2312"/>
          <w:color w:val="000000"/>
          <w:sz w:val="32"/>
          <w:szCs w:val="32"/>
          <w:lang w:val="en-US" w:eastAsia="zh-CN"/>
        </w:rPr>
        <w:t>418.32万元</w:t>
      </w:r>
      <w:r>
        <w:rPr>
          <w:rFonts w:hint="eastAsia" w:ascii="仿宋_GB2312" w:hAnsi="仿宋_GB2312" w:eastAsia="仿宋_GB2312" w:cs="仿宋_GB2312"/>
          <w:color w:val="000000"/>
          <w:sz w:val="32"/>
          <w:szCs w:val="32"/>
        </w:rPr>
        <w:t>。与2018年相比，财政拨款收、支总计各减少</w:t>
      </w:r>
      <w:r>
        <w:rPr>
          <w:rFonts w:hint="eastAsia" w:ascii="仿宋_GB2312" w:hAnsi="仿宋_GB2312" w:eastAsia="仿宋_GB2312" w:cs="仿宋_GB2312"/>
          <w:color w:val="000000"/>
          <w:sz w:val="32"/>
          <w:szCs w:val="32"/>
          <w:lang w:val="en-US" w:eastAsia="zh-CN"/>
        </w:rPr>
        <w:t>46.93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lang w:val="en-US" w:eastAsia="zh-CN"/>
        </w:rPr>
        <w:t>45.48万元</w:t>
      </w:r>
      <w:r>
        <w:rPr>
          <w:rFonts w:hint="eastAsia" w:ascii="仿宋_GB2312" w:hAnsi="仿宋_GB2312" w:eastAsia="仿宋_GB2312" w:cs="仿宋_GB2312"/>
          <w:color w:val="000000"/>
          <w:sz w:val="32"/>
          <w:szCs w:val="32"/>
        </w:rPr>
        <w:t>，下降</w:t>
      </w:r>
      <w:r>
        <w:rPr>
          <w:rFonts w:hint="eastAsia" w:ascii="仿宋_GB2312" w:hAnsi="仿宋_GB2312" w:eastAsia="仿宋_GB2312" w:cs="仿宋_GB2312"/>
          <w:color w:val="000000"/>
          <w:sz w:val="32"/>
          <w:szCs w:val="32"/>
          <w:lang w:val="en-US" w:eastAsia="zh-CN"/>
        </w:rPr>
        <w:t>10.10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lang w:val="en-US" w:eastAsia="zh-CN"/>
        </w:rPr>
        <w:t>9.81%</w:t>
      </w:r>
      <w:r>
        <w:rPr>
          <w:rFonts w:hint="eastAsia" w:ascii="仿宋_GB2312" w:hAnsi="仿宋_GB2312" w:eastAsia="仿宋_GB2312" w:cs="仿宋_GB2312"/>
          <w:color w:val="000000"/>
          <w:sz w:val="32"/>
          <w:szCs w:val="32"/>
        </w:rPr>
        <w:t>。主要变动原因是主要变动原因是</w:t>
      </w:r>
      <w:r>
        <w:rPr>
          <w:rFonts w:hint="eastAsia" w:ascii="仿宋_GB2312" w:hAnsi="仿宋_GB2312" w:eastAsia="仿宋_GB2312" w:cs="仿宋_GB2312"/>
          <w:color w:val="000000"/>
          <w:sz w:val="32"/>
          <w:szCs w:val="32"/>
          <w:lang w:eastAsia="zh-CN"/>
        </w:rPr>
        <w:t>人员退休，项目支出减少。</w:t>
      </w:r>
    </w:p>
    <w:p>
      <w:pPr>
        <w:spacing w:line="600" w:lineRule="exact"/>
        <w:ind w:firstLine="420" w:firstLineChars="200"/>
        <w:rPr>
          <w:rFonts w:hint="eastAsia" w:ascii="仿宋" w:hAnsi="仿宋" w:eastAsia="仿宋"/>
          <w:color w:val="000000"/>
          <w:sz w:val="32"/>
          <w:szCs w:val="32"/>
          <w:lang w:eastAsia="zh-CN"/>
        </w:rPr>
      </w:pPr>
      <w:r>
        <w:drawing>
          <wp:anchor distT="0" distB="0" distL="114300" distR="114300" simplePos="0" relativeHeight="251661312" behindDoc="0" locked="0" layoutInCell="1" allowOverlap="1">
            <wp:simplePos x="0" y="0"/>
            <wp:positionH relativeFrom="column">
              <wp:posOffset>570230</wp:posOffset>
            </wp:positionH>
            <wp:positionV relativeFrom="paragraph">
              <wp:posOffset>38735</wp:posOffset>
            </wp:positionV>
            <wp:extent cx="4410075" cy="2286000"/>
            <wp:effectExtent l="4445" t="5080" r="5080" b="1397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rPr>
          <w:rFonts w:ascii="仿宋" w:hAnsi="仿宋" w:eastAsia="仿宋"/>
          <w:color w:val="000000"/>
          <w:sz w:val="32"/>
          <w:szCs w:val="32"/>
        </w:rPr>
      </w:pPr>
    </w:p>
    <w:p>
      <w:pPr>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（图4：财政拨款收、支决算总计变动情况）</w:t>
      </w:r>
    </w:p>
    <w:p>
      <w:pPr>
        <w:spacing w:line="600" w:lineRule="exact"/>
        <w:ind w:firstLine="640" w:firstLineChars="200"/>
        <w:outlineLvl w:val="1"/>
        <w:rPr>
          <w:rStyle w:val="14"/>
          <w:rFonts w:ascii="黑体" w:hAnsi="黑体" w:eastAsia="黑体"/>
          <w:b w:val="0"/>
        </w:rPr>
      </w:pPr>
      <w:bookmarkStart w:id="31" w:name="_Toc15377209"/>
      <w:bookmarkStart w:id="32"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4"/>
          <w:rFonts w:hint="eastAsia" w:ascii="黑体" w:hAnsi="黑体" w:eastAsia="黑体"/>
          <w:b w:val="0"/>
        </w:rPr>
        <w:t>般公共预算财政拨款支出决算情况说明</w:t>
      </w:r>
      <w:bookmarkEnd w:id="31"/>
      <w:bookmarkEnd w:id="32"/>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33" w:name="_Toc15377210"/>
      <w:r>
        <w:rPr>
          <w:rFonts w:hint="eastAsia" w:ascii="楷体_GB2312" w:hAnsi="楷体_GB2312" w:eastAsia="楷体_GB2312" w:cs="楷体_GB2312"/>
          <w:b w:val="0"/>
          <w:bCs/>
          <w:color w:val="000000"/>
          <w:sz w:val="32"/>
          <w:szCs w:val="32"/>
        </w:rPr>
        <w:t>（一）一般公共预算财政拨款支出决算总体情况</w:t>
      </w:r>
      <w:bookmarkEnd w:id="33"/>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779780</wp:posOffset>
            </wp:positionH>
            <wp:positionV relativeFrom="paragraph">
              <wp:posOffset>1269365</wp:posOffset>
            </wp:positionV>
            <wp:extent cx="4072890" cy="1762760"/>
            <wp:effectExtent l="4445" t="4445" r="18415" b="2349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color w:val="000000"/>
          <w:sz w:val="32"/>
          <w:szCs w:val="32"/>
        </w:rPr>
        <w:t>2019年一般公共预算财政拨款支出</w:t>
      </w:r>
      <w:r>
        <w:rPr>
          <w:rFonts w:hint="eastAsia" w:ascii="仿宋_GB2312" w:hAnsi="仿宋_GB2312" w:eastAsia="仿宋_GB2312" w:cs="仿宋_GB2312"/>
          <w:color w:val="000000"/>
          <w:sz w:val="32"/>
          <w:szCs w:val="32"/>
          <w:lang w:val="en-US" w:eastAsia="zh-CN"/>
        </w:rPr>
        <w:t>418.32</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99.94</w:t>
      </w:r>
      <w:r>
        <w:rPr>
          <w:rFonts w:hint="eastAsia" w:ascii="仿宋_GB2312" w:hAnsi="仿宋_GB2312" w:eastAsia="仿宋_GB2312" w:cs="仿宋_GB2312"/>
          <w:color w:val="000000"/>
          <w:sz w:val="32"/>
          <w:szCs w:val="32"/>
        </w:rPr>
        <w:t>%。与2018年相比，一般公共预算财政拨款减少</w:t>
      </w:r>
      <w:r>
        <w:rPr>
          <w:rFonts w:hint="eastAsia" w:ascii="仿宋_GB2312" w:hAnsi="仿宋_GB2312" w:eastAsia="仿宋_GB2312" w:cs="仿宋_GB2312"/>
          <w:color w:val="000000"/>
          <w:sz w:val="32"/>
          <w:szCs w:val="32"/>
          <w:lang w:val="en-US" w:eastAsia="zh-CN"/>
        </w:rPr>
        <w:t>45.48</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9.81</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人员退休，项目支出减少。</w:t>
      </w: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rPr>
          <w:rFonts w:hint="eastAsia" w:ascii="仿宋" w:hAnsi="仿宋" w:eastAsia="仿宋"/>
          <w:color w:val="000000"/>
          <w:sz w:val="32"/>
          <w:szCs w:val="32"/>
          <w:lang w:eastAsia="zh-CN"/>
        </w:rPr>
      </w:pPr>
    </w:p>
    <w:p>
      <w:pPr>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（图5：一般公共预算财政拨款支出决算变动情况）</w:t>
      </w:r>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34" w:name="_Toc15377211"/>
      <w:r>
        <w:rPr>
          <w:rFonts w:hint="eastAsia" w:ascii="楷体_GB2312" w:hAnsi="楷体_GB2312" w:eastAsia="楷体_GB2312" w:cs="楷体_GB2312"/>
          <w:b w:val="0"/>
          <w:bCs/>
          <w:color w:val="000000"/>
          <w:sz w:val="32"/>
          <w:szCs w:val="32"/>
        </w:rPr>
        <w:t>（二）一般公共预算财政拨款支出决算结构情况</w:t>
      </w:r>
      <w:bookmarkEnd w:id="34"/>
    </w:p>
    <w:p>
      <w:p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2019年一般公共预算财</w:t>
      </w:r>
      <w:r>
        <w:rPr>
          <w:rFonts w:hint="eastAsia" w:ascii="仿宋_GB2312" w:hAnsi="仿宋_GB2312" w:eastAsia="仿宋_GB2312" w:cs="仿宋_GB2312"/>
          <w:color w:val="000000" w:themeColor="text1"/>
          <w:sz w:val="32"/>
          <w:szCs w:val="32"/>
          <w14:textFill>
            <w14:solidFill>
              <w14:schemeClr w14:val="tx1"/>
            </w14:solidFill>
          </w14:textFill>
        </w:rPr>
        <w:t>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418.32</w:t>
      </w:r>
      <w:r>
        <w:rPr>
          <w:rFonts w:hint="eastAsia" w:ascii="仿宋_GB2312" w:hAnsi="仿宋_GB2312" w:eastAsia="仿宋_GB2312" w:cs="仿宋_GB2312"/>
          <w:color w:val="000000" w:themeColor="text1"/>
          <w:sz w:val="32"/>
          <w:szCs w:val="32"/>
          <w14:textFill>
            <w14:solidFill>
              <w14:schemeClr w14:val="tx1"/>
            </w14:solidFill>
          </w14:textFill>
        </w:rPr>
        <w:t>万元，主要用于以下方面:</w:t>
      </w:r>
      <w:r>
        <w:rPr>
          <w:rFonts w:hint="eastAsia" w:ascii="仿宋_GB2312" w:hAnsi="仿宋_GB2312" w:eastAsia="仿宋_GB2312" w:cs="仿宋_GB2312"/>
          <w:b/>
          <w:color w:val="000000" w:themeColor="text1"/>
          <w:sz w:val="32"/>
          <w:szCs w:val="32"/>
          <w14:textFill>
            <w14:solidFill>
              <w14:schemeClr w14:val="tx1"/>
            </w14:solidFill>
          </w14:textFill>
        </w:rPr>
        <w:t>一般公共服务（类）</w:t>
      </w:r>
      <w:r>
        <w:rPr>
          <w:rFonts w:hint="eastAsia" w:ascii="仿宋_GB2312" w:hAnsi="仿宋_GB2312" w:eastAsia="仿宋_GB2312" w:cs="仿宋_GB2312"/>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323.62</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77.36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社会保障和就业（类）</w:t>
      </w:r>
      <w:r>
        <w:rPr>
          <w:rFonts w:hint="eastAsia" w:ascii="仿宋_GB2312" w:hAnsi="仿宋_GB2312" w:eastAsia="仿宋_GB2312" w:cs="仿宋_GB2312"/>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45.87</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10.97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卫生健康支出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10.55</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2.52</w:t>
      </w:r>
      <w:r>
        <w:rPr>
          <w:rFonts w:hint="eastAsia" w:ascii="仿宋_GB2312" w:hAnsi="仿宋_GB2312" w:eastAsia="仿宋_GB2312" w:cs="仿宋_GB2312"/>
          <w:color w:val="000000" w:themeColor="text1"/>
          <w:sz w:val="32"/>
          <w:szCs w:val="32"/>
          <w14:textFill>
            <w14:solidFill>
              <w14:schemeClr w14:val="tx1"/>
            </w14:solidFill>
          </w14:textFill>
        </w:rPr>
        <w:t>%；住房保障支出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38.28</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9.15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600" w:lineRule="exact"/>
        <w:ind w:firstLine="420" w:firstLineChars="200"/>
        <w:rPr>
          <w:rFonts w:hint="eastAsia" w:ascii="仿宋" w:hAnsi="仿宋" w:eastAsia="仿宋"/>
          <w:color w:val="000000"/>
          <w:sz w:val="32"/>
          <w:szCs w:val="32"/>
        </w:rPr>
      </w:pPr>
      <w:r>
        <w:drawing>
          <wp:anchor distT="0" distB="0" distL="114300" distR="114300" simplePos="0" relativeHeight="251663360" behindDoc="0" locked="0" layoutInCell="1" allowOverlap="1">
            <wp:simplePos x="0" y="0"/>
            <wp:positionH relativeFrom="column">
              <wp:posOffset>872490</wp:posOffset>
            </wp:positionH>
            <wp:positionV relativeFrom="paragraph">
              <wp:posOffset>34925</wp:posOffset>
            </wp:positionV>
            <wp:extent cx="3915410" cy="1821180"/>
            <wp:effectExtent l="4445" t="4445" r="23495" b="22225"/>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（图6：一般公共预算财政拨款支出决算结构）</w:t>
      </w:r>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35" w:name="_Toc15377212"/>
      <w:r>
        <w:rPr>
          <w:rFonts w:hint="eastAsia" w:ascii="楷体_GB2312" w:hAnsi="楷体_GB2312" w:eastAsia="楷体_GB2312" w:cs="楷体_GB2312"/>
          <w:b w:val="0"/>
          <w:bCs/>
          <w:color w:val="000000"/>
          <w:sz w:val="32"/>
          <w:szCs w:val="32"/>
        </w:rPr>
        <w:t>（三）一般公共预算财政拨款支出决算具体情况</w:t>
      </w:r>
      <w:bookmarkEnd w:id="35"/>
    </w:p>
    <w:p>
      <w:pPr>
        <w:spacing w:line="600" w:lineRule="exact"/>
        <w:ind w:firstLine="640" w:firstLineChars="200"/>
        <w:outlineLvl w:val="2"/>
        <w:rPr>
          <w:rFonts w:hint="eastAsia" w:ascii="仿宋_GB2312" w:hAnsi="仿宋_GB2312" w:eastAsia="仿宋_GB2312" w:cs="仿宋_GB2312"/>
          <w:b w:val="0"/>
          <w:bCs/>
          <w:color w:val="FF0000"/>
          <w:sz w:val="32"/>
          <w:szCs w:val="32"/>
        </w:rPr>
      </w:pPr>
      <w:bookmarkStart w:id="36" w:name="_Toc15378460"/>
      <w:bookmarkStart w:id="37" w:name="_Toc15377444"/>
      <w:bookmarkStart w:id="38" w:name="_Toc15377213"/>
      <w:r>
        <w:rPr>
          <w:rFonts w:hint="eastAsia" w:ascii="仿宋_GB2312" w:hAnsi="仿宋_GB2312" w:eastAsia="仿宋_GB2312" w:cs="仿宋_GB2312"/>
          <w:b w:val="0"/>
          <w:bCs/>
          <w:color w:val="000000" w:themeColor="text1"/>
          <w:sz w:val="32"/>
          <w:szCs w:val="32"/>
          <w14:textFill>
            <w14:solidFill>
              <w14:schemeClr w14:val="tx1"/>
            </w14:solidFill>
          </w14:textFill>
        </w:rPr>
        <w:t>2019年</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val="0"/>
          <w:bCs/>
          <w:color w:val="000000" w:themeColor="text1"/>
          <w:sz w:val="32"/>
          <w:szCs w:val="32"/>
          <w14:textFill>
            <w14:solidFill>
              <w14:schemeClr w14:val="tx1"/>
            </w14:solidFill>
          </w14:textFill>
        </w:rPr>
        <w:t>般公共预算支出决算数为</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418.32</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1"/>
          <w:rFonts w:hint="eastAsia" w:ascii="仿宋_GB2312" w:hAnsi="仿宋_GB2312" w:eastAsia="仿宋_GB2312" w:cs="仿宋_GB2312"/>
          <w:b w:val="0"/>
          <w:bCs/>
          <w:color w:val="000000" w:themeColor="text1"/>
          <w:sz w:val="32"/>
          <w:szCs w:val="32"/>
          <w14:textFill>
            <w14:solidFill>
              <w14:schemeClr w14:val="tx1"/>
            </w14:solidFill>
          </w14:textFill>
        </w:rPr>
        <w:t>完成</w:t>
      </w:r>
      <w:r>
        <w:rPr>
          <w:rStyle w:val="11"/>
          <w:rFonts w:hint="eastAsia" w:ascii="仿宋_GB2312" w:hAnsi="仿宋_GB2312" w:eastAsia="仿宋_GB2312" w:cs="仿宋_GB2312"/>
          <w:b w:val="0"/>
          <w:bCs/>
          <w:color w:val="000000"/>
          <w:sz w:val="32"/>
          <w:szCs w:val="32"/>
        </w:rPr>
        <w:t>预算</w:t>
      </w:r>
      <w:r>
        <w:rPr>
          <w:rStyle w:val="11"/>
          <w:rFonts w:hint="eastAsia" w:ascii="仿宋_GB2312" w:hAnsi="仿宋_GB2312" w:eastAsia="仿宋_GB2312" w:cs="仿宋_GB2312"/>
          <w:b w:val="0"/>
          <w:bCs/>
          <w:color w:val="000000"/>
          <w:sz w:val="32"/>
          <w:szCs w:val="32"/>
          <w:lang w:val="en-US" w:eastAsia="zh-CN"/>
        </w:rPr>
        <w:t>100.18</w:t>
      </w:r>
      <w:r>
        <w:rPr>
          <w:rStyle w:val="11"/>
          <w:rFonts w:hint="eastAsia" w:ascii="仿宋_GB2312" w:hAnsi="仿宋_GB2312" w:eastAsia="仿宋_GB2312" w:cs="仿宋_GB2312"/>
          <w:b w:val="0"/>
          <w:bCs/>
          <w:color w:val="000000"/>
          <w:sz w:val="32"/>
          <w:szCs w:val="32"/>
        </w:rPr>
        <w:t>%。其中：</w:t>
      </w:r>
      <w:bookmarkEnd w:id="36"/>
      <w:bookmarkEnd w:id="37"/>
      <w:bookmarkEnd w:id="38"/>
    </w:p>
    <w:p>
      <w:pPr>
        <w:spacing w:line="600" w:lineRule="exact"/>
        <w:ind w:firstLine="640" w:firstLineChars="200"/>
        <w:rPr>
          <w:rFonts w:hint="eastAsia" w:ascii="仿宋_GB2312" w:hAnsi="仿宋_GB2312" w:eastAsia="仿宋_GB2312" w:cs="仿宋_GB2312"/>
          <w:b w:val="0"/>
          <w:bCs/>
          <w:color w:val="000000"/>
          <w:sz w:val="32"/>
          <w:szCs w:val="32"/>
        </w:rPr>
      </w:pPr>
      <w:r>
        <w:rPr>
          <w:rStyle w:val="11"/>
          <w:rFonts w:hint="eastAsia" w:ascii="仿宋_GB2312" w:hAnsi="仿宋_GB2312" w:eastAsia="仿宋_GB2312" w:cs="仿宋_GB2312"/>
          <w:b w:val="0"/>
          <w:bCs/>
          <w:color w:val="000000"/>
          <w:sz w:val="32"/>
          <w:szCs w:val="32"/>
        </w:rPr>
        <w:t>1</w:t>
      </w:r>
      <w:r>
        <w:rPr>
          <w:rStyle w:val="11"/>
          <w:rFonts w:hint="eastAsia" w:ascii="仿宋_GB2312" w:hAnsi="仿宋_GB2312" w:eastAsia="仿宋_GB2312" w:cs="仿宋_GB2312"/>
          <w:b w:val="0"/>
          <w:bCs/>
          <w:color w:val="000000"/>
          <w:sz w:val="32"/>
          <w:szCs w:val="32"/>
          <w:lang w:eastAsia="zh-CN"/>
        </w:rPr>
        <w:t>．</w:t>
      </w:r>
      <w:r>
        <w:rPr>
          <w:rStyle w:val="11"/>
          <w:rFonts w:hint="eastAsia" w:ascii="仿宋_GB2312" w:hAnsi="仿宋_GB2312" w:eastAsia="仿宋_GB2312" w:cs="仿宋_GB2312"/>
          <w:b w:val="0"/>
          <w:bCs/>
          <w:color w:val="000000"/>
          <w:sz w:val="32"/>
          <w:szCs w:val="32"/>
        </w:rPr>
        <w:t>一般公共服务（类）</w:t>
      </w:r>
      <w:r>
        <w:rPr>
          <w:rStyle w:val="11"/>
          <w:rFonts w:hint="eastAsia" w:ascii="仿宋_GB2312" w:hAnsi="仿宋_GB2312" w:eastAsia="仿宋_GB2312" w:cs="仿宋_GB2312"/>
          <w:b w:val="0"/>
          <w:bCs/>
          <w:color w:val="000000"/>
          <w:sz w:val="32"/>
          <w:szCs w:val="32"/>
          <w:lang w:val="en-US" w:eastAsia="zh-CN"/>
        </w:rPr>
        <w:t>201</w:t>
      </w:r>
      <w:r>
        <w:rPr>
          <w:rStyle w:val="11"/>
          <w:rFonts w:hint="eastAsia" w:ascii="仿宋_GB2312" w:hAnsi="仿宋_GB2312" w:eastAsia="仿宋_GB2312" w:cs="仿宋_GB2312"/>
          <w:b w:val="0"/>
          <w:bCs/>
          <w:color w:val="000000"/>
          <w:sz w:val="32"/>
          <w:szCs w:val="32"/>
        </w:rPr>
        <w:t>（款）</w:t>
      </w:r>
      <w:r>
        <w:rPr>
          <w:rStyle w:val="11"/>
          <w:rFonts w:hint="eastAsia" w:ascii="仿宋_GB2312" w:hAnsi="仿宋_GB2312" w:eastAsia="仿宋_GB2312" w:cs="仿宋_GB2312"/>
          <w:b w:val="0"/>
          <w:bCs/>
          <w:color w:val="000000"/>
          <w:sz w:val="32"/>
          <w:szCs w:val="32"/>
          <w:lang w:val="en-US" w:eastAsia="zh-CN"/>
        </w:rPr>
        <w:t>06</w:t>
      </w:r>
      <w:r>
        <w:rPr>
          <w:rStyle w:val="11"/>
          <w:rFonts w:hint="eastAsia" w:ascii="仿宋_GB2312" w:hAnsi="仿宋_GB2312" w:eastAsia="仿宋_GB2312" w:cs="仿宋_GB2312"/>
          <w:b w:val="0"/>
          <w:bCs/>
          <w:color w:val="000000"/>
          <w:sz w:val="32"/>
          <w:szCs w:val="32"/>
        </w:rPr>
        <w:t>（项）</w:t>
      </w:r>
      <w:r>
        <w:rPr>
          <w:rStyle w:val="11"/>
          <w:rFonts w:hint="eastAsia" w:ascii="仿宋_GB2312" w:hAnsi="仿宋_GB2312" w:eastAsia="仿宋_GB2312" w:cs="仿宋_GB2312"/>
          <w:b w:val="0"/>
          <w:bCs/>
          <w:color w:val="000000"/>
          <w:sz w:val="32"/>
          <w:szCs w:val="32"/>
          <w:lang w:val="en-US" w:eastAsia="zh-CN"/>
        </w:rPr>
        <w:t>01/02</w:t>
      </w:r>
      <w:r>
        <w:rPr>
          <w:rStyle w:val="11"/>
          <w:rFonts w:hint="eastAsia" w:ascii="仿宋_GB2312" w:hAnsi="仿宋_GB2312" w:eastAsia="仿宋_GB2312" w:cs="仿宋_GB2312"/>
          <w:b w:val="0"/>
          <w:bCs/>
          <w:color w:val="000000"/>
          <w:sz w:val="32"/>
          <w:szCs w:val="32"/>
        </w:rPr>
        <w:t>: 支出决算为</w:t>
      </w:r>
      <w:r>
        <w:rPr>
          <w:rStyle w:val="11"/>
          <w:rFonts w:hint="eastAsia" w:ascii="仿宋_GB2312" w:hAnsi="仿宋_GB2312" w:eastAsia="仿宋_GB2312" w:cs="仿宋_GB2312"/>
          <w:b w:val="0"/>
          <w:bCs/>
          <w:color w:val="000000"/>
          <w:sz w:val="32"/>
          <w:szCs w:val="32"/>
          <w:lang w:val="en-US" w:eastAsia="zh-CN"/>
        </w:rPr>
        <w:t>323.62</w:t>
      </w:r>
      <w:r>
        <w:rPr>
          <w:rStyle w:val="11"/>
          <w:rFonts w:hint="eastAsia" w:ascii="仿宋_GB2312" w:hAnsi="仿宋_GB2312" w:eastAsia="仿宋_GB2312" w:cs="仿宋_GB2312"/>
          <w:b w:val="0"/>
          <w:bCs/>
          <w:color w:val="000000"/>
          <w:sz w:val="32"/>
          <w:szCs w:val="32"/>
        </w:rPr>
        <w:t>万元，完成预算</w:t>
      </w:r>
      <w:r>
        <w:rPr>
          <w:rStyle w:val="11"/>
          <w:rFonts w:hint="eastAsia" w:ascii="仿宋_GB2312" w:hAnsi="仿宋_GB2312" w:eastAsia="仿宋_GB2312" w:cs="仿宋_GB2312"/>
          <w:b w:val="0"/>
          <w:bCs/>
          <w:color w:val="000000"/>
          <w:sz w:val="32"/>
          <w:szCs w:val="32"/>
          <w:lang w:val="en-US" w:eastAsia="zh-CN"/>
        </w:rPr>
        <w:t>90.62</w:t>
      </w:r>
      <w:r>
        <w:rPr>
          <w:rStyle w:val="11"/>
          <w:rFonts w:hint="eastAsia" w:ascii="仿宋_GB2312" w:hAnsi="仿宋_GB2312" w:eastAsia="仿宋_GB2312" w:cs="仿宋_GB2312"/>
          <w:b w:val="0"/>
          <w:bCs/>
          <w:color w:val="000000"/>
          <w:sz w:val="32"/>
          <w:szCs w:val="32"/>
        </w:rPr>
        <w:t>%，决算数小于预算数的主要原因是</w:t>
      </w:r>
      <w:r>
        <w:rPr>
          <w:rStyle w:val="11"/>
          <w:rFonts w:hint="eastAsia" w:ascii="仿宋_GB2312" w:hAnsi="仿宋_GB2312" w:eastAsia="仿宋_GB2312" w:cs="仿宋_GB2312"/>
          <w:b w:val="0"/>
          <w:bCs/>
          <w:color w:val="000000"/>
          <w:sz w:val="32"/>
          <w:szCs w:val="32"/>
          <w:lang w:eastAsia="zh-CN"/>
        </w:rPr>
        <w:t>人员退休，项目资金年初结余转入本年使用</w:t>
      </w:r>
      <w:r>
        <w:rPr>
          <w:rStyle w:val="11"/>
          <w:rFonts w:hint="eastAsia" w:ascii="仿宋_GB2312" w:hAnsi="仿宋_GB2312" w:eastAsia="仿宋_GB2312" w:cs="仿宋_GB2312"/>
          <w:b w:val="0"/>
          <w:bCs/>
          <w:color w:val="000000"/>
          <w:sz w:val="32"/>
          <w:szCs w:val="32"/>
        </w:rPr>
        <w:t>。</w:t>
      </w:r>
    </w:p>
    <w:p>
      <w:pPr>
        <w:spacing w:line="600" w:lineRule="exact"/>
        <w:ind w:firstLine="640" w:firstLineChars="200"/>
        <w:rPr>
          <w:rFonts w:hint="eastAsia" w:ascii="仿宋_GB2312" w:hAnsi="仿宋_GB2312" w:eastAsia="仿宋_GB2312" w:cs="仿宋_GB2312"/>
          <w:b w:val="0"/>
          <w:bCs/>
          <w:color w:val="000000"/>
          <w:sz w:val="32"/>
          <w:szCs w:val="32"/>
        </w:rPr>
      </w:pPr>
      <w:r>
        <w:rPr>
          <w:rStyle w:val="11"/>
          <w:rFonts w:hint="eastAsia" w:ascii="仿宋_GB2312" w:hAnsi="仿宋_GB2312" w:eastAsia="仿宋_GB2312" w:cs="仿宋_GB2312"/>
          <w:b w:val="0"/>
          <w:bCs/>
          <w:color w:val="000000"/>
          <w:sz w:val="32"/>
          <w:szCs w:val="32"/>
          <w:lang w:val="en-US" w:eastAsia="zh-CN"/>
        </w:rPr>
        <w:t>2</w:t>
      </w:r>
      <w:r>
        <w:rPr>
          <w:rStyle w:val="11"/>
          <w:rFonts w:hint="eastAsia" w:ascii="仿宋_GB2312" w:hAnsi="仿宋_GB2312" w:eastAsia="仿宋_GB2312" w:cs="仿宋_GB2312"/>
          <w:b w:val="0"/>
          <w:bCs/>
          <w:color w:val="000000"/>
          <w:sz w:val="32"/>
          <w:szCs w:val="32"/>
          <w:lang w:eastAsia="zh-CN"/>
        </w:rPr>
        <w:t>．</w:t>
      </w:r>
      <w:r>
        <w:rPr>
          <w:rStyle w:val="11"/>
          <w:rFonts w:hint="eastAsia" w:ascii="仿宋_GB2312" w:hAnsi="仿宋_GB2312" w:eastAsia="仿宋_GB2312" w:cs="仿宋_GB2312"/>
          <w:b w:val="0"/>
          <w:bCs/>
          <w:color w:val="000000"/>
          <w:sz w:val="32"/>
          <w:szCs w:val="32"/>
        </w:rPr>
        <w:t>社会保障和就业（类）</w:t>
      </w:r>
      <w:r>
        <w:rPr>
          <w:rStyle w:val="11"/>
          <w:rFonts w:hint="eastAsia" w:ascii="仿宋_GB2312" w:hAnsi="仿宋_GB2312" w:eastAsia="仿宋_GB2312" w:cs="仿宋_GB2312"/>
          <w:b w:val="0"/>
          <w:bCs/>
          <w:color w:val="000000"/>
          <w:sz w:val="32"/>
          <w:szCs w:val="32"/>
          <w:lang w:val="en-US" w:eastAsia="zh-CN"/>
        </w:rPr>
        <w:t>208</w:t>
      </w:r>
      <w:r>
        <w:rPr>
          <w:rStyle w:val="11"/>
          <w:rFonts w:hint="eastAsia" w:ascii="仿宋_GB2312" w:hAnsi="仿宋_GB2312" w:eastAsia="仿宋_GB2312" w:cs="仿宋_GB2312"/>
          <w:b w:val="0"/>
          <w:bCs/>
          <w:color w:val="000000"/>
          <w:sz w:val="32"/>
          <w:szCs w:val="32"/>
        </w:rPr>
        <w:t>（款）</w:t>
      </w:r>
      <w:r>
        <w:rPr>
          <w:rStyle w:val="11"/>
          <w:rFonts w:hint="eastAsia" w:ascii="仿宋_GB2312" w:hAnsi="仿宋_GB2312" w:eastAsia="仿宋_GB2312" w:cs="仿宋_GB2312"/>
          <w:b w:val="0"/>
          <w:bCs/>
          <w:color w:val="000000"/>
          <w:sz w:val="32"/>
          <w:szCs w:val="32"/>
          <w:lang w:val="en-US" w:eastAsia="zh-CN"/>
        </w:rPr>
        <w:t>05</w:t>
      </w:r>
      <w:r>
        <w:rPr>
          <w:rStyle w:val="11"/>
          <w:rFonts w:hint="eastAsia" w:ascii="仿宋_GB2312" w:hAnsi="仿宋_GB2312" w:eastAsia="仿宋_GB2312" w:cs="仿宋_GB2312"/>
          <w:b w:val="0"/>
          <w:bCs/>
          <w:color w:val="000000"/>
          <w:sz w:val="32"/>
          <w:szCs w:val="32"/>
        </w:rPr>
        <w:t>（项）</w:t>
      </w:r>
      <w:r>
        <w:rPr>
          <w:rStyle w:val="11"/>
          <w:rFonts w:hint="eastAsia" w:ascii="仿宋_GB2312" w:hAnsi="仿宋_GB2312" w:eastAsia="仿宋_GB2312" w:cs="仿宋_GB2312"/>
          <w:b w:val="0"/>
          <w:bCs/>
          <w:color w:val="000000"/>
          <w:sz w:val="32"/>
          <w:szCs w:val="32"/>
          <w:lang w:val="en-US" w:eastAsia="zh-CN"/>
        </w:rPr>
        <w:t>05/06</w:t>
      </w:r>
      <w:r>
        <w:rPr>
          <w:rStyle w:val="11"/>
          <w:rFonts w:hint="eastAsia" w:ascii="仿宋_GB2312" w:hAnsi="仿宋_GB2312" w:eastAsia="仿宋_GB2312" w:cs="仿宋_GB2312"/>
          <w:b w:val="0"/>
          <w:bCs/>
          <w:color w:val="000000"/>
          <w:sz w:val="32"/>
          <w:szCs w:val="32"/>
        </w:rPr>
        <w:t>: 支出决算为</w:t>
      </w:r>
      <w:r>
        <w:rPr>
          <w:rStyle w:val="11"/>
          <w:rFonts w:hint="eastAsia" w:ascii="仿宋_GB2312" w:hAnsi="仿宋_GB2312" w:eastAsia="仿宋_GB2312" w:cs="仿宋_GB2312"/>
          <w:b w:val="0"/>
          <w:bCs/>
          <w:color w:val="000000"/>
          <w:sz w:val="32"/>
          <w:szCs w:val="32"/>
          <w:lang w:val="en-US" w:eastAsia="zh-CN"/>
        </w:rPr>
        <w:t>45.87</w:t>
      </w:r>
      <w:r>
        <w:rPr>
          <w:rStyle w:val="11"/>
          <w:rFonts w:hint="eastAsia" w:ascii="仿宋_GB2312" w:hAnsi="仿宋_GB2312" w:eastAsia="仿宋_GB2312" w:cs="仿宋_GB2312"/>
          <w:b w:val="0"/>
          <w:bCs/>
          <w:color w:val="000000"/>
          <w:sz w:val="32"/>
          <w:szCs w:val="32"/>
        </w:rPr>
        <w:t>万元，完成预算</w:t>
      </w:r>
      <w:r>
        <w:rPr>
          <w:rStyle w:val="11"/>
          <w:rFonts w:hint="eastAsia" w:ascii="仿宋_GB2312" w:hAnsi="仿宋_GB2312" w:eastAsia="仿宋_GB2312" w:cs="仿宋_GB2312"/>
          <w:b w:val="0"/>
          <w:bCs/>
          <w:color w:val="000000"/>
          <w:sz w:val="32"/>
          <w:szCs w:val="32"/>
          <w:lang w:val="en-US" w:eastAsia="zh-CN"/>
        </w:rPr>
        <w:t>100</w:t>
      </w:r>
      <w:r>
        <w:rPr>
          <w:rStyle w:val="11"/>
          <w:rFonts w:hint="eastAsia" w:ascii="仿宋_GB2312" w:hAnsi="仿宋_GB2312" w:eastAsia="仿宋_GB2312" w:cs="仿宋_GB2312"/>
          <w:b w:val="0"/>
          <w:bCs/>
          <w:color w:val="000000"/>
          <w:sz w:val="32"/>
          <w:szCs w:val="32"/>
        </w:rPr>
        <w:t>%，决算数等于预算数的主要原因是</w:t>
      </w:r>
      <w:r>
        <w:rPr>
          <w:rStyle w:val="11"/>
          <w:rFonts w:hint="eastAsia" w:ascii="仿宋_GB2312" w:hAnsi="仿宋_GB2312" w:eastAsia="仿宋_GB2312" w:cs="仿宋_GB2312"/>
          <w:b w:val="0"/>
          <w:bCs/>
          <w:color w:val="000000"/>
          <w:sz w:val="32"/>
          <w:szCs w:val="32"/>
          <w:lang w:eastAsia="zh-CN"/>
        </w:rPr>
        <w:t>按月均衡、据实申报</w:t>
      </w:r>
      <w:r>
        <w:rPr>
          <w:rStyle w:val="11"/>
          <w:rFonts w:hint="eastAsia" w:ascii="仿宋_GB2312" w:hAnsi="仿宋_GB2312" w:eastAsia="仿宋_GB2312" w:cs="仿宋_GB2312"/>
          <w:b w:val="0"/>
          <w:bCs/>
          <w:color w:val="000000"/>
          <w:sz w:val="32"/>
          <w:szCs w:val="32"/>
        </w:rPr>
        <w:t>。</w:t>
      </w:r>
    </w:p>
    <w:p>
      <w:pPr>
        <w:spacing w:line="600" w:lineRule="exact"/>
        <w:ind w:firstLine="640" w:firstLineChars="200"/>
        <w:rPr>
          <w:rFonts w:hint="eastAsia" w:ascii="仿宋_GB2312" w:hAnsi="仿宋_GB2312" w:eastAsia="仿宋_GB2312" w:cs="仿宋_GB2312"/>
          <w:b w:val="0"/>
          <w:bCs/>
          <w:color w:val="000000"/>
          <w:sz w:val="32"/>
          <w:szCs w:val="32"/>
        </w:rPr>
      </w:pPr>
      <w:r>
        <w:rPr>
          <w:rStyle w:val="11"/>
          <w:rFonts w:hint="eastAsia" w:ascii="仿宋_GB2312" w:hAnsi="仿宋_GB2312" w:eastAsia="仿宋_GB2312" w:cs="仿宋_GB2312"/>
          <w:b w:val="0"/>
          <w:bCs/>
          <w:color w:val="000000"/>
          <w:sz w:val="32"/>
          <w:szCs w:val="32"/>
        </w:rPr>
        <w:t>6</w:t>
      </w:r>
      <w:r>
        <w:rPr>
          <w:rStyle w:val="11"/>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themeColor="text1"/>
          <w:sz w:val="32"/>
          <w:szCs w:val="32"/>
          <w14:textFill>
            <w14:solidFill>
              <w14:schemeClr w14:val="tx1"/>
            </w14:solidFill>
          </w14:textFill>
        </w:rPr>
        <w:t>卫生健康</w:t>
      </w:r>
      <w:r>
        <w:rPr>
          <w:rStyle w:val="11"/>
          <w:rFonts w:hint="eastAsia" w:ascii="仿宋_GB2312" w:hAnsi="仿宋_GB2312" w:eastAsia="仿宋_GB2312" w:cs="仿宋_GB2312"/>
          <w:b w:val="0"/>
          <w:bCs/>
          <w:color w:val="000000"/>
          <w:sz w:val="32"/>
          <w:szCs w:val="32"/>
        </w:rPr>
        <w:t>（类）</w:t>
      </w:r>
      <w:r>
        <w:rPr>
          <w:rStyle w:val="11"/>
          <w:rFonts w:hint="eastAsia" w:ascii="仿宋_GB2312" w:hAnsi="仿宋_GB2312" w:eastAsia="仿宋_GB2312" w:cs="仿宋_GB2312"/>
          <w:b w:val="0"/>
          <w:bCs/>
          <w:color w:val="000000"/>
          <w:sz w:val="32"/>
          <w:szCs w:val="32"/>
          <w:lang w:val="en-US" w:eastAsia="zh-CN"/>
        </w:rPr>
        <w:t>210</w:t>
      </w:r>
      <w:r>
        <w:rPr>
          <w:rStyle w:val="11"/>
          <w:rFonts w:hint="eastAsia" w:ascii="仿宋_GB2312" w:hAnsi="仿宋_GB2312" w:eastAsia="仿宋_GB2312" w:cs="仿宋_GB2312"/>
          <w:b w:val="0"/>
          <w:bCs/>
          <w:color w:val="000000"/>
          <w:sz w:val="32"/>
          <w:szCs w:val="32"/>
        </w:rPr>
        <w:t>（款）</w:t>
      </w:r>
      <w:r>
        <w:rPr>
          <w:rStyle w:val="11"/>
          <w:rFonts w:hint="eastAsia" w:ascii="仿宋_GB2312" w:hAnsi="仿宋_GB2312" w:eastAsia="仿宋_GB2312" w:cs="仿宋_GB2312"/>
          <w:b w:val="0"/>
          <w:bCs/>
          <w:color w:val="000000"/>
          <w:sz w:val="32"/>
          <w:szCs w:val="32"/>
          <w:lang w:val="en-US" w:eastAsia="zh-CN"/>
        </w:rPr>
        <w:t>11</w:t>
      </w:r>
      <w:r>
        <w:rPr>
          <w:rStyle w:val="11"/>
          <w:rFonts w:hint="eastAsia" w:ascii="仿宋_GB2312" w:hAnsi="仿宋_GB2312" w:eastAsia="仿宋_GB2312" w:cs="仿宋_GB2312"/>
          <w:b w:val="0"/>
          <w:bCs/>
          <w:color w:val="000000"/>
          <w:sz w:val="32"/>
          <w:szCs w:val="32"/>
        </w:rPr>
        <w:t>（项）</w:t>
      </w:r>
      <w:r>
        <w:rPr>
          <w:rStyle w:val="11"/>
          <w:rFonts w:hint="eastAsia" w:ascii="仿宋_GB2312" w:hAnsi="仿宋_GB2312" w:eastAsia="仿宋_GB2312" w:cs="仿宋_GB2312"/>
          <w:b w:val="0"/>
          <w:bCs/>
          <w:color w:val="000000"/>
          <w:sz w:val="32"/>
          <w:szCs w:val="32"/>
          <w:lang w:val="en-US" w:eastAsia="zh-CN"/>
        </w:rPr>
        <w:t>01</w:t>
      </w:r>
      <w:r>
        <w:rPr>
          <w:rStyle w:val="11"/>
          <w:rFonts w:hint="eastAsia" w:ascii="仿宋_GB2312" w:hAnsi="仿宋_GB2312" w:eastAsia="仿宋_GB2312" w:cs="仿宋_GB2312"/>
          <w:b w:val="0"/>
          <w:bCs/>
          <w:color w:val="000000"/>
          <w:sz w:val="32"/>
          <w:szCs w:val="32"/>
        </w:rPr>
        <w:t>:支出决算为</w:t>
      </w:r>
      <w:r>
        <w:rPr>
          <w:rStyle w:val="11"/>
          <w:rFonts w:hint="eastAsia" w:ascii="仿宋_GB2312" w:hAnsi="仿宋_GB2312" w:eastAsia="仿宋_GB2312" w:cs="仿宋_GB2312"/>
          <w:b w:val="0"/>
          <w:bCs/>
          <w:color w:val="000000"/>
          <w:sz w:val="32"/>
          <w:szCs w:val="32"/>
          <w:lang w:val="en-US" w:eastAsia="zh-CN"/>
        </w:rPr>
        <w:t>10.55</w:t>
      </w:r>
      <w:r>
        <w:rPr>
          <w:rStyle w:val="11"/>
          <w:rFonts w:hint="eastAsia" w:ascii="仿宋_GB2312" w:hAnsi="仿宋_GB2312" w:eastAsia="仿宋_GB2312" w:cs="仿宋_GB2312"/>
          <w:b w:val="0"/>
          <w:bCs/>
          <w:color w:val="000000"/>
          <w:sz w:val="32"/>
          <w:szCs w:val="32"/>
        </w:rPr>
        <w:t>万元，完成预算</w:t>
      </w:r>
      <w:r>
        <w:rPr>
          <w:rStyle w:val="11"/>
          <w:rFonts w:hint="eastAsia" w:ascii="仿宋_GB2312" w:hAnsi="仿宋_GB2312" w:eastAsia="仿宋_GB2312" w:cs="仿宋_GB2312"/>
          <w:b w:val="0"/>
          <w:bCs/>
          <w:color w:val="000000"/>
          <w:sz w:val="32"/>
          <w:szCs w:val="32"/>
          <w:lang w:val="en-US" w:eastAsia="zh-CN"/>
        </w:rPr>
        <w:t>100</w:t>
      </w:r>
      <w:r>
        <w:rPr>
          <w:rStyle w:val="11"/>
          <w:rFonts w:hint="eastAsia" w:ascii="仿宋_GB2312" w:hAnsi="仿宋_GB2312" w:eastAsia="仿宋_GB2312" w:cs="仿宋_GB2312"/>
          <w:b w:val="0"/>
          <w:bCs/>
          <w:color w:val="000000"/>
          <w:sz w:val="32"/>
          <w:szCs w:val="32"/>
        </w:rPr>
        <w:t>%。</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7．住房保障（类）221（款）02（项）01：</w:t>
      </w:r>
      <w:r>
        <w:rPr>
          <w:rStyle w:val="11"/>
          <w:rFonts w:hint="eastAsia" w:ascii="仿宋_GB2312" w:hAnsi="仿宋_GB2312" w:eastAsia="仿宋_GB2312" w:cs="仿宋_GB2312"/>
          <w:b w:val="0"/>
          <w:bCs/>
          <w:color w:val="000000"/>
          <w:sz w:val="32"/>
          <w:szCs w:val="32"/>
        </w:rPr>
        <w:t>支出决算为</w:t>
      </w:r>
      <w:r>
        <w:rPr>
          <w:rStyle w:val="11"/>
          <w:rFonts w:hint="eastAsia" w:ascii="仿宋_GB2312" w:hAnsi="仿宋_GB2312" w:eastAsia="仿宋_GB2312" w:cs="仿宋_GB2312"/>
          <w:b w:val="0"/>
          <w:bCs/>
          <w:color w:val="000000"/>
          <w:sz w:val="32"/>
          <w:szCs w:val="32"/>
          <w:lang w:val="en-US" w:eastAsia="zh-CN"/>
        </w:rPr>
        <w:t>38.27</w:t>
      </w:r>
      <w:r>
        <w:rPr>
          <w:rStyle w:val="11"/>
          <w:rFonts w:hint="eastAsia" w:ascii="仿宋_GB2312" w:hAnsi="仿宋_GB2312" w:eastAsia="仿宋_GB2312" w:cs="仿宋_GB2312"/>
          <w:b w:val="0"/>
          <w:bCs/>
          <w:color w:val="000000"/>
          <w:sz w:val="32"/>
          <w:szCs w:val="32"/>
        </w:rPr>
        <w:t>万元，完成预算</w:t>
      </w:r>
      <w:r>
        <w:rPr>
          <w:rStyle w:val="11"/>
          <w:rFonts w:hint="eastAsia" w:ascii="仿宋_GB2312" w:hAnsi="仿宋_GB2312" w:eastAsia="仿宋_GB2312" w:cs="仿宋_GB2312"/>
          <w:b w:val="0"/>
          <w:bCs/>
          <w:color w:val="000000"/>
          <w:sz w:val="32"/>
          <w:szCs w:val="32"/>
          <w:lang w:val="en-US" w:eastAsia="zh-CN"/>
        </w:rPr>
        <w:t>100</w:t>
      </w:r>
      <w:r>
        <w:rPr>
          <w:rStyle w:val="11"/>
          <w:rFonts w:hint="eastAsia" w:ascii="仿宋_GB2312" w:hAnsi="仿宋_GB2312" w:eastAsia="仿宋_GB2312" w:cs="仿宋_GB2312"/>
          <w:b w:val="0"/>
          <w:bCs/>
          <w:color w:val="000000"/>
          <w:sz w:val="32"/>
          <w:szCs w:val="32"/>
        </w:rPr>
        <w:t>%。</w:t>
      </w:r>
    </w:p>
    <w:p>
      <w:pPr>
        <w:tabs>
          <w:tab w:val="right" w:pos="8306"/>
        </w:tabs>
        <w:spacing w:line="600" w:lineRule="exact"/>
        <w:ind w:firstLine="640" w:firstLineChars="200"/>
        <w:outlineLvl w:val="1"/>
        <w:rPr>
          <w:rStyle w:val="14"/>
          <w:rFonts w:hint="eastAsia" w:ascii="仿宋_GB2312" w:hAnsi="仿宋_GB2312" w:eastAsia="仿宋_GB2312" w:cs="仿宋_GB2312"/>
        </w:rPr>
      </w:pPr>
      <w:bookmarkStart w:id="39" w:name="_Toc15377214"/>
      <w:bookmarkStart w:id="40" w:name="_Toc15396608"/>
      <w:r>
        <w:rPr>
          <w:rFonts w:hint="eastAsia" w:ascii="黑体" w:hAnsi="黑体" w:eastAsia="黑体" w:cs="黑体"/>
          <w:color w:val="000000"/>
          <w:sz w:val="32"/>
          <w:szCs w:val="32"/>
        </w:rPr>
        <w:t>六</w:t>
      </w:r>
      <w:r>
        <w:rPr>
          <w:rFonts w:hint="eastAsia" w:ascii="黑体" w:hAnsi="黑体" w:eastAsia="黑体" w:cs="黑体"/>
          <w:b/>
          <w:color w:val="000000"/>
          <w:sz w:val="32"/>
          <w:szCs w:val="32"/>
        </w:rPr>
        <w:t>、一</w:t>
      </w:r>
      <w:r>
        <w:rPr>
          <w:rStyle w:val="14"/>
          <w:rFonts w:hint="eastAsia" w:ascii="黑体" w:hAnsi="黑体" w:eastAsia="黑体" w:cs="黑体"/>
          <w:b w:val="0"/>
        </w:rPr>
        <w:t>般公共预算财政拨款基本支出决算情况说明</w:t>
      </w:r>
      <w:bookmarkEnd w:id="39"/>
      <w:bookmarkEnd w:id="40"/>
      <w:r>
        <w:rPr>
          <w:rStyle w:val="14"/>
          <w:rFonts w:hint="eastAsia" w:ascii="仿宋_GB2312" w:hAnsi="仿宋_GB2312" w:eastAsia="仿宋_GB2312" w:cs="仿宋_GB2312"/>
          <w:b w:val="0"/>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w:t>
      </w:r>
      <w:r>
        <w:rPr>
          <w:rFonts w:hint="eastAsia" w:ascii="仿宋_GB2312" w:hAnsi="仿宋_GB2312" w:eastAsia="仿宋_GB2312" w:cs="仿宋_GB2312"/>
          <w:color w:val="000000"/>
          <w:sz w:val="32"/>
          <w:szCs w:val="32"/>
          <w:lang w:val="en-US" w:eastAsia="zh-CN"/>
        </w:rPr>
        <w:t>418.31</w:t>
      </w:r>
      <w:r>
        <w:rPr>
          <w:rFonts w:hint="eastAsia" w:ascii="仿宋_GB2312" w:hAnsi="仿宋_GB2312" w:eastAsia="仿宋_GB2312" w:cs="仿宋_GB2312"/>
          <w:color w:val="000000"/>
          <w:sz w:val="32"/>
          <w:szCs w:val="32"/>
        </w:rPr>
        <w:t>万元，其中：</w:t>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389.60</w:t>
      </w:r>
      <w:r>
        <w:rPr>
          <w:rFonts w:hint="eastAsia" w:ascii="仿宋_GB2312" w:hAnsi="仿宋_GB2312" w:eastAsia="仿宋_GB2312" w:cs="仿宋_GB2312"/>
          <w:color w:val="000000"/>
          <w:sz w:val="32"/>
          <w:szCs w:val="32"/>
        </w:rPr>
        <w:t>万元，主要包括：基本工资、津贴补贴、奖金、机关事业单位基本养老保险缴费、职业年金缴费、</w:t>
      </w:r>
      <w:r>
        <w:rPr>
          <w:rFonts w:hint="eastAsia" w:ascii="仿宋_GB2312" w:hAnsi="仿宋_GB2312" w:eastAsia="仿宋_GB2312" w:cs="仿宋_GB2312"/>
          <w:color w:val="000000"/>
          <w:sz w:val="32"/>
          <w:szCs w:val="32"/>
          <w:lang w:eastAsia="zh-CN"/>
        </w:rPr>
        <w:t>基本医疗保险缴费、</w:t>
      </w:r>
      <w:r>
        <w:rPr>
          <w:rFonts w:hint="eastAsia" w:ascii="仿宋_GB2312" w:hAnsi="仿宋_GB2312" w:eastAsia="仿宋_GB2312" w:cs="仿宋_GB2312"/>
          <w:color w:val="000000"/>
          <w:sz w:val="32"/>
          <w:szCs w:val="32"/>
        </w:rPr>
        <w:t>其他社会保障缴费、住房公积金、</w:t>
      </w:r>
      <w:r>
        <w:rPr>
          <w:rFonts w:hint="eastAsia" w:ascii="仿宋_GB2312" w:hAnsi="仿宋_GB2312" w:eastAsia="仿宋_GB2312" w:cs="仿宋_GB2312"/>
          <w:color w:val="000000"/>
          <w:sz w:val="32"/>
          <w:szCs w:val="32"/>
          <w:lang w:eastAsia="zh-CN"/>
        </w:rPr>
        <w:t>生活</w:t>
      </w:r>
      <w:r>
        <w:rPr>
          <w:rFonts w:hint="eastAsia" w:ascii="仿宋_GB2312" w:hAnsi="仿宋_GB2312" w:eastAsia="仿宋_GB2312" w:cs="仿宋_GB2312"/>
          <w:color w:val="000000"/>
          <w:sz w:val="32"/>
          <w:szCs w:val="32"/>
        </w:rPr>
        <w:t>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w:t>
      </w:r>
      <w:r>
        <w:rPr>
          <w:rFonts w:hint="eastAsia" w:ascii="仿宋_GB2312" w:hAnsi="仿宋_GB2312" w:eastAsia="仿宋_GB2312" w:cs="仿宋_GB2312"/>
          <w:color w:val="000000"/>
          <w:sz w:val="32"/>
          <w:szCs w:val="32"/>
          <w:lang w:val="en-US" w:eastAsia="zh-CN"/>
        </w:rPr>
        <w:t>28.71</w:t>
      </w:r>
      <w:r>
        <w:rPr>
          <w:rFonts w:hint="eastAsia" w:ascii="仿宋_GB2312" w:hAnsi="仿宋_GB2312" w:eastAsia="仿宋_GB2312" w:cs="仿宋_GB2312"/>
          <w:color w:val="000000"/>
          <w:sz w:val="32"/>
          <w:szCs w:val="32"/>
        </w:rPr>
        <w:t>万元，主要包括：办公费、印刷费、手续费、水费、邮电费、物业管理费、差旅费、维修（护）费、劳务费、工会经费、其他交通费、税金及附加费用、其他商品和服务支出、办公设备购置等。</w:t>
      </w:r>
    </w:p>
    <w:p>
      <w:pPr>
        <w:spacing w:line="600" w:lineRule="exact"/>
        <w:ind w:firstLine="640" w:firstLineChars="200"/>
        <w:outlineLvl w:val="1"/>
        <w:rPr>
          <w:rStyle w:val="14"/>
          <w:rFonts w:ascii="黑体" w:hAnsi="黑体" w:eastAsia="黑体"/>
          <w:b w:val="0"/>
        </w:rPr>
      </w:pPr>
      <w:bookmarkStart w:id="41" w:name="_Toc15396609"/>
      <w:bookmarkStart w:id="42" w:name="_Toc15377215"/>
      <w:r>
        <w:rPr>
          <w:rFonts w:hint="eastAsia" w:ascii="黑体" w:eastAsia="黑体"/>
          <w:color w:val="000000"/>
          <w:sz w:val="32"/>
          <w:szCs w:val="32"/>
        </w:rPr>
        <w:t>七、</w:t>
      </w:r>
      <w:r>
        <w:rPr>
          <w:rStyle w:val="14"/>
          <w:rFonts w:hint="eastAsia" w:ascii="黑体" w:hAnsi="黑体" w:eastAsia="黑体"/>
        </w:rPr>
        <w:t>“</w:t>
      </w:r>
      <w:r>
        <w:rPr>
          <w:rStyle w:val="14"/>
          <w:rFonts w:hint="eastAsia" w:ascii="黑体" w:hAnsi="黑体" w:eastAsia="黑体"/>
          <w:b w:val="0"/>
        </w:rPr>
        <w:t>三公”经费财政拨款支出决算情况说明</w:t>
      </w:r>
      <w:bookmarkEnd w:id="41"/>
      <w:bookmarkEnd w:id="42"/>
    </w:p>
    <w:p>
      <w:pPr>
        <w:spacing w:line="600" w:lineRule="exact"/>
        <w:ind w:firstLine="640"/>
        <w:rPr>
          <w:rFonts w:hint="eastAsia" w:ascii="仿宋_GB2312" w:hAnsi="仿宋_GB2312" w:eastAsia="仿宋_GB2312" w:cs="仿宋_GB2312"/>
          <w:b/>
          <w:color w:val="FF0000"/>
          <w:sz w:val="32"/>
          <w:szCs w:val="32"/>
          <w:lang w:eastAsia="zh-CN"/>
        </w:rPr>
      </w:pPr>
      <w:r>
        <w:rPr>
          <w:rFonts w:hint="eastAsia" w:ascii="仿宋_GB2312" w:hAnsi="仿宋_GB2312" w:eastAsia="仿宋_GB2312" w:cs="仿宋_GB2312"/>
          <w:color w:val="000000"/>
          <w:sz w:val="32"/>
          <w:szCs w:val="32"/>
        </w:rPr>
        <w:t>2019年</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“三公”经费支出</w:t>
      </w:r>
      <w:r>
        <w:rPr>
          <w:rFonts w:hint="eastAsia" w:ascii="仿宋_GB2312" w:hAnsi="仿宋_GB2312" w:eastAsia="仿宋_GB2312" w:cs="仿宋_GB2312"/>
          <w:color w:val="000000"/>
          <w:sz w:val="32"/>
          <w:szCs w:val="32"/>
          <w:lang w:eastAsia="zh-CN"/>
        </w:rPr>
        <w:t>。</w:t>
      </w:r>
    </w:p>
    <w:p>
      <w:pPr>
        <w:spacing w:line="600" w:lineRule="exact"/>
        <w:ind w:firstLine="640" w:firstLineChars="200"/>
        <w:outlineLvl w:val="1"/>
        <w:rPr>
          <w:rStyle w:val="14"/>
          <w:rFonts w:ascii="黑体" w:hAnsi="黑体" w:eastAsia="黑体"/>
        </w:rPr>
      </w:pPr>
      <w:bookmarkStart w:id="43" w:name="_Toc15377218"/>
      <w:bookmarkStart w:id="44" w:name="_Toc15396610"/>
      <w:r>
        <w:rPr>
          <w:rFonts w:hint="eastAsia" w:ascii="黑体" w:eastAsia="黑体"/>
          <w:color w:val="000000"/>
          <w:sz w:val="32"/>
          <w:szCs w:val="32"/>
        </w:rPr>
        <w:t>八、</w:t>
      </w:r>
      <w:r>
        <w:rPr>
          <w:rStyle w:val="14"/>
          <w:rFonts w:hint="eastAsia" w:ascii="黑体" w:hAnsi="黑体" w:eastAsia="黑体"/>
          <w:b w:val="0"/>
        </w:rPr>
        <w:t>政府性基金预算支出决算情况说明</w:t>
      </w:r>
      <w:bookmarkEnd w:id="43"/>
      <w:bookmarkEnd w:id="44"/>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政府性基金预算拨款支出。</w:t>
      </w:r>
    </w:p>
    <w:p>
      <w:pPr>
        <w:numPr>
          <w:ilvl w:val="0"/>
          <w:numId w:val="0"/>
        </w:numPr>
        <w:spacing w:line="600" w:lineRule="exact"/>
        <w:ind w:firstLine="640" w:firstLineChars="200"/>
        <w:outlineLvl w:val="1"/>
        <w:rPr>
          <w:rStyle w:val="14"/>
          <w:rFonts w:ascii="黑体" w:hAnsi="黑体" w:eastAsia="黑体"/>
          <w:b w:val="0"/>
        </w:rPr>
      </w:pPr>
      <w:bookmarkStart w:id="45" w:name="_Toc15377219"/>
      <w:bookmarkStart w:id="46" w:name="_Toc15396611"/>
      <w:r>
        <w:rPr>
          <w:rStyle w:val="14"/>
          <w:rFonts w:hint="eastAsia" w:ascii="黑体" w:hAnsi="黑体" w:eastAsia="黑体"/>
          <w:b w:val="0"/>
          <w:lang w:eastAsia="zh-CN"/>
        </w:rPr>
        <w:t>九、</w:t>
      </w:r>
      <w:r>
        <w:rPr>
          <w:rStyle w:val="14"/>
          <w:rFonts w:hint="eastAsia" w:ascii="黑体" w:hAnsi="黑体" w:eastAsia="黑体"/>
          <w:b w:val="0"/>
        </w:rPr>
        <w:t>国有资本经营预算支出决算情况说明</w:t>
      </w:r>
      <w:bookmarkEnd w:id="45"/>
      <w:bookmarkEnd w:id="46"/>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国有资本经营预算拨款支出。</w:t>
      </w:r>
    </w:p>
    <w:p>
      <w:pPr>
        <w:spacing w:line="600" w:lineRule="exact"/>
        <w:ind w:firstLine="640" w:firstLineChars="200"/>
        <w:outlineLvl w:val="1"/>
        <w:rPr>
          <w:rStyle w:val="14"/>
          <w:rFonts w:ascii="黑体" w:hAnsi="黑体" w:eastAsia="黑体"/>
        </w:rPr>
      </w:pPr>
      <w:bookmarkStart w:id="47" w:name="_Toc15377221"/>
      <w:bookmarkStart w:id="48" w:name="_Toc15396612"/>
      <w:r>
        <w:rPr>
          <w:rFonts w:hint="eastAsia" w:ascii="黑体" w:hAnsi="黑体" w:eastAsia="黑体"/>
          <w:color w:val="000000"/>
          <w:sz w:val="32"/>
          <w:szCs w:val="32"/>
        </w:rPr>
        <w:t>十</w:t>
      </w:r>
      <w:r>
        <w:rPr>
          <w:rStyle w:val="14"/>
          <w:rFonts w:hint="eastAsia" w:ascii="黑体" w:hAnsi="黑体" w:eastAsia="黑体"/>
        </w:rPr>
        <w:t>、</w:t>
      </w:r>
      <w:r>
        <w:rPr>
          <w:rStyle w:val="14"/>
          <w:rFonts w:hint="eastAsia" w:ascii="黑体" w:hAnsi="黑体" w:eastAsia="黑体"/>
          <w:b w:val="0"/>
        </w:rPr>
        <w:t>其他重要事项的情况说明</w:t>
      </w:r>
      <w:bookmarkEnd w:id="47"/>
      <w:bookmarkEnd w:id="48"/>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49" w:name="_Toc15377222"/>
      <w:r>
        <w:rPr>
          <w:rFonts w:hint="eastAsia" w:ascii="楷体_GB2312" w:hAnsi="楷体_GB2312" w:eastAsia="楷体_GB2312" w:cs="楷体_GB2312"/>
          <w:b w:val="0"/>
          <w:bCs/>
          <w:color w:val="000000"/>
          <w:sz w:val="32"/>
          <w:szCs w:val="32"/>
        </w:rPr>
        <w:t>（一）机关运行经费支出情况</w:t>
      </w:r>
      <w:bookmarkEnd w:id="49"/>
    </w:p>
    <w:p>
      <w:pPr>
        <w:spacing w:line="600" w:lineRule="exact"/>
        <w:ind w:firstLine="640" w:firstLineChars="200"/>
        <w:rPr>
          <w:rFonts w:hint="eastAsia" w:ascii="仿宋" w:hAnsi="仿宋" w:eastAsia="仿宋_GB2312"/>
          <w:b/>
          <w:color w:val="FF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国库支付中心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21.42</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5.26</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19.72</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人员退休，厉行节约，减少支出。</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000000"/>
          <w:sz w:val="32"/>
          <w:szCs w:val="32"/>
        </w:rPr>
      </w:pPr>
      <w:bookmarkStart w:id="50" w:name="_Toc15377223"/>
      <w:r>
        <w:rPr>
          <w:rFonts w:hint="eastAsia" w:ascii="楷体_GB2312" w:hAnsi="楷体_GB2312" w:eastAsia="楷体_GB2312" w:cs="楷体_GB2312"/>
          <w:b w:val="0"/>
          <w:bCs/>
          <w:color w:val="000000"/>
          <w:sz w:val="32"/>
          <w:szCs w:val="32"/>
        </w:rPr>
        <w:t>（二）政府采购支出情况</w:t>
      </w:r>
      <w:bookmarkEnd w:id="5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政府采购支出。</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000000"/>
          <w:sz w:val="32"/>
          <w:szCs w:val="32"/>
        </w:rPr>
      </w:pPr>
      <w:bookmarkStart w:id="51" w:name="_Toc15377224"/>
      <w:r>
        <w:rPr>
          <w:rFonts w:hint="eastAsia" w:ascii="楷体_GB2312" w:hAnsi="楷体_GB2312" w:eastAsia="楷体_GB2312" w:cs="楷体_GB2312"/>
          <w:b w:val="0"/>
          <w:bCs/>
          <w:color w:val="000000"/>
          <w:sz w:val="32"/>
          <w:szCs w:val="32"/>
        </w:rPr>
        <w:t>（三）国有资产占有使用情况</w:t>
      </w:r>
      <w:bookmarkEnd w:id="51"/>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无</w:t>
      </w:r>
      <w:r>
        <w:rPr>
          <w:rFonts w:hint="eastAsia" w:ascii="仿宋_GB2312" w:eastAsia="仿宋_GB2312"/>
          <w:color w:val="000000"/>
          <w:sz w:val="32"/>
          <w:szCs w:val="32"/>
        </w:rPr>
        <w:t>车辆</w:t>
      </w:r>
      <w:r>
        <w:rPr>
          <w:rFonts w:hint="eastAsia" w:ascii="仿宋_GB2312" w:eastAsia="仿宋_GB2312"/>
          <w:color w:val="000000"/>
          <w:sz w:val="32"/>
          <w:szCs w:val="32"/>
          <w:lang w:eastAsia="zh-CN"/>
        </w:rPr>
        <w:t>，无</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p>
    <w:p>
      <w:pPr>
        <w:autoSpaceDE w:val="0"/>
        <w:autoSpaceDN w:val="0"/>
        <w:adjustRightInd w:val="0"/>
        <w:spacing w:line="600" w:lineRule="exact"/>
        <w:ind w:firstLine="640" w:firstLineChars="200"/>
        <w:jc w:val="left"/>
        <w:outlineLvl w:val="2"/>
        <w:rPr>
          <w:rFonts w:ascii="仿宋_GB2312" w:hAnsi="仿宋_GB2312" w:eastAsia="仿宋_GB2312" w:cs="仿宋_GB2312"/>
          <w:sz w:val="32"/>
          <w:szCs w:val="32"/>
        </w:rPr>
      </w:pPr>
      <w:r>
        <w:rPr>
          <w:rFonts w:hint="eastAsia" w:ascii="楷体_GB2312" w:hAnsi="楷体_GB2312" w:eastAsia="楷体_GB2312" w:cs="楷体_GB2312"/>
          <w:b w:val="0"/>
          <w:bCs/>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val="zh-CN"/>
        </w:rPr>
        <w:t>绩效结果应用自评良好，绩效目标随同预决算及时向社会公开，收支管理严格按照财务管理制度和相关文件执行，评价结果及时报告，并针对工作中的不足及时改进</w:t>
      </w:r>
      <w:r>
        <w:rPr>
          <w:rFonts w:hint="eastAsia" w:ascii="仿宋_GB2312" w:hAnsi="仿宋_GB2312" w:eastAsia="仿宋_GB2312" w:cs="仿宋_GB2312"/>
          <w:sz w:val="32"/>
          <w:szCs w:val="32"/>
        </w:rPr>
        <w:t>。本部门未组织开展项目支出绩效评价。</w:t>
      </w:r>
      <w:bookmarkStart w:id="70" w:name="_GoBack"/>
      <w:bookmarkEnd w:id="70"/>
    </w:p>
    <w:p>
      <w:pPr>
        <w:numPr>
          <w:ilvl w:val="0"/>
          <w:numId w:val="2"/>
        </w:numPr>
        <w:spacing w:line="580" w:lineRule="exact"/>
        <w:ind w:left="630" w:left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项目绩效目标完成情况。</w:t>
      </w:r>
    </w:p>
    <w:p>
      <w:pPr>
        <w:numPr>
          <w:ilvl w:val="0"/>
          <w:numId w:val="0"/>
        </w:num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本部门在2019年度部门决算中反映“</w:t>
      </w:r>
      <w:r>
        <w:rPr>
          <w:rFonts w:hint="eastAsia" w:ascii="仿宋_GB2312" w:hAnsi="仿宋_GB2312" w:eastAsia="仿宋_GB2312" w:cs="仿宋_GB2312"/>
          <w:sz w:val="32"/>
          <w:szCs w:val="32"/>
          <w:lang w:eastAsia="zh-CN"/>
        </w:rPr>
        <w:t>全市工资代发银行业务费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pPr>
        <w:numPr>
          <w:ilvl w:val="0"/>
          <w:numId w:val="0"/>
        </w:numPr>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全市工资代发银行业务费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%。通过项目实施，加强与银行</w:t>
      </w:r>
      <w:r>
        <w:rPr>
          <w:rFonts w:hint="eastAsia" w:ascii="仿宋_GB2312" w:hAnsi="仿宋_GB2312" w:eastAsia="仿宋_GB2312" w:cs="仿宋_GB2312"/>
          <w:sz w:val="32"/>
          <w:szCs w:val="32"/>
          <w:lang w:eastAsia="zh-CN"/>
        </w:rPr>
        <w:t>和单位</w:t>
      </w:r>
      <w:r>
        <w:rPr>
          <w:rFonts w:hint="eastAsia" w:ascii="仿宋_GB2312" w:hAnsi="仿宋_GB2312" w:eastAsia="仿宋_GB2312" w:cs="仿宋_GB2312"/>
          <w:sz w:val="32"/>
          <w:szCs w:val="32"/>
        </w:rPr>
        <w:t>的合作与沟通，保证资金安全及顺利调度使用，保证全市行政事业单位</w:t>
      </w:r>
      <w:r>
        <w:rPr>
          <w:rFonts w:hint="eastAsia" w:ascii="仿宋_GB2312" w:hAnsi="仿宋_GB2312" w:eastAsia="仿宋_GB2312" w:cs="仿宋_GB2312"/>
          <w:sz w:val="32"/>
          <w:szCs w:val="32"/>
          <w:lang w:eastAsia="zh-CN"/>
        </w:rPr>
        <w:t>财政直接支付资金</w:t>
      </w:r>
      <w:r>
        <w:rPr>
          <w:rFonts w:hint="eastAsia" w:ascii="仿宋_GB2312" w:hAnsi="仿宋_GB2312" w:eastAsia="仿宋_GB2312" w:cs="仿宋_GB2312"/>
          <w:sz w:val="32"/>
          <w:szCs w:val="32"/>
        </w:rPr>
        <w:t>发放顺利进行，发现的主要问题：</w:t>
      </w:r>
      <w:r>
        <w:rPr>
          <w:rFonts w:hint="eastAsia" w:ascii="仿宋_GB2312" w:hAnsi="仿宋_GB2312" w:eastAsia="仿宋_GB2312" w:cs="仿宋_GB2312"/>
          <w:sz w:val="32"/>
          <w:szCs w:val="32"/>
          <w:lang w:val="zh-CN"/>
        </w:rPr>
        <w:t>1、项目资金的预算编制准确率需要提高。项目资金的预算编制应多考察、论证，提高准确率，因为和财政局机关一起办公，系统设备有共用情况，所以产生预算资金调整，在今后的预算编制中，可提前安排、划分。2、项目资金使用应更严格、规范，保证专款专用，严格执行政府采购等各项规章制度。</w:t>
      </w:r>
    </w:p>
    <w:tbl>
      <w:tblPr>
        <w:tblStyle w:val="9"/>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542"/>
        <w:gridCol w:w="1320"/>
        <w:gridCol w:w="192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377" w:hRule="atLeast"/>
          <w:jc w:val="center"/>
        </w:trPr>
        <w:tc>
          <w:tcPr>
            <w:tcW w:w="32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7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Theme="minorEastAsia" w:hAnsiTheme="minorEastAsia" w:eastAsiaTheme="minorEastAsia" w:cstheme="minorEastAsia"/>
                <w:sz w:val="24"/>
                <w:szCs w:val="24"/>
                <w:lang w:eastAsia="zh-CN"/>
              </w:rPr>
              <w:t>全市工资代发银行业务费</w:t>
            </w:r>
          </w:p>
        </w:tc>
      </w:tr>
      <w:tr>
        <w:tblPrEx>
          <w:tblCellMar>
            <w:top w:w="0" w:type="dxa"/>
            <w:left w:w="0" w:type="dxa"/>
            <w:bottom w:w="0" w:type="dxa"/>
            <w:right w:w="0" w:type="dxa"/>
          </w:tblCellMar>
        </w:tblPrEx>
        <w:trPr>
          <w:trHeight w:val="276" w:hRule="atLeast"/>
          <w:jc w:val="center"/>
        </w:trPr>
        <w:tc>
          <w:tcPr>
            <w:tcW w:w="32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67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峨眉山市国库支付中心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8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7.3万元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8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7.3万元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8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1、保证财政直接支付资金顺利支付；2、简化工资代发流程；3、简化、规范社会保险代扣、代缴。</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全年完成财政直接支付工资、政府工程款项等5511笔，金额合计473793.29万元；代管全市财政资金759.19万元；完成全市公积金代缴工作</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代发金额</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cs="宋体"/>
                <w:color w:val="000000"/>
                <w:sz w:val="24"/>
                <w:lang w:eastAsia="zh-CN"/>
              </w:rPr>
            </w:pPr>
            <w:r>
              <w:rPr>
                <w:rFonts w:hint="eastAsia" w:ascii="宋体" w:hAnsi="宋体" w:cs="宋体"/>
                <w:color w:val="000000"/>
                <w:sz w:val="24"/>
                <w:lang w:eastAsia="zh-CN"/>
              </w:rPr>
              <w:t>代支付全市财政直接支付资金，代发全市工资、代缴公积金等</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全年完成财政直接支付工资、政府工程款项等5511笔，金额合计473793.29万元；代管全市财政资金759.19万元；完成全市公积金代缴工作</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社会指标</w:t>
            </w: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代发资金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保证资金安全、及时支付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保证了财政直接支付资金及时支付到收款人；保证了全市机关事业单位工资按时发放；简化工资代发及社会保险、公斤金代扣代缴流程</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峨眉山市国库支付中心</w:t>
      </w:r>
      <w:r>
        <w:rPr>
          <w:rFonts w:hint="eastAsia" w:ascii="仿宋_GB2312" w:hAnsi="仿宋_GB2312" w:eastAsia="仿宋_GB2312" w:cs="仿宋_GB2312"/>
          <w:sz w:val="32"/>
          <w:szCs w:val="32"/>
        </w:rPr>
        <w:t>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本部门未组织开展项目支出绩效评价</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13"/>
          <w:rFonts w:hint="eastAsia" w:ascii="方正小标宋_GBK" w:hAnsi="方正小标宋_GBK" w:eastAsia="方正小标宋_GBK" w:cs="方正小标宋_GBK"/>
          <w:b/>
          <w:bCs/>
        </w:rPr>
      </w:pPr>
      <w:bookmarkStart w:id="52" w:name="_Toc15377225"/>
      <w:bookmarkStart w:id="53" w:name="_Toc15396613"/>
      <w:r>
        <w:rPr>
          <w:rFonts w:hint="eastAsia" w:ascii="方正小标宋_GBK" w:hAnsi="方正小标宋_GBK" w:eastAsia="方正小标宋_GBK" w:cs="方正小标宋_GBK"/>
          <w:b/>
          <w:bCs/>
          <w:color w:val="000000"/>
          <w:sz w:val="44"/>
          <w:szCs w:val="44"/>
        </w:rPr>
        <w:t>名</w:t>
      </w:r>
      <w:r>
        <w:rPr>
          <w:rStyle w:val="13"/>
          <w:rFonts w:hint="eastAsia" w:ascii="方正小标宋_GBK" w:hAnsi="方正小标宋_GBK" w:eastAsia="方正小标宋_GBK" w:cs="方正小标宋_GBK"/>
          <w:b/>
          <w:bCs/>
        </w:rPr>
        <w:t>词解释</w:t>
      </w:r>
      <w:bookmarkEnd w:id="52"/>
      <w:bookmarkEnd w:id="53"/>
    </w:p>
    <w:p>
      <w:pPr>
        <w:spacing w:line="600" w:lineRule="exact"/>
        <w:jc w:val="left"/>
        <w:rPr>
          <w:rFonts w:ascii="宋体"/>
          <w:b/>
          <w:color w:val="000000"/>
          <w:sz w:val="44"/>
          <w:szCs w:val="44"/>
        </w:rPr>
      </w:pPr>
    </w:p>
    <w:p>
      <w:pPr>
        <w:pStyle w:val="16"/>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财政拨款收入：指单位从同级财政部门取得的财政预算资金。</w:t>
      </w:r>
    </w:p>
    <w:p>
      <w:pPr>
        <w:pStyle w:val="16"/>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 xml:space="preserve">年初结转和结余：指以前年度尚未完成、结转到本年按有关规定继续使用的资金。 </w:t>
      </w:r>
    </w:p>
    <w:p>
      <w:pPr>
        <w:pStyle w:val="16"/>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年末结转和结余：指单位按有关规定结转到下年或以后年度继续使用的资金。</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一般公共服务（类）</w:t>
      </w:r>
      <w:r>
        <w:rPr>
          <w:rFonts w:hint="eastAsia" w:ascii="仿宋_GB2312" w:hAnsi="仿宋_GB2312" w:eastAsia="仿宋_GB2312" w:cs="仿宋_GB2312"/>
          <w:color w:val="000000"/>
          <w:sz w:val="32"/>
          <w:szCs w:val="32"/>
          <w:lang w:val="en-US" w:eastAsia="zh-CN"/>
        </w:rPr>
        <w:t>201</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01/02</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sz w:val="32"/>
          <w:szCs w:val="32"/>
          <w:lang w:eastAsia="zh-CN"/>
        </w:rPr>
        <w:t>反应财政事务方面基本支出及未单独设置项级科目的其他项目支出</w:t>
      </w:r>
      <w:r>
        <w:rPr>
          <w:rFonts w:hint="eastAsia" w:ascii="仿宋_GB2312" w:hAnsi="仿宋_GB2312" w:eastAsia="仿宋_GB2312" w:cs="仿宋_GB2312"/>
          <w:color w:val="000000"/>
          <w:sz w:val="32"/>
          <w:szCs w:val="32"/>
        </w:rPr>
        <w:t>。</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社会保障和就业（类）</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05机关事业单位养老保险缴费支出</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sz w:val="32"/>
          <w:szCs w:val="32"/>
          <w:lang w:eastAsia="zh-CN"/>
        </w:rPr>
        <w:t>反映机关事业单位实施养老保险制度由单位缴纳的基本养老保险费支出</w:t>
      </w:r>
      <w:r>
        <w:rPr>
          <w:rFonts w:hint="eastAsia" w:ascii="仿宋_GB2312" w:hAnsi="仿宋_GB2312" w:eastAsia="仿宋_GB2312" w:cs="仿宋_GB2312"/>
          <w:color w:val="000000"/>
          <w:sz w:val="32"/>
          <w:szCs w:val="32"/>
        </w:rPr>
        <w:t>。</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社会保障和就业（类）</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06机关事业单位职业年金缴费支出</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sz w:val="32"/>
          <w:szCs w:val="32"/>
          <w:lang w:eastAsia="zh-CN"/>
        </w:rPr>
        <w:t>反映机关事业单位实施养老保险制度由单位缴纳的基本职业年金支出</w:t>
      </w:r>
      <w:r>
        <w:rPr>
          <w:rFonts w:hint="eastAsia" w:ascii="仿宋_GB2312" w:hAnsi="仿宋_GB2312" w:eastAsia="仿宋_GB2312" w:cs="仿宋_GB2312"/>
          <w:color w:val="000000"/>
          <w:sz w:val="32"/>
          <w:szCs w:val="32"/>
        </w:rPr>
        <w:t>。</w:t>
      </w:r>
    </w:p>
    <w:p>
      <w:pPr>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医疗卫生与计划生育（类）</w:t>
      </w:r>
      <w:r>
        <w:rPr>
          <w:rFonts w:hint="eastAsia" w:ascii="仿宋_GB2312" w:hAnsi="仿宋_GB2312" w:eastAsia="仿宋_GB2312" w:cs="仿宋_GB2312"/>
          <w:color w:val="000000"/>
          <w:sz w:val="32"/>
          <w:szCs w:val="32"/>
          <w:lang w:val="en-US" w:eastAsia="zh-CN"/>
        </w:rPr>
        <w:t>210</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01行政单位医疗</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sz w:val="32"/>
          <w:szCs w:val="32"/>
          <w:lang w:eastAsia="zh-CN"/>
        </w:rPr>
        <w:t>反映财政部门安排的行政单位（包括实行公务员管理的事业单位）基本医疗保险缴费经费。</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住房保障（类）</w:t>
      </w:r>
      <w:r>
        <w:rPr>
          <w:rFonts w:hint="eastAsia" w:ascii="仿宋_GB2312" w:hAnsi="仿宋_GB2312" w:eastAsia="仿宋_GB2312" w:cs="仿宋_GB2312"/>
          <w:color w:val="000000"/>
          <w:sz w:val="32"/>
          <w:szCs w:val="32"/>
          <w:lang w:val="en-US" w:eastAsia="zh-CN"/>
        </w:rPr>
        <w:t>221</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01住房公积金</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sz w:val="32"/>
          <w:szCs w:val="32"/>
          <w:lang w:eastAsia="zh-CN"/>
        </w:rPr>
        <w:t>反映行政事业单位按人力资源和社会保障部、财政部规定的基本工资和津补贴以及规定比例为职工缴纳的住房公积金</w:t>
      </w:r>
      <w:r>
        <w:rPr>
          <w:rFonts w:hint="eastAsia" w:ascii="仿宋_GB2312" w:hAnsi="仿宋_GB2312" w:eastAsia="仿宋_GB2312" w:cs="仿宋_GB2312"/>
          <w:color w:val="000000"/>
          <w:sz w:val="32"/>
          <w:szCs w:val="32"/>
        </w:rPr>
        <w:t>。</w:t>
      </w:r>
    </w:p>
    <w:p>
      <w:pPr>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九、</w:t>
      </w:r>
      <w:r>
        <w:rPr>
          <w:rFonts w:hint="eastAsia" w:ascii="仿宋_GB2312" w:hAnsi="仿宋_GB2312" w:eastAsia="仿宋_GB2312" w:cs="仿宋_GB2312"/>
          <w:b w:val="0"/>
          <w:bCs/>
          <w:color w:val="000000"/>
          <w:sz w:val="32"/>
          <w:szCs w:val="32"/>
        </w:rPr>
        <w:t>基本支出：指为保障机构正常运转、完成日常工作任务而发生的人员支出和公用支出。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pPr>
        <w:pStyle w:val="16"/>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十一、</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spacing w:line="600" w:lineRule="exact"/>
        <w:jc w:val="center"/>
        <w:textAlignment w:val="auto"/>
        <w:outlineLvl w:val="0"/>
        <w:rPr>
          <w:rStyle w:val="13"/>
          <w:rFonts w:hint="eastAsia" w:ascii="方正小标宋_GBK" w:hAnsi="方正小标宋_GBK" w:eastAsia="方正小标宋_GBK" w:cs="方正小标宋_GBK"/>
          <w:b/>
          <w:bCs/>
        </w:rPr>
      </w:pPr>
      <w:bookmarkStart w:id="54" w:name="_Toc15377226"/>
      <w:r>
        <w:rPr>
          <w:rFonts w:ascii="宋体"/>
          <w:b/>
          <w:color w:val="000000"/>
          <w:sz w:val="44"/>
          <w:szCs w:val="44"/>
        </w:rPr>
        <w:br w:type="page"/>
      </w:r>
      <w:bookmarkStart w:id="55" w:name="_Toc15396614"/>
      <w:r>
        <w:rPr>
          <w:rFonts w:hint="eastAsia" w:ascii="方正小标宋_GBK" w:hAnsi="方正小标宋_GBK" w:eastAsia="方正小标宋_GBK" w:cs="方正小标宋_GBK"/>
          <w:b/>
          <w:bCs/>
          <w:color w:val="000000"/>
          <w:sz w:val="44"/>
          <w:szCs w:val="44"/>
        </w:rPr>
        <w:t>第</w:t>
      </w:r>
      <w:r>
        <w:rPr>
          <w:rStyle w:val="13"/>
          <w:rFonts w:hint="eastAsia" w:ascii="方正小标宋_GBK" w:hAnsi="方正小标宋_GBK" w:eastAsia="方正小标宋_GBK" w:cs="方正小标宋_GBK"/>
          <w:b/>
          <w:bCs/>
        </w:rPr>
        <w:t>四部分 附</w:t>
      </w:r>
      <w:r>
        <w:rPr>
          <w:rStyle w:val="13"/>
          <w:rFonts w:hint="eastAsia" w:ascii="方正小标宋_GBK" w:hAnsi="方正小标宋_GBK" w:eastAsia="方正小标宋_GBK" w:cs="方正小标宋_GBK"/>
          <w:b/>
          <w:bCs/>
          <w:lang w:val="en-US" w:eastAsia="zh-CN"/>
        </w:rPr>
        <w:t xml:space="preserve">  </w:t>
      </w:r>
      <w:r>
        <w:rPr>
          <w:rStyle w:val="13"/>
          <w:rFonts w:hint="eastAsia" w:ascii="方正小标宋_GBK" w:hAnsi="方正小标宋_GBK" w:eastAsia="方正小标宋_GBK" w:cs="方正小标宋_GBK"/>
          <w:b/>
          <w:bCs/>
        </w:rPr>
        <w:t>件</w:t>
      </w:r>
      <w:bookmarkEnd w:id="55"/>
    </w:p>
    <w:p>
      <w:pPr>
        <w:keepNext w:val="0"/>
        <w:keepLines w:val="0"/>
        <w:pageBreakBefore w:val="0"/>
        <w:kinsoku/>
        <w:wordWrap/>
        <w:overflowPunct/>
        <w:topLinePunct w:val="0"/>
        <w:autoSpaceDE/>
        <w:autoSpaceDN/>
        <w:bidi w:val="0"/>
        <w:spacing w:line="600" w:lineRule="exact"/>
        <w:jc w:val="left"/>
        <w:textAlignment w:val="auto"/>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峨眉山市国库支付中心</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宋体"/>
          <w:szCs w:val="32"/>
          <w:shd w:val="clear" w:color="auto" w:fill="FFFFFF"/>
        </w:rPr>
      </w:pPr>
      <w:r>
        <w:rPr>
          <w:rFonts w:hint="eastAsia" w:ascii="方正小标宋_GBK" w:hAnsi="宋体" w:eastAsia="方正小标宋_GBK"/>
          <w:b/>
          <w:sz w:val="44"/>
          <w:szCs w:val="44"/>
          <w:shd w:val="clear" w:color="auto" w:fill="FFFFFF"/>
        </w:rPr>
        <w:t>2019年</w:t>
      </w:r>
      <w:r>
        <w:rPr>
          <w:rFonts w:hint="eastAsia" w:ascii="方正小标宋_GBK" w:hAnsi="宋体" w:eastAsia="方正小标宋_GBK"/>
          <w:b/>
          <w:sz w:val="44"/>
          <w:szCs w:val="44"/>
          <w:shd w:val="clear" w:color="auto" w:fill="FFFFFF"/>
          <w:lang w:eastAsia="zh-CN"/>
        </w:rPr>
        <w:t>整体</w:t>
      </w:r>
      <w:r>
        <w:rPr>
          <w:rFonts w:hint="eastAsia" w:ascii="方正小标宋_GBK" w:hAnsi="宋体" w:eastAsia="方正小标宋_GBK"/>
          <w:b/>
          <w:sz w:val="44"/>
          <w:szCs w:val="44"/>
          <w:shd w:val="clear" w:color="auto" w:fill="FFFFFF"/>
        </w:rPr>
        <w:t>支出绩效</w:t>
      </w:r>
      <w:r>
        <w:rPr>
          <w:rFonts w:hint="eastAsia" w:ascii="方正小标宋_GBK" w:hAnsi="宋体" w:eastAsia="方正小标宋_GBK"/>
          <w:b/>
          <w:sz w:val="44"/>
          <w:szCs w:val="44"/>
          <w:shd w:val="clear" w:color="auto" w:fill="FFFFFF"/>
          <w:lang w:eastAsia="zh-CN"/>
        </w:rPr>
        <w:t>评价</w:t>
      </w:r>
      <w:r>
        <w:rPr>
          <w:rFonts w:hint="eastAsia" w:ascii="方正小标宋_GBK" w:hAnsi="宋体" w:eastAsia="方正小标宋_GBK"/>
          <w:b/>
          <w:sz w:val="44"/>
          <w:szCs w:val="44"/>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宋体" w:eastAsia="黑体" w:cs="宋体"/>
          <w:color w:val="000000"/>
          <w:kern w:val="0"/>
          <w:sz w:val="24"/>
          <w:szCs w:val="32"/>
          <w:shd w:val="clear" w:color="auto" w:fill="FFFFFF"/>
        </w:rPr>
      </w:pPr>
    </w:p>
    <w:p>
      <w:pPr>
        <w:pStyle w:val="15"/>
        <w:keepNext w:val="0"/>
        <w:keepLines w:val="0"/>
        <w:pageBreakBefore w:val="0"/>
        <w:numPr>
          <w:ilvl w:val="0"/>
          <w:numId w:val="0"/>
        </w:numPr>
        <w:tabs>
          <w:tab w:val="left" w:pos="409"/>
        </w:tabs>
        <w:kinsoku/>
        <w:wordWrap/>
        <w:overflowPunct/>
        <w:topLinePunct w:val="0"/>
        <w:autoSpaceDE/>
        <w:autoSpaceDN/>
        <w:bidi w:val="0"/>
        <w:spacing w:line="600" w:lineRule="exact"/>
        <w:ind w:leftChars="0" w:firstLine="640" w:firstLineChars="200"/>
        <w:textAlignment w:val="auto"/>
        <w:outlineLvl w:val="1"/>
        <w:rPr>
          <w:rFonts w:hint="eastAsia" w:ascii="黑体" w:hAnsi="黑体" w:eastAsia="黑体"/>
          <w:color w:val="000000"/>
          <w:sz w:val="32"/>
          <w:szCs w:val="32"/>
          <w:lang w:val="zh-CN"/>
        </w:rPr>
      </w:pPr>
      <w:r>
        <w:rPr>
          <w:rFonts w:hint="eastAsia" w:ascii="黑体" w:hAnsi="黑体" w:eastAsia="黑体"/>
          <w:color w:val="000000"/>
          <w:sz w:val="32"/>
          <w:szCs w:val="32"/>
        </w:rPr>
        <w:t>一、</w:t>
      </w:r>
      <w:r>
        <w:rPr>
          <w:rFonts w:hint="eastAsia" w:ascii="黑体" w:hAnsi="黑体" w:eastAsia="黑体"/>
          <w:color w:val="000000"/>
          <w:sz w:val="32"/>
          <w:szCs w:val="32"/>
          <w:lang w:val="zh-CN"/>
        </w:rPr>
        <w:t>部门（单位）概况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峨眉山市国库支付中心为峨眉山市财政局下属参照公务员法管理的事业单位。</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（二）机构职能</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库集中支付改革要求，办理财政资金直接支付业务；严格按《预算法》进行预算执行动态监控管理工作，以实时监控、跟踪问效为手段，及时预警信息进行处理，保证财政资金安全、有效使用，规范单位支付行；统一管理单位代管资金，认真做好代管资金收支管理，规范代管资金支付流程，建立对账制度，严控大额现金支出，有效保障代管资金安全、合规使用。</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（三）人员概况</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zh-CN"/>
        </w:rPr>
        <w:t>峨眉山市国库支付中心截止2019年12月参照公务员法管理的人员编制为29人，实际人数为26人，比2018年减少2人，原因为：退休2人。</w:t>
      </w:r>
    </w:p>
    <w:p>
      <w:pPr>
        <w:pStyle w:val="15"/>
        <w:keepNext w:val="0"/>
        <w:keepLines w:val="0"/>
        <w:pageBreakBefore w:val="0"/>
        <w:numPr>
          <w:ilvl w:val="0"/>
          <w:numId w:val="0"/>
        </w:numPr>
        <w:tabs>
          <w:tab w:val="left" w:pos="409"/>
        </w:tabs>
        <w:kinsoku/>
        <w:wordWrap/>
        <w:overflowPunct/>
        <w:topLinePunct w:val="0"/>
        <w:autoSpaceDE/>
        <w:autoSpaceDN/>
        <w:bidi w:val="0"/>
        <w:spacing w:line="600" w:lineRule="exact"/>
        <w:ind w:leftChars="0" w:firstLine="640" w:firstLineChars="200"/>
        <w:textAlignment w:val="auto"/>
        <w:outlineLvl w:val="1"/>
        <w:rPr>
          <w:rFonts w:hint="eastAsia" w:ascii="黑体" w:hAnsi="黑体" w:eastAsia="黑体"/>
          <w:color w:val="000000"/>
          <w:sz w:val="32"/>
          <w:szCs w:val="32"/>
        </w:rPr>
      </w:pPr>
      <w:r>
        <w:rPr>
          <w:rFonts w:hint="eastAsia" w:ascii="黑体" w:hAnsi="黑体" w:eastAsia="黑体"/>
          <w:color w:val="000000"/>
          <w:sz w:val="32"/>
          <w:szCs w:val="32"/>
        </w:rPr>
        <w:t>二、部门财政资金收支情况</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峨眉山市国库支付中心总收入417.56万元，全部为财政拨款收入。其中：一般公务服务支出收入323.62万元，占总收入的77.50%，社会保障和就业支出收入45.1万元，占总收入的10.99%；医疗卫生与计划生育支收入１０.55万元，占总收入的２.53%；住房保障支出收入38.27万元，占总收入的9.17%。</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（二）部门财政资金支出情况</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2019年峨眉山市国库支付中心总支出为418.56万元，全部为财政拨款支出。其中：一般公务服务支出323.87万元，占总支出的77.38%；社会保障和就业支出45.87万元，占总支出的10.96%；医疗卫生与计划生育支10.55万元，占总支出的２.52%；住房保障支出38.27万元，占总支出的9.14%。</w:t>
      </w:r>
    </w:p>
    <w:p>
      <w:pPr>
        <w:pStyle w:val="15"/>
        <w:keepNext w:val="0"/>
        <w:keepLines w:val="0"/>
        <w:pageBreakBefore w:val="0"/>
        <w:numPr>
          <w:ilvl w:val="0"/>
          <w:numId w:val="0"/>
        </w:numPr>
        <w:tabs>
          <w:tab w:val="left" w:pos="409"/>
        </w:tabs>
        <w:kinsoku/>
        <w:wordWrap/>
        <w:overflowPunct/>
        <w:topLinePunct w:val="0"/>
        <w:autoSpaceDE/>
        <w:autoSpaceDN/>
        <w:bidi w:val="0"/>
        <w:spacing w:line="600" w:lineRule="exact"/>
        <w:ind w:leftChars="0" w:firstLine="640" w:firstLineChars="200"/>
        <w:textAlignment w:val="auto"/>
        <w:outlineLvl w:val="1"/>
        <w:rPr>
          <w:rFonts w:hint="eastAsia" w:ascii="黑体" w:hAnsi="黑体" w:eastAsia="黑体"/>
          <w:color w:val="000000"/>
          <w:sz w:val="32"/>
          <w:szCs w:val="32"/>
        </w:rPr>
      </w:pPr>
      <w:r>
        <w:rPr>
          <w:rFonts w:hint="eastAsia" w:ascii="黑体" w:hAnsi="黑体" w:eastAsia="黑体"/>
          <w:color w:val="000000"/>
          <w:sz w:val="32"/>
          <w:szCs w:val="32"/>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（一）部门预算管理</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w:t>
      </w:r>
      <w:r>
        <w:rPr>
          <w:rFonts w:hint="eastAsia" w:ascii="仿宋_GB2312" w:hAnsi="仿宋_GB2312" w:eastAsia="仿宋_GB2312" w:cs="仿宋_GB2312"/>
          <w:color w:val="000000"/>
          <w:kern w:val="0"/>
          <w:sz w:val="32"/>
          <w:szCs w:val="32"/>
          <w:shd w:val="clear" w:color="auto" w:fill="FFFFFF"/>
          <w:lang w:val="zh-CN" w:eastAsia="zh-CN"/>
        </w:rPr>
        <w:t>．</w:t>
      </w:r>
      <w:r>
        <w:rPr>
          <w:rFonts w:hint="eastAsia" w:ascii="仿宋_GB2312" w:hAnsi="仿宋_GB2312" w:eastAsia="仿宋_GB2312" w:cs="仿宋_GB2312"/>
          <w:color w:val="000000"/>
          <w:kern w:val="0"/>
          <w:sz w:val="32"/>
          <w:szCs w:val="32"/>
          <w:shd w:val="clear" w:color="auto" w:fill="FFFFFF"/>
          <w:lang w:val="zh-CN"/>
        </w:rPr>
        <w:t>绩效目标制定</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严格按照《预算法》的要求根据项目具体情况和资金使用情况编制预决算、制定绩效目标，国库支付中心2019年度总体目标：（1）按照国库集中支付改革要求，办理财政资金直接支付业务；（2）严格按照预算法进行预算执行动态监控管理工作；（3）认真做好代管资金管理工作，规范代管资金支付流程，推进预算单位代管资金的逐步退出；</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2019年峨眉山市国库支付中心整体支出绩效目标表：</w:t>
      </w:r>
    </w:p>
    <w:p>
      <w:pPr>
        <w:widowControl/>
        <w:adjustRightInd w:val="0"/>
        <w:snapToGrid w:val="0"/>
        <w:spacing w:line="580" w:lineRule="exact"/>
        <w:ind w:firstLine="720"/>
        <w:jc w:val="left"/>
        <w:rPr>
          <w:rFonts w:hint="eastAsia" w:ascii="仿宋" w:hAnsi="仿宋" w:eastAsia="仿宋" w:cs="仿宋"/>
          <w:sz w:val="32"/>
          <w:szCs w:val="32"/>
        </w:rPr>
      </w:pPr>
    </w:p>
    <w:tbl>
      <w:tblPr>
        <w:tblStyle w:val="9"/>
        <w:tblW w:w="8979" w:type="dxa"/>
        <w:jc w:val="center"/>
        <w:tblLayout w:type="autofit"/>
        <w:tblCellMar>
          <w:top w:w="0" w:type="dxa"/>
          <w:left w:w="108" w:type="dxa"/>
          <w:bottom w:w="0" w:type="dxa"/>
          <w:right w:w="108" w:type="dxa"/>
        </w:tblCellMar>
      </w:tblPr>
      <w:tblGrid>
        <w:gridCol w:w="1574"/>
        <w:gridCol w:w="4996"/>
        <w:gridCol w:w="756"/>
        <w:gridCol w:w="975"/>
        <w:gridCol w:w="678"/>
      </w:tblGrid>
      <w:tr>
        <w:tblPrEx>
          <w:tblCellMar>
            <w:top w:w="0" w:type="dxa"/>
            <w:left w:w="108" w:type="dxa"/>
            <w:bottom w:w="0" w:type="dxa"/>
            <w:right w:w="108" w:type="dxa"/>
          </w:tblCellMar>
        </w:tblPrEx>
        <w:trPr>
          <w:trHeight w:val="484" w:hRule="atLeast"/>
          <w:jc w:val="center"/>
        </w:trPr>
        <w:tc>
          <w:tcPr>
            <w:tcW w:w="1574" w:type="dxa"/>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任务名称</w:t>
            </w:r>
          </w:p>
        </w:tc>
        <w:tc>
          <w:tcPr>
            <w:tcW w:w="4996" w:type="dxa"/>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主要内容</w:t>
            </w:r>
          </w:p>
        </w:tc>
        <w:tc>
          <w:tcPr>
            <w:tcW w:w="2409"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预算金额（万元）</w:t>
            </w:r>
          </w:p>
        </w:tc>
      </w:tr>
      <w:tr>
        <w:tblPrEx>
          <w:tblCellMar>
            <w:top w:w="0" w:type="dxa"/>
            <w:left w:w="108" w:type="dxa"/>
            <w:bottom w:w="0" w:type="dxa"/>
            <w:right w:w="108" w:type="dxa"/>
          </w:tblCellMar>
        </w:tblPrEx>
        <w:trPr>
          <w:trHeight w:val="693" w:hRule="atLeast"/>
          <w:jc w:val="center"/>
        </w:trPr>
        <w:tc>
          <w:tcPr>
            <w:tcW w:w="1574" w:type="dxa"/>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kern w:val="0"/>
                <w:sz w:val="18"/>
                <w:szCs w:val="18"/>
              </w:rPr>
            </w:pPr>
          </w:p>
        </w:tc>
        <w:tc>
          <w:tcPr>
            <w:tcW w:w="4996" w:type="dxa"/>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kern w:val="0"/>
                <w:sz w:val="18"/>
                <w:szCs w:val="18"/>
              </w:rPr>
            </w:pPr>
          </w:p>
        </w:tc>
        <w:tc>
          <w:tcPr>
            <w:tcW w:w="7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总额</w:t>
            </w:r>
          </w:p>
        </w:tc>
        <w:tc>
          <w:tcPr>
            <w:tcW w:w="97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财政拨款</w:t>
            </w:r>
          </w:p>
        </w:tc>
        <w:tc>
          <w:tcPr>
            <w:tcW w:w="67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其他资金</w:t>
            </w:r>
          </w:p>
        </w:tc>
      </w:tr>
      <w:tr>
        <w:tblPrEx>
          <w:tblCellMar>
            <w:top w:w="0" w:type="dxa"/>
            <w:left w:w="108" w:type="dxa"/>
            <w:bottom w:w="0" w:type="dxa"/>
            <w:right w:w="108" w:type="dxa"/>
          </w:tblCellMar>
        </w:tblPrEx>
        <w:trPr>
          <w:trHeight w:val="693" w:hRule="atLeast"/>
          <w:jc w:val="center"/>
        </w:trPr>
        <w:tc>
          <w:tcPr>
            <w:tcW w:w="1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基本费用</w:t>
            </w:r>
          </w:p>
        </w:tc>
        <w:tc>
          <w:tcPr>
            <w:tcW w:w="499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人员工资、养老保险、医疗保险、公积金、职业年金、公用经费等基本费用</w:t>
            </w:r>
          </w:p>
        </w:tc>
        <w:tc>
          <w:tcPr>
            <w:tcW w:w="7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317.30 </w:t>
            </w:r>
          </w:p>
        </w:tc>
        <w:tc>
          <w:tcPr>
            <w:tcW w:w="97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317.30 </w:t>
            </w:r>
          </w:p>
        </w:tc>
        <w:tc>
          <w:tcPr>
            <w:tcW w:w="67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93" w:hRule="atLeast"/>
          <w:jc w:val="center"/>
        </w:trPr>
        <w:tc>
          <w:tcPr>
            <w:tcW w:w="1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全市工资代发银行业务</w:t>
            </w:r>
          </w:p>
        </w:tc>
        <w:tc>
          <w:tcPr>
            <w:tcW w:w="499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加强与银行的合作与沟通，保证资金安全及顺利调度使用，保证全市行政事业单位工资发放顺利进行</w:t>
            </w:r>
          </w:p>
        </w:tc>
        <w:tc>
          <w:tcPr>
            <w:tcW w:w="7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10.00 </w:t>
            </w:r>
          </w:p>
        </w:tc>
        <w:tc>
          <w:tcPr>
            <w:tcW w:w="97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10.00 </w:t>
            </w:r>
          </w:p>
        </w:tc>
        <w:tc>
          <w:tcPr>
            <w:tcW w:w="67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36" w:hRule="atLeast"/>
          <w:jc w:val="center"/>
        </w:trPr>
        <w:tc>
          <w:tcPr>
            <w:tcW w:w="6570" w:type="dxa"/>
            <w:gridSpan w:val="2"/>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金额合计</w:t>
            </w:r>
          </w:p>
        </w:tc>
        <w:tc>
          <w:tcPr>
            <w:tcW w:w="7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327.30</w:t>
            </w:r>
          </w:p>
        </w:tc>
        <w:tc>
          <w:tcPr>
            <w:tcW w:w="97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327.30</w:t>
            </w:r>
          </w:p>
        </w:tc>
        <w:tc>
          <w:tcPr>
            <w:tcW w:w="67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eastAsia="宋体"/>
                <w:kern w:val="0"/>
                <w:sz w:val="18"/>
                <w:szCs w:val="18"/>
              </w:rPr>
            </w:pPr>
            <w:r>
              <w:rPr>
                <w:rFonts w:ascii="宋体" w:hAnsi="宋体" w:eastAsia="宋体"/>
                <w:kern w:val="0"/>
                <w:sz w:val="18"/>
                <w:szCs w:val="18"/>
              </w:rPr>
              <w:t>　</w:t>
            </w:r>
          </w:p>
        </w:tc>
      </w:tr>
    </w:tbl>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2．目标完成及预算编制准确</w:t>
      </w:r>
    </w:p>
    <w:p>
      <w:pPr>
        <w:widowControl/>
        <w:adjustRightInd w:val="0"/>
        <w:snapToGrid w:val="0"/>
        <w:spacing w:line="580" w:lineRule="exact"/>
        <w:ind w:firstLine="7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严格按照计划完成资金拨付，根据预算合理控制支出数额及支出进度。2019年预算收入327.30万元，调整预算收入417.56万元，收入差异主要为2018年目标奖为纳入2019年预算，2019年实际支出418.56万元，预算编制基本准确。</w:t>
      </w:r>
    </w:p>
    <w:p>
      <w:pPr>
        <w:widowControl/>
        <w:adjustRightInd w:val="0"/>
        <w:snapToGrid w:val="0"/>
        <w:spacing w:line="580" w:lineRule="exact"/>
        <w:ind w:firstLine="7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预算动态调整</w:t>
      </w:r>
    </w:p>
    <w:p>
      <w:pPr>
        <w:widowControl/>
        <w:adjustRightInd w:val="0"/>
        <w:snapToGrid w:val="0"/>
        <w:spacing w:line="580" w:lineRule="exact"/>
        <w:ind w:firstLine="7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国库支付中心申请预算资金10.00万元，用于金算盘维护项目，后因金算盘系统升级改造由财政局机关作为主体进行项目招标，全市财务系统网络维护费用也由财政局机关支付，所以调整该笔项目资金到财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执行进度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2019年截止2019年6月30日，财政拨款支出276.65万元，支出进度为66.25%；截止2019年9月30日，财政拨款支出347.91万元，支出进度为83.32%；截止2019年11月30日，财政拨款支出为393.35万元，支出进度为94.20%，全年执行进度合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预算完成情况</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部门支出绩效。机关运行方面，2019年国库支付中心机关运行经费21.42万元。其中：办公费0.42万元，手续费0.01万元，水费0.08万元，邮电费0.34万元，物业管理费0.05万元，差旅费0.15万元，维修费0.02万元，劳务费1.18万元，工会经费1.34万元，其他交通费用16.00万元，其他商品服务支出0.84万元，办公设备购置0.09万元；机关厉行节约方面，2019年国库支付中心无因公出国（境）费用、会议费、车辆购置及运行费用和公务接待经费；机关节能降耗方面，2019年国库支付中心水费支出0.08万元，电费由财政局机关统一支付，无燃油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（2）专项预算项目（待批复项目）支出绩效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2019年，峨眉山市国库支付中心项目资金批复10.00万元，为全市工资代发银行业务费。</w:t>
      </w:r>
      <w:r>
        <w:rPr>
          <w:rFonts w:hint="eastAsia" w:ascii="仿宋_GB2312" w:hAnsi="仿宋_GB2312" w:eastAsia="仿宋_GB2312" w:cs="仿宋_GB2312"/>
          <w:sz w:val="32"/>
          <w:szCs w:val="32"/>
        </w:rPr>
        <w:t>项目资金的管理都按照相关规定执行，实行专款专用。</w:t>
      </w:r>
      <w:r>
        <w:rPr>
          <w:rFonts w:hint="eastAsia" w:ascii="仿宋_GB2312" w:hAnsi="仿宋_GB2312" w:eastAsia="仿宋_GB2312" w:cs="仿宋_GB2312"/>
          <w:sz w:val="32"/>
          <w:szCs w:val="32"/>
          <w:lang w:val="zh-CN"/>
        </w:rPr>
        <w:t>严格财务管理，由经办人、审核人、分管领导及主要领导签字确认后支付费用，会计核算和账务处理由专人负责，及时规范。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（二）评价结果运用情况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我中心认真开展绩效目标自评工作，绩效结果应用自评良好，绩效目标随同预决算及时向社会公开，收支管理严格按照财务管理制度和相关文件执行，评价结果及时报告，并针对工作中的不足及时改进。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四、评价结论及建议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优，93.5分。预算编制29分，其中：目标制定10分，目标完成10分，编制准确9分；预算执行25分，其中：支出控制5分，动态调整10分，执行进度10分；完成结果20分，其中：预算完成10分，违规记录10分；绩效结果运用19.5分，其中：自评质量3.5分，信息公开8分，整改反馈8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（二）存在问题和建议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资金的预算编制准确率需要提高。项目资金的预算编制应多考察、论证，提高准确率，因为和财政局机关一起办公，系统设备有共用情况，所以产生预算资金调整，在今后的预算编制中，可提前安排、划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2．项目资金使用应更严格、规范，保证专款专用，严格执行政府采购等各项规章制度。</w:t>
      </w:r>
    </w:p>
    <w:p>
      <w:pPr>
        <w:widowControl/>
        <w:adjustRightInd w:val="0"/>
        <w:snapToGrid w:val="0"/>
        <w:spacing w:line="580" w:lineRule="exact"/>
        <w:ind w:firstLine="720"/>
        <w:jc w:val="left"/>
        <w:rPr>
          <w:rFonts w:hint="eastAsia" w:ascii="仿宋_GB2312" w:hAnsi="宋体" w:cs="宋体"/>
          <w:color w:val="000000"/>
          <w:kern w:val="0"/>
          <w:szCs w:val="32"/>
          <w:shd w:val="clear" w:color="auto" w:fill="FFFFFF"/>
          <w:lang w:val="zh-CN"/>
        </w:rPr>
      </w:pPr>
    </w:p>
    <w:p>
      <w:pPr>
        <w:spacing w:line="580" w:lineRule="exact"/>
        <w:jc w:val="center"/>
        <w:rPr>
          <w:rFonts w:ascii="方正小标宋简体" w:hAnsi="方正小标宋简体" w:eastAsia="方正小标宋简体" w:cs="方正小标宋简体"/>
          <w:sz w:val="44"/>
          <w:szCs w:val="44"/>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widowControl/>
        <w:jc w:val="left"/>
        <w:rPr>
          <w:rStyle w:val="13"/>
          <w:rFonts w:ascii="黑体" w:hAnsi="黑体" w:eastAsia="黑体"/>
          <w:b w:val="0"/>
        </w:rPr>
      </w:pPr>
    </w:p>
    <w:p>
      <w:pPr>
        <w:widowControl/>
        <w:jc w:val="left"/>
        <w:rPr>
          <w:rStyle w:val="13"/>
          <w:rFonts w:ascii="黑体" w:hAnsi="黑体" w:eastAsia="黑体"/>
          <w:b w:val="0"/>
        </w:rPr>
      </w:pPr>
      <w:r>
        <w:rPr>
          <w:rStyle w:val="13"/>
          <w:rFonts w:ascii="黑体" w:hAnsi="黑体" w:eastAsia="黑体"/>
          <w:b w:val="0"/>
        </w:rPr>
        <w:br w:type="page"/>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60" w:firstLineChars="150"/>
        <w:jc w:val="center"/>
        <w:textAlignment w:val="auto"/>
        <w:outlineLvl w:val="0"/>
        <w:rPr>
          <w:rStyle w:val="13"/>
          <w:rFonts w:hint="eastAsia" w:ascii="方正小标宋_GBK" w:hAnsi="方正小标宋_GBK" w:eastAsia="方正小标宋_GBK" w:cs="方正小标宋_GBK"/>
          <w:b/>
          <w:bCs w:val="0"/>
        </w:rPr>
      </w:pPr>
      <w:bookmarkStart w:id="56" w:name="_Toc15396618"/>
      <w:r>
        <w:rPr>
          <w:rStyle w:val="13"/>
          <w:rFonts w:hint="eastAsia" w:ascii="方正小标宋_GBK" w:hAnsi="方正小标宋_GBK" w:eastAsia="方正小标宋_GBK" w:cs="方正小标宋_GBK"/>
          <w:b/>
          <w:bCs w:val="0"/>
        </w:rPr>
        <w:t>附</w:t>
      </w:r>
      <w:r>
        <w:rPr>
          <w:rStyle w:val="13"/>
          <w:rFonts w:hint="eastAsia" w:ascii="方正小标宋_GBK" w:hAnsi="方正小标宋_GBK" w:eastAsia="方正小标宋_GBK" w:cs="方正小标宋_GBK"/>
          <w:b/>
          <w:bCs w:val="0"/>
          <w:lang w:val="en-US" w:eastAsia="zh-CN"/>
        </w:rPr>
        <w:t xml:space="preserve">  </w:t>
      </w:r>
      <w:r>
        <w:rPr>
          <w:rStyle w:val="13"/>
          <w:rFonts w:hint="eastAsia" w:ascii="方正小标宋_GBK" w:hAnsi="方正小标宋_GBK" w:eastAsia="方正小标宋_GBK" w:cs="方正小标宋_GBK"/>
          <w:b/>
          <w:bCs w:val="0"/>
        </w:rPr>
        <w:t>表</w:t>
      </w:r>
      <w:bookmarkEnd w:id="54"/>
      <w:bookmarkEnd w:id="5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50"/>
        <w:jc w:val="both"/>
        <w:textAlignment w:val="auto"/>
        <w:outlineLvl w:val="0"/>
        <w:rPr>
          <w:rStyle w:val="13"/>
          <w:rFonts w:hint="eastAsia" w:ascii="黑体" w:hAnsi="黑体" w:eastAsia="黑体"/>
          <w:b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7" w:name="_Toc15396619"/>
      <w:r>
        <w:rPr>
          <w:rFonts w:hint="eastAsia" w:ascii="仿宋_GB2312" w:hAnsi="仿宋_GB2312" w:eastAsia="仿宋_GB2312" w:cs="仿宋_GB2312"/>
          <w:sz w:val="32"/>
          <w:szCs w:val="32"/>
        </w:rPr>
        <w:t>一、收入支出决算总表</w:t>
      </w:r>
      <w:bookmarkEnd w:id="5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8" w:name="_Toc15396620"/>
      <w:r>
        <w:rPr>
          <w:rFonts w:hint="eastAsia" w:ascii="仿宋_GB2312" w:hAnsi="仿宋_GB2312" w:eastAsia="仿宋_GB2312" w:cs="仿宋_GB2312"/>
          <w:sz w:val="32"/>
          <w:szCs w:val="32"/>
        </w:rPr>
        <w:t>二、收入决算表</w:t>
      </w:r>
      <w:bookmarkEnd w:id="5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9" w:name="_Toc15396621"/>
      <w:r>
        <w:rPr>
          <w:rFonts w:hint="eastAsia" w:ascii="仿宋_GB2312" w:hAnsi="仿宋_GB2312" w:eastAsia="仿宋_GB2312" w:cs="仿宋_GB2312"/>
          <w:sz w:val="32"/>
          <w:szCs w:val="32"/>
        </w:rPr>
        <w:t>三、支出决算表</w:t>
      </w:r>
      <w:bookmarkEnd w:id="5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0" w:name="_Toc15396622"/>
      <w:r>
        <w:rPr>
          <w:rFonts w:hint="eastAsia" w:ascii="仿宋_GB2312" w:hAnsi="仿宋_GB2312" w:eastAsia="仿宋_GB2312" w:cs="仿宋_GB2312"/>
          <w:sz w:val="32"/>
          <w:szCs w:val="32"/>
        </w:rPr>
        <w:t>四、财政拨款收入支出决算总表</w:t>
      </w:r>
      <w:bookmarkEnd w:id="6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1" w:name="_Toc15396623"/>
      <w:r>
        <w:rPr>
          <w:rFonts w:hint="eastAsia" w:ascii="仿宋_GB2312" w:hAnsi="仿宋_GB2312" w:eastAsia="仿宋_GB2312" w:cs="仿宋_GB2312"/>
          <w:sz w:val="32"/>
          <w:szCs w:val="32"/>
        </w:rPr>
        <w:t>五、财政拨款支出决算明细表</w:t>
      </w:r>
      <w:bookmarkEnd w:id="61"/>
      <w:bookmarkStart w:id="62"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3" w:name="_Toc15396625"/>
      <w:r>
        <w:rPr>
          <w:rFonts w:hint="eastAsia" w:ascii="仿宋_GB2312" w:hAnsi="仿宋_GB2312" w:eastAsia="仿宋_GB2312" w:cs="仿宋_GB2312"/>
          <w:sz w:val="32"/>
          <w:szCs w:val="32"/>
        </w:rPr>
        <w:t>七、一般公共预算财政拨款支出决算明细表</w:t>
      </w:r>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4" w:name="_Toc15396626"/>
      <w:r>
        <w:rPr>
          <w:rFonts w:hint="eastAsia" w:ascii="仿宋_GB2312" w:hAnsi="仿宋_GB2312" w:eastAsia="仿宋_GB2312" w:cs="仿宋_GB2312"/>
          <w:sz w:val="32"/>
          <w:szCs w:val="32"/>
        </w:rPr>
        <w:t>八、一般公共预算财政拨款基本支出决算表</w:t>
      </w:r>
      <w:bookmarkEnd w:id="6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5" w:name="_Toc15396627"/>
      <w:r>
        <w:rPr>
          <w:rFonts w:hint="eastAsia" w:ascii="仿宋_GB2312" w:hAnsi="仿宋_GB2312" w:eastAsia="仿宋_GB2312" w:cs="仿宋_GB2312"/>
          <w:sz w:val="32"/>
          <w:szCs w:val="32"/>
        </w:rPr>
        <w:t>九、一般公共预算财政拨款项目支出决算表</w:t>
      </w:r>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6" w:name="_Toc15396628"/>
      <w:r>
        <w:rPr>
          <w:rFonts w:hint="eastAsia" w:ascii="仿宋_GB2312" w:hAnsi="仿宋_GB2312" w:eastAsia="仿宋_GB2312" w:cs="仿宋_GB2312"/>
          <w:sz w:val="32"/>
          <w:szCs w:val="32"/>
        </w:rPr>
        <w:t>十、一般公共预算财政拨款“三公”经费支出决算表</w:t>
      </w:r>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7" w:name="_Toc15396629"/>
      <w:r>
        <w:rPr>
          <w:rFonts w:hint="eastAsia" w:ascii="仿宋_GB2312" w:hAnsi="仿宋_GB2312" w:eastAsia="仿宋_GB2312" w:cs="仿宋_GB2312"/>
          <w:sz w:val="32"/>
          <w:szCs w:val="32"/>
        </w:rPr>
        <w:t>十一、政府性基金预算财政拨款收入支出决算表</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8" w:name="_Toc15396630"/>
      <w:r>
        <w:rPr>
          <w:rFonts w:hint="eastAsia" w:ascii="仿宋_GB2312" w:hAnsi="仿宋_GB2312" w:eastAsia="仿宋_GB2312" w:cs="仿宋_GB2312"/>
          <w:sz w:val="32"/>
          <w:szCs w:val="32"/>
        </w:rPr>
        <w:t>十二、政府性基金预算财政拨款“三公”经费支出决算表</w:t>
      </w:r>
      <w:bookmarkEnd w:id="6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9" w:name="_Toc15396631"/>
      <w:r>
        <w:rPr>
          <w:rFonts w:hint="eastAsia" w:ascii="仿宋_GB2312" w:hAnsi="仿宋_GB2312" w:eastAsia="仿宋_GB2312" w:cs="仿宋_GB2312"/>
          <w:sz w:val="32"/>
          <w:szCs w:val="32"/>
        </w:rPr>
        <w:t>十三、国有资本经营预算支出决算表</w:t>
      </w:r>
      <w:bookmarkEnd w:id="69"/>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headerReference r:id="rId3" w:type="first"/>
      <w:footerReference r:id="rId4" w:type="default"/>
      <w:pgSz w:w="11906" w:h="16838"/>
      <w:pgMar w:top="2041" w:right="1468" w:bottom="1587" w:left="1468" w:header="851" w:footer="1134"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-57150</wp:posOffset>
              </wp:positionV>
              <wp:extent cx="1044575" cy="258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4575"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4.5pt;height:20.35pt;width:82.25pt;mso-position-horizontal:outside;mso-position-horizontal-relative:margin;z-index:251658240;mso-width-relative:page;mso-height-relative:page;" filled="f" stroked="f" coordsize="21600,21600" o:gfxdata="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THbYi1gAAAAYBAAAP&#10;AAAAAAAAAAEAIAAAACIAAABkcnMvZG93bnJldi54bWxQSwECFAAUAAAACACHTuJAD/w1zxoCAAAU&#10;BAAADgAAAAAAAAABACAAAAAlAQAAZHJzL2Uyb0RvYy54bWxQSwUGAAAAAAYABgBZAQAAsQUAAAAA&#10;">
              <v:fill on="f" focussize="0,0"/>
              <v:stroke on="f" weight="0.5pt"/>
              <v:imagedata o:title=""/>
              <o:lock v:ext="edit" aspectratio="f"/>
              <v:textbox inset="0mm,0mm,0mm,0mm">
                <w:txbxContent>
                  <w:p>
                    <w:pPr>
                      <w:pStyle w:val="5"/>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44B3C"/>
    <w:multiLevelType w:val="singleLevel"/>
    <w:tmpl w:val="AFF44B3C"/>
    <w:lvl w:ilvl="0" w:tentative="0">
      <w:start w:val="1"/>
      <w:numFmt w:val="decimal"/>
      <w:suff w:val="nothing"/>
      <w:lvlText w:val="%1．"/>
      <w:lvlJc w:val="left"/>
    </w:lvl>
  </w:abstractNum>
  <w:abstractNum w:abstractNumId="1">
    <w:nsid w:val="B6225067"/>
    <w:multiLevelType w:val="singleLevel"/>
    <w:tmpl w:val="B6225067"/>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71EA9"/>
    <w:rsid w:val="09A1158C"/>
    <w:rsid w:val="0A5B073D"/>
    <w:rsid w:val="0B636C1F"/>
    <w:rsid w:val="0BA8632C"/>
    <w:rsid w:val="0C871EA9"/>
    <w:rsid w:val="18D87659"/>
    <w:rsid w:val="1BCE2913"/>
    <w:rsid w:val="1D925F20"/>
    <w:rsid w:val="1DA50169"/>
    <w:rsid w:val="1F6E1020"/>
    <w:rsid w:val="22AC02C8"/>
    <w:rsid w:val="25B27F58"/>
    <w:rsid w:val="28A40581"/>
    <w:rsid w:val="2A1810C1"/>
    <w:rsid w:val="2F353D1E"/>
    <w:rsid w:val="2F6345A0"/>
    <w:rsid w:val="3B8019F4"/>
    <w:rsid w:val="3FFB79E7"/>
    <w:rsid w:val="40FA4E33"/>
    <w:rsid w:val="41117BFE"/>
    <w:rsid w:val="41707089"/>
    <w:rsid w:val="42004D6F"/>
    <w:rsid w:val="477B3924"/>
    <w:rsid w:val="4C3955E0"/>
    <w:rsid w:val="55381886"/>
    <w:rsid w:val="554446FE"/>
    <w:rsid w:val="571B2710"/>
    <w:rsid w:val="5C670797"/>
    <w:rsid w:val="5F0C5513"/>
    <w:rsid w:val="6696547B"/>
    <w:rsid w:val="67D74806"/>
    <w:rsid w:val="68687884"/>
    <w:rsid w:val="700E16FB"/>
    <w:rsid w:val="752C23BA"/>
    <w:rsid w:val="75922552"/>
    <w:rsid w:val="7F0015FD"/>
    <w:rsid w:val="7F02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character" w:styleId="11">
    <w:name w:val="Strong"/>
    <w:basedOn w:val="10"/>
    <w:qFormat/>
    <w:uiPriority w:val="99"/>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1 Char"/>
    <w:basedOn w:val="10"/>
    <w:link w:val="2"/>
    <w:qFormat/>
    <w:uiPriority w:val="9"/>
    <w:rPr>
      <w:b/>
      <w:bCs/>
      <w:kern w:val="44"/>
      <w:sz w:val="44"/>
      <w:szCs w:val="44"/>
    </w:rPr>
  </w:style>
  <w:style w:type="character" w:customStyle="1" w:styleId="14">
    <w:name w:val="标题 2 Char"/>
    <w:basedOn w:val="10"/>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19971;&#27425;&#20154;&#21475;&#26222;&#26597;&#20449;&#24687;&#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19971;&#27425;&#20154;&#21475;&#26222;&#26597;&#20449;&#24687;&#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19971;&#27425;&#20154;&#21475;&#26222;&#26597;&#20449;&#24687;&#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19971;&#27425;&#20154;&#21475;&#26222;&#26597;&#20449;&#24687;&#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19971;&#27425;&#20154;&#21475;&#26222;&#26597;&#20449;&#24687;&#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19971;&#27425;&#20154;&#21475;&#26222;&#26597;&#20449;&#24687;&#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收入支出总计变动情况图</a:t>
            </a:r>
          </a:p>
        </c:rich>
      </c:tx>
      <c:layout/>
      <c:overlay val="0"/>
      <c:spPr>
        <a:noFill/>
        <a:ln>
          <a:noFill/>
        </a:ln>
        <a:effectLst/>
      </c:spPr>
    </c:title>
    <c:autoTitleDeleted val="0"/>
    <c:plotArea>
      <c:layout/>
      <c:barChart>
        <c:barDir val="col"/>
        <c:grouping val="clustered"/>
        <c:varyColors val="0"/>
        <c:ser>
          <c:idx val="0"/>
          <c:order val="0"/>
          <c:tx>
            <c:strRef>
              <c:f>[七次人口普查信息表.xls]Sheet3!$A$2</c:f>
              <c:strCache>
                <c:ptCount val="1"/>
                <c:pt idx="0">
                  <c:v>收入（万元）</c:v>
                </c:pt>
              </c:strCache>
            </c:strRef>
          </c:tx>
          <c:spPr>
            <a:solidFill>
              <a:schemeClr val="accent1"/>
            </a:solidFill>
            <a:ln>
              <a:noFill/>
            </a:ln>
            <a:effectLst/>
          </c:spPr>
          <c:invertIfNegative val="0"/>
          <c:dLbls>
            <c:delete val="1"/>
          </c:dLbls>
          <c:cat>
            <c:strRef>
              <c:f>[七次人口普查信息表.xls]Sheet3!$B$1:$C$1</c:f>
              <c:strCache>
                <c:ptCount val="2"/>
                <c:pt idx="0" c:formatCode="0.00_ ">
                  <c:v>2018年</c:v>
                </c:pt>
                <c:pt idx="1" c:formatCode="0.00_ ">
                  <c:v>2019年</c:v>
                </c:pt>
              </c:strCache>
            </c:strRef>
          </c:cat>
          <c:val>
            <c:numRef>
              <c:f>[七次人口普查信息表.xls]Sheet3!$B$2:$C$2</c:f>
              <c:numCache>
                <c:formatCode>0.00_ </c:formatCode>
                <c:ptCount val="2"/>
                <c:pt idx="0">
                  <c:v>464.49</c:v>
                </c:pt>
                <c:pt idx="1">
                  <c:v>417.56</c:v>
                </c:pt>
              </c:numCache>
            </c:numRef>
          </c:val>
        </c:ser>
        <c:ser>
          <c:idx val="1"/>
          <c:order val="1"/>
          <c:tx>
            <c:strRef>
              <c:f>[七次人口普查信息表.xls]Sheet3!$A$3</c:f>
              <c:strCache>
                <c:ptCount val="1"/>
                <c:pt idx="0">
                  <c:v>支出（万元）</c:v>
                </c:pt>
              </c:strCache>
            </c:strRef>
          </c:tx>
          <c:spPr>
            <a:solidFill>
              <a:schemeClr val="accent2"/>
            </a:solidFill>
            <a:ln>
              <a:noFill/>
            </a:ln>
            <a:effectLst/>
          </c:spPr>
          <c:invertIfNegative val="0"/>
          <c:dLbls>
            <c:delete val="1"/>
          </c:dLbls>
          <c:cat>
            <c:strRef>
              <c:f>[七次人口普查信息表.xls]Sheet3!$B$1:$C$1</c:f>
              <c:strCache>
                <c:ptCount val="2"/>
                <c:pt idx="0" c:formatCode="0.00_ ">
                  <c:v>2018年</c:v>
                </c:pt>
                <c:pt idx="1" c:formatCode="0.00_ ">
                  <c:v>2019年</c:v>
                </c:pt>
              </c:strCache>
            </c:strRef>
          </c:cat>
          <c:val>
            <c:numRef>
              <c:f>[七次人口普查信息表.xls]Sheet3!$B$3:$C$3</c:f>
              <c:numCache>
                <c:formatCode>0.00_ </c:formatCode>
                <c:ptCount val="2"/>
                <c:pt idx="0">
                  <c:v>463.8</c:v>
                </c:pt>
                <c:pt idx="1">
                  <c:v>418.56</c:v>
                </c:pt>
              </c:numCache>
            </c:numRef>
          </c:val>
        </c:ser>
        <c:dLbls>
          <c:showLegendKey val="0"/>
          <c:showVal val="0"/>
          <c:showCatName val="0"/>
          <c:showSerName val="0"/>
          <c:showPercent val="0"/>
          <c:showBubbleSize val="0"/>
        </c:dLbls>
        <c:gapWidth val="75"/>
        <c:overlap val="-25"/>
        <c:axId val="100395885"/>
        <c:axId val="280787694"/>
      </c:barChart>
      <c:catAx>
        <c:axId val="10039588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0787694"/>
        <c:crosses val="autoZero"/>
        <c:auto val="1"/>
        <c:lblAlgn val="ctr"/>
        <c:lblOffset val="100"/>
        <c:noMultiLvlLbl val="0"/>
      </c:catAx>
      <c:valAx>
        <c:axId val="280787694"/>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39588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[七次人口普查信息表.xls]Sheet3!$A$7</c:f>
              <c:strCache>
                <c:ptCount val="1"/>
                <c:pt idx="0">
                  <c:v>2019年</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[七次人口普查信息表.xls]Sheet3!$B$6</c:f>
              <c:strCache>
                <c:ptCount val="1"/>
                <c:pt idx="0" c:formatCode="0.00_ ">
                  <c:v>收入（万元）</c:v>
                </c:pt>
              </c:strCache>
            </c:strRef>
          </c:cat>
          <c:val>
            <c:numRef>
              <c:f>[七次人口普查信息表.xls]Sheet3!$B$7</c:f>
              <c:numCache>
                <c:formatCode>0.00_ </c:formatCode>
                <c:ptCount val="1"/>
                <c:pt idx="0">
                  <c:v>417.56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a:t>
                    </a:r>
                    <a:r>
                      <a:rPr lang="en-US" altLang="zh-CN"/>
                      <a:t>411.26</a:t>
                    </a:r>
                    <a:endParaRPr lang="en-US" altLang="zh-CN"/>
                  </a:p>
                  <a:p>
                    <a:pPr defTabSz="914400">
                      <a:defRPr lang="zh-CN" sz="900" b="0" i="0" u="none" strike="noStrike" kern="1200" baseline="0">
                        <a:solidFill>
                          <a:schemeClr val="tx1">
                            <a:lumMod val="75000"/>
                            <a:lumOff val="25000"/>
                          </a:schemeClr>
                        </a:solidFill>
                        <a:latin typeface="+mn-lt"/>
                        <a:ea typeface="+mn-ea"/>
                        <a:cs typeface="+mn-cs"/>
                      </a:defRPr>
                    </a:pPr>
                    <a:r>
                      <a:t>万元）98%</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a:t>
                    </a:r>
                    <a:r>
                      <a:rPr lang="en-US" altLang="zh-CN"/>
                      <a:t>7.3</a:t>
                    </a:r>
                    <a:r>
                      <a:t>万元）2%</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[七次人口普查信息表.xls]Sheet3!$A$27:$B$27</c:f>
              <c:strCache>
                <c:ptCount val="2"/>
                <c:pt idx="0">
                  <c:v>基本（万元）</c:v>
                </c:pt>
                <c:pt idx="1" c:formatCode="0.00_ ">
                  <c:v>项目（万元）</c:v>
                </c:pt>
              </c:strCache>
            </c:strRef>
          </c:cat>
          <c:val>
            <c:numRef>
              <c:f>[七次人口普查信息表.xls]Sheet3!$A$28:$B$28</c:f>
              <c:numCache>
                <c:formatCode>General</c:formatCode>
                <c:ptCount val="2"/>
                <c:pt idx="0">
                  <c:v>411.26</c:v>
                </c:pt>
                <c:pt idx="1" c:formatCode="0.00_ ">
                  <c:v>7.3</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[七次人口普查信息表.xls]Sheet3!$K$24</c:f>
              <c:strCache>
                <c:ptCount val="1"/>
                <c:pt idx="0">
                  <c:v>收入（万元）</c:v>
                </c:pt>
              </c:strCache>
            </c:strRef>
          </c:tx>
          <c:spPr>
            <a:solidFill>
              <a:schemeClr val="accent1"/>
            </a:solidFill>
            <a:ln>
              <a:noFill/>
            </a:ln>
            <a:effectLst/>
          </c:spPr>
          <c:invertIfNegative val="0"/>
          <c:dLbls>
            <c:delete val="1"/>
          </c:dLbls>
          <c:cat>
            <c:strRef>
              <c:f>[七次人口普查信息表.xls]Sheet3!$L$23:$M$23</c:f>
              <c:strCache>
                <c:ptCount val="2"/>
                <c:pt idx="0" c:formatCode="0.00_ ">
                  <c:v>2018年</c:v>
                </c:pt>
                <c:pt idx="1" c:formatCode="0.00_ ">
                  <c:v>2019年</c:v>
                </c:pt>
              </c:strCache>
            </c:strRef>
          </c:cat>
          <c:val>
            <c:numRef>
              <c:f>[七次人口普查信息表.xls]Sheet3!$L$24:$M$24</c:f>
              <c:numCache>
                <c:formatCode>0.00_ </c:formatCode>
                <c:ptCount val="2"/>
                <c:pt idx="0">
                  <c:v>464.49</c:v>
                </c:pt>
                <c:pt idx="1">
                  <c:v>417.56</c:v>
                </c:pt>
              </c:numCache>
            </c:numRef>
          </c:val>
        </c:ser>
        <c:ser>
          <c:idx val="1"/>
          <c:order val="1"/>
          <c:tx>
            <c:strRef>
              <c:f>[七次人口普查信息表.xls]Sheet3!$K$25</c:f>
              <c:strCache>
                <c:ptCount val="1"/>
                <c:pt idx="0">
                  <c:v>支出（万元）</c:v>
                </c:pt>
              </c:strCache>
            </c:strRef>
          </c:tx>
          <c:spPr>
            <a:solidFill>
              <a:schemeClr val="accent2"/>
            </a:solidFill>
            <a:ln>
              <a:noFill/>
            </a:ln>
            <a:effectLst/>
          </c:spPr>
          <c:invertIfNegative val="0"/>
          <c:dLbls>
            <c:delete val="1"/>
          </c:dLbls>
          <c:cat>
            <c:strRef>
              <c:f>[七次人口普查信息表.xls]Sheet3!$L$23:$M$23</c:f>
              <c:strCache>
                <c:ptCount val="2"/>
                <c:pt idx="0" c:formatCode="0.00_ ">
                  <c:v>2018年</c:v>
                </c:pt>
                <c:pt idx="1" c:formatCode="0.00_ ">
                  <c:v>2019年</c:v>
                </c:pt>
              </c:strCache>
            </c:strRef>
          </c:cat>
          <c:val>
            <c:numRef>
              <c:f>[七次人口普查信息表.xls]Sheet3!$L$25:$M$25</c:f>
              <c:numCache>
                <c:formatCode>0.00_ </c:formatCode>
                <c:ptCount val="2"/>
                <c:pt idx="0">
                  <c:v>463.8</c:v>
                </c:pt>
                <c:pt idx="1">
                  <c:v>418.32</c:v>
                </c:pt>
              </c:numCache>
            </c:numRef>
          </c:val>
        </c:ser>
        <c:dLbls>
          <c:showLegendKey val="0"/>
          <c:showVal val="0"/>
          <c:showCatName val="0"/>
          <c:showSerName val="0"/>
          <c:showPercent val="0"/>
          <c:showBubbleSize val="0"/>
        </c:dLbls>
        <c:gapWidth val="219"/>
        <c:overlap val="-27"/>
        <c:axId val="522281970"/>
        <c:axId val="339913858"/>
      </c:barChart>
      <c:catAx>
        <c:axId val="5222819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9913858"/>
        <c:crosses val="autoZero"/>
        <c:auto val="1"/>
        <c:lblAlgn val="ctr"/>
        <c:lblOffset val="100"/>
        <c:noMultiLvlLbl val="0"/>
      </c:catAx>
      <c:valAx>
        <c:axId val="339913858"/>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228197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32171134879844"/>
          <c:y val="0.0361111111111111"/>
        </c:manualLayout>
      </c:layout>
      <c:overlay val="0"/>
      <c:spPr>
        <a:noFill/>
        <a:ln>
          <a:noFill/>
        </a:ln>
        <a:effectLst/>
      </c:spPr>
    </c:title>
    <c:autoTitleDeleted val="0"/>
    <c:plotArea>
      <c:layout/>
      <c:barChart>
        <c:barDir val="col"/>
        <c:grouping val="clustered"/>
        <c:varyColors val="0"/>
        <c:ser>
          <c:idx val="0"/>
          <c:order val="0"/>
          <c:tx>
            <c:strRef>
              <c:f>[七次人口普查信息表.xls]Sheet3!$A$41</c:f>
              <c:strCache>
                <c:ptCount val="1"/>
                <c:pt idx="0">
                  <c:v>支出（万元）</c:v>
                </c:pt>
              </c:strCache>
            </c:strRef>
          </c:tx>
          <c:spPr>
            <a:solidFill>
              <a:schemeClr val="accent1"/>
            </a:solidFill>
            <a:ln>
              <a:noFill/>
            </a:ln>
            <a:effectLst/>
          </c:spPr>
          <c:invertIfNegative val="0"/>
          <c:dLbls>
            <c:delete val="1"/>
          </c:dLbls>
          <c:cat>
            <c:strRef>
              <c:f>[七次人口普查信息表.xls]Sheet3!$B$40:$C$40</c:f>
              <c:strCache>
                <c:ptCount val="2"/>
                <c:pt idx="0" c:formatCode="0.00_ ">
                  <c:v>2018年</c:v>
                </c:pt>
                <c:pt idx="1" c:formatCode="0.00_ ">
                  <c:v>2019年</c:v>
                </c:pt>
              </c:strCache>
            </c:strRef>
          </c:cat>
          <c:val>
            <c:numRef>
              <c:f>[七次人口普查信息表.xls]Sheet3!$B$41:$C$41</c:f>
              <c:numCache>
                <c:formatCode>0.00_ </c:formatCode>
                <c:ptCount val="2"/>
                <c:pt idx="0">
                  <c:v>463.8</c:v>
                </c:pt>
                <c:pt idx="1">
                  <c:v>418.32</c:v>
                </c:pt>
              </c:numCache>
            </c:numRef>
          </c:val>
        </c:ser>
        <c:dLbls>
          <c:showLegendKey val="0"/>
          <c:showVal val="0"/>
          <c:showCatName val="0"/>
          <c:showSerName val="0"/>
          <c:showPercent val="0"/>
          <c:showBubbleSize val="0"/>
        </c:dLbls>
        <c:gapWidth val="219"/>
        <c:overlap val="-27"/>
        <c:axId val="302330058"/>
        <c:axId val="800230012"/>
      </c:barChart>
      <c:catAx>
        <c:axId val="3023300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0230012"/>
        <c:crosses val="autoZero"/>
        <c:auto val="1"/>
        <c:lblAlgn val="ctr"/>
        <c:lblOffset val="100"/>
        <c:noMultiLvlLbl val="0"/>
      </c:catAx>
      <c:valAx>
        <c:axId val="800230012"/>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233005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583333333333"/>
          <c:y val="0.0529699151452816"/>
          <c:w val="0.574833333333333"/>
          <c:h val="0.886860375417845"/>
        </c:manualLayout>
      </c:layout>
      <c:pieChart>
        <c:varyColors val="1"/>
        <c:ser>
          <c:idx val="0"/>
          <c:order val="0"/>
          <c:tx>
            <c:strRef>
              <c:f>[七次人口普查信息表.xls]Sheet3!$B$55</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一般公共服务（类） 323.62</a:t>
                    </a:r>
                  </a:p>
                </c:rich>
              </c:tx>
              <c:dLblPos val="inEnd"/>
              <c:showLegendKey val="0"/>
              <c:showVal val="1"/>
              <c:showCatName val="1"/>
              <c:showSerName val="0"/>
              <c:showPercent val="0"/>
              <c:showBubbleSize val="0"/>
              <c:extLst>
                <c:ext xmlns:c15="http://schemas.microsoft.com/office/drawing/2012/chart" uri="{CE6537A1-D6FC-4f65-9D91-7224C49458BB}">
                  <c15:layout>
                    <c:manualLayout>
                      <c:w val="0.42339274984979"/>
                      <c:h val="0.234696469392939"/>
                    </c:manualLayout>
                  </c15:layout>
                </c:ext>
              </c:extLst>
            </c:dLbl>
            <c:dLbl>
              <c:idx val="1"/>
              <c:layout>
                <c:manualLayout>
                  <c:x val="0.122771272794958"/>
                  <c:y val="0.12713740335743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社会保障和就业（类） 45.87</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卫生健康支出 10.55</a:t>
                    </a:r>
                  </a:p>
                </c:rich>
              </c:tx>
              <c:dLblPos val="inEnd"/>
              <c:showLegendKey val="0"/>
              <c:showVal val="1"/>
              <c:showCatName val="1"/>
              <c:showSerName val="0"/>
              <c:showPercent val="0"/>
              <c:showBubbleSize val="0"/>
              <c:extLst>
                <c:ext xmlns:c15="http://schemas.microsoft.com/office/drawing/2012/chart" uri="{CE6537A1-D6FC-4f65-9D91-7224C49458BB}"/>
              </c:extLst>
            </c:dLbl>
            <c:dLbl>
              <c:idx val="3"/>
              <c:layout>
                <c:manualLayout>
                  <c:x val="0.0904636482098457"/>
                  <c:y val="0.2649417879009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住房保障支出 38.28</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[七次人口普查信息表.xls]Sheet3!$A$56:$A$59</c:f>
              <c:strCache>
                <c:ptCount val="4"/>
                <c:pt idx="0">
                  <c:v>一般公共服务（类）</c:v>
                </c:pt>
                <c:pt idx="1">
                  <c:v>社会保障和就业（类）</c:v>
                </c:pt>
                <c:pt idx="2">
                  <c:v>卫生健康支出</c:v>
                </c:pt>
                <c:pt idx="3">
                  <c:v>住房保障支出</c:v>
                </c:pt>
              </c:strCache>
            </c:strRef>
          </c:cat>
          <c:val>
            <c:numRef>
              <c:f>[七次人口普查信息表.xls]Sheet3!$B$56:$B$59</c:f>
              <c:numCache>
                <c:formatCode>General</c:formatCode>
                <c:ptCount val="4"/>
                <c:pt idx="0">
                  <c:v>323.62</c:v>
                </c:pt>
                <c:pt idx="1">
                  <c:v>45.87</c:v>
                </c:pt>
                <c:pt idx="2">
                  <c:v>10.55</c:v>
                </c:pt>
                <c:pt idx="3">
                  <c:v>38.28</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2020-10-19T02:10:00Z</dcterms:created>
  <dc:creator>Administrator</dc:creator>
  <cp:lastModifiedBy>Administrator</cp:lastModifiedBy>
  <dcterms:modified xsi:type="dcterms:W3CDTF">2020-10-29T06:16:10Z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