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黑体" w:hAnsi="黑体" w:eastAsia="黑体"/>
          <w:color w:val="000000"/>
          <w:sz w:val="72"/>
          <w:szCs w:val="72"/>
        </w:rPr>
      </w:pPr>
      <w:bookmarkStart w:id="1" w:name="_Toc15396475"/>
      <w:bookmarkStart w:id="2" w:name="_Toc15378441"/>
      <w:bookmarkStart w:id="3" w:name="_Toc15396597"/>
      <w:bookmarkStart w:id="4" w:name="_Toc15377193"/>
      <w:bookmarkStart w:id="5" w:name="_Toc15377425"/>
      <w:r>
        <w:rPr>
          <w:rFonts w:ascii="黑体" w:hAnsi="黑体" w:eastAsia="黑体"/>
          <w:color w:val="000000"/>
          <w:sz w:val="72"/>
          <w:szCs w:val="72"/>
        </w:rPr>
        <w:t>201</w:t>
      </w:r>
      <w:r>
        <w:rPr>
          <w:rFonts w:hint="eastAsia" w:ascii="黑体" w:hAnsi="黑体" w:eastAsia="黑体"/>
          <w:color w:val="000000"/>
          <w:sz w:val="72"/>
          <w:szCs w:val="72"/>
        </w:rPr>
        <w:t>9年度</w:t>
      </w:r>
      <w:bookmarkEnd w:id="1"/>
      <w:bookmarkEnd w:id="2"/>
      <w:bookmarkEnd w:id="3"/>
      <w:bookmarkEnd w:id="4"/>
      <w:bookmarkEnd w:id="5"/>
    </w:p>
    <w:p>
      <w:pPr>
        <w:adjustRightInd w:val="0"/>
        <w:snapToGrid w:val="0"/>
        <w:spacing w:line="360" w:lineRule="auto"/>
        <w:jc w:val="center"/>
        <w:outlineLvl w:val="0"/>
        <w:rPr>
          <w:rFonts w:ascii="黑体" w:hAnsi="黑体" w:eastAsia="黑体"/>
          <w:color w:val="000000"/>
          <w:sz w:val="72"/>
          <w:szCs w:val="72"/>
        </w:rPr>
      </w:pPr>
      <w:bookmarkStart w:id="6" w:name="_Toc15377194"/>
      <w:bookmarkStart w:id="7" w:name="_Toc15396476"/>
      <w:bookmarkStart w:id="8" w:name="_Toc15396598"/>
      <w:bookmarkStart w:id="9" w:name="_Toc15377426"/>
      <w:bookmarkStart w:id="10" w:name="_Toc15378442"/>
      <w:r>
        <w:rPr>
          <w:rFonts w:hint="eastAsia" w:ascii="黑体" w:hAnsi="黑体" w:eastAsia="黑体"/>
          <w:color w:val="000000"/>
          <w:sz w:val="72"/>
          <w:szCs w:val="72"/>
        </w:rPr>
        <w:t>四川省</w:t>
      </w:r>
      <w:bookmarkEnd w:id="0"/>
      <w:bookmarkStart w:id="11" w:name="_Toc15306268"/>
      <w:r>
        <w:rPr>
          <w:rFonts w:hint="eastAsia" w:ascii="黑体" w:hAnsi="黑体" w:eastAsia="黑体"/>
          <w:color w:val="000000"/>
          <w:sz w:val="72"/>
          <w:szCs w:val="72"/>
        </w:rPr>
        <w:t>乐山市峨眉山市龙池镇初级中学校部门决算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5"/>
        <w:adjustRightInd w:val="0"/>
        <w:snapToGrid w:val="0"/>
        <w:spacing w:before="93" w:line="600" w:lineRule="exact"/>
        <w:ind w:firstLine="672" w:firstLineChars="210"/>
        <w:jc w:val="center"/>
        <w:outlineLvl w:val="2"/>
        <w:rPr>
          <w:rFonts w:ascii="仿宋" w:hAnsi="仿宋" w:eastAsia="仿宋"/>
          <w:bCs/>
          <w:color w:val="000000"/>
          <w:sz w:val="32"/>
          <w:szCs w:val="32"/>
        </w:rPr>
      </w:pPr>
      <w:r>
        <w:rPr>
          <w:rFonts w:hint="eastAsia" w:ascii="仿宋" w:hAnsi="仿宋" w:eastAsia="仿宋"/>
          <w:bCs/>
          <w:color w:val="000000"/>
          <w:sz w:val="32"/>
          <w:szCs w:val="32"/>
        </w:rPr>
        <w:t>公开时间：2020年10月29日</w:t>
      </w:r>
    </w:p>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第一部分</w:t>
      </w:r>
      <w:r>
        <w:rPr>
          <w:rFonts w:ascii="仿宋" w:hAnsi="仿宋" w:eastAsia="仿宋"/>
          <w:bCs/>
          <w:color w:val="000000"/>
          <w:sz w:val="32"/>
          <w:szCs w:val="32"/>
        </w:rPr>
        <w:t xml:space="preserve"> </w:t>
      </w:r>
      <w:r>
        <w:rPr>
          <w:rFonts w:hint="eastAsia" w:ascii="仿宋" w:hAnsi="仿宋" w:eastAsia="仿宋"/>
          <w:bCs/>
          <w:color w:val="000000"/>
          <w:sz w:val="32"/>
          <w:szCs w:val="32"/>
        </w:rPr>
        <w:t>部门概况（第4-6页）</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一、基本职能及主要工作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二、机构设置</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第二部分度部门决算情况说明（第7-21页）</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一、收入支出决算总体情况说明</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二、收入决算情况说明</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三、支出决算情况说明</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四、财政拨款收入支出决算总体情况说明</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五、一般公共预算财政拨款支出决算情况说明</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六、一般公共预算财政拨款基本支出决算情况说明</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七、</w:t>
      </w:r>
      <w:r>
        <w:rPr>
          <w:rFonts w:ascii="仿宋" w:hAnsi="仿宋" w:eastAsia="仿宋"/>
          <w:bCs/>
          <w:color w:val="000000"/>
          <w:sz w:val="32"/>
          <w:szCs w:val="32"/>
        </w:rPr>
        <w:t>“</w:t>
      </w:r>
      <w:r>
        <w:rPr>
          <w:rFonts w:hint="eastAsia" w:ascii="仿宋" w:hAnsi="仿宋" w:eastAsia="仿宋"/>
          <w:bCs/>
          <w:color w:val="000000"/>
          <w:sz w:val="32"/>
          <w:szCs w:val="32"/>
        </w:rPr>
        <w:t>三公”经费财政拨款支出决算情况说明</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八、政府性基金预算支出决算情况说明</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九、</w:t>
      </w:r>
      <w:r>
        <w:rPr>
          <w:rFonts w:ascii="仿宋" w:hAnsi="仿宋" w:eastAsia="仿宋"/>
          <w:bCs/>
          <w:color w:val="000000"/>
          <w:sz w:val="32"/>
          <w:szCs w:val="32"/>
        </w:rPr>
        <w:t xml:space="preserve"> 国</w:t>
      </w:r>
      <w:r>
        <w:rPr>
          <w:rFonts w:hint="eastAsia" w:ascii="仿宋" w:hAnsi="仿宋" w:eastAsia="仿宋"/>
          <w:bCs/>
          <w:color w:val="000000"/>
          <w:sz w:val="32"/>
          <w:szCs w:val="32"/>
        </w:rPr>
        <w:t>有资本经营预算支出决算情况说明</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bCs/>
          <w:color w:val="000000"/>
          <w:sz w:val="32"/>
          <w:szCs w:val="32"/>
        </w:rPr>
        <w:t>十、</w:t>
      </w:r>
      <w:r>
        <w:rPr>
          <w:rFonts w:hint="eastAsia" w:ascii="仿宋" w:hAnsi="仿宋" w:eastAsia="仿宋"/>
          <w:bCs/>
          <w:color w:val="000000"/>
          <w:sz w:val="32"/>
          <w:szCs w:val="32"/>
        </w:rPr>
        <w:t>其他重要事项的情况说明</w:t>
      </w:r>
      <w:r>
        <w:rPr>
          <w:rFonts w:ascii="仿宋" w:hAnsi="仿宋" w:eastAsia="仿宋"/>
          <w:bCs/>
          <w:color w:val="000000"/>
          <w:sz w:val="32"/>
          <w:szCs w:val="32"/>
        </w:rPr>
        <w:tab/>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第三部分</w:t>
      </w:r>
      <w:r>
        <w:rPr>
          <w:rFonts w:ascii="仿宋" w:hAnsi="仿宋" w:eastAsia="仿宋"/>
          <w:bCs/>
          <w:color w:val="000000"/>
          <w:sz w:val="32"/>
          <w:szCs w:val="32"/>
        </w:rPr>
        <w:t xml:space="preserve"> </w:t>
      </w:r>
      <w:r>
        <w:rPr>
          <w:rFonts w:hint="eastAsia" w:ascii="仿宋" w:hAnsi="仿宋" w:eastAsia="仿宋"/>
          <w:bCs/>
          <w:color w:val="000000"/>
          <w:sz w:val="32"/>
          <w:szCs w:val="32"/>
        </w:rPr>
        <w:t>名词解释（第22-27页）</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第四部分</w:t>
      </w:r>
      <w:r>
        <w:rPr>
          <w:rFonts w:ascii="仿宋" w:hAnsi="仿宋" w:eastAsia="仿宋"/>
          <w:bCs/>
          <w:color w:val="000000"/>
          <w:sz w:val="32"/>
          <w:szCs w:val="32"/>
        </w:rPr>
        <w:t xml:space="preserve"> </w:t>
      </w:r>
      <w:r>
        <w:rPr>
          <w:rFonts w:hint="eastAsia" w:ascii="仿宋" w:hAnsi="仿宋" w:eastAsia="仿宋"/>
          <w:bCs/>
          <w:color w:val="000000"/>
          <w:sz w:val="32"/>
          <w:szCs w:val="32"/>
        </w:rPr>
        <w:t>附件（第27-33页）</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附件</w:t>
      </w:r>
      <w:r>
        <w:rPr>
          <w:rFonts w:ascii="仿宋" w:hAnsi="仿宋" w:eastAsia="仿宋"/>
          <w:bCs/>
          <w:color w:val="000000"/>
          <w:sz w:val="32"/>
          <w:szCs w:val="32"/>
        </w:rPr>
        <w:t>1</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附件</w:t>
      </w:r>
      <w:r>
        <w:rPr>
          <w:rFonts w:ascii="仿宋" w:hAnsi="仿宋" w:eastAsia="仿宋"/>
          <w:bCs/>
          <w:color w:val="000000"/>
          <w:sz w:val="32"/>
          <w:szCs w:val="32"/>
        </w:rPr>
        <w:t>2</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第五部分</w:t>
      </w:r>
      <w:r>
        <w:rPr>
          <w:rFonts w:ascii="仿宋" w:hAnsi="仿宋" w:eastAsia="仿宋"/>
          <w:bCs/>
          <w:color w:val="000000"/>
          <w:sz w:val="32"/>
          <w:szCs w:val="32"/>
        </w:rPr>
        <w:t xml:space="preserve"> </w:t>
      </w:r>
      <w:r>
        <w:rPr>
          <w:rFonts w:hint="eastAsia" w:ascii="仿宋" w:hAnsi="仿宋" w:eastAsia="仿宋"/>
          <w:bCs/>
          <w:color w:val="000000"/>
          <w:sz w:val="32"/>
          <w:szCs w:val="32"/>
        </w:rPr>
        <w:t>附表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一、收入支出决算总表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二、收入决算表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三、支出决算表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四、财政拨款收入支出决算总表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五、财政拨款支出决算明细表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六、一般公共预算财政拨款支出决算表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七、一般公共预算财政拨款支出决算明细表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八、一般公共预算财政拨款基本支出决算表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九、一般公共预算财政拨款项目支出决算表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十、一般公共预算财政拨款“三公”经费支出决算表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十一、政府性基金预算财政拨款收入支出决算表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十二、政府性基金预算财政拨款“三公”经费支出决算表</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十三、国有资本经营预算支出决算表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实施初中义务教育，促进基础教育发展，开展初中学历教育。</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8446"/>
      <w:bookmarkStart w:id="19" w:name="_Toc15377199"/>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一学年以来，学校以党的十九大为主线，深入学习贯彻习近平总书记系列重要讲话精神和治国理政新理念新思想新战略，认真贯彻《国家中长期教育改革和发展规划纲要》和《峨眉山市教育发展</w:t>
      </w:r>
      <w:r>
        <w:rPr>
          <w:rFonts w:ascii="仿宋" w:hAnsi="仿宋" w:eastAsia="仿宋"/>
          <w:bCs/>
          <w:color w:val="000000"/>
          <w:sz w:val="32"/>
          <w:szCs w:val="32"/>
        </w:rPr>
        <w:t>“</w:t>
      </w:r>
      <w:r>
        <w:rPr>
          <w:rFonts w:hint="eastAsia" w:ascii="仿宋" w:hAnsi="仿宋" w:eastAsia="仿宋"/>
          <w:bCs/>
          <w:color w:val="000000"/>
          <w:sz w:val="32"/>
          <w:szCs w:val="32"/>
        </w:rPr>
        <w:t>十三五</w:t>
      </w:r>
      <w:r>
        <w:rPr>
          <w:rFonts w:ascii="仿宋" w:hAnsi="仿宋" w:eastAsia="仿宋"/>
          <w:bCs/>
          <w:color w:val="000000"/>
          <w:sz w:val="32"/>
          <w:szCs w:val="32"/>
        </w:rPr>
        <w:t>”</w:t>
      </w:r>
      <w:r>
        <w:rPr>
          <w:rFonts w:hint="eastAsia" w:ascii="仿宋" w:hAnsi="仿宋" w:eastAsia="仿宋"/>
          <w:bCs/>
          <w:color w:val="000000"/>
          <w:sz w:val="32"/>
          <w:szCs w:val="32"/>
        </w:rPr>
        <w:t>规划》精神，围绕上级教育主管部门的决策部署和工作要求，实践</w:t>
      </w:r>
      <w:r>
        <w:rPr>
          <w:rFonts w:ascii="仿宋" w:hAnsi="仿宋" w:eastAsia="仿宋"/>
          <w:bCs/>
          <w:color w:val="000000"/>
          <w:sz w:val="32"/>
          <w:szCs w:val="32"/>
        </w:rPr>
        <w:t>“</w:t>
      </w:r>
      <w:r>
        <w:rPr>
          <w:rFonts w:hint="eastAsia" w:ascii="仿宋" w:hAnsi="仿宋" w:eastAsia="仿宋"/>
          <w:bCs/>
          <w:color w:val="000000"/>
          <w:sz w:val="32"/>
          <w:szCs w:val="32"/>
        </w:rPr>
        <w:t>为孩子明天幸福奠定基础</w:t>
      </w:r>
      <w:r>
        <w:rPr>
          <w:rFonts w:ascii="仿宋" w:hAnsi="仿宋" w:eastAsia="仿宋"/>
          <w:bCs/>
          <w:color w:val="000000"/>
          <w:sz w:val="32"/>
          <w:szCs w:val="32"/>
        </w:rPr>
        <w:t>”</w:t>
      </w:r>
      <w:r>
        <w:rPr>
          <w:rFonts w:hint="eastAsia" w:ascii="仿宋" w:hAnsi="仿宋" w:eastAsia="仿宋"/>
          <w:bCs/>
          <w:color w:val="000000"/>
          <w:sz w:val="32"/>
          <w:szCs w:val="32"/>
        </w:rPr>
        <w:t>的办学理念，努力打造以</w:t>
      </w:r>
      <w:r>
        <w:rPr>
          <w:rFonts w:ascii="仿宋" w:hAnsi="仿宋" w:eastAsia="仿宋"/>
          <w:bCs/>
          <w:color w:val="000000"/>
          <w:sz w:val="32"/>
          <w:szCs w:val="32"/>
        </w:rPr>
        <w:t>“</w:t>
      </w:r>
      <w:r>
        <w:rPr>
          <w:rFonts w:hint="eastAsia" w:ascii="仿宋" w:hAnsi="仿宋" w:eastAsia="仿宋"/>
          <w:bCs/>
          <w:color w:val="000000"/>
          <w:sz w:val="32"/>
          <w:szCs w:val="32"/>
        </w:rPr>
        <w:t>幸福教育</w:t>
      </w:r>
      <w:r>
        <w:rPr>
          <w:rFonts w:ascii="仿宋" w:hAnsi="仿宋" w:eastAsia="仿宋"/>
          <w:bCs/>
          <w:color w:val="000000"/>
          <w:sz w:val="32"/>
          <w:szCs w:val="32"/>
        </w:rPr>
        <w:t>”</w:t>
      </w:r>
      <w:r>
        <w:rPr>
          <w:rFonts w:hint="eastAsia" w:ascii="仿宋" w:hAnsi="仿宋" w:eastAsia="仿宋"/>
          <w:bCs/>
          <w:color w:val="000000"/>
          <w:sz w:val="32"/>
          <w:szCs w:val="32"/>
        </w:rPr>
        <w:t>为特色的农村学校夯实</w:t>
      </w:r>
      <w:r>
        <w:rPr>
          <w:rFonts w:ascii="仿宋" w:hAnsi="仿宋" w:eastAsia="仿宋"/>
          <w:bCs/>
          <w:color w:val="000000"/>
          <w:sz w:val="32"/>
          <w:szCs w:val="32"/>
        </w:rPr>
        <w:t>“</w:t>
      </w:r>
      <w:r>
        <w:rPr>
          <w:rFonts w:hint="eastAsia" w:ascii="仿宋" w:hAnsi="仿宋" w:eastAsia="仿宋"/>
          <w:bCs/>
          <w:color w:val="000000"/>
          <w:sz w:val="32"/>
          <w:szCs w:val="32"/>
        </w:rPr>
        <w:t>德育育人</w:t>
      </w:r>
      <w:r>
        <w:rPr>
          <w:rFonts w:ascii="仿宋" w:hAnsi="仿宋" w:eastAsia="仿宋"/>
          <w:bCs/>
          <w:color w:val="000000"/>
          <w:sz w:val="32"/>
          <w:szCs w:val="32"/>
        </w:rPr>
        <w:t>”</w:t>
      </w:r>
      <w:r>
        <w:rPr>
          <w:rFonts w:hint="eastAsia" w:ascii="仿宋" w:hAnsi="仿宋" w:eastAsia="仿宋"/>
          <w:bCs/>
          <w:color w:val="000000"/>
          <w:sz w:val="32"/>
          <w:szCs w:val="32"/>
        </w:rPr>
        <w:t>，推进</w:t>
      </w:r>
      <w:r>
        <w:rPr>
          <w:rFonts w:ascii="仿宋" w:hAnsi="仿宋" w:eastAsia="仿宋"/>
          <w:bCs/>
          <w:color w:val="000000"/>
          <w:sz w:val="32"/>
          <w:szCs w:val="32"/>
        </w:rPr>
        <w:t>“</w:t>
      </w:r>
      <w:r>
        <w:rPr>
          <w:rFonts w:hint="eastAsia" w:ascii="仿宋" w:hAnsi="仿宋" w:eastAsia="仿宋"/>
          <w:bCs/>
          <w:color w:val="000000"/>
          <w:sz w:val="32"/>
          <w:szCs w:val="32"/>
        </w:rPr>
        <w:t>幸福校园</w:t>
      </w:r>
      <w:r>
        <w:rPr>
          <w:rFonts w:ascii="仿宋" w:hAnsi="仿宋" w:eastAsia="仿宋"/>
          <w:bCs/>
          <w:color w:val="000000"/>
          <w:sz w:val="32"/>
          <w:szCs w:val="32"/>
        </w:rPr>
        <w:t>”</w:t>
      </w:r>
      <w:r>
        <w:rPr>
          <w:rFonts w:hint="eastAsia" w:ascii="仿宋" w:hAnsi="仿宋" w:eastAsia="仿宋"/>
          <w:bCs/>
          <w:color w:val="000000"/>
          <w:sz w:val="32"/>
          <w:szCs w:val="32"/>
        </w:rPr>
        <w:t>工程，</w:t>
      </w:r>
      <w:r>
        <w:rPr>
          <w:rFonts w:ascii="仿宋" w:hAnsi="仿宋" w:eastAsia="仿宋"/>
          <w:bCs/>
          <w:color w:val="000000"/>
          <w:sz w:val="32"/>
          <w:szCs w:val="32"/>
        </w:rPr>
        <w:t>1</w:t>
      </w:r>
      <w:r>
        <w:rPr>
          <w:rFonts w:hint="eastAsia" w:ascii="仿宋" w:hAnsi="仿宋" w:eastAsia="仿宋"/>
          <w:bCs/>
          <w:color w:val="000000"/>
          <w:sz w:val="32"/>
          <w:szCs w:val="32"/>
        </w:rPr>
        <w:t>、做好课程育人。充分发挥课堂教学的主渠道作用，统筹安排地方和学校课程，将中小学德育内容细化落实到教育教学全过程，深入开展法治、廉洁、反邪教、文明礼仪、环境、心理健康、劳动、毒品预防、影视等专题教育。</w:t>
      </w:r>
      <w:r>
        <w:rPr>
          <w:rFonts w:ascii="仿宋" w:hAnsi="仿宋" w:eastAsia="仿宋"/>
          <w:bCs/>
          <w:color w:val="000000"/>
          <w:sz w:val="32"/>
          <w:szCs w:val="32"/>
        </w:rPr>
        <w:t xml:space="preserve"> 2</w:t>
      </w:r>
      <w:r>
        <w:rPr>
          <w:rFonts w:hint="eastAsia" w:ascii="仿宋" w:hAnsi="仿宋" w:eastAsia="仿宋"/>
          <w:bCs/>
          <w:color w:val="000000"/>
          <w:sz w:val="32"/>
          <w:szCs w:val="32"/>
        </w:rPr>
        <w:t>、做好文化育人。因地制宜开展</w:t>
      </w:r>
      <w:r>
        <w:rPr>
          <w:rFonts w:ascii="仿宋" w:hAnsi="仿宋" w:eastAsia="仿宋"/>
          <w:bCs/>
          <w:color w:val="000000"/>
          <w:sz w:val="32"/>
          <w:szCs w:val="32"/>
        </w:rPr>
        <w:t>“</w:t>
      </w:r>
      <w:r>
        <w:rPr>
          <w:rFonts w:hint="eastAsia" w:ascii="仿宋" w:hAnsi="仿宋" w:eastAsia="仿宋"/>
          <w:bCs/>
          <w:color w:val="000000"/>
          <w:sz w:val="32"/>
          <w:szCs w:val="32"/>
        </w:rPr>
        <w:t>幸福</w:t>
      </w:r>
      <w:r>
        <w:rPr>
          <w:rFonts w:ascii="仿宋" w:hAnsi="仿宋" w:eastAsia="仿宋"/>
          <w:bCs/>
          <w:color w:val="000000"/>
          <w:sz w:val="32"/>
          <w:szCs w:val="32"/>
        </w:rPr>
        <w:t>”</w:t>
      </w:r>
      <w:r>
        <w:rPr>
          <w:rFonts w:hint="eastAsia" w:ascii="仿宋" w:hAnsi="仿宋" w:eastAsia="仿宋"/>
          <w:bCs/>
          <w:color w:val="000000"/>
          <w:sz w:val="32"/>
          <w:szCs w:val="32"/>
        </w:rPr>
        <w:t>校园文化建设，让校园处处成为育人场所；全面推进书香班级、书香校园建设，向学生推荐阅读书目，调动学生阅读积极性；全面建设好网络文化，搭建校园网站、论坛、信箱、博客、微信群、</w:t>
      </w:r>
      <w:r>
        <w:rPr>
          <w:rFonts w:ascii="仿宋" w:hAnsi="仿宋" w:eastAsia="仿宋"/>
          <w:bCs/>
          <w:color w:val="000000"/>
          <w:sz w:val="32"/>
          <w:szCs w:val="32"/>
        </w:rPr>
        <w:t>QQ</w:t>
      </w:r>
      <w:r>
        <w:rPr>
          <w:rFonts w:hint="eastAsia" w:ascii="仿宋" w:hAnsi="仿宋" w:eastAsia="仿宋"/>
          <w:bCs/>
          <w:color w:val="000000"/>
          <w:sz w:val="32"/>
          <w:szCs w:val="32"/>
        </w:rPr>
        <w:t>群等网上宣传交流平台，引导学生合理使用网络，防止网络沉迷和伤害，提升网络素养，打造清朗的校园网络文化。</w:t>
      </w:r>
      <w:r>
        <w:rPr>
          <w:rFonts w:ascii="仿宋" w:hAnsi="仿宋" w:eastAsia="仿宋"/>
          <w:bCs/>
          <w:color w:val="000000"/>
          <w:sz w:val="32"/>
          <w:szCs w:val="32"/>
        </w:rPr>
        <w:t xml:space="preserve"> </w:t>
      </w:r>
      <w:r>
        <w:rPr>
          <w:rFonts w:hint="eastAsia" w:ascii="仿宋" w:hAnsi="仿宋" w:eastAsia="仿宋"/>
          <w:bCs/>
          <w:color w:val="000000"/>
          <w:sz w:val="32"/>
          <w:szCs w:val="32"/>
        </w:rPr>
        <w:t>３、做好活动育人。继续以</w:t>
      </w:r>
      <w:r>
        <w:rPr>
          <w:rFonts w:ascii="仿宋" w:hAnsi="仿宋" w:eastAsia="仿宋"/>
          <w:bCs/>
          <w:color w:val="000000"/>
          <w:sz w:val="32"/>
          <w:szCs w:val="32"/>
        </w:rPr>
        <w:t>“</w:t>
      </w:r>
      <w:r>
        <w:rPr>
          <w:rFonts w:hint="eastAsia" w:ascii="仿宋" w:hAnsi="仿宋" w:eastAsia="仿宋"/>
          <w:bCs/>
          <w:color w:val="000000"/>
          <w:sz w:val="32"/>
          <w:szCs w:val="32"/>
        </w:rPr>
        <w:t>成长的印迹</w:t>
      </w:r>
      <w:r>
        <w:rPr>
          <w:rFonts w:ascii="仿宋" w:hAnsi="仿宋" w:eastAsia="仿宋"/>
          <w:bCs/>
          <w:color w:val="000000"/>
          <w:sz w:val="32"/>
          <w:szCs w:val="32"/>
        </w:rPr>
        <w:t>”</w:t>
      </w:r>
      <w:r>
        <w:rPr>
          <w:rFonts w:hint="eastAsia" w:ascii="仿宋" w:hAnsi="仿宋" w:eastAsia="仿宋"/>
          <w:bCs/>
          <w:color w:val="000000"/>
          <w:sz w:val="32"/>
          <w:szCs w:val="32"/>
        </w:rPr>
        <w:t>为主线，深入开展</w:t>
      </w:r>
      <w:r>
        <w:rPr>
          <w:rFonts w:ascii="仿宋" w:hAnsi="仿宋" w:eastAsia="仿宋"/>
          <w:bCs/>
          <w:color w:val="000000"/>
          <w:sz w:val="32"/>
          <w:szCs w:val="32"/>
        </w:rPr>
        <w:t>“</w:t>
      </w:r>
      <w:r>
        <w:rPr>
          <w:rFonts w:hint="eastAsia" w:ascii="仿宋" w:hAnsi="仿宋" w:eastAsia="仿宋"/>
          <w:bCs/>
          <w:color w:val="000000"/>
          <w:sz w:val="32"/>
          <w:szCs w:val="32"/>
        </w:rPr>
        <w:t>习礼</w:t>
      </w:r>
      <w:r>
        <w:rPr>
          <w:rFonts w:ascii="仿宋" w:hAnsi="仿宋" w:eastAsia="仿宋"/>
          <w:bCs/>
          <w:color w:val="000000"/>
          <w:sz w:val="32"/>
          <w:szCs w:val="32"/>
        </w:rPr>
        <w:t>”</w:t>
      </w:r>
      <w:r>
        <w:rPr>
          <w:rFonts w:hint="eastAsia" w:ascii="仿宋" w:hAnsi="仿宋" w:eastAsia="仿宋"/>
          <w:bCs/>
          <w:color w:val="000000"/>
          <w:sz w:val="32"/>
          <w:szCs w:val="32"/>
        </w:rPr>
        <w:t>、</w:t>
      </w:r>
      <w:r>
        <w:rPr>
          <w:rFonts w:ascii="仿宋" w:hAnsi="仿宋" w:eastAsia="仿宋"/>
          <w:bCs/>
          <w:color w:val="000000"/>
          <w:sz w:val="32"/>
          <w:szCs w:val="32"/>
        </w:rPr>
        <w:t>“</w:t>
      </w:r>
      <w:r>
        <w:rPr>
          <w:rFonts w:hint="eastAsia" w:ascii="仿宋" w:hAnsi="仿宋" w:eastAsia="仿宋"/>
          <w:bCs/>
          <w:color w:val="000000"/>
          <w:sz w:val="32"/>
          <w:szCs w:val="32"/>
        </w:rPr>
        <w:t>好习惯养成</w:t>
      </w:r>
      <w:r>
        <w:rPr>
          <w:rFonts w:ascii="仿宋" w:hAnsi="仿宋" w:eastAsia="仿宋"/>
          <w:bCs/>
          <w:color w:val="000000"/>
          <w:sz w:val="32"/>
          <w:szCs w:val="32"/>
        </w:rPr>
        <w:t>”</w:t>
      </w:r>
      <w:r>
        <w:rPr>
          <w:rFonts w:hint="eastAsia" w:ascii="仿宋" w:hAnsi="仿宋" w:eastAsia="仿宋"/>
          <w:bCs/>
          <w:color w:val="000000"/>
          <w:sz w:val="32"/>
          <w:szCs w:val="32"/>
        </w:rPr>
        <w:t>实验教育展示、入学、入队、毕业等仪式主题教育活动；充分利用中秋、重阳等中华传统节日开展文化育人活动，增强传统节日的体验感和文化感；利用教师节、国庆节等节庆日开展爱党爱国、民族团结、热爱劳动、尊师重教、爱护环境等主题教育活动。</w:t>
      </w:r>
      <w:r>
        <w:rPr>
          <w:rFonts w:ascii="仿宋" w:hAnsi="仿宋" w:eastAsia="仿宋"/>
          <w:bCs/>
          <w:color w:val="000000"/>
          <w:sz w:val="32"/>
          <w:szCs w:val="32"/>
        </w:rPr>
        <w:t xml:space="preserve"> 4</w:t>
      </w:r>
      <w:r>
        <w:rPr>
          <w:rFonts w:hint="eastAsia" w:ascii="仿宋" w:hAnsi="仿宋" w:eastAsia="仿宋"/>
          <w:bCs/>
          <w:color w:val="000000"/>
          <w:sz w:val="32"/>
          <w:szCs w:val="32"/>
        </w:rPr>
        <w:t>、做好实践育人。充分利用爱国主义教育基地等各类校外活动场所、专题教育社会实践基地等资源，开展不同主题的实践活动。</w:t>
      </w:r>
      <w:r>
        <w:rPr>
          <w:rFonts w:ascii="仿宋" w:hAnsi="仿宋" w:eastAsia="仿宋"/>
          <w:bCs/>
          <w:color w:val="000000"/>
          <w:sz w:val="32"/>
          <w:szCs w:val="32"/>
        </w:rPr>
        <w:t xml:space="preserve"> 5</w:t>
      </w:r>
      <w:r>
        <w:rPr>
          <w:rFonts w:hint="eastAsia" w:ascii="仿宋" w:hAnsi="仿宋" w:eastAsia="仿宋"/>
          <w:bCs/>
          <w:color w:val="000000"/>
          <w:sz w:val="32"/>
          <w:szCs w:val="32"/>
        </w:rPr>
        <w:t>、做好管理育人。全面加强师德师风建设，培育、宣传师德标兵、教学骨干和优秀班主任、德育工作者等先进典型，引导教师争做</w:t>
      </w:r>
      <w:r>
        <w:rPr>
          <w:rFonts w:ascii="仿宋" w:hAnsi="仿宋" w:eastAsia="仿宋"/>
          <w:bCs/>
          <w:color w:val="000000"/>
          <w:sz w:val="32"/>
          <w:szCs w:val="32"/>
        </w:rPr>
        <w:t>“</w:t>
      </w:r>
      <w:r>
        <w:rPr>
          <w:rFonts w:hint="eastAsia" w:ascii="仿宋" w:hAnsi="仿宋" w:eastAsia="仿宋"/>
          <w:bCs/>
          <w:color w:val="000000"/>
          <w:sz w:val="32"/>
          <w:szCs w:val="32"/>
        </w:rPr>
        <w:t>四有</w:t>
      </w:r>
      <w:r>
        <w:rPr>
          <w:rFonts w:ascii="仿宋" w:hAnsi="仿宋" w:eastAsia="仿宋"/>
          <w:bCs/>
          <w:color w:val="000000"/>
          <w:sz w:val="32"/>
          <w:szCs w:val="32"/>
        </w:rPr>
        <w:t>”</w:t>
      </w:r>
      <w:r>
        <w:rPr>
          <w:rFonts w:hint="eastAsia" w:ascii="仿宋" w:hAnsi="仿宋" w:eastAsia="仿宋"/>
          <w:bCs/>
          <w:color w:val="000000"/>
          <w:sz w:val="32"/>
          <w:szCs w:val="32"/>
        </w:rPr>
        <w:t>好教师。</w:t>
      </w:r>
      <w:r>
        <w:rPr>
          <w:rFonts w:ascii="仿宋" w:hAnsi="仿宋" w:eastAsia="仿宋"/>
          <w:bCs/>
          <w:color w:val="000000"/>
          <w:sz w:val="32"/>
          <w:szCs w:val="32"/>
        </w:rPr>
        <w:t xml:space="preserve"> 6</w:t>
      </w:r>
      <w:r>
        <w:rPr>
          <w:rFonts w:hint="eastAsia" w:ascii="仿宋" w:hAnsi="仿宋" w:eastAsia="仿宋"/>
          <w:bCs/>
          <w:color w:val="000000"/>
          <w:sz w:val="32"/>
          <w:szCs w:val="32"/>
        </w:rPr>
        <w:t>、做好协同育人。积极争取家庭、社会共同参与和支持学校德育工作，进一步推进家长委员会、家长学校、家长会、家访、家长开放日、家长接待日、家长进课堂等各种家校沟通渠道建设，提升全员育人水平。一学年来，学校积极参加上级主管部门组织的各项活动，</w:t>
      </w:r>
      <w:r>
        <w:rPr>
          <w:rFonts w:ascii="仿宋" w:hAnsi="仿宋" w:eastAsia="仿宋"/>
          <w:bCs/>
          <w:color w:val="000000"/>
          <w:sz w:val="32"/>
          <w:szCs w:val="32"/>
        </w:rPr>
        <w:t xml:space="preserve"> </w:t>
      </w:r>
      <w:r>
        <w:rPr>
          <w:rFonts w:hint="eastAsia" w:ascii="仿宋" w:hAnsi="仿宋" w:eastAsia="仿宋"/>
          <w:bCs/>
          <w:color w:val="000000"/>
          <w:sz w:val="32"/>
          <w:szCs w:val="32"/>
        </w:rPr>
        <w:t>学校共有</w:t>
      </w:r>
      <w:r>
        <w:rPr>
          <w:rFonts w:ascii="仿宋" w:hAnsi="仿宋" w:eastAsia="仿宋"/>
          <w:bCs/>
          <w:color w:val="000000"/>
          <w:sz w:val="32"/>
          <w:szCs w:val="32"/>
        </w:rPr>
        <w:t>65</w:t>
      </w:r>
      <w:r>
        <w:rPr>
          <w:rFonts w:hint="eastAsia" w:ascii="仿宋" w:hAnsi="仿宋" w:eastAsia="仿宋"/>
          <w:bCs/>
          <w:color w:val="000000"/>
          <w:sz w:val="32"/>
          <w:szCs w:val="32"/>
        </w:rPr>
        <w:t>名学生取得优异成绩。</w:t>
      </w:r>
      <w:r>
        <w:rPr>
          <w:rFonts w:ascii="仿宋" w:hAnsi="仿宋" w:eastAsia="仿宋"/>
          <w:bCs/>
          <w:color w:val="000000"/>
          <w:sz w:val="32"/>
          <w:szCs w:val="32"/>
        </w:rPr>
        <w:t xml:space="preserve"> </w:t>
      </w:r>
      <w:r>
        <w:rPr>
          <w:rFonts w:hint="eastAsia" w:ascii="仿宋" w:hAnsi="仿宋" w:eastAsia="仿宋"/>
          <w:bCs/>
          <w:color w:val="000000"/>
          <w:sz w:val="32"/>
          <w:szCs w:val="32"/>
        </w:rPr>
        <w:t>一学期以来龙池中学以积极开拓的奋斗精神，不断地丰富学校办学内涵，行进在为实现</w:t>
      </w:r>
      <w:r>
        <w:rPr>
          <w:rFonts w:ascii="仿宋" w:hAnsi="仿宋" w:eastAsia="仿宋"/>
          <w:bCs/>
          <w:color w:val="000000"/>
          <w:sz w:val="32"/>
          <w:szCs w:val="32"/>
        </w:rPr>
        <w:t>“</w:t>
      </w:r>
      <w:r>
        <w:rPr>
          <w:rFonts w:hint="eastAsia" w:ascii="仿宋" w:hAnsi="仿宋" w:eastAsia="仿宋"/>
          <w:bCs/>
          <w:color w:val="000000"/>
          <w:sz w:val="32"/>
          <w:szCs w:val="32"/>
        </w:rPr>
        <w:t>幸福教育</w:t>
      </w:r>
      <w:r>
        <w:rPr>
          <w:rFonts w:ascii="仿宋" w:hAnsi="仿宋" w:eastAsia="仿宋"/>
          <w:bCs/>
          <w:color w:val="000000"/>
          <w:sz w:val="32"/>
          <w:szCs w:val="32"/>
        </w:rPr>
        <w:t>”</w:t>
      </w:r>
      <w:r>
        <w:rPr>
          <w:rFonts w:hint="eastAsia" w:ascii="仿宋" w:hAnsi="仿宋" w:eastAsia="仿宋"/>
          <w:bCs/>
          <w:color w:val="000000"/>
          <w:sz w:val="32"/>
          <w:szCs w:val="32"/>
        </w:rPr>
        <w:t>为主要办学特色的农村学校这一目标的路上，积极实践</w:t>
      </w:r>
      <w:r>
        <w:rPr>
          <w:rFonts w:ascii="仿宋" w:hAnsi="仿宋" w:eastAsia="仿宋"/>
          <w:bCs/>
          <w:color w:val="000000"/>
          <w:sz w:val="32"/>
          <w:szCs w:val="32"/>
        </w:rPr>
        <w:t>“</w:t>
      </w:r>
      <w:r>
        <w:rPr>
          <w:rFonts w:hint="eastAsia" w:ascii="仿宋" w:hAnsi="仿宋" w:eastAsia="仿宋"/>
          <w:bCs/>
          <w:color w:val="000000"/>
          <w:sz w:val="32"/>
          <w:szCs w:val="32"/>
        </w:rPr>
        <w:t>为孩子明天幸福奠定基础</w:t>
      </w:r>
      <w:r>
        <w:rPr>
          <w:rFonts w:ascii="仿宋" w:hAnsi="仿宋" w:eastAsia="仿宋"/>
          <w:bCs/>
          <w:color w:val="000000"/>
          <w:sz w:val="32"/>
          <w:szCs w:val="32"/>
        </w:rPr>
        <w:t>”</w:t>
      </w:r>
      <w:r>
        <w:rPr>
          <w:rFonts w:hint="eastAsia" w:ascii="仿宋" w:hAnsi="仿宋" w:eastAsia="仿宋"/>
          <w:bCs/>
          <w:color w:val="000000"/>
          <w:sz w:val="32"/>
          <w:szCs w:val="32"/>
        </w:rPr>
        <w:t>的办学理念</w:t>
      </w:r>
      <w:r>
        <w:rPr>
          <w:rFonts w:hint="eastAsia" w:ascii="仿宋" w:hAnsi="仿宋" w:eastAsia="仿宋"/>
          <w:bCs/>
          <w:color w:val="000000"/>
          <w:szCs w:val="32"/>
        </w:rPr>
        <w:t>。</w:t>
      </w:r>
      <w:r>
        <w:rPr>
          <w:rFonts w:ascii="仿宋" w:hAnsi="仿宋" w:eastAsia="仿宋"/>
          <w:bCs/>
          <w:color w:val="000000"/>
          <w:szCs w:val="32"/>
        </w:rPr>
        <w:t xml:space="preserve"> </w:t>
      </w:r>
    </w:p>
    <w:p>
      <w:pPr>
        <w:pStyle w:val="3"/>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ind w:firstLine="800" w:firstLineChars="250"/>
        <w:rPr>
          <w:rFonts w:ascii="仿宋" w:hAnsi="仿宋" w:eastAsia="仿宋"/>
          <w:sz w:val="32"/>
          <w:szCs w:val="32"/>
        </w:rPr>
      </w:pPr>
      <w:r>
        <w:rPr>
          <w:rFonts w:hint="eastAsia" w:ascii="仿宋" w:hAnsi="仿宋" w:eastAsia="仿宋"/>
          <w:sz w:val="32"/>
          <w:szCs w:val="32"/>
        </w:rPr>
        <w:t>峨眉山市龙池镇初级中学下属二级单位0个，其中行政单位0个，参照公务员法管理的事业单位</w:t>
      </w:r>
      <w:r>
        <w:rPr>
          <w:rFonts w:hint="eastAsia" w:ascii="仿宋" w:hAnsi="仿宋" w:eastAsia="仿宋"/>
          <w:bCs/>
          <w:sz w:val="32"/>
          <w:szCs w:val="32"/>
        </w:rPr>
        <w:t>0</w:t>
      </w:r>
      <w:r>
        <w:rPr>
          <w:rFonts w:hint="eastAsia" w:ascii="仿宋" w:hAnsi="仿宋" w:eastAsia="仿宋"/>
          <w:sz w:val="32"/>
          <w:szCs w:val="32"/>
        </w:rPr>
        <w:t>个，其他事业单位0个。</w:t>
      </w:r>
    </w:p>
    <w:p>
      <w:pPr>
        <w:widowControl/>
        <w:jc w:val="left"/>
        <w:rPr>
          <w:rStyle w:val="24"/>
          <w:rFonts w:ascii="黑体" w:hAnsi="黑体" w:eastAsia="黑体"/>
        </w:rPr>
      </w:pPr>
      <w:r>
        <w:rPr>
          <w:rFonts w:ascii="仿宋" w:hAnsi="仿宋" w:eastAsia="仿宋"/>
          <w:color w:val="000000"/>
          <w:sz w:val="32"/>
          <w:szCs w:val="32"/>
        </w:rPr>
        <w:br w:type="page"/>
      </w:r>
      <w:bookmarkStart w:id="22" w:name="_Toc15377204"/>
      <w:bookmarkStart w:id="23" w:name="_Toc15396602"/>
      <w:r>
        <w:rPr>
          <w:rStyle w:val="24"/>
          <w:rFonts w:hint="eastAsia" w:ascii="黑体" w:hAnsi="黑体"/>
        </w:rPr>
        <w:t>第二部分</w:t>
      </w:r>
      <w:r>
        <w:rPr>
          <w:rFonts w:hint="eastAsia" w:ascii="黑体" w:hAnsi="黑体" w:eastAsia="黑体"/>
          <w:color w:val="000000"/>
        </w:rPr>
        <w:t xml:space="preserve"> </w:t>
      </w:r>
      <w:r>
        <w:rPr>
          <w:rStyle w:val="24"/>
          <w:rFonts w:hint="eastAsia" w:ascii="黑体" w:hAnsi="黑体" w:eastAsia="黑体"/>
        </w:rPr>
        <w:t>2019年度部门决算情况说明</w:t>
      </w:r>
      <w:bookmarkEnd w:id="22"/>
      <w:bookmarkEnd w:id="23"/>
    </w:p>
    <w:p/>
    <w:p>
      <w:pPr>
        <w:pStyle w:val="23"/>
        <w:numPr>
          <w:ilvl w:val="0"/>
          <w:numId w:val="1"/>
        </w:numPr>
        <w:spacing w:line="60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2019年度收、支总计1169.7万元。与2018年相比，收、支总计各增加235.6万元，增长25.22</w:t>
      </w:r>
      <w:r>
        <w:rPr>
          <w:rFonts w:ascii="仿宋" w:hAnsi="仿宋" w:eastAsia="仿宋"/>
          <w:color w:val="000000"/>
          <w:sz w:val="32"/>
          <w:szCs w:val="32"/>
        </w:rPr>
        <w:t>%</w:t>
      </w:r>
      <w:r>
        <w:rPr>
          <w:rFonts w:hint="eastAsia" w:ascii="仿宋" w:hAnsi="仿宋" w:eastAsia="仿宋"/>
          <w:color w:val="000000"/>
          <w:sz w:val="32"/>
          <w:szCs w:val="32"/>
        </w:rPr>
        <w:t>。主要变动原因是教师周转房款项支付。</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w:t>
      </w:r>
      <w:r>
        <w:rPr>
          <w:rFonts w:ascii="仿宋" w:hAnsi="仿宋" w:eastAsia="仿宋"/>
          <w:color w:val="000000" w:themeColor="text1"/>
          <w:sz w:val="32"/>
          <w:szCs w:val="32"/>
        </w:rPr>
        <w:t>1</w:t>
      </w:r>
      <w:r>
        <w:rPr>
          <w:rFonts w:hint="eastAsia" w:ascii="仿宋" w:hAnsi="仿宋" w:eastAsia="仿宋"/>
          <w:color w:val="000000" w:themeColor="text1"/>
          <w:sz w:val="32"/>
          <w:szCs w:val="32"/>
        </w:rPr>
        <w:t>：收、支决算总计变动情况图）（柱状图）</w:t>
      </w:r>
    </w:p>
    <w:tbl>
      <w:tblPr>
        <w:tblStyle w:val="12"/>
        <w:tblW w:w="6732" w:type="dxa"/>
        <w:tblInd w:w="108" w:type="dxa"/>
        <w:tblLayout w:type="autofit"/>
        <w:tblCellMar>
          <w:top w:w="0" w:type="dxa"/>
          <w:left w:w="108" w:type="dxa"/>
          <w:bottom w:w="0" w:type="dxa"/>
          <w:right w:w="108" w:type="dxa"/>
        </w:tblCellMar>
      </w:tblPr>
      <w:tblGrid>
        <w:gridCol w:w="1296"/>
        <w:gridCol w:w="1096"/>
        <w:gridCol w:w="1096"/>
        <w:gridCol w:w="1096"/>
        <w:gridCol w:w="1096"/>
        <w:gridCol w:w="222"/>
        <w:gridCol w:w="1056"/>
      </w:tblGrid>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59264" behindDoc="0" locked="0" layoutInCell="1" allowOverlap="1">
                  <wp:simplePos x="0" y="0"/>
                  <wp:positionH relativeFrom="column">
                    <wp:posOffset>9525</wp:posOffset>
                  </wp:positionH>
                  <wp:positionV relativeFrom="paragraph">
                    <wp:posOffset>161925</wp:posOffset>
                  </wp:positionV>
                  <wp:extent cx="4019550" cy="2762250"/>
                  <wp:effectExtent l="0" t="0" r="0" b="1905"/>
                  <wp:wrapNone/>
                  <wp:docPr id="2"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285" w:hRule="atLeast"/>
                <w:tblCellSpacing w:w="0" w:type="dxa"/>
              </w:trPr>
              <w:tc>
                <w:tcPr>
                  <w:tcW w:w="108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9年本年收入合计1165.96万元，其中：一般公共预算财政拨款收入1165.26万元，占99.94</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；政府性基金预算财政拨款收入0.7万元，占0.06</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tbl>
      <w:tblPr>
        <w:tblStyle w:val="12"/>
        <w:tblW w:w="6676" w:type="dxa"/>
        <w:tblInd w:w="108" w:type="dxa"/>
        <w:tblLayout w:type="autofit"/>
        <w:tblCellMar>
          <w:top w:w="0" w:type="dxa"/>
          <w:left w:w="108" w:type="dxa"/>
          <w:bottom w:w="0" w:type="dxa"/>
          <w:right w:w="108" w:type="dxa"/>
        </w:tblCellMar>
      </w:tblPr>
      <w:tblGrid>
        <w:gridCol w:w="1296"/>
        <w:gridCol w:w="1088"/>
        <w:gridCol w:w="1088"/>
        <w:gridCol w:w="1088"/>
        <w:gridCol w:w="1088"/>
        <w:gridCol w:w="222"/>
        <w:gridCol w:w="1048"/>
      </w:tblGrid>
      <w:tr>
        <w:tblPrEx>
          <w:tblCellMar>
            <w:top w:w="0" w:type="dxa"/>
            <w:left w:w="108" w:type="dxa"/>
            <w:bottom w:w="0" w:type="dxa"/>
            <w:right w:w="108" w:type="dxa"/>
          </w:tblCellMar>
        </w:tblPrEx>
        <w:trPr>
          <w:trHeight w:val="40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60288" behindDoc="0" locked="0" layoutInCell="1" allowOverlap="1">
                  <wp:simplePos x="0" y="0"/>
                  <wp:positionH relativeFrom="column">
                    <wp:posOffset>133350</wp:posOffset>
                  </wp:positionH>
                  <wp:positionV relativeFrom="paragraph">
                    <wp:posOffset>0</wp:posOffset>
                  </wp:positionV>
                  <wp:extent cx="4019550" cy="2762250"/>
                  <wp:effectExtent l="1270" t="0" r="0" b="1270"/>
                  <wp:wrapNone/>
                  <wp:docPr id="3" name="图片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405" w:hRule="atLeast"/>
                <w:tblCellSpacing w:w="0" w:type="dxa"/>
              </w:trPr>
              <w:tc>
                <w:tcPr>
                  <w:tcW w:w="108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8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48"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pStyle w:val="23"/>
        <w:numPr>
          <w:ilvl w:val="0"/>
          <w:numId w:val="1"/>
        </w:numPr>
        <w:spacing w:line="600" w:lineRule="exact"/>
        <w:ind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9年本年支出合计1161.13万元，其中：基本支出857.9万元，占73.88</w:t>
      </w:r>
      <w:r>
        <w:rPr>
          <w:rFonts w:ascii="仿宋" w:hAnsi="仿宋" w:eastAsia="仿宋"/>
          <w:color w:val="000000"/>
          <w:sz w:val="32"/>
          <w:szCs w:val="32"/>
        </w:rPr>
        <w:t>%</w:t>
      </w:r>
      <w:r>
        <w:rPr>
          <w:rFonts w:hint="eastAsia" w:ascii="仿宋" w:hAnsi="仿宋" w:eastAsia="仿宋"/>
          <w:color w:val="000000"/>
          <w:sz w:val="32"/>
          <w:szCs w:val="32"/>
        </w:rPr>
        <w:t>；项目支出303.23万元，占26.12</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tbl>
      <w:tblPr>
        <w:tblStyle w:val="12"/>
        <w:tblW w:w="6732" w:type="dxa"/>
        <w:tblInd w:w="108" w:type="dxa"/>
        <w:tblLayout w:type="autofit"/>
        <w:tblCellMar>
          <w:top w:w="0" w:type="dxa"/>
          <w:left w:w="108" w:type="dxa"/>
          <w:bottom w:w="0" w:type="dxa"/>
          <w:right w:w="108" w:type="dxa"/>
        </w:tblCellMar>
      </w:tblPr>
      <w:tblGrid>
        <w:gridCol w:w="1296"/>
        <w:gridCol w:w="1096"/>
        <w:gridCol w:w="1096"/>
        <w:gridCol w:w="1096"/>
        <w:gridCol w:w="1096"/>
        <w:gridCol w:w="222"/>
        <w:gridCol w:w="1056"/>
      </w:tblGrid>
      <w:tr>
        <w:tblPrEx>
          <w:tblCellMar>
            <w:top w:w="0" w:type="dxa"/>
            <w:left w:w="108" w:type="dxa"/>
            <w:bottom w:w="0" w:type="dxa"/>
            <w:right w:w="108" w:type="dxa"/>
          </w:tblCellMar>
        </w:tblPrEx>
        <w:trPr>
          <w:trHeight w:val="40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61312" behindDoc="0" locked="0" layoutInCell="1" allowOverlap="1">
                  <wp:simplePos x="0" y="0"/>
                  <wp:positionH relativeFrom="column">
                    <wp:posOffset>95250</wp:posOffset>
                  </wp:positionH>
                  <wp:positionV relativeFrom="paragraph">
                    <wp:posOffset>133350</wp:posOffset>
                  </wp:positionV>
                  <wp:extent cx="4019550" cy="2771775"/>
                  <wp:effectExtent l="0" t="1270" r="0" b="635"/>
                  <wp:wrapNone/>
                  <wp:docPr id="4" name="图片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405" w:hRule="atLeast"/>
                <w:tblCellSpacing w:w="0" w:type="dxa"/>
              </w:trPr>
              <w:tc>
                <w:tcPr>
                  <w:tcW w:w="108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9年财政拨款收、支总计1169.7万元。与</w:t>
      </w:r>
      <w:r>
        <w:rPr>
          <w:rFonts w:ascii="仿宋" w:hAnsi="仿宋" w:eastAsia="仿宋"/>
          <w:color w:val="000000"/>
          <w:sz w:val="32"/>
          <w:szCs w:val="32"/>
        </w:rPr>
        <w:t>201</w:t>
      </w:r>
      <w:r>
        <w:rPr>
          <w:rFonts w:hint="eastAsia" w:ascii="仿宋" w:hAnsi="仿宋" w:eastAsia="仿宋"/>
          <w:color w:val="000000"/>
          <w:sz w:val="32"/>
          <w:szCs w:val="32"/>
        </w:rPr>
        <w:t>8年相比，财政拨款收、支总计各增加235.6万元，增长25.22</w:t>
      </w:r>
      <w:r>
        <w:rPr>
          <w:rFonts w:ascii="仿宋" w:hAnsi="仿宋" w:eastAsia="仿宋"/>
          <w:color w:val="000000"/>
          <w:sz w:val="32"/>
          <w:szCs w:val="32"/>
        </w:rPr>
        <w:t>%</w:t>
      </w:r>
      <w:r>
        <w:rPr>
          <w:rFonts w:hint="eastAsia" w:ascii="仿宋" w:hAnsi="仿宋" w:eastAsia="仿宋"/>
          <w:color w:val="000000"/>
          <w:sz w:val="32"/>
          <w:szCs w:val="32"/>
        </w:rPr>
        <w:t>。主要变动原因是教师周转房款项支出。</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tbl>
      <w:tblPr>
        <w:tblStyle w:val="12"/>
        <w:tblW w:w="6732" w:type="dxa"/>
        <w:tblInd w:w="108" w:type="dxa"/>
        <w:tblLayout w:type="autofit"/>
        <w:tblCellMar>
          <w:top w:w="0" w:type="dxa"/>
          <w:left w:w="108" w:type="dxa"/>
          <w:bottom w:w="0" w:type="dxa"/>
          <w:right w:w="108" w:type="dxa"/>
        </w:tblCellMar>
      </w:tblPr>
      <w:tblGrid>
        <w:gridCol w:w="1296"/>
        <w:gridCol w:w="1096"/>
        <w:gridCol w:w="1096"/>
        <w:gridCol w:w="1096"/>
        <w:gridCol w:w="1096"/>
        <w:gridCol w:w="222"/>
        <w:gridCol w:w="1056"/>
      </w:tblGrid>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62336" behindDoc="0" locked="0" layoutInCell="1" allowOverlap="1">
                  <wp:simplePos x="0" y="0"/>
                  <wp:positionH relativeFrom="column">
                    <wp:posOffset>9525</wp:posOffset>
                  </wp:positionH>
                  <wp:positionV relativeFrom="paragraph">
                    <wp:posOffset>161925</wp:posOffset>
                  </wp:positionV>
                  <wp:extent cx="4019550" cy="2762250"/>
                  <wp:effectExtent l="0" t="0" r="0" b="1905"/>
                  <wp:wrapNone/>
                  <wp:docPr id="5"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285" w:hRule="atLeast"/>
                <w:tblCellSpacing w:w="0" w:type="dxa"/>
              </w:trPr>
              <w:tc>
                <w:tcPr>
                  <w:tcW w:w="108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9年一般公共预算财政拨款支出1160.41万元，占本年支出合计的99.94</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8年相比，一般公共预算财政拨款增加230.05万元，增长24.73</w:t>
      </w:r>
      <w:r>
        <w:rPr>
          <w:rFonts w:ascii="仿宋" w:hAnsi="仿宋" w:eastAsia="仿宋"/>
          <w:color w:val="000000"/>
          <w:sz w:val="32"/>
          <w:szCs w:val="32"/>
        </w:rPr>
        <w:t>%</w:t>
      </w:r>
      <w:r>
        <w:rPr>
          <w:rFonts w:hint="eastAsia" w:ascii="仿宋" w:hAnsi="仿宋" w:eastAsia="仿宋"/>
          <w:color w:val="000000"/>
          <w:sz w:val="32"/>
          <w:szCs w:val="32"/>
        </w:rPr>
        <w:t>。主要变动原因是教师周转房款项支付。</w:t>
      </w: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0" w:firstLineChars="200"/>
        <w:rPr>
          <w:rFonts w:ascii="仿宋" w:hAnsi="仿宋" w:eastAsia="仿宋"/>
          <w:color w:val="000000" w:themeColor="text1"/>
          <w:sz w:val="32"/>
          <w:szCs w:val="32"/>
        </w:rPr>
      </w:pPr>
    </w:p>
    <w:tbl>
      <w:tblPr>
        <w:tblStyle w:val="12"/>
        <w:tblW w:w="6732" w:type="dxa"/>
        <w:tblInd w:w="108" w:type="dxa"/>
        <w:tblLayout w:type="autofit"/>
        <w:tblCellMar>
          <w:top w:w="0" w:type="dxa"/>
          <w:left w:w="108" w:type="dxa"/>
          <w:bottom w:w="0" w:type="dxa"/>
          <w:right w:w="108" w:type="dxa"/>
        </w:tblCellMar>
      </w:tblPr>
      <w:tblGrid>
        <w:gridCol w:w="1296"/>
        <w:gridCol w:w="1096"/>
        <w:gridCol w:w="1096"/>
        <w:gridCol w:w="1096"/>
        <w:gridCol w:w="222"/>
        <w:gridCol w:w="1056"/>
        <w:gridCol w:w="1096"/>
      </w:tblGrid>
      <w:tr>
        <w:trPr>
          <w:trHeight w:val="40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63360" behindDoc="0" locked="0" layoutInCell="1" allowOverlap="1">
                  <wp:simplePos x="0" y="0"/>
                  <wp:positionH relativeFrom="column">
                    <wp:posOffset>-209550</wp:posOffset>
                  </wp:positionH>
                  <wp:positionV relativeFrom="paragraph">
                    <wp:posOffset>133350</wp:posOffset>
                  </wp:positionV>
                  <wp:extent cx="4591050" cy="2762250"/>
                  <wp:effectExtent l="0" t="1270" r="2540" b="0"/>
                  <wp:wrapNone/>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tbl>
            <w:tblPr>
              <w:tblStyle w:val="12"/>
              <w:tblW w:w="0" w:type="auto"/>
              <w:tblCellSpacing w:w="0" w:type="dxa"/>
              <w:tblInd w:w="0" w:type="dxa"/>
              <w:tblLayout w:type="autofit"/>
              <w:tblCellMar>
                <w:top w:w="0" w:type="dxa"/>
                <w:left w:w="0" w:type="dxa"/>
                <w:bottom w:w="0" w:type="dxa"/>
                <w:right w:w="0" w:type="dxa"/>
              </w:tblCellMar>
            </w:tblPr>
            <w:tblGrid>
              <w:gridCol w:w="1080"/>
            </w:tblGrid>
            <w:tr>
              <w:tblPrEx>
                <w:tblCellMar>
                  <w:top w:w="0" w:type="dxa"/>
                  <w:left w:w="0" w:type="dxa"/>
                  <w:bottom w:w="0" w:type="dxa"/>
                  <w:right w:w="0" w:type="dxa"/>
                </w:tblCellMar>
              </w:tblPrEx>
              <w:trPr>
                <w:trHeight w:val="405" w:hRule="atLeast"/>
                <w:tblCellSpacing w:w="0" w:type="dxa"/>
              </w:trPr>
              <w:tc>
                <w:tcPr>
                  <w:tcW w:w="108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40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285" w:hRule="atLeast"/>
        </w:trPr>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5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1096"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政拨款支出1160.41万元，主要用于以下方面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教育支出（类）</w:t>
      </w:r>
      <w:r>
        <w:rPr>
          <w:rFonts w:hint="eastAsia" w:ascii="仿宋" w:hAnsi="仿宋" w:eastAsia="仿宋"/>
          <w:color w:val="000000" w:themeColor="text1"/>
          <w:sz w:val="32"/>
          <w:szCs w:val="32"/>
        </w:rPr>
        <w:t>935.2万元，占80.59</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文化旅游体育与传媒（类）支出0万元，占0</w:t>
      </w:r>
      <w:r>
        <w:rPr>
          <w:rFonts w:ascii="仿宋" w:hAnsi="仿宋" w:eastAsia="仿宋"/>
          <w:b/>
          <w:bCs/>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支出115.42万元，占9.95</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29.13万元，占2.51</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；住房保障支出77.96万元，占6.72</w:t>
      </w:r>
      <w:r>
        <w:rPr>
          <w:rFonts w:ascii="仿宋" w:hAnsi="仿宋" w:eastAsia="仿宋"/>
          <w:color w:val="000000" w:themeColor="text1"/>
          <w:sz w:val="32"/>
          <w:szCs w:val="32"/>
        </w:rPr>
        <w:t>%</w:t>
      </w:r>
      <w:r>
        <w:rPr>
          <w:rFonts w:hint="eastAsia" w:ascii="仿宋" w:hAnsi="仿宋" w:eastAsia="仿宋"/>
          <w:color w:val="000000" w:themeColor="text1"/>
          <w:sz w:val="32"/>
          <w:szCs w:val="32"/>
        </w:rPr>
        <w:t>；农林水支出2.71，占0.23%。</w:t>
      </w:r>
      <w:r>
        <w:rPr>
          <w:rFonts w:hint="eastAsia" w:ascii="仿宋" w:hAnsi="仿宋" w:eastAsia="仿宋"/>
          <w:b/>
          <w:color w:val="000000" w:themeColor="text1"/>
          <w:sz w:val="32"/>
          <w:szCs w:val="32"/>
        </w:rPr>
        <w:t>（罗列全部功能分类科目，至类级。）</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tbl>
      <w:tblPr>
        <w:tblStyle w:val="12"/>
        <w:tblW w:w="7419" w:type="dxa"/>
        <w:tblInd w:w="108" w:type="dxa"/>
        <w:tblLayout w:type="autofit"/>
        <w:tblCellMar>
          <w:top w:w="0" w:type="dxa"/>
          <w:left w:w="108" w:type="dxa"/>
          <w:bottom w:w="0" w:type="dxa"/>
          <w:right w:w="108" w:type="dxa"/>
        </w:tblCellMar>
      </w:tblPr>
      <w:tblGrid>
        <w:gridCol w:w="1480"/>
        <w:gridCol w:w="962"/>
        <w:gridCol w:w="962"/>
        <w:gridCol w:w="962"/>
        <w:gridCol w:w="962"/>
        <w:gridCol w:w="962"/>
        <w:gridCol w:w="222"/>
        <w:gridCol w:w="927"/>
      </w:tblGrid>
      <w:tr>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r>
              <w:rPr>
                <w:rFonts w:ascii="宋体" w:hAnsi="宋体" w:cs="宋体"/>
                <w:kern w:val="0"/>
                <w:sz w:val="24"/>
              </w:rPr>
              <w:drawing>
                <wp:anchor distT="0" distB="0" distL="114300" distR="114300" simplePos="0" relativeHeight="251664384" behindDoc="0" locked="0" layoutInCell="1" allowOverlap="1">
                  <wp:simplePos x="0" y="0"/>
                  <wp:positionH relativeFrom="column">
                    <wp:posOffset>85725</wp:posOffset>
                  </wp:positionH>
                  <wp:positionV relativeFrom="paragraph">
                    <wp:posOffset>171450</wp:posOffset>
                  </wp:positionV>
                  <wp:extent cx="4676775" cy="3000375"/>
                  <wp:effectExtent l="0" t="0" r="2540" b="3175"/>
                  <wp:wrapNone/>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tbl>
            <w:tblPr>
              <w:tblStyle w:val="12"/>
              <w:tblW w:w="1264" w:type="dxa"/>
              <w:tblCellSpacing w:w="0" w:type="dxa"/>
              <w:tblInd w:w="0" w:type="dxa"/>
              <w:tblLayout w:type="autofit"/>
              <w:tblCellMar>
                <w:top w:w="0" w:type="dxa"/>
                <w:left w:w="0" w:type="dxa"/>
                <w:bottom w:w="0" w:type="dxa"/>
                <w:right w:w="0" w:type="dxa"/>
              </w:tblCellMar>
            </w:tblPr>
            <w:tblGrid>
              <w:gridCol w:w="1264"/>
            </w:tblGrid>
            <w:tr>
              <w:tblPrEx>
                <w:tblCellMar>
                  <w:top w:w="0" w:type="dxa"/>
                  <w:left w:w="0" w:type="dxa"/>
                  <w:bottom w:w="0" w:type="dxa"/>
                  <w:right w:w="0" w:type="dxa"/>
                </w:tblCellMar>
              </w:tblPrEx>
              <w:trPr>
                <w:trHeight w:val="134" w:hRule="atLeast"/>
                <w:tblCellSpacing w:w="0" w:type="dxa"/>
              </w:trPr>
              <w:tc>
                <w:tcPr>
                  <w:tcW w:w="1264"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r>
        <w:tblPrEx>
          <w:tblCellMar>
            <w:top w:w="0" w:type="dxa"/>
            <w:left w:w="108" w:type="dxa"/>
            <w:bottom w:w="0" w:type="dxa"/>
            <w:right w:w="108" w:type="dxa"/>
          </w:tblCellMar>
        </w:tblPrEx>
        <w:trPr>
          <w:trHeight w:val="134" w:hRule="atLeast"/>
        </w:trPr>
        <w:tc>
          <w:tcPr>
            <w:tcW w:w="1470"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6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212"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c>
          <w:tcPr>
            <w:tcW w:w="927" w:type="dxa"/>
            <w:tcBorders>
              <w:top w:val="nil"/>
              <w:left w:val="nil"/>
              <w:bottom w:val="nil"/>
              <w:right w:val="nil"/>
            </w:tcBorders>
            <w:shd w:val="clear" w:color="auto" w:fill="auto"/>
            <w:noWrap/>
            <w:vAlign w:val="bottom"/>
          </w:tcPr>
          <w:p>
            <w:pPr>
              <w:widowControl/>
              <w:jc w:val="left"/>
              <w:rPr>
                <w:rFonts w:ascii="宋体" w:hAnsi="宋体" w:cs="宋体"/>
                <w:kern w:val="0"/>
                <w:sz w:val="24"/>
              </w:rPr>
            </w:pPr>
          </w:p>
        </w:tc>
      </w:tr>
    </w:tbl>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2019年一般公共预算支出决算数为1160.41</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预算99.27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一般公共服务（类）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2.</w:t>
      </w:r>
      <w:r>
        <w:rPr>
          <w:rStyle w:val="14"/>
          <w:rFonts w:hint="eastAsia" w:ascii="仿宋" w:hAnsi="仿宋" w:eastAsia="仿宋"/>
          <w:bCs/>
          <w:color w:val="000000"/>
          <w:sz w:val="32"/>
          <w:szCs w:val="32"/>
        </w:rPr>
        <w:t>教育（类）205（款）02（项）03</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支出决算为935.20万元，完成预算99.09</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，决算数小于预算数的主要原因是年末</w:t>
      </w:r>
      <w:r>
        <w:rPr>
          <w:rStyle w:val="14"/>
          <w:rFonts w:hint="eastAsia" w:ascii="仿宋" w:hAnsi="仿宋" w:eastAsia="仿宋"/>
          <w:b w:val="0"/>
          <w:bCs/>
          <w:color w:val="000000"/>
          <w:sz w:val="32"/>
          <w:szCs w:val="32"/>
          <w:lang w:eastAsia="zh-CN"/>
        </w:rPr>
        <w:t>财政拨款</w:t>
      </w:r>
      <w:bookmarkStart w:id="73" w:name="_GoBack"/>
      <w:bookmarkEnd w:id="73"/>
      <w:r>
        <w:rPr>
          <w:rStyle w:val="14"/>
          <w:rFonts w:hint="eastAsia" w:ascii="仿宋" w:hAnsi="仿宋" w:eastAsia="仿宋"/>
          <w:b w:val="0"/>
          <w:bCs/>
          <w:color w:val="000000"/>
          <w:sz w:val="32"/>
          <w:szCs w:val="32"/>
        </w:rPr>
        <w:t>结转结余8.58万。</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3.</w:t>
      </w:r>
      <w:r>
        <w:rPr>
          <w:rStyle w:val="14"/>
          <w:rFonts w:hint="eastAsia" w:ascii="仿宋" w:hAnsi="仿宋" w:eastAsia="仿宋"/>
          <w:bCs/>
          <w:color w:val="000000"/>
          <w:sz w:val="32"/>
          <w:szCs w:val="32"/>
        </w:rPr>
        <w:t>科学技术（类）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Fonts w:ascii="仿宋" w:hAnsi="仿宋" w:eastAsia="仿宋"/>
          <w:b/>
          <w:color w:val="000000"/>
          <w:sz w:val="32"/>
          <w:szCs w:val="32"/>
        </w:rPr>
      </w:pPr>
      <w:r>
        <w:rPr>
          <w:rStyle w:val="14"/>
          <w:rFonts w:ascii="仿宋" w:hAnsi="仿宋" w:eastAsia="仿宋"/>
          <w:bCs/>
          <w:color w:val="000000"/>
          <w:sz w:val="32"/>
          <w:szCs w:val="32"/>
        </w:rPr>
        <w:t>4.</w:t>
      </w:r>
      <w:r>
        <w:rPr>
          <w:rStyle w:val="14"/>
          <w:rFonts w:hint="eastAsia" w:ascii="仿宋" w:hAnsi="仿宋" w:eastAsia="仿宋"/>
          <w:bCs/>
          <w:color w:val="000000"/>
          <w:sz w:val="32"/>
          <w:szCs w:val="32"/>
        </w:rPr>
        <w:t>文化旅游体育与传媒（类）</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（款）</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支出决算为0万元，完成预算0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5.</w:t>
      </w:r>
      <w:r>
        <w:rPr>
          <w:rStyle w:val="14"/>
          <w:rFonts w:hint="eastAsia" w:ascii="仿宋" w:hAnsi="仿宋" w:eastAsia="仿宋"/>
          <w:bCs/>
          <w:color w:val="000000"/>
          <w:sz w:val="32"/>
          <w:szCs w:val="32"/>
        </w:rPr>
        <w:t>社会保障和就业（类）208（款）05（项）05</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支出决算为76.67万元，完成预算100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6.</w:t>
      </w:r>
      <w:r>
        <w:rPr>
          <w:rStyle w:val="14"/>
          <w:rFonts w:hint="eastAsia" w:ascii="仿宋" w:hAnsi="仿宋" w:eastAsia="仿宋"/>
          <w:bCs/>
          <w:color w:val="000000"/>
          <w:sz w:val="32"/>
          <w:szCs w:val="32"/>
        </w:rPr>
        <w:t xml:space="preserve"> 社会保障和就业（类）208（款）05（项）06</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支出决算为35.39万元，完成预算100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Style w:val="14"/>
          <w:rFonts w:ascii="仿宋" w:hAnsi="仿宋" w:eastAsia="仿宋"/>
          <w:b w:val="0"/>
          <w:bCs/>
          <w:color w:val="000000"/>
          <w:sz w:val="32"/>
          <w:szCs w:val="32"/>
        </w:rPr>
      </w:pPr>
      <w:r>
        <w:rPr>
          <w:rStyle w:val="14"/>
          <w:rFonts w:hint="eastAsia" w:ascii="仿宋" w:hAnsi="仿宋" w:eastAsia="仿宋"/>
          <w:b w:val="0"/>
          <w:bCs/>
          <w:color w:val="000000"/>
          <w:sz w:val="32"/>
          <w:szCs w:val="32"/>
        </w:rPr>
        <w:t>7.</w:t>
      </w:r>
      <w:r>
        <w:rPr>
          <w:rStyle w:val="14"/>
          <w:rFonts w:hint="eastAsia" w:ascii="仿宋" w:hAnsi="仿宋" w:eastAsia="仿宋"/>
          <w:bCs/>
          <w:color w:val="000000"/>
          <w:sz w:val="32"/>
          <w:szCs w:val="32"/>
        </w:rPr>
        <w:t xml:space="preserve"> 社会保障和就业（类）208（款）08（项）01</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支出决算为1.25万元，完成预算100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0" w:firstLineChars="200"/>
        <w:rPr>
          <w:rFonts w:ascii="仿宋" w:hAnsi="仿宋" w:eastAsia="仿宋"/>
          <w:b/>
          <w:color w:val="000000"/>
          <w:sz w:val="32"/>
          <w:szCs w:val="32"/>
        </w:rPr>
      </w:pPr>
      <w:r>
        <w:rPr>
          <w:rStyle w:val="14"/>
          <w:rFonts w:hint="eastAsia" w:ascii="仿宋" w:hAnsi="仿宋" w:eastAsia="仿宋"/>
          <w:b w:val="0"/>
          <w:bCs/>
          <w:color w:val="000000"/>
          <w:sz w:val="32"/>
          <w:szCs w:val="32"/>
        </w:rPr>
        <w:t>8.</w:t>
      </w:r>
      <w:r>
        <w:rPr>
          <w:rStyle w:val="14"/>
          <w:rFonts w:hint="eastAsia" w:ascii="仿宋" w:hAnsi="仿宋" w:eastAsia="仿宋"/>
          <w:bCs/>
          <w:color w:val="000000"/>
          <w:sz w:val="32"/>
          <w:szCs w:val="32"/>
        </w:rPr>
        <w:t xml:space="preserve"> 社会保障和就业（类）208（款）08（项）99</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支出决算为2.12万元，完成预算100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
          <w:color w:val="000000"/>
          <w:sz w:val="32"/>
          <w:szCs w:val="32"/>
        </w:rPr>
      </w:pPr>
      <w:r>
        <w:rPr>
          <w:rStyle w:val="14"/>
          <w:rFonts w:hint="eastAsia" w:ascii="仿宋" w:hAnsi="仿宋" w:eastAsia="仿宋"/>
          <w:bCs/>
          <w:color w:val="000000"/>
          <w:sz w:val="32"/>
          <w:szCs w:val="32"/>
        </w:rPr>
        <w:t>9</w:t>
      </w:r>
      <w:r>
        <w:rPr>
          <w:rStyle w:val="14"/>
          <w:rFonts w:ascii="仿宋" w:hAnsi="仿宋" w:eastAsia="仿宋"/>
          <w:bCs/>
          <w:color w:val="000000"/>
          <w:sz w:val="32"/>
          <w:szCs w:val="32"/>
        </w:rPr>
        <w:t>.</w:t>
      </w:r>
      <w:r>
        <w:rPr>
          <w:rFonts w:hint="eastAsia" w:ascii="仿宋" w:hAnsi="仿宋" w:eastAsia="仿宋"/>
          <w:b/>
          <w:bCs/>
          <w:color w:val="000000" w:themeColor="text1"/>
          <w:sz w:val="32"/>
          <w:szCs w:val="32"/>
        </w:rPr>
        <w:t>卫生健康</w:t>
      </w:r>
      <w:r>
        <w:rPr>
          <w:rStyle w:val="14"/>
          <w:rFonts w:hint="eastAsia" w:ascii="仿宋" w:hAnsi="仿宋" w:eastAsia="仿宋"/>
          <w:bCs/>
          <w:color w:val="000000"/>
          <w:sz w:val="32"/>
          <w:szCs w:val="32"/>
        </w:rPr>
        <w:t>（类）210（款）11（项）02</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支出决算为29.13万元，完成预算100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，决算数小于</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等于预算数的主要原因是…。</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9年一般公共预算财政拨款基本支出1160.41万元，其中：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830.83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27.06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77215"/>
      <w:bookmarkStart w:id="43"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9年“三公”经费财政拨款支出决算为0万元，完成预算0</w:t>
      </w:r>
      <w:r>
        <w:rPr>
          <w:rFonts w:ascii="仿宋" w:hAnsi="仿宋" w:eastAsia="仿宋"/>
          <w:color w:val="000000"/>
          <w:sz w:val="32"/>
          <w:szCs w:val="32"/>
        </w:rPr>
        <w:t>%</w:t>
      </w:r>
      <w:r>
        <w:rPr>
          <w:rFonts w:hint="eastAsia" w:ascii="仿宋" w:hAnsi="仿宋" w:eastAsia="仿宋"/>
          <w:color w:val="000000"/>
          <w:sz w:val="32"/>
          <w:szCs w:val="32"/>
        </w:rPr>
        <w:t>，决算数小于预算数（或与预算数持平）的主要原因是……。</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；公务用车购置及运行维护费支出决算0万元，占0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（图7：“三公”经费财政拨款支出结构）（饼状图）</w:t>
      </w:r>
    </w:p>
    <w:p>
      <w:pPr>
        <w:spacing w:line="600" w:lineRule="exact"/>
        <w:ind w:firstLine="640"/>
        <w:rPr>
          <w:rFonts w:ascii="仿宋" w:hAnsi="仿宋" w:eastAsia="仿宋"/>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因公出国（境）经费支出0</w:t>
      </w:r>
      <w:r>
        <w:rPr>
          <w:rFonts w:hint="eastAsia" w:ascii="仿宋" w:hAnsi="仿宋" w:eastAsia="仿宋"/>
          <w:color w:val="000000"/>
          <w:sz w:val="32"/>
          <w:szCs w:val="32"/>
        </w:rPr>
        <w:t>万元</w:t>
      </w:r>
      <w:r>
        <w:rPr>
          <w:rFonts w:hint="eastAsia" w:ascii="仿宋_GB2312" w:eastAsia="仿宋_GB2312"/>
          <w:color w:val="000000"/>
          <w:sz w:val="32"/>
          <w:szCs w:val="32"/>
        </w:rPr>
        <w:t>，</w:t>
      </w:r>
      <w:r>
        <w:rPr>
          <w:rStyle w:val="14"/>
          <w:rFonts w:hint="eastAsia" w:ascii="仿宋" w:hAnsi="仿宋" w:eastAsia="仿宋"/>
          <w:b w:val="0"/>
          <w:bCs/>
          <w:color w:val="000000"/>
          <w:sz w:val="32"/>
          <w:szCs w:val="32"/>
        </w:rPr>
        <w:t>完成预算0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_GB2312" w:eastAsia="仿宋_GB2312"/>
          <w:color w:val="000000"/>
          <w:sz w:val="32"/>
          <w:szCs w:val="32"/>
        </w:rPr>
        <w:t>全</w:t>
      </w:r>
      <w:r>
        <w:rPr>
          <w:rFonts w:hint="eastAsia" w:ascii="仿宋" w:hAnsi="仿宋" w:eastAsia="仿宋"/>
          <w:color w:val="000000"/>
          <w:sz w:val="32"/>
          <w:szCs w:val="32"/>
        </w:rPr>
        <w:t>年安排因公出国（境）团组0次，出国（境）0人。因公出国（境）支出决算比</w:t>
      </w:r>
      <w:r>
        <w:rPr>
          <w:rFonts w:ascii="仿宋" w:hAnsi="仿宋" w:eastAsia="仿宋"/>
          <w:color w:val="000000"/>
          <w:sz w:val="32"/>
          <w:szCs w:val="32"/>
        </w:rPr>
        <w:t>201</w:t>
      </w:r>
      <w:r>
        <w:rPr>
          <w:rFonts w:hint="eastAsia" w:ascii="仿宋" w:hAnsi="仿宋" w:eastAsia="仿宋"/>
          <w:color w:val="000000"/>
          <w:sz w:val="32"/>
          <w:szCs w:val="32"/>
        </w:rPr>
        <w:t>8年增加</w:t>
      </w:r>
      <w:r>
        <w:rPr>
          <w:rFonts w:ascii="仿宋" w:hAnsi="仿宋" w:eastAsia="仿宋"/>
          <w:color w:val="000000"/>
          <w:sz w:val="32"/>
          <w:szCs w:val="32"/>
        </w:rPr>
        <w:t>/</w:t>
      </w:r>
      <w:r>
        <w:rPr>
          <w:rFonts w:hint="eastAsia" w:ascii="仿宋" w:hAnsi="仿宋" w:eastAsia="仿宋"/>
          <w:color w:val="000000"/>
          <w:sz w:val="32"/>
          <w:szCs w:val="32"/>
        </w:rPr>
        <w:t>减少0万元，增长</w:t>
      </w:r>
      <w:r>
        <w:rPr>
          <w:rFonts w:ascii="仿宋" w:hAnsi="仿宋" w:eastAsia="仿宋"/>
          <w:color w:val="000000"/>
          <w:sz w:val="32"/>
          <w:szCs w:val="32"/>
        </w:rPr>
        <w:t>/</w:t>
      </w:r>
      <w:r>
        <w:rPr>
          <w:rFonts w:hint="eastAsia" w:ascii="仿宋" w:hAnsi="仿宋" w:eastAsia="仿宋"/>
          <w:color w:val="000000"/>
          <w:sz w:val="32"/>
          <w:szCs w:val="32"/>
        </w:rPr>
        <w:t>下降0</w:t>
      </w:r>
      <w:r>
        <w:rPr>
          <w:rFonts w:ascii="仿宋" w:hAnsi="仿宋" w:eastAsia="仿宋"/>
          <w:color w:val="000000"/>
          <w:sz w:val="32"/>
          <w:szCs w:val="32"/>
        </w:rPr>
        <w:t>%</w:t>
      </w:r>
      <w:r>
        <w:rPr>
          <w:rFonts w:hint="eastAsia" w:ascii="仿宋" w:hAnsi="仿宋" w:eastAsia="仿宋"/>
          <w:color w:val="000000"/>
          <w:sz w:val="32"/>
          <w:szCs w:val="32"/>
        </w:rPr>
        <w:t>。主要原因是…</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开支内容包括：…（团组名称、出访地点、取得成效）</w:t>
      </w:r>
    </w:p>
    <w:p>
      <w:pPr>
        <w:spacing w:line="600" w:lineRule="exact"/>
        <w:ind w:firstLine="640"/>
        <w:rPr>
          <w:rFonts w:ascii="仿宋" w:hAnsi="仿宋" w:eastAsia="仿宋"/>
          <w:color w:val="000000"/>
          <w:sz w:val="32"/>
          <w:szCs w:val="32"/>
        </w:rPr>
      </w:pPr>
      <w:r>
        <w:rPr>
          <w:rFonts w:ascii="仿宋_GB2312" w:eastAsia="仿宋_GB2312"/>
          <w:b/>
          <w:color w:val="000000"/>
          <w:sz w:val="32"/>
          <w:szCs w:val="32"/>
        </w:rPr>
        <w:t>2.</w:t>
      </w:r>
      <w:r>
        <w:rPr>
          <w:rFonts w:hint="eastAsia" w:ascii="仿宋_GB2312" w:eastAsia="仿宋_GB2312"/>
          <w:b/>
          <w:color w:val="000000"/>
          <w:sz w:val="32"/>
          <w:szCs w:val="32"/>
        </w:rPr>
        <w:t>公</w:t>
      </w:r>
      <w:r>
        <w:rPr>
          <w:rFonts w:hint="eastAsia" w:ascii="仿宋" w:hAnsi="仿宋" w:eastAsia="仿宋"/>
          <w:color w:val="000000"/>
          <w:sz w:val="32"/>
          <w:szCs w:val="32"/>
        </w:rPr>
        <w:t>务用车购置及运行维护费支出0万元,完成预算0</w:t>
      </w:r>
      <w:r>
        <w:rPr>
          <w:rFonts w:ascii="仿宋" w:hAnsi="仿宋" w:eastAsia="仿宋"/>
          <w:color w:val="000000"/>
          <w:sz w:val="32"/>
          <w:szCs w:val="32"/>
        </w:rPr>
        <w:t>%</w:t>
      </w:r>
      <w:r>
        <w:rPr>
          <w:rFonts w:hint="eastAsia"/>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201</w:t>
      </w:r>
      <w:r>
        <w:rPr>
          <w:rFonts w:hint="eastAsia" w:ascii="仿宋" w:hAnsi="仿宋" w:eastAsia="仿宋"/>
          <w:color w:val="000000"/>
          <w:sz w:val="32"/>
          <w:szCs w:val="32"/>
        </w:rPr>
        <w:t>8年增加</w:t>
      </w:r>
      <w:r>
        <w:rPr>
          <w:rFonts w:ascii="仿宋" w:hAnsi="仿宋" w:eastAsia="仿宋"/>
          <w:color w:val="000000"/>
          <w:sz w:val="32"/>
          <w:szCs w:val="32"/>
        </w:rPr>
        <w:t>/</w:t>
      </w:r>
      <w:r>
        <w:rPr>
          <w:rFonts w:hint="eastAsia" w:ascii="仿宋" w:hAnsi="仿宋" w:eastAsia="仿宋"/>
          <w:color w:val="000000"/>
          <w:sz w:val="32"/>
          <w:szCs w:val="32"/>
        </w:rPr>
        <w:t>减少0万元，增长</w:t>
      </w:r>
      <w:r>
        <w:rPr>
          <w:rFonts w:ascii="仿宋" w:hAnsi="仿宋" w:eastAsia="仿宋"/>
          <w:color w:val="000000"/>
          <w:sz w:val="32"/>
          <w:szCs w:val="32"/>
        </w:rPr>
        <w:t>/</w:t>
      </w:r>
      <w:r>
        <w:rPr>
          <w:rFonts w:hint="eastAsia" w:ascii="仿宋" w:hAnsi="仿宋" w:eastAsia="仿宋"/>
          <w:color w:val="000000"/>
          <w:sz w:val="32"/>
          <w:szCs w:val="32"/>
        </w:rPr>
        <w:t>下降0</w:t>
      </w:r>
      <w:r>
        <w:rPr>
          <w:rFonts w:ascii="仿宋" w:hAnsi="仿宋" w:eastAsia="仿宋"/>
          <w:color w:val="000000"/>
          <w:sz w:val="32"/>
          <w:szCs w:val="32"/>
        </w:rPr>
        <w:t>%</w:t>
      </w:r>
      <w:r>
        <w:rPr>
          <w:rFonts w:hint="eastAsia" w:ascii="仿宋" w:hAnsi="仿宋" w:eastAsia="仿宋"/>
          <w:color w:val="000000"/>
          <w:sz w:val="32"/>
          <w:szCs w:val="32"/>
        </w:rPr>
        <w:t>。主要原因是…</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其中：公务用车购置支出0万元。全年按规定更新购置公务用车0辆，金额0</w:t>
      </w:r>
      <w:r>
        <w:rPr>
          <w:rFonts w:ascii="仿宋" w:hAnsi="仿宋" w:eastAsia="仿宋"/>
          <w:color w:val="000000"/>
          <w:sz w:val="32"/>
          <w:szCs w:val="32"/>
        </w:rPr>
        <w:t>元。</w:t>
      </w: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月底，单位共有公务用车0辆，其中：主要领导干部用车0辆、机要通信用车0辆、应急保障用车0辆、 执法执勤用车0辆…</w:t>
      </w:r>
    </w:p>
    <w:p>
      <w:pPr>
        <w:spacing w:line="600" w:lineRule="exact"/>
        <w:ind w:firstLine="640"/>
        <w:rPr>
          <w:rFonts w:ascii="仿宋" w:hAnsi="仿宋" w:eastAsia="仿宋"/>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0</w:t>
      </w:r>
      <w:r>
        <w:rPr>
          <w:rFonts w:hint="eastAsia" w:ascii="仿宋" w:hAnsi="仿宋" w:eastAsia="仿宋"/>
          <w:color w:val="000000"/>
          <w:sz w:val="32"/>
          <w:szCs w:val="32"/>
        </w:rPr>
        <w:t>万元。主要用于</w:t>
      </w:r>
      <w:r>
        <w:rPr>
          <w:rFonts w:ascii="仿宋" w:hAnsi="仿宋" w:eastAsia="仿宋"/>
          <w:color w:val="000000"/>
          <w:sz w:val="32"/>
          <w:szCs w:val="32"/>
        </w:rPr>
        <w:t>…</w:t>
      </w:r>
      <w:r>
        <w:rPr>
          <w:rFonts w:hint="eastAsia" w:ascii="仿宋" w:hAnsi="仿宋" w:eastAsia="仿宋"/>
          <w:color w:val="000000"/>
          <w:sz w:val="32"/>
          <w:szCs w:val="32"/>
        </w:rPr>
        <w:t>（具体工作）等所需的公务用车燃料费、维修费、过路过桥费、保险费等支出。</w:t>
      </w:r>
    </w:p>
    <w:p>
      <w:pPr>
        <w:spacing w:line="600" w:lineRule="exact"/>
        <w:ind w:firstLine="640"/>
        <w:rPr>
          <w:rFonts w:ascii="仿宋" w:hAnsi="仿宋" w:eastAsia="仿宋"/>
          <w:color w:val="000000"/>
          <w:sz w:val="32"/>
          <w:szCs w:val="32"/>
        </w:rPr>
      </w:pPr>
      <w:r>
        <w:rPr>
          <w:rFonts w:ascii="仿宋_GB2312" w:eastAsia="仿宋_GB2312"/>
          <w:b/>
          <w:color w:val="000000"/>
          <w:sz w:val="32"/>
          <w:szCs w:val="32"/>
        </w:rPr>
        <w:t>3</w:t>
      </w:r>
      <w:r>
        <w:rPr>
          <w:rFonts w:ascii="仿宋" w:hAnsi="仿宋" w:eastAsia="仿宋"/>
          <w:color w:val="000000"/>
          <w:sz w:val="32"/>
          <w:szCs w:val="32"/>
        </w:rPr>
        <w:t>.</w:t>
      </w:r>
      <w:r>
        <w:rPr>
          <w:rFonts w:hint="eastAsia" w:ascii="仿宋" w:hAnsi="仿宋" w:eastAsia="仿宋"/>
          <w:color w:val="000000"/>
          <w:sz w:val="32"/>
          <w:szCs w:val="32"/>
        </w:rPr>
        <w:t>公务接待费支出0万元，完成预算0</w:t>
      </w:r>
      <w:r>
        <w:rPr>
          <w:rFonts w:ascii="仿宋" w:hAnsi="仿宋" w:eastAsia="仿宋"/>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w:t>
      </w:r>
      <w:r>
        <w:rPr>
          <w:rFonts w:hint="eastAsia" w:ascii="仿宋" w:hAnsi="仿宋" w:eastAsia="仿宋"/>
          <w:color w:val="000000"/>
          <w:sz w:val="32"/>
          <w:szCs w:val="32"/>
        </w:rPr>
        <w:t>8年增加</w:t>
      </w:r>
      <w:r>
        <w:rPr>
          <w:rFonts w:ascii="仿宋" w:hAnsi="仿宋" w:eastAsia="仿宋"/>
          <w:color w:val="000000"/>
          <w:sz w:val="32"/>
          <w:szCs w:val="32"/>
        </w:rPr>
        <w:t>/</w:t>
      </w:r>
      <w:r>
        <w:rPr>
          <w:rFonts w:hint="eastAsia" w:ascii="仿宋" w:hAnsi="仿宋" w:eastAsia="仿宋"/>
          <w:color w:val="000000"/>
          <w:sz w:val="32"/>
          <w:szCs w:val="32"/>
        </w:rPr>
        <w:t>减少0万元，增长</w:t>
      </w:r>
      <w:r>
        <w:rPr>
          <w:rFonts w:ascii="仿宋" w:hAnsi="仿宋" w:eastAsia="仿宋"/>
          <w:color w:val="000000"/>
          <w:sz w:val="32"/>
          <w:szCs w:val="32"/>
        </w:rPr>
        <w:t>/</w:t>
      </w:r>
      <w:r>
        <w:rPr>
          <w:rFonts w:hint="eastAsia" w:ascii="仿宋" w:hAnsi="仿宋" w:eastAsia="仿宋"/>
          <w:color w:val="000000"/>
          <w:sz w:val="32"/>
          <w:szCs w:val="32"/>
        </w:rPr>
        <w:t>下降0</w:t>
      </w:r>
      <w:r>
        <w:rPr>
          <w:rFonts w:ascii="仿宋" w:hAnsi="仿宋" w:eastAsia="仿宋"/>
          <w:color w:val="000000"/>
          <w:sz w:val="32"/>
          <w:szCs w:val="32"/>
        </w:rPr>
        <w:t>%</w:t>
      </w:r>
      <w:r>
        <w:rPr>
          <w:rFonts w:hint="eastAsia" w:ascii="仿宋" w:hAnsi="仿宋" w:eastAsia="仿宋"/>
          <w:color w:val="000000"/>
          <w:sz w:val="32"/>
          <w:szCs w:val="32"/>
        </w:rPr>
        <w:t>。主要原因是…其中：</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0万元，主要用于……(执行公务、开展业务活动开支的交通费、住宿费、用餐费等)。国内公务接待0批次，0人次（不包括陪同人员），共计支出0万元，具体内容包括：…（接待具体项目、金额）。</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外事接待支出0万元，外事接待0批次，0人，共计支出0万元，主要用于接待</w:t>
      </w:r>
      <w:r>
        <w:rPr>
          <w:rFonts w:ascii="仿宋" w:hAnsi="仿宋" w:eastAsia="仿宋"/>
          <w:color w:val="000000"/>
          <w:sz w:val="32"/>
          <w:szCs w:val="32"/>
        </w:rPr>
        <w:t>…</w:t>
      </w:r>
      <w:r>
        <w:rPr>
          <w:rFonts w:hint="eastAsia" w:ascii="仿宋" w:hAnsi="仿宋" w:eastAsia="仿宋"/>
          <w:color w:val="000000"/>
          <w:sz w:val="32"/>
          <w:szCs w:val="32"/>
        </w:rPr>
        <w:t>（具体项目）</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9年政府性基金预算拨款支出0.7万元。</w:t>
      </w: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_GB2312" w:eastAsia="仿宋_GB2312"/>
          <w:color w:val="000000"/>
          <w:sz w:val="32"/>
          <w:szCs w:val="32"/>
        </w:rPr>
      </w:pPr>
      <w:r>
        <w:rPr>
          <w:rFonts w:ascii="仿宋_GB2312" w:eastAsia="仿宋_GB2312"/>
          <w:color w:val="000000"/>
          <w:sz w:val="32"/>
          <w:szCs w:val="32"/>
        </w:rPr>
        <w:t>2</w:t>
      </w:r>
      <w:r>
        <w:rPr>
          <w:rFonts w:ascii="仿宋" w:hAnsi="仿宋" w:eastAsia="仿宋"/>
          <w:color w:val="000000"/>
          <w:sz w:val="32"/>
          <w:szCs w:val="32"/>
        </w:rPr>
        <w:t>01</w:t>
      </w:r>
      <w:r>
        <w:rPr>
          <w:rFonts w:hint="eastAsia" w:ascii="仿宋" w:hAnsi="仿宋" w:eastAsia="仿宋"/>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_GB2312" w:eastAsia="仿宋_GB2312"/>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9年，峨眉山市龙池镇初级中学校机关运行经费支出2.59万元，比</w:t>
      </w:r>
      <w:r>
        <w:rPr>
          <w:rFonts w:ascii="仿宋" w:hAnsi="仿宋" w:eastAsia="仿宋"/>
          <w:color w:val="000000"/>
          <w:sz w:val="32"/>
          <w:szCs w:val="32"/>
        </w:rPr>
        <w:t>201</w:t>
      </w:r>
      <w:r>
        <w:rPr>
          <w:rFonts w:hint="eastAsia" w:ascii="仿宋" w:hAnsi="仿宋" w:eastAsia="仿宋"/>
          <w:color w:val="000000"/>
          <w:sz w:val="32"/>
          <w:szCs w:val="32"/>
        </w:rPr>
        <w:t>8年减少2.6万元，下降50.1</w:t>
      </w:r>
      <w:r>
        <w:rPr>
          <w:rFonts w:ascii="仿宋" w:hAnsi="仿宋" w:eastAsia="仿宋"/>
          <w:color w:val="000000"/>
          <w:sz w:val="32"/>
          <w:szCs w:val="32"/>
        </w:rPr>
        <w:t>%</w:t>
      </w:r>
      <w:r>
        <w:rPr>
          <w:rFonts w:hint="eastAsia" w:ascii="仿宋" w:hAnsi="仿宋" w:eastAsia="仿宋"/>
          <w:color w:val="000000"/>
          <w:sz w:val="32"/>
          <w:szCs w:val="32"/>
        </w:rPr>
        <w:t>。主要原因是压缩了会议次数、减少了培训人次。</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9年，峨眉山市龙池镇初级中学校政府采购支出总额0万元，其中：政府采购货物支出0万元、政府采购工程支出0万元、政府采购服务支出0万元。主要用于</w:t>
      </w:r>
      <w:r>
        <w:rPr>
          <w:rFonts w:ascii="仿宋" w:hAnsi="仿宋" w:eastAsia="仿宋"/>
          <w:color w:val="000000"/>
          <w:sz w:val="32"/>
          <w:szCs w:val="32"/>
        </w:rPr>
        <w:t>…</w:t>
      </w:r>
      <w:r>
        <w:rPr>
          <w:rFonts w:hint="eastAsia" w:ascii="仿宋" w:hAnsi="仿宋" w:eastAsia="仿宋"/>
          <w:color w:val="000000"/>
          <w:sz w:val="32"/>
          <w:szCs w:val="32"/>
        </w:rPr>
        <w:t>（具体工作）。授予中小企业合同金额0万元，占政府采购支出总额的0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，其中：授予小微企业合同金额0万元，占政府采购支出总额的0</w:t>
      </w:r>
      <w:r>
        <w:rPr>
          <w:rFonts w:ascii="仿宋" w:hAnsi="仿宋" w:eastAsia="仿宋"/>
          <w:color w:val="000000"/>
          <w:sz w:val="32"/>
          <w:szCs w:val="32"/>
        </w:rPr>
        <w:t>%</w:t>
      </w:r>
      <w:r>
        <w:rPr>
          <w:rFonts w:hint="eastAsia" w:ascii="仿宋" w:hAnsi="仿宋" w:eastAsia="仿宋"/>
          <w:color w:val="000000"/>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日，峨眉山市龙池镇初级中学校共有车辆0辆，其中：主要领导干部用车0辆、机要通信用车0辆、应急保障用车0辆、其他用车0辆……其他用车主要是用于……单价</w:t>
      </w:r>
      <w:r>
        <w:rPr>
          <w:rFonts w:ascii="仿宋" w:hAnsi="仿宋" w:eastAsia="仿宋"/>
          <w:color w:val="000000"/>
          <w:sz w:val="32"/>
          <w:szCs w:val="32"/>
        </w:rPr>
        <w:t>50</w:t>
      </w:r>
      <w:r>
        <w:rPr>
          <w:rFonts w:hint="eastAsia" w:ascii="仿宋" w:hAnsi="仿宋" w:eastAsia="仿宋"/>
          <w:color w:val="000000"/>
          <w:sz w:val="32"/>
          <w:szCs w:val="32"/>
        </w:rPr>
        <w:t>万元以上通用设备0台（套），单价</w:t>
      </w:r>
      <w:r>
        <w:rPr>
          <w:rFonts w:ascii="仿宋" w:hAnsi="仿宋" w:eastAsia="仿宋"/>
          <w:color w:val="000000"/>
          <w:sz w:val="32"/>
          <w:szCs w:val="32"/>
        </w:rPr>
        <w:t>100</w:t>
      </w:r>
      <w:r>
        <w:rPr>
          <w:rFonts w:hint="eastAsia" w:ascii="仿宋" w:hAnsi="仿宋" w:eastAsia="仿宋"/>
          <w:color w:val="000000"/>
          <w:sz w:val="32"/>
          <w:szCs w:val="32"/>
        </w:rPr>
        <w:t>万元以上专用设备0台（套）。</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根据预算绩效管理要求，本部门在年初预算编制阶段，组织对保安项目、名师工作室、骨干教师、免作业本、援彝工作开展了预算事前绩效评估，对5个项目编制了绩效目标，预算执行过程中，选取5个项目开展绩效监控，年终执行完毕后，对1个项目开展了绩效目标完成情况自评。</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本部门按要求对2019年部门整体支出开展绩效自评，从评价情况来看项目执行情况与年初预算情况基本一至,本部门还自行组织了1个项目支出绩效评价，从评价情况来看项目的开展、执行效果完成情况较好。</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1.项目绩效目标完成情况。</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本部门在2019年度部门决算中反映“保安项目</w:t>
      </w:r>
      <w:r>
        <w:rPr>
          <w:rFonts w:ascii="仿宋" w:hAnsi="仿宋" w:eastAsia="仿宋"/>
          <w:color w:val="000000"/>
          <w:sz w:val="32"/>
          <w:szCs w:val="32"/>
        </w:rPr>
        <w:t>””</w:t>
      </w:r>
      <w:r>
        <w:rPr>
          <w:rFonts w:hint="eastAsia" w:ascii="仿宋" w:hAnsi="仿宋" w:eastAsia="仿宋"/>
          <w:color w:val="000000"/>
          <w:sz w:val="32"/>
          <w:szCs w:val="32"/>
        </w:rPr>
        <w:t>名师工作室</w:t>
      </w:r>
      <w:r>
        <w:rPr>
          <w:rFonts w:ascii="仿宋" w:hAnsi="仿宋" w:eastAsia="仿宋"/>
          <w:color w:val="000000"/>
          <w:sz w:val="32"/>
          <w:szCs w:val="32"/>
        </w:rPr>
        <w:t>”</w:t>
      </w:r>
      <w:r>
        <w:rPr>
          <w:rFonts w:hint="eastAsia" w:ascii="仿宋" w:hAnsi="仿宋" w:eastAsia="仿宋"/>
          <w:color w:val="000000"/>
          <w:sz w:val="32"/>
          <w:szCs w:val="32"/>
        </w:rPr>
        <w:t>“骨干教师”“免作业本”“援彝工作”等5个项目绩效目标实际完成情况。</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（1）安保项目绩效目标完成情况综述。项目全年预算数18.07万元，执行数为18.07万元，完成预算的100%。通过项目实施，保障了学校的正常教育、教学秩序。</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（2）名师工作室项目绩效目标完成情况综述。项目全年预算数2.5万元，执行数为2.5万元，完成预算的100%。通过项目实施，有效提高了教师的教育教学能力的提高。</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（3）骨干教师项目绩效目标完成情况综述。项目全年预算数1.64万元，执行数为1.64万元，完成预算的100%。通过项目实施，促进了教师教风的转变，提高了教学质量。</w:t>
      </w: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sz w:val="36"/>
                <w:szCs w:val="36"/>
              </w:rPr>
            </w:pPr>
            <w:r>
              <w:rPr>
                <w:rFonts w:hint="eastAsia" w:ascii="宋体" w:hAnsi="宋体" w:cs="宋体"/>
                <w:b/>
                <w:bCs/>
                <w:color w:val="000000"/>
                <w:kern w:val="0"/>
                <w:sz w:val="36"/>
                <w:szCs w:val="36"/>
              </w:rPr>
              <w:t>项目绩效目标完成情况表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保安工作经费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峨眉山市龙池镇初级中学校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18.07万元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18.07万元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18.07万元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18.07万元</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负责学生安全保卫工作，保障校园财产安全。</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 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师生人数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384</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384</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师生安全及校园财产安全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有效保障</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有效保障</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在上年度安全保障</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保障有力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保障有力</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让社会及广大家长安心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能放心工作、生活</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能放心工作、生活</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对师生保护对象的满意度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楷体_GB2312" w:hAnsi="楷体_GB2312" w:eastAsia="楷体_GB2312" w:cs="楷体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骨干教师津贴</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峨眉山市龙池镇初级中学校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1.64万元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1.64万元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1.64万元</w:t>
            </w:r>
          </w:p>
        </w:tc>
      </w:tr>
      <w:tr>
        <w:tblPrEx>
          <w:tblCellMar>
            <w:top w:w="0" w:type="dxa"/>
            <w:left w:w="0" w:type="dxa"/>
            <w:bottom w:w="0" w:type="dxa"/>
            <w:right w:w="0" w:type="dxa"/>
          </w:tblCellMar>
        </w:tblPrEx>
        <w:trPr>
          <w:trHeight w:val="131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提高学校教学教育质量</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 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骨干教师人数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提高学校教学质量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效果良好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效果良好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textAlignment w:val="center"/>
              <w:rPr>
                <w:rFonts w:ascii="宋体" w:hAnsi="宋体" w:cs="宋体"/>
                <w:color w:val="000000"/>
                <w:sz w:val="24"/>
              </w:rPr>
            </w:pPr>
            <w:r>
              <w:rPr>
                <w:rFonts w:hint="eastAsia" w:ascii="宋体" w:hAnsi="宋体" w:cs="宋体"/>
                <w:color w:val="000000"/>
                <w:sz w:val="24"/>
              </w:rPr>
              <w:t xml:space="preserve">  带动教师积极性</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作用良好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作用良好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提升学校形象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学生、家长保的满意度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楷体_GB2312" w:hAnsi="楷体_GB2312" w:eastAsia="楷体_GB2312" w:cs="楷体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名师工作室</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峨眉山市龙池镇初级中学校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2.5万元</w:t>
            </w:r>
          </w:p>
        </w:tc>
      </w:tr>
      <w:tr>
        <w:tblPrEx>
          <w:tblCellMar>
            <w:top w:w="0" w:type="dxa"/>
            <w:left w:w="0" w:type="dxa"/>
            <w:bottom w:w="0" w:type="dxa"/>
            <w:right w:w="0" w:type="dxa"/>
          </w:tblCellMar>
        </w:tblPrEx>
        <w:trPr>
          <w:trHeight w:val="131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培养年青教师、提高教师综合业务能力</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 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片区学校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提高教师业务能力</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作用很好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作用很好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从工作室开展以来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提高业务能力</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效果明显</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提升学校形象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有效提升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有效提升</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学生、家长的满意度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楷体_GB2312" w:hAnsi="楷体_GB2312" w:eastAsia="楷体_GB2312" w:cs="楷体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免作业本费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峨眉山市龙池镇初级中学校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1.28万元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1.28万元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1.28万元</w:t>
            </w:r>
          </w:p>
        </w:tc>
      </w:tr>
      <w:tr>
        <w:tblPrEx>
          <w:tblCellMar>
            <w:top w:w="0" w:type="dxa"/>
            <w:left w:w="0" w:type="dxa"/>
            <w:bottom w:w="0" w:type="dxa"/>
            <w:right w:w="0" w:type="dxa"/>
          </w:tblCellMar>
        </w:tblPrEx>
        <w:trPr>
          <w:trHeight w:val="131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减轻山区学生家庭的经济负担</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有效减轻</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 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学生人数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323</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323</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兑现情况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即时发放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即时发放</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2019年度完成情况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学生、家长保的满意度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楷体_GB2312" w:hAnsi="楷体_GB2312" w:eastAsia="楷体_GB2312" w:cs="楷体_GB2312"/>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援彝工作经费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峨眉山市龙池镇初级中学校</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3.41万元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3.41万元</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3.41万元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3.41万元</w:t>
            </w:r>
          </w:p>
        </w:tc>
      </w:tr>
      <w:tr>
        <w:tblPrEx>
          <w:tblCellMar>
            <w:top w:w="0" w:type="dxa"/>
            <w:left w:w="0" w:type="dxa"/>
            <w:bottom w:w="0" w:type="dxa"/>
            <w:right w:w="0" w:type="dxa"/>
          </w:tblCellMar>
        </w:tblPrEx>
        <w:trPr>
          <w:trHeight w:val="1315"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驻村控掇保学、移风易俗、禁毒防艾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全面完成预期目标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 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乡村数</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w:t>
            </w:r>
          </w:p>
        </w:tc>
      </w:tr>
      <w:tr>
        <w:tblPrEx>
          <w:tblCellMar>
            <w:top w:w="0" w:type="dxa"/>
            <w:left w:w="0" w:type="dxa"/>
            <w:bottom w:w="0" w:type="dxa"/>
            <w:right w:w="0" w:type="dxa"/>
          </w:tblCellMar>
        </w:tblPrEx>
        <w:trPr>
          <w:trHeight w:val="129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完成情况</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完成很好</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完成很好</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援彝期间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效果明显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工作效果明显</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民族融合</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加强民族融合</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民族融合加强</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服务对象满意指标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非常满意</w:t>
            </w:r>
          </w:p>
        </w:tc>
      </w:tr>
    </w:tbl>
    <w:p>
      <w:pPr>
        <w:spacing w:line="580" w:lineRule="exact"/>
        <w:ind w:left="630"/>
        <w:rPr>
          <w:rFonts w:ascii="楷体_GB2312" w:hAnsi="楷体_GB2312" w:eastAsia="楷体_GB2312" w:cs="楷体_GB2312"/>
          <w:sz w:val="32"/>
          <w:szCs w:val="32"/>
        </w:rPr>
      </w:pP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2.部门绩效评价结果。</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本部门按要求对2019年部门整体支出绩效评价情况开展自评，《峨眉山市龙池镇初级中学校部门2019年部门整体支出绩效评价报告》见附件（附件1）。</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本部门自行组织对安保项目开展了绩效评价，《安保项目2019年绩效评价报告》见附件（附件2）。（非涉密部门均需公开部门整体支出评价报告，部门自行组织的绩效评价情况根据部门实际公开，若未组织项目绩效评价，则只需说明部门整体支出绩效评价情况）</w:t>
      </w:r>
    </w:p>
    <w:p>
      <w:pPr>
        <w:widowControl/>
        <w:jc w:val="left"/>
        <w:rPr>
          <w:rStyle w:val="24"/>
          <w:rFonts w:ascii="黑体" w:hAnsi="黑体" w:eastAsia="黑体"/>
          <w:b w:val="0"/>
        </w:rPr>
      </w:pPr>
      <w:r>
        <w:rPr>
          <w:rFonts w:ascii="仿宋_GB2312" w:eastAsia="仿宋_GB2312"/>
          <w:b/>
          <w:color w:val="000000"/>
          <w:sz w:val="32"/>
          <w:szCs w:val="32"/>
        </w:rPr>
        <w:br w:type="page"/>
      </w:r>
      <w:bookmarkStart w:id="55" w:name="_Toc15396613"/>
      <w:bookmarkStart w:id="56"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autoSpaceDE w:val="0"/>
        <w:autoSpaceDN w:val="0"/>
        <w:adjustRightInd w:val="0"/>
        <w:spacing w:line="600" w:lineRule="exact"/>
        <w:ind w:firstLine="640" w:firstLineChars="200"/>
        <w:jc w:val="left"/>
        <w:rPr>
          <w:rFonts w:ascii="仿宋" w:hAnsi="仿宋" w:eastAsia="仿宋"/>
          <w:color w:val="000000"/>
          <w:sz w:val="32"/>
          <w:szCs w:val="32"/>
        </w:rPr>
      </w:pPr>
      <w:bookmarkStart w:id="57" w:name="_Toc15396614"/>
      <w:bookmarkStart w:id="58" w:name="_Toc15377226"/>
      <w:r>
        <w:rPr>
          <w:rFonts w:hint="eastAsia" w:hAnsi="仿宋"/>
          <w:sz w:val="32"/>
          <w:szCs w:val="32"/>
        </w:rPr>
        <w:t>1</w:t>
      </w:r>
      <w:r>
        <w:rPr>
          <w:rFonts w:hint="eastAsia" w:ascii="仿宋" w:hAnsi="仿宋" w:eastAsia="仿宋"/>
          <w:color w:val="000000"/>
          <w:sz w:val="32"/>
          <w:szCs w:val="32"/>
        </w:rPr>
        <w:t xml:space="preserve">.财政拨款收入：指省级财政当年拨付的资金。 </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2.事业收入：指事业单位开展专业业务活动及辅助活动所取得的收入。如财政专户核拨的幼儿园保教费收入等。</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3.经营收入：指事业单位在专业业务活动及其辅助活动之外开展非独立核算经营活动取得的收入。</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 xml:space="preserve">4.其他收入：指除上述“财政拨款收入”、“事业收入”、“经营收入”等以外的收入。主要是捐赠收入、利息收入等。 </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 xml:space="preserve">6.年初结转和结余：指以前年度尚未完成、结转到本年按有关规定继续使用的资金。  </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7.一般公共服务支出（类）群众团体事务（款）其他群众团体事务支出（项）：指反映上述项目以外其他用于群众团体事务方面的支出。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8.国防支出（类）国防动员（款）兵役征集（项）：指反映用于兵役征集等方面的支出。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9.教育支出（类）教育管理事务（款）行政运行（项）:指反映行政单位（包括实行公务员管理的事业单位）的基本支出。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10.教育支出（类）教育管理事务（款）一般行政管理事务（项）:指反映行政单位（包括实行公务员管理的事业单位）未单独设置项级科目的其他项目支出。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11.教育支出（类）普通教育（款）学前教育（项）:指反映各部门举办的学前教育支出。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12.教育支出（类）普通教育（款）小学教育（项）:指反映各部门举办的小学教育支出。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13.教育支出（类）普通教育（款）初中教育（项）:指反映各部门举办的初中教育支出。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14.教育支出（类）普通教育（款）高中教育（项）:指反映各部门举办的高级中学教育支出。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15.教育支出（类）普通教育（款）其他普通教育支出（项）:指反映除上述项目以外其他用于普通教育方面的支出。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16.教育支出（类）职业教育（款）中专教育（项）:指反映各部门举办的各类中等专业学校的支出。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17.教育支出（类）职业教育（款）职业高中教育（项）:指反映各部门举办的职业中学、农业中学（含普通高中改制的）、半工（农）半读中学的支出或补助费。</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18.教育支出（类）职业教育（款）其他职业教育支出（项）: 指反映除上述项目以外其他用于职业教育方面的支出。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19.教育支出（类）成人教育（款）成人高等教育（项）:指反映各部门举办函授、夜大、高等教育自学考试等方面的支出。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20.教育支出（类）成人教育（款）成人广播电视教育（项）:指反映各部门举办成人广播电视教育的支出。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21.教育支出（类）进修及培训（款）教师进修（项）:指反映教师进修、师资培训支出。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22.教育支出（类）教育费附加安排的支出（款）农村中小学校舍建设（项）:指反映教育费附加安排用于农村中小学校舍新建、改建、修缮和维护的支出。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23.教育支出（类）教育费附加安排的支出（款）农村中小学教学设施（项）:指反映教育费附加安排用于改善农村中小学教学设施和办学条件的支出。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24.教育支出（类）教育费附加安排的支出（款）城市中小学校舍建设（项）:指反映教育费附加安排用于城市中小学校舍新建、改建、修缮和维护的支出。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 xml:space="preserve">25.教育支出（类）教育费附加安排的支出（款）中等职业学校教学设施（项）:指反映教育费附加安排用于中等职业学校教学设施的支出。 </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26.教育支出（类）教育费附加安排的支出（款）其他教育费附加安排的支出（项）: 指反映除上述项目以外的教育费附加支出。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27.教育支出（类）其他教育支出（款）其他教育支出（项）:指反映除上述项目以外其他用于教育方面的支出。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28.文化体育与传媒支出（类）体育（款）其他体育支出（项）:指反映上述项目以外其他用于体育方面的支出。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29.社会保障和就业支出（类）行政事业单位离退休（款）未归口管理的行政单位离退休（项）:指反映未实行归口管理的行政单位（包括实行公务员管理的事业单位）开支的离退休支出。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30.社会保障和就业支出（类）行政事业单位离退休（款）机关事业单位基本养老保险缴费支出（项）: 指反映机关事业单位实施养老保险制度由单位缴纳的基本养老保险费支出。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31.社会保障和就业支出（类）行政事业单位离退休（款）机关事业单位职业年金缴费支出（项）: 指反映机关事业单位实施养老保险制度由单位缴纳的职业年金支出。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32.社会保障和就业支出（类）行政事业单位离退休（款）其他行政事业单位离退休支出（项）: 指反映除上述项目以外其他用于行政事业单位离退休方面的支出。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33. 社会保障和就业支出（类）抚恤（款）死亡抚恤（项）:指反映按规定用于烈士和牺牲、病故人员家属的一次性和定期抚恤金以及丧葬补助费。</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34.社会保障和就业支出（类）抚恤（款）其他优抚支出（项）:指反映除上述项目以外其他用于优抚方面的支出。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 xml:space="preserve">35.卫生健康支出（类）行政事业单位医疗（款）行政单位医疗（项）:指反映财政部门集中安排的行政单位基本医疗保险缴费经费，未参加医疗保险的行政单位的公费医疗经费，按国家规定享受离休人员、红军老战士待遇人员的医疗经费。 </w:t>
      </w:r>
      <w:r>
        <w:rPr>
          <w:rFonts w:hint="eastAsia" w:ascii="仿宋" w:hAnsi="仿宋" w:eastAsia="仿宋"/>
          <w:color w:val="000000"/>
          <w:sz w:val="32"/>
          <w:szCs w:val="32"/>
        </w:rPr>
        <w:br w:type="textWrapping"/>
      </w:r>
      <w:r>
        <w:rPr>
          <w:rFonts w:hint="eastAsia" w:ascii="仿宋" w:hAnsi="仿宋" w:eastAsia="仿宋"/>
          <w:color w:val="000000"/>
          <w:sz w:val="32"/>
          <w:szCs w:val="32"/>
        </w:rPr>
        <w:t xml:space="preserve">   36.卫生健康支出（类）行政事业单位医疗（款）事业单位医疗（项）:指反映财政部门集中安排的事业单位基本医疗保险缴费经费，未参加医疗保险的事业单位的公费医疗经费，按国家规定享受离休人员待遇的医疗经费。</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37.农林水支出（类）扶贫（款）其他扶贫支出（项）：指反映除上述项目以外其他用于扶贫方面的支出。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38.住房保障支出（类）住房改革支出（款）住房公积金（项）: 指反映行政事业单位按人力资源和社会保障部、财政部规定的基本工资和津贴补贴以及规定比例为职工缴纳的住房公积金。</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39.结余分配：指事业单位按规定提取的职工福利基金、事业基金和缴纳的所得税，以及建设单位按规定应交回的基本建设竣工项目结余资金。</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40.年末结转和结余：指本年度或以前年度预算安排、因客观条件发生变化无法按原计划实施，需延迟到以后年度按有关规定继续使用的资金。</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41.基本支出：指为保障机构正常运转、完成日常工作任务而发生的人员支出和公用支出。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 xml:space="preserve">42.项目支出：指在基本支出之外为完成特定行政任务和事业发展目标所发生的支出。 </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43.经营支出：指事业单位在专业业务活动及其辅助活动之外开展非独立核算经营活动发生的支出。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44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45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四部分 附件</w:t>
      </w:r>
      <w:bookmarkEnd w:id="57"/>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峨眉山市龙池镇初级中学校</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_GB2312" w:hAnsi="宋体" w:eastAsia="仿宋_GB2312" w:cs="宋体"/>
          <w:color w:val="000000"/>
          <w:kern w:val="0"/>
          <w:sz w:val="32"/>
          <w:szCs w:val="32"/>
          <w:shd w:val="clear" w:color="auto" w:fill="FFFFFF"/>
          <w:lang w:val="zh-CN"/>
        </w:rPr>
        <w:t>（</w:t>
      </w:r>
      <w:r>
        <w:rPr>
          <w:rFonts w:hint="eastAsia" w:ascii="仿宋" w:hAnsi="仿宋" w:eastAsia="仿宋"/>
          <w:color w:val="000000"/>
          <w:sz w:val="32"/>
          <w:szCs w:val="32"/>
        </w:rPr>
        <w:t>一）机构组成。</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我单位机关内设校长办公室、书记办公室、副校长办公室、教导处办公室、后勤办公室、团委办公室6个科股室。</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（二）机构职能。</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我单位主要职责是实施初中义务教育，促进基础教育发展，开展初中学历教育。</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（三）人员概况。</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核定事业编制59名，实际在岗60人。</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（一）部门财政资金收入情况。</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我单位2019年部门决算收入为1169.00万元，预算收入为640.80万元，政府性基金预算资金0.7；决算收入与预算收入的差额528.90万元,主要为事业运行调增225.67万元，项目收入303.23万元。</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（二）部门财政资金支出情况。</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 xml:space="preserve">我单位2019年支出决算数为1161.12万元，其中：基本支出857.89万元，项目支出303.23万元；预算数为640.80万元，其中：基本支出640.80万元，项目支出0万元。调整预算数为866.47万元，基本支出较预算增加229.39万元，主要为日常公用经费35.64万元，项目增加303.23万元。 </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决算支出较决算收入减少4.84万元，年初结转结余列支3.74万元。</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（一）部门预算管理。</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预算编制以国家政策以及各项法律法规为依据，学校组织以校长为领导，后勤主任、会计、出纳为成员的预算编审班子。预算编审班子明确分工、严格按照工作职责，认真学习领会财政部门的要求，根据部门预算编制方法和程序，遵循完整性、准确性原则，充分确定资料，按照财政部门认可的依据和计算方法准确、真实的编制，以保证预算编制任务的完成。认真分析上年的收、支情况，对本年支出进度进行控制、在执行中根据变动情况对预算进行动态调整，合理安排执行进度，确保预算完成。</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（二）结果应用情况。</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对预算绩效进行及时自我评价，并按规定进行公开，对结果中存在不足部分进行整改，及时完善相关工作，认真反馈结果。</w:t>
      </w: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（一）评价结论。在预算编制、预算制行、支出绩效上均能按上级要求及项目进度较好完成，结合实际情况制定相应方案保证项目的顺利开展。</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（二）存在问题。</w:t>
      </w:r>
    </w:p>
    <w:p>
      <w:pPr>
        <w:autoSpaceDE w:val="0"/>
        <w:autoSpaceDN w:val="0"/>
        <w:adjustRightInd w:val="0"/>
        <w:spacing w:line="600" w:lineRule="exact"/>
        <w:ind w:firstLine="640" w:firstLineChars="200"/>
        <w:jc w:val="left"/>
        <w:rPr>
          <w:rFonts w:ascii="仿宋" w:hAnsi="仿宋" w:eastAsia="仿宋"/>
          <w:color w:val="000000"/>
          <w:sz w:val="32"/>
          <w:szCs w:val="32"/>
        </w:rPr>
      </w:pPr>
      <w:r>
        <w:rPr>
          <w:rFonts w:hint="eastAsia" w:ascii="仿宋" w:hAnsi="仿宋" w:eastAsia="仿宋"/>
          <w:color w:val="000000"/>
          <w:sz w:val="32"/>
          <w:szCs w:val="32"/>
        </w:rPr>
        <w:t>（三）改进建议。细化预算编制工作，认真做好预算的编制。进一步加强单位内部机构各科室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加强内部预算编制的审核和预算控制指标的下达。</w:t>
      </w: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峨眉山市龙池镇初级中学校</w:t>
      </w:r>
      <w:r>
        <w:rPr>
          <w:rFonts w:hint="eastAsia" w:ascii="方正小标宋简体" w:hAnsi="宋体" w:eastAsia="方正小标宋简体"/>
          <w:color w:val="000000"/>
          <w:kern w:val="0"/>
          <w:sz w:val="44"/>
          <w:szCs w:val="44"/>
          <w:lang w:val="zh-CN"/>
        </w:rPr>
        <w:t>项目</w:t>
      </w: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adjustRightInd w:val="0"/>
        <w:snapToGrid w:val="0"/>
        <w:spacing w:line="60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1．本部门自行组织对安保项目开展了绩效评价，对该项目经费即时申报，按时兑现，保证学校安保项目工作的顺利开展。</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2．项目立项、资金申报的依据。根据国家政策及本级财政要求进行立项及资金申报。</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3．安保项目资金的管理都按照相关规定执行，实行专款专用。对上级专项资金的使用，严格按照上级文件要求，并制定方案，及时安排资金的使用，优先保障人员工资、保险等人员经费的支出，保证安保人员的积极性，确保师生安全及学校财产安全。</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4．资金分配的原则及考虑因素。</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按政策要求及项目的紧迫程度和进程进行资金的分配使用，优先保障安保人员工资、津贴兑现，在经费富余的情况下添置必要的安保器材，确保高效的完成安全保卫工作。</w:t>
      </w:r>
    </w:p>
    <w:p>
      <w:pPr>
        <w:adjustRightInd w:val="0"/>
        <w:snapToGrid w:val="0"/>
        <w:spacing w:line="600" w:lineRule="exact"/>
        <w:ind w:firstLine="720"/>
        <w:rPr>
          <w:rFonts w:ascii="仿宋_GB2312" w:hAnsi="宋体" w:eastAsia="仿宋_GB2312"/>
          <w:sz w:val="32"/>
          <w:szCs w:val="32"/>
          <w:lang w:val="zh-CN"/>
        </w:rPr>
      </w:pP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（二）项目绩效目标。</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1．安保工作主要内容。</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负责教师、学生的安全保卫及校园财产安全保障。</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2．安保人员肩负学校的安全保卫重任，要有高度的责任心，准时上岗，不得擅离岗位。上班期间不得与他人闲谈，及时做好来访和学生出入登记，做好大门的开关，上课期间学生不能随意出校，校外闲杂人员不得进入校园。</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3．学校对安保工作高度重视，对安保人员严格按照岗位职责进行管理，确保安保工作执行到位。</w:t>
      </w:r>
    </w:p>
    <w:p>
      <w:pPr>
        <w:adjustRightInd w:val="0"/>
        <w:snapToGrid w:val="0"/>
        <w:spacing w:line="600"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根据保安工作的特点对保安工作制定相应的工作规章制度，每学期结束后由安保主任牵 头相关科室领导共同对本期工作进行评估，结合相应的规章制度对本期安保人员的工作进行评价总结。</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（一）项目资金申报及批复情况。</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根据本级财政的安排结合安保工作的实际情况对项目经费即时申报。</w:t>
      </w:r>
    </w:p>
    <w:p>
      <w:pPr>
        <w:adjustRightInd w:val="0"/>
        <w:snapToGrid w:val="0"/>
        <w:spacing w:line="600" w:lineRule="exact"/>
        <w:ind w:firstLine="720"/>
        <w:rPr>
          <w:rFonts w:ascii="仿宋_GB2312" w:hAnsi="宋体" w:eastAsia="仿宋_GB2312"/>
          <w:sz w:val="32"/>
          <w:szCs w:val="32"/>
          <w:lang w:val="zh-CN"/>
        </w:rPr>
      </w:pP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（二）资金计划、到位及使用情况（可用表格形式反映）。</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1．资金计划。</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保安工作经费由本级财政安排。</w:t>
      </w:r>
    </w:p>
    <w:p>
      <w:pPr>
        <w:adjustRightInd w:val="0"/>
        <w:snapToGrid w:val="0"/>
        <w:spacing w:line="600" w:lineRule="exact"/>
        <w:ind w:firstLine="720"/>
        <w:rPr>
          <w:rFonts w:ascii="仿宋" w:hAnsi="仿宋" w:eastAsia="仿宋"/>
          <w:color w:val="000000"/>
          <w:sz w:val="32"/>
          <w:szCs w:val="32"/>
        </w:rPr>
      </w:pPr>
      <w:r>
        <w:rPr>
          <w:rFonts w:hint="eastAsia" w:ascii="楷体_GB2312" w:hAnsi="宋体" w:eastAsia="楷体_GB2312"/>
          <w:sz w:val="32"/>
          <w:szCs w:val="32"/>
          <w:lang w:val="zh-CN"/>
        </w:rPr>
        <w:t>2．</w:t>
      </w:r>
      <w:r>
        <w:rPr>
          <w:rFonts w:hint="eastAsia" w:ascii="仿宋" w:hAnsi="仿宋" w:eastAsia="仿宋"/>
          <w:color w:val="000000"/>
          <w:sz w:val="32"/>
          <w:szCs w:val="32"/>
        </w:rPr>
        <w:t>资金到位。安保工作经费由本级财政按春、秋季分别两次拔付，确保资金足额到位。</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3</w:t>
      </w:r>
      <w:r>
        <w:rPr>
          <w:rFonts w:hint="eastAsia" w:ascii="楷体_GB2312" w:hAnsi="宋体" w:eastAsia="楷体_GB2312"/>
          <w:sz w:val="32"/>
          <w:szCs w:val="32"/>
          <w:lang w:val="zh-CN"/>
        </w:rPr>
        <w:t>．</w:t>
      </w:r>
      <w:r>
        <w:rPr>
          <w:rFonts w:hint="eastAsia" w:ascii="仿宋" w:hAnsi="仿宋" w:eastAsia="仿宋"/>
          <w:color w:val="000000"/>
          <w:sz w:val="32"/>
          <w:szCs w:val="32"/>
        </w:rPr>
        <w:t>资金使用。安保项目的资金使用，优先发放工资、副利；按时交纳各项保险，添置必要的安保器材。</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（三）项目财务管理情况。</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olor w:val="000000"/>
          <w:sz w:val="32"/>
          <w:szCs w:val="32"/>
        </w:rPr>
        <w:t>保安项目资金的管理都按照相关规定执行，实行专款专用。上级专项的资金主要管理如下：如有上级文件的要求，严格按照要求执行；没有上级文件明确要求的，由我单位会同本级财政共同拟定方案；需要上级备案的及时上报备案。财政本级专项资金主要管理如下：我单位根据财政部门的要求制定方案并上报财政，实际拨付时按照要求准备资料向同级财政申请拨付</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项目组织架构及实施流程。</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保安工作由学校安保主任具体负责，对保安工作进日常管理。</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（二）项目管理情况。保安工作负责学校师生的安全及学校校园财产安全，结合相关法律法规及学校规章制度对保安进行管理。</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（三）项目监管情况。加强对安保人员的日常管理、教育，对存在的问题即时整改。对安保经费进行动态监控，保证人员工资、津贴的按时发放。</w:t>
      </w:r>
    </w:p>
    <w:p>
      <w:pPr>
        <w:adjustRightInd w:val="0"/>
        <w:snapToGrid w:val="0"/>
        <w:spacing w:line="60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（一）项目完成情况。</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olor w:val="000000"/>
          <w:sz w:val="32"/>
          <w:szCs w:val="32"/>
        </w:rPr>
        <w:t>保安工作负责学校师生的安全及学校校园财产安全保卫，安保人员对学校校园24小时进行管理，做好大门的开关，上课期间学生不能随意出校，校外闲杂人员不得进入校园。</w:t>
      </w:r>
    </w:p>
    <w:p>
      <w:pPr>
        <w:adjustRightInd w:val="0"/>
        <w:snapToGrid w:val="0"/>
        <w:spacing w:line="600" w:lineRule="exact"/>
        <w:ind w:firstLine="720"/>
        <w:rPr>
          <w:rFonts w:ascii="仿宋" w:hAnsi="仿宋" w:eastAsia="仿宋"/>
          <w:color w:val="000000"/>
          <w:sz w:val="32"/>
          <w:szCs w:val="32"/>
        </w:rPr>
      </w:pPr>
      <w:r>
        <w:rPr>
          <w:rFonts w:hint="eastAsia" w:ascii="仿宋" w:hAnsi="仿宋" w:eastAsia="仿宋"/>
          <w:color w:val="000000"/>
          <w:sz w:val="32"/>
          <w:szCs w:val="32"/>
        </w:rPr>
        <w:t>（二）项目效益情况。</w:t>
      </w:r>
    </w:p>
    <w:p>
      <w:pPr>
        <w:adjustRightInd w:val="0"/>
        <w:snapToGrid w:val="0"/>
        <w:spacing w:line="600" w:lineRule="exact"/>
        <w:ind w:firstLine="720"/>
        <w:rPr>
          <w:rFonts w:ascii="仿宋_GB2312" w:hAnsi="宋体" w:eastAsia="仿宋_GB2312"/>
          <w:sz w:val="32"/>
          <w:szCs w:val="32"/>
          <w:lang w:val="zh-CN"/>
        </w:rPr>
      </w:pPr>
      <w:r>
        <w:rPr>
          <w:rFonts w:hint="eastAsia" w:ascii="仿宋" w:hAnsi="仿宋" w:eastAsia="仿宋"/>
          <w:color w:val="000000"/>
          <w:sz w:val="32"/>
          <w:szCs w:val="32"/>
        </w:rPr>
        <w:t>安保工作负责师生人身安全及校园财产安全工作，保安项目经费的使用很好的保障了师生安全及校产的安全，为学校教育、教学工作提供了有力的保障，取得了良好的经济效益及社会效益。获得了老师、学生及家长较高的满意度。</w:t>
      </w:r>
    </w:p>
    <w:p>
      <w:pPr>
        <w:adjustRightInd w:val="0"/>
        <w:snapToGrid w:val="0"/>
        <w:spacing w:line="60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（一）评价结论。</w:t>
      </w:r>
    </w:p>
    <w:p>
      <w:pPr>
        <w:adjustRightInd w:val="0"/>
        <w:snapToGrid w:val="0"/>
        <w:spacing w:line="600" w:lineRule="exact"/>
        <w:ind w:firstLine="640" w:firstLineChars="200"/>
        <w:rPr>
          <w:rFonts w:ascii="仿宋_GB2312" w:hAnsi="宋体" w:eastAsia="仿宋_GB2312"/>
          <w:sz w:val="32"/>
          <w:szCs w:val="32"/>
          <w:lang w:val="zh-CN"/>
        </w:rPr>
      </w:pPr>
      <w:r>
        <w:rPr>
          <w:rFonts w:hint="eastAsia" w:ascii="仿宋" w:hAnsi="仿宋" w:eastAsia="仿宋"/>
          <w:color w:val="000000"/>
          <w:sz w:val="32"/>
          <w:szCs w:val="32"/>
        </w:rPr>
        <w:t>保安工作很好的保障了师生安全及校园财产的安全，为学校教育、教学工作提供了良好的环境，取得了良好的经济效益及社会效益</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（二）存在的问题。</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校园内有外来住户人员，给安保工作带来一定困难。</w:t>
      </w:r>
      <w:r>
        <w:rPr>
          <w:rFonts w:hint="eastAsia" w:ascii="仿宋" w:hAnsi="仿宋" w:eastAsia="仿宋"/>
          <w:color w:val="000000"/>
          <w:sz w:val="32"/>
          <w:szCs w:val="32"/>
        </w:rPr>
        <w:tab/>
      </w:r>
      <w:r>
        <w:rPr>
          <w:rFonts w:hint="eastAsia" w:ascii="仿宋" w:hAnsi="仿宋" w:eastAsia="仿宋"/>
          <w:color w:val="000000"/>
          <w:sz w:val="32"/>
          <w:szCs w:val="32"/>
        </w:rPr>
        <w:t>（三）相关建议。</w:t>
      </w:r>
    </w:p>
    <w:p>
      <w:pPr>
        <w:adjustRightInd w:val="0"/>
        <w:snapToGrid w:val="0"/>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加强对外来住户人员的登记管理，摸清该类人员的构成情况，有针对性的进行管理，保证校园安全。</w:t>
      </w:r>
    </w:p>
    <w:p>
      <w:pPr>
        <w:spacing w:line="580" w:lineRule="exact"/>
        <w:ind w:firstLine="640"/>
        <w:rPr>
          <w:rFonts w:ascii="仿宋_GB2312" w:hAnsi="仿宋_GB2312" w:eastAsia="仿宋_GB2312" w:cs="仿宋_GB2312"/>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r>
        <w:rPr>
          <w:rStyle w:val="24"/>
          <w:rFonts w:ascii="黑体" w:hAnsi="黑体" w:eastAsia="黑体"/>
          <w:b w:val="0"/>
        </w:rPr>
        <w:br w:type="page"/>
      </w: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02F5C"/>
    <w:rsid w:val="00004C81"/>
    <w:rsid w:val="000058A2"/>
    <w:rsid w:val="00017632"/>
    <w:rsid w:val="000222C6"/>
    <w:rsid w:val="0002252C"/>
    <w:rsid w:val="0002549F"/>
    <w:rsid w:val="00031B3A"/>
    <w:rsid w:val="00035948"/>
    <w:rsid w:val="000362A5"/>
    <w:rsid w:val="00036EFC"/>
    <w:rsid w:val="000438DF"/>
    <w:rsid w:val="000468DB"/>
    <w:rsid w:val="0005600A"/>
    <w:rsid w:val="0006154C"/>
    <w:rsid w:val="0006487A"/>
    <w:rsid w:val="00065F8F"/>
    <w:rsid w:val="00070A43"/>
    <w:rsid w:val="000736F1"/>
    <w:rsid w:val="00074902"/>
    <w:rsid w:val="000768F2"/>
    <w:rsid w:val="000869BB"/>
    <w:rsid w:val="0009184B"/>
    <w:rsid w:val="000920B4"/>
    <w:rsid w:val="00094236"/>
    <w:rsid w:val="0009593C"/>
    <w:rsid w:val="00097322"/>
    <w:rsid w:val="000A3012"/>
    <w:rsid w:val="000A3454"/>
    <w:rsid w:val="000A6A92"/>
    <w:rsid w:val="000B047F"/>
    <w:rsid w:val="000B42A9"/>
    <w:rsid w:val="000B5923"/>
    <w:rsid w:val="000B5A48"/>
    <w:rsid w:val="000B6A6C"/>
    <w:rsid w:val="000B6FF3"/>
    <w:rsid w:val="000C3467"/>
    <w:rsid w:val="000C3B45"/>
    <w:rsid w:val="000C3CA6"/>
    <w:rsid w:val="000D1267"/>
    <w:rsid w:val="000D1D50"/>
    <w:rsid w:val="000D2DB2"/>
    <w:rsid w:val="000D5782"/>
    <w:rsid w:val="000E4ED5"/>
    <w:rsid w:val="000E6613"/>
    <w:rsid w:val="000E7119"/>
    <w:rsid w:val="000F2BBB"/>
    <w:rsid w:val="000F6D7F"/>
    <w:rsid w:val="00102643"/>
    <w:rsid w:val="00111CA3"/>
    <w:rsid w:val="00114E9B"/>
    <w:rsid w:val="0012338D"/>
    <w:rsid w:val="0012742A"/>
    <w:rsid w:val="00142216"/>
    <w:rsid w:val="00144D6A"/>
    <w:rsid w:val="0014729F"/>
    <w:rsid w:val="00154FEF"/>
    <w:rsid w:val="00157BAB"/>
    <w:rsid w:val="00157F0A"/>
    <w:rsid w:val="0016149E"/>
    <w:rsid w:val="001654D1"/>
    <w:rsid w:val="00167060"/>
    <w:rsid w:val="00174518"/>
    <w:rsid w:val="0018106D"/>
    <w:rsid w:val="0018492B"/>
    <w:rsid w:val="001877A7"/>
    <w:rsid w:val="00191536"/>
    <w:rsid w:val="00193AF9"/>
    <w:rsid w:val="00194387"/>
    <w:rsid w:val="00194630"/>
    <w:rsid w:val="00196687"/>
    <w:rsid w:val="001A2D00"/>
    <w:rsid w:val="001A479E"/>
    <w:rsid w:val="001A6A3D"/>
    <w:rsid w:val="001C0962"/>
    <w:rsid w:val="001D74EC"/>
    <w:rsid w:val="001D7531"/>
    <w:rsid w:val="001E1FD5"/>
    <w:rsid w:val="001E737D"/>
    <w:rsid w:val="001F0592"/>
    <w:rsid w:val="001F13DD"/>
    <w:rsid w:val="001F6A07"/>
    <w:rsid w:val="001F7506"/>
    <w:rsid w:val="00200115"/>
    <w:rsid w:val="002006CD"/>
    <w:rsid w:val="00202B36"/>
    <w:rsid w:val="00204B7A"/>
    <w:rsid w:val="00204CDE"/>
    <w:rsid w:val="0021101A"/>
    <w:rsid w:val="00220536"/>
    <w:rsid w:val="002312B4"/>
    <w:rsid w:val="002344B2"/>
    <w:rsid w:val="00235629"/>
    <w:rsid w:val="00235B97"/>
    <w:rsid w:val="002412E4"/>
    <w:rsid w:val="0024409F"/>
    <w:rsid w:val="00244886"/>
    <w:rsid w:val="00260C38"/>
    <w:rsid w:val="002616C0"/>
    <w:rsid w:val="00265372"/>
    <w:rsid w:val="00265E55"/>
    <w:rsid w:val="002662AA"/>
    <w:rsid w:val="002665DB"/>
    <w:rsid w:val="00267FF6"/>
    <w:rsid w:val="00270697"/>
    <w:rsid w:val="00273965"/>
    <w:rsid w:val="00276AE3"/>
    <w:rsid w:val="00280496"/>
    <w:rsid w:val="00294507"/>
    <w:rsid w:val="00294DC9"/>
    <w:rsid w:val="00295495"/>
    <w:rsid w:val="002A31DE"/>
    <w:rsid w:val="002A7747"/>
    <w:rsid w:val="002B2613"/>
    <w:rsid w:val="002B6670"/>
    <w:rsid w:val="002C4284"/>
    <w:rsid w:val="002D19B0"/>
    <w:rsid w:val="002D6D05"/>
    <w:rsid w:val="002F1818"/>
    <w:rsid w:val="002F39F7"/>
    <w:rsid w:val="002F567B"/>
    <w:rsid w:val="00301B6C"/>
    <w:rsid w:val="00307E36"/>
    <w:rsid w:val="0031607D"/>
    <w:rsid w:val="003216A9"/>
    <w:rsid w:val="00326652"/>
    <w:rsid w:val="00335A74"/>
    <w:rsid w:val="00347F16"/>
    <w:rsid w:val="00365302"/>
    <w:rsid w:val="0036561B"/>
    <w:rsid w:val="00367549"/>
    <w:rsid w:val="0037013F"/>
    <w:rsid w:val="00374A41"/>
    <w:rsid w:val="00380C92"/>
    <w:rsid w:val="0039495A"/>
    <w:rsid w:val="003A1F63"/>
    <w:rsid w:val="003A484F"/>
    <w:rsid w:val="003A4883"/>
    <w:rsid w:val="003A5136"/>
    <w:rsid w:val="003A642A"/>
    <w:rsid w:val="003A684C"/>
    <w:rsid w:val="003B0120"/>
    <w:rsid w:val="003B0BE0"/>
    <w:rsid w:val="003B0C1B"/>
    <w:rsid w:val="003B5B39"/>
    <w:rsid w:val="003B688C"/>
    <w:rsid w:val="003C0291"/>
    <w:rsid w:val="003C0F74"/>
    <w:rsid w:val="003C39AE"/>
    <w:rsid w:val="003C5B35"/>
    <w:rsid w:val="003C7B60"/>
    <w:rsid w:val="003D0C0F"/>
    <w:rsid w:val="003D19D2"/>
    <w:rsid w:val="003D1FB2"/>
    <w:rsid w:val="003D66DA"/>
    <w:rsid w:val="003E1310"/>
    <w:rsid w:val="003E5BCE"/>
    <w:rsid w:val="003E6F55"/>
    <w:rsid w:val="003F2A31"/>
    <w:rsid w:val="003F548F"/>
    <w:rsid w:val="00403225"/>
    <w:rsid w:val="00406254"/>
    <w:rsid w:val="0041401B"/>
    <w:rsid w:val="00416CD4"/>
    <w:rsid w:val="004219C4"/>
    <w:rsid w:val="004223DE"/>
    <w:rsid w:val="00425A40"/>
    <w:rsid w:val="004305C6"/>
    <w:rsid w:val="004315D0"/>
    <w:rsid w:val="00434489"/>
    <w:rsid w:val="00437085"/>
    <w:rsid w:val="00443880"/>
    <w:rsid w:val="004464F4"/>
    <w:rsid w:val="00464A67"/>
    <w:rsid w:val="00471401"/>
    <w:rsid w:val="00473F31"/>
    <w:rsid w:val="0048263A"/>
    <w:rsid w:val="00486158"/>
    <w:rsid w:val="00487E5D"/>
    <w:rsid w:val="004902FF"/>
    <w:rsid w:val="00493CFD"/>
    <w:rsid w:val="004A39C9"/>
    <w:rsid w:val="004A711F"/>
    <w:rsid w:val="004B111E"/>
    <w:rsid w:val="004B199D"/>
    <w:rsid w:val="004B1D52"/>
    <w:rsid w:val="004B1F7B"/>
    <w:rsid w:val="004B4690"/>
    <w:rsid w:val="004D1617"/>
    <w:rsid w:val="004D6096"/>
    <w:rsid w:val="004E07ED"/>
    <w:rsid w:val="004E0A2D"/>
    <w:rsid w:val="004E206B"/>
    <w:rsid w:val="004E4109"/>
    <w:rsid w:val="004E6DF7"/>
    <w:rsid w:val="004F0FBD"/>
    <w:rsid w:val="004F403E"/>
    <w:rsid w:val="00505A47"/>
    <w:rsid w:val="00507850"/>
    <w:rsid w:val="00512FDA"/>
    <w:rsid w:val="00520DA0"/>
    <w:rsid w:val="005211C0"/>
    <w:rsid w:val="00523E74"/>
    <w:rsid w:val="00525605"/>
    <w:rsid w:val="00526046"/>
    <w:rsid w:val="00552E2F"/>
    <w:rsid w:val="005651C2"/>
    <w:rsid w:val="005664BB"/>
    <w:rsid w:val="00566FFA"/>
    <w:rsid w:val="00572A60"/>
    <w:rsid w:val="00572C67"/>
    <w:rsid w:val="0057481D"/>
    <w:rsid w:val="00575F0B"/>
    <w:rsid w:val="00575F25"/>
    <w:rsid w:val="005774AB"/>
    <w:rsid w:val="005778DD"/>
    <w:rsid w:val="0058486E"/>
    <w:rsid w:val="00585B33"/>
    <w:rsid w:val="0059014D"/>
    <w:rsid w:val="00596870"/>
    <w:rsid w:val="005A79E1"/>
    <w:rsid w:val="005B4EE1"/>
    <w:rsid w:val="005B5C64"/>
    <w:rsid w:val="005B62B1"/>
    <w:rsid w:val="005C6BD0"/>
    <w:rsid w:val="005C6C4C"/>
    <w:rsid w:val="005D1C8B"/>
    <w:rsid w:val="005D468D"/>
    <w:rsid w:val="005D5CED"/>
    <w:rsid w:val="005D76D3"/>
    <w:rsid w:val="005E4258"/>
    <w:rsid w:val="005F1A4C"/>
    <w:rsid w:val="005F4F6F"/>
    <w:rsid w:val="005F54D6"/>
    <w:rsid w:val="005F6F17"/>
    <w:rsid w:val="00600D2B"/>
    <w:rsid w:val="00602B86"/>
    <w:rsid w:val="00605688"/>
    <w:rsid w:val="00605CA6"/>
    <w:rsid w:val="006070AF"/>
    <w:rsid w:val="00607E6C"/>
    <w:rsid w:val="006101B1"/>
    <w:rsid w:val="00614E44"/>
    <w:rsid w:val="0062096E"/>
    <w:rsid w:val="0062270A"/>
    <w:rsid w:val="00622830"/>
    <w:rsid w:val="00623DA0"/>
    <w:rsid w:val="00624461"/>
    <w:rsid w:val="00630AEF"/>
    <w:rsid w:val="006325F8"/>
    <w:rsid w:val="00633463"/>
    <w:rsid w:val="00634697"/>
    <w:rsid w:val="00634C9A"/>
    <w:rsid w:val="006440E4"/>
    <w:rsid w:val="00655111"/>
    <w:rsid w:val="0066278B"/>
    <w:rsid w:val="0066343B"/>
    <w:rsid w:val="00664777"/>
    <w:rsid w:val="006666D2"/>
    <w:rsid w:val="00667C31"/>
    <w:rsid w:val="006748A4"/>
    <w:rsid w:val="00681A31"/>
    <w:rsid w:val="0068258E"/>
    <w:rsid w:val="00683E73"/>
    <w:rsid w:val="00683F1A"/>
    <w:rsid w:val="00692CE8"/>
    <w:rsid w:val="00693D04"/>
    <w:rsid w:val="00694D0B"/>
    <w:rsid w:val="006A3141"/>
    <w:rsid w:val="006A3636"/>
    <w:rsid w:val="006A5E34"/>
    <w:rsid w:val="006B03FD"/>
    <w:rsid w:val="006B240E"/>
    <w:rsid w:val="006B2422"/>
    <w:rsid w:val="006B2B9A"/>
    <w:rsid w:val="006B4D8F"/>
    <w:rsid w:val="006C1937"/>
    <w:rsid w:val="006C4F24"/>
    <w:rsid w:val="006C6EA1"/>
    <w:rsid w:val="006D0084"/>
    <w:rsid w:val="006F020C"/>
    <w:rsid w:val="006F14B1"/>
    <w:rsid w:val="006F5164"/>
    <w:rsid w:val="006F573A"/>
    <w:rsid w:val="007114F2"/>
    <w:rsid w:val="007127B7"/>
    <w:rsid w:val="0071781B"/>
    <w:rsid w:val="0071798E"/>
    <w:rsid w:val="00724E4A"/>
    <w:rsid w:val="00727533"/>
    <w:rsid w:val="0074092B"/>
    <w:rsid w:val="007411BE"/>
    <w:rsid w:val="007416B6"/>
    <w:rsid w:val="00741A01"/>
    <w:rsid w:val="007438F8"/>
    <w:rsid w:val="007461F2"/>
    <w:rsid w:val="007467D6"/>
    <w:rsid w:val="00746F48"/>
    <w:rsid w:val="0075404D"/>
    <w:rsid w:val="0076182A"/>
    <w:rsid w:val="007633B7"/>
    <w:rsid w:val="00765D14"/>
    <w:rsid w:val="00767B7E"/>
    <w:rsid w:val="00770787"/>
    <w:rsid w:val="007710D7"/>
    <w:rsid w:val="00772486"/>
    <w:rsid w:val="007770C3"/>
    <w:rsid w:val="0078010B"/>
    <w:rsid w:val="00784D24"/>
    <w:rsid w:val="00785FBA"/>
    <w:rsid w:val="00786E4A"/>
    <w:rsid w:val="007875EB"/>
    <w:rsid w:val="0079426B"/>
    <w:rsid w:val="007A1528"/>
    <w:rsid w:val="007A1FC7"/>
    <w:rsid w:val="007A5763"/>
    <w:rsid w:val="007A6A09"/>
    <w:rsid w:val="007C2052"/>
    <w:rsid w:val="007C49A5"/>
    <w:rsid w:val="007C4A43"/>
    <w:rsid w:val="007D1682"/>
    <w:rsid w:val="007D2D2A"/>
    <w:rsid w:val="007D312A"/>
    <w:rsid w:val="007D3F19"/>
    <w:rsid w:val="007E23B0"/>
    <w:rsid w:val="007E531E"/>
    <w:rsid w:val="007F0FA1"/>
    <w:rsid w:val="007F1991"/>
    <w:rsid w:val="007F2C2F"/>
    <w:rsid w:val="007F55FC"/>
    <w:rsid w:val="007F5665"/>
    <w:rsid w:val="007F5DD8"/>
    <w:rsid w:val="007F6A76"/>
    <w:rsid w:val="00800112"/>
    <w:rsid w:val="008001D0"/>
    <w:rsid w:val="0080038B"/>
    <w:rsid w:val="00802D43"/>
    <w:rsid w:val="00813348"/>
    <w:rsid w:val="00814EF2"/>
    <w:rsid w:val="008253BB"/>
    <w:rsid w:val="00830773"/>
    <w:rsid w:val="00833962"/>
    <w:rsid w:val="008362B3"/>
    <w:rsid w:val="0083706E"/>
    <w:rsid w:val="008408F6"/>
    <w:rsid w:val="008423A5"/>
    <w:rsid w:val="00850625"/>
    <w:rsid w:val="0085076C"/>
    <w:rsid w:val="00853718"/>
    <w:rsid w:val="00854220"/>
    <w:rsid w:val="00855221"/>
    <w:rsid w:val="00855CD4"/>
    <w:rsid w:val="008564B7"/>
    <w:rsid w:val="00860113"/>
    <w:rsid w:val="00860645"/>
    <w:rsid w:val="00871F71"/>
    <w:rsid w:val="00872FD8"/>
    <w:rsid w:val="008733A6"/>
    <w:rsid w:val="008749BD"/>
    <w:rsid w:val="00875468"/>
    <w:rsid w:val="00881A81"/>
    <w:rsid w:val="00885AF4"/>
    <w:rsid w:val="008939CD"/>
    <w:rsid w:val="008A0D00"/>
    <w:rsid w:val="008B2515"/>
    <w:rsid w:val="008B3062"/>
    <w:rsid w:val="008B768C"/>
    <w:rsid w:val="008C4DB1"/>
    <w:rsid w:val="008C4EAF"/>
    <w:rsid w:val="008C5176"/>
    <w:rsid w:val="008C635A"/>
    <w:rsid w:val="008C7FD0"/>
    <w:rsid w:val="008D1311"/>
    <w:rsid w:val="008D2742"/>
    <w:rsid w:val="008E1DE7"/>
    <w:rsid w:val="008E38EC"/>
    <w:rsid w:val="008E6AC1"/>
    <w:rsid w:val="008E707C"/>
    <w:rsid w:val="008F6809"/>
    <w:rsid w:val="00900B08"/>
    <w:rsid w:val="00902155"/>
    <w:rsid w:val="00902FA3"/>
    <w:rsid w:val="00903521"/>
    <w:rsid w:val="00903BE7"/>
    <w:rsid w:val="00910B47"/>
    <w:rsid w:val="0091464F"/>
    <w:rsid w:val="00915EE0"/>
    <w:rsid w:val="00923564"/>
    <w:rsid w:val="0092392E"/>
    <w:rsid w:val="009315F9"/>
    <w:rsid w:val="00933499"/>
    <w:rsid w:val="00935C98"/>
    <w:rsid w:val="00941606"/>
    <w:rsid w:val="00946945"/>
    <w:rsid w:val="00951248"/>
    <w:rsid w:val="0095152F"/>
    <w:rsid w:val="009519BA"/>
    <w:rsid w:val="00954C49"/>
    <w:rsid w:val="00955E37"/>
    <w:rsid w:val="0097099F"/>
    <w:rsid w:val="00971997"/>
    <w:rsid w:val="00971FFC"/>
    <w:rsid w:val="009845FE"/>
    <w:rsid w:val="0098660A"/>
    <w:rsid w:val="009867F3"/>
    <w:rsid w:val="009931C3"/>
    <w:rsid w:val="009A072A"/>
    <w:rsid w:val="009A6311"/>
    <w:rsid w:val="009A637C"/>
    <w:rsid w:val="009A7FAA"/>
    <w:rsid w:val="009B2C43"/>
    <w:rsid w:val="009B4EAE"/>
    <w:rsid w:val="009B7573"/>
    <w:rsid w:val="009C22F4"/>
    <w:rsid w:val="009C2E98"/>
    <w:rsid w:val="009C37FB"/>
    <w:rsid w:val="009C58B0"/>
    <w:rsid w:val="009D3447"/>
    <w:rsid w:val="009D4711"/>
    <w:rsid w:val="009D6B10"/>
    <w:rsid w:val="009E18FC"/>
    <w:rsid w:val="009E56AD"/>
    <w:rsid w:val="009F0B58"/>
    <w:rsid w:val="009F1185"/>
    <w:rsid w:val="009F18CD"/>
    <w:rsid w:val="009F1A4C"/>
    <w:rsid w:val="009F247C"/>
    <w:rsid w:val="009F2A13"/>
    <w:rsid w:val="009F4A5F"/>
    <w:rsid w:val="009F67C9"/>
    <w:rsid w:val="009F7527"/>
    <w:rsid w:val="00A039ED"/>
    <w:rsid w:val="00A04EB0"/>
    <w:rsid w:val="00A12920"/>
    <w:rsid w:val="00A13CC1"/>
    <w:rsid w:val="00A16847"/>
    <w:rsid w:val="00A237D8"/>
    <w:rsid w:val="00A268C4"/>
    <w:rsid w:val="00A307CD"/>
    <w:rsid w:val="00A329EC"/>
    <w:rsid w:val="00A331C8"/>
    <w:rsid w:val="00A35117"/>
    <w:rsid w:val="00A35703"/>
    <w:rsid w:val="00A3791D"/>
    <w:rsid w:val="00A40A00"/>
    <w:rsid w:val="00A4142F"/>
    <w:rsid w:val="00A422EB"/>
    <w:rsid w:val="00A45BB7"/>
    <w:rsid w:val="00A507FF"/>
    <w:rsid w:val="00A52745"/>
    <w:rsid w:val="00A52892"/>
    <w:rsid w:val="00A56DF2"/>
    <w:rsid w:val="00A56E6E"/>
    <w:rsid w:val="00A57308"/>
    <w:rsid w:val="00A67AB5"/>
    <w:rsid w:val="00A711A7"/>
    <w:rsid w:val="00A733B2"/>
    <w:rsid w:val="00A741C2"/>
    <w:rsid w:val="00A75BDA"/>
    <w:rsid w:val="00A91760"/>
    <w:rsid w:val="00A93B00"/>
    <w:rsid w:val="00A93C21"/>
    <w:rsid w:val="00A94EB8"/>
    <w:rsid w:val="00AA5A59"/>
    <w:rsid w:val="00AB64C9"/>
    <w:rsid w:val="00AC3C6A"/>
    <w:rsid w:val="00AC6A25"/>
    <w:rsid w:val="00AD0F83"/>
    <w:rsid w:val="00AD2A79"/>
    <w:rsid w:val="00AD3F5C"/>
    <w:rsid w:val="00AD5620"/>
    <w:rsid w:val="00AD656B"/>
    <w:rsid w:val="00AD7C1B"/>
    <w:rsid w:val="00AE16BA"/>
    <w:rsid w:val="00AE1C3A"/>
    <w:rsid w:val="00AE1EBE"/>
    <w:rsid w:val="00AF6D92"/>
    <w:rsid w:val="00AF6FA3"/>
    <w:rsid w:val="00AF7C02"/>
    <w:rsid w:val="00B03C9D"/>
    <w:rsid w:val="00B05477"/>
    <w:rsid w:val="00B060AE"/>
    <w:rsid w:val="00B077DA"/>
    <w:rsid w:val="00B10517"/>
    <w:rsid w:val="00B14E76"/>
    <w:rsid w:val="00B161B8"/>
    <w:rsid w:val="00B2048C"/>
    <w:rsid w:val="00B310B9"/>
    <w:rsid w:val="00B35F3F"/>
    <w:rsid w:val="00B36CBB"/>
    <w:rsid w:val="00B425E0"/>
    <w:rsid w:val="00B440AA"/>
    <w:rsid w:val="00B44B70"/>
    <w:rsid w:val="00B53C56"/>
    <w:rsid w:val="00B552DE"/>
    <w:rsid w:val="00B5752A"/>
    <w:rsid w:val="00B57DAF"/>
    <w:rsid w:val="00B626B6"/>
    <w:rsid w:val="00B64F7E"/>
    <w:rsid w:val="00B66EAF"/>
    <w:rsid w:val="00B75D31"/>
    <w:rsid w:val="00B77EA6"/>
    <w:rsid w:val="00B81598"/>
    <w:rsid w:val="00B841F1"/>
    <w:rsid w:val="00B86201"/>
    <w:rsid w:val="00B862EB"/>
    <w:rsid w:val="00B927CC"/>
    <w:rsid w:val="00B92BDC"/>
    <w:rsid w:val="00B944D6"/>
    <w:rsid w:val="00B95074"/>
    <w:rsid w:val="00BA02EB"/>
    <w:rsid w:val="00BA1569"/>
    <w:rsid w:val="00BA1C59"/>
    <w:rsid w:val="00BB31B7"/>
    <w:rsid w:val="00BB461D"/>
    <w:rsid w:val="00BB4DF0"/>
    <w:rsid w:val="00BC289F"/>
    <w:rsid w:val="00BC2D50"/>
    <w:rsid w:val="00BC4AC5"/>
    <w:rsid w:val="00BC5361"/>
    <w:rsid w:val="00BC5460"/>
    <w:rsid w:val="00BC6B50"/>
    <w:rsid w:val="00BC70D9"/>
    <w:rsid w:val="00BD0E25"/>
    <w:rsid w:val="00BF3C05"/>
    <w:rsid w:val="00BF4BC8"/>
    <w:rsid w:val="00BF5BD6"/>
    <w:rsid w:val="00C00AE0"/>
    <w:rsid w:val="00C028F5"/>
    <w:rsid w:val="00C028FA"/>
    <w:rsid w:val="00C03E31"/>
    <w:rsid w:val="00C1482B"/>
    <w:rsid w:val="00C30E69"/>
    <w:rsid w:val="00C32502"/>
    <w:rsid w:val="00C32582"/>
    <w:rsid w:val="00C33E72"/>
    <w:rsid w:val="00C354B2"/>
    <w:rsid w:val="00C35554"/>
    <w:rsid w:val="00C40400"/>
    <w:rsid w:val="00C42709"/>
    <w:rsid w:val="00C4437F"/>
    <w:rsid w:val="00C45DA0"/>
    <w:rsid w:val="00C533CC"/>
    <w:rsid w:val="00C54383"/>
    <w:rsid w:val="00C55DB2"/>
    <w:rsid w:val="00C5751C"/>
    <w:rsid w:val="00C600B7"/>
    <w:rsid w:val="00C614E0"/>
    <w:rsid w:val="00C61BFC"/>
    <w:rsid w:val="00C62B85"/>
    <w:rsid w:val="00C65438"/>
    <w:rsid w:val="00C85DC3"/>
    <w:rsid w:val="00C9109D"/>
    <w:rsid w:val="00C91CBB"/>
    <w:rsid w:val="00C928F2"/>
    <w:rsid w:val="00C939FF"/>
    <w:rsid w:val="00C95CE4"/>
    <w:rsid w:val="00CA4905"/>
    <w:rsid w:val="00CA5761"/>
    <w:rsid w:val="00CA6C54"/>
    <w:rsid w:val="00CB4600"/>
    <w:rsid w:val="00CB4E70"/>
    <w:rsid w:val="00CB5946"/>
    <w:rsid w:val="00CC09B6"/>
    <w:rsid w:val="00CC3F3D"/>
    <w:rsid w:val="00CC666F"/>
    <w:rsid w:val="00CD1E3F"/>
    <w:rsid w:val="00CE44F6"/>
    <w:rsid w:val="00CE49DA"/>
    <w:rsid w:val="00CE6A84"/>
    <w:rsid w:val="00CE7B61"/>
    <w:rsid w:val="00CF04F7"/>
    <w:rsid w:val="00CF355C"/>
    <w:rsid w:val="00CF5918"/>
    <w:rsid w:val="00CF6754"/>
    <w:rsid w:val="00D00095"/>
    <w:rsid w:val="00D114F0"/>
    <w:rsid w:val="00D20620"/>
    <w:rsid w:val="00D254F7"/>
    <w:rsid w:val="00D26091"/>
    <w:rsid w:val="00D2685C"/>
    <w:rsid w:val="00D34E7C"/>
    <w:rsid w:val="00D35489"/>
    <w:rsid w:val="00D358F0"/>
    <w:rsid w:val="00D36AFE"/>
    <w:rsid w:val="00D37052"/>
    <w:rsid w:val="00D51276"/>
    <w:rsid w:val="00D7035F"/>
    <w:rsid w:val="00D74332"/>
    <w:rsid w:val="00D83711"/>
    <w:rsid w:val="00D90BBC"/>
    <w:rsid w:val="00DA00C3"/>
    <w:rsid w:val="00DA30CE"/>
    <w:rsid w:val="00DA634F"/>
    <w:rsid w:val="00DA65AC"/>
    <w:rsid w:val="00DB1913"/>
    <w:rsid w:val="00DC410D"/>
    <w:rsid w:val="00DC5A81"/>
    <w:rsid w:val="00DC609C"/>
    <w:rsid w:val="00DC68CA"/>
    <w:rsid w:val="00DC7428"/>
    <w:rsid w:val="00DC7CBA"/>
    <w:rsid w:val="00DD4EB6"/>
    <w:rsid w:val="00DD73B7"/>
    <w:rsid w:val="00DF28BC"/>
    <w:rsid w:val="00DF34B9"/>
    <w:rsid w:val="00E01053"/>
    <w:rsid w:val="00E0356C"/>
    <w:rsid w:val="00E07ACF"/>
    <w:rsid w:val="00E25E5A"/>
    <w:rsid w:val="00E331A1"/>
    <w:rsid w:val="00E33202"/>
    <w:rsid w:val="00E336A9"/>
    <w:rsid w:val="00E35D22"/>
    <w:rsid w:val="00E43056"/>
    <w:rsid w:val="00E472B1"/>
    <w:rsid w:val="00E50624"/>
    <w:rsid w:val="00E5448C"/>
    <w:rsid w:val="00E568DF"/>
    <w:rsid w:val="00E61BEC"/>
    <w:rsid w:val="00E6241A"/>
    <w:rsid w:val="00E64269"/>
    <w:rsid w:val="00E66797"/>
    <w:rsid w:val="00E7115E"/>
    <w:rsid w:val="00E72F71"/>
    <w:rsid w:val="00E777B0"/>
    <w:rsid w:val="00E82267"/>
    <w:rsid w:val="00E853CE"/>
    <w:rsid w:val="00E867B6"/>
    <w:rsid w:val="00E87F08"/>
    <w:rsid w:val="00E91F14"/>
    <w:rsid w:val="00E96F5C"/>
    <w:rsid w:val="00EA0006"/>
    <w:rsid w:val="00EA010F"/>
    <w:rsid w:val="00EA4BB5"/>
    <w:rsid w:val="00EA657D"/>
    <w:rsid w:val="00EC1154"/>
    <w:rsid w:val="00ED1B63"/>
    <w:rsid w:val="00ED3C1F"/>
    <w:rsid w:val="00ED4085"/>
    <w:rsid w:val="00ED420E"/>
    <w:rsid w:val="00ED6FBE"/>
    <w:rsid w:val="00EE2F57"/>
    <w:rsid w:val="00EE5C32"/>
    <w:rsid w:val="00EE739B"/>
    <w:rsid w:val="00EF2A1A"/>
    <w:rsid w:val="00EF4C34"/>
    <w:rsid w:val="00EF77C6"/>
    <w:rsid w:val="00F02FDC"/>
    <w:rsid w:val="00F05438"/>
    <w:rsid w:val="00F05612"/>
    <w:rsid w:val="00F1361C"/>
    <w:rsid w:val="00F156F0"/>
    <w:rsid w:val="00F160C7"/>
    <w:rsid w:val="00F2408F"/>
    <w:rsid w:val="00F240E9"/>
    <w:rsid w:val="00F30775"/>
    <w:rsid w:val="00F36D8F"/>
    <w:rsid w:val="00F417B1"/>
    <w:rsid w:val="00F45853"/>
    <w:rsid w:val="00F4779C"/>
    <w:rsid w:val="00F50850"/>
    <w:rsid w:val="00F5517C"/>
    <w:rsid w:val="00F5539A"/>
    <w:rsid w:val="00F602DF"/>
    <w:rsid w:val="00F671F6"/>
    <w:rsid w:val="00F705C4"/>
    <w:rsid w:val="00F70BB2"/>
    <w:rsid w:val="00F754A1"/>
    <w:rsid w:val="00F75C70"/>
    <w:rsid w:val="00F80168"/>
    <w:rsid w:val="00F81FD9"/>
    <w:rsid w:val="00F82F36"/>
    <w:rsid w:val="00F841AA"/>
    <w:rsid w:val="00F84A94"/>
    <w:rsid w:val="00F87E96"/>
    <w:rsid w:val="00F97552"/>
    <w:rsid w:val="00FA0C42"/>
    <w:rsid w:val="00FA16B2"/>
    <w:rsid w:val="00FA23E8"/>
    <w:rsid w:val="00FA3EDC"/>
    <w:rsid w:val="00FB1793"/>
    <w:rsid w:val="00FB3842"/>
    <w:rsid w:val="00FB445B"/>
    <w:rsid w:val="00FB60D6"/>
    <w:rsid w:val="00FC2DDA"/>
    <w:rsid w:val="00FC6DB8"/>
    <w:rsid w:val="00FD3CC1"/>
    <w:rsid w:val="00FE4608"/>
    <w:rsid w:val="00FF1E02"/>
    <w:rsid w:val="00FF30B4"/>
    <w:rsid w:val="10C055FF"/>
    <w:rsid w:val="16BB723D"/>
    <w:rsid w:val="240371BF"/>
    <w:rsid w:val="29FD04D3"/>
    <w:rsid w:val="319F7F4E"/>
    <w:rsid w:val="4307469D"/>
    <w:rsid w:val="4ECE2238"/>
    <w:rsid w:val="72734D9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font61"/>
    <w:basedOn w:val="13"/>
    <w:qFormat/>
    <w:uiPriority w:val="0"/>
    <w:rPr>
      <w:rFonts w:hint="default" w:ascii="Times New Roman" w:hAnsi="Times New Roman" w:eastAsia="楷体_GB2312" w:cs="楷体_GB231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user\&#26700;&#38754;\2019&#20915;&#31639;&#20844;&#24320;&#22635;&#25253;&#34920;&#20876;\&#26032;&#24314;%20Microsoft%20Excel%20&#24037;&#20316;&#34920;(&#20915;&#31639;&#20844;&#24320;&#29992;&#22270;&#65289;.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user\&#26700;&#38754;\2019&#20915;&#31639;&#20844;&#24320;&#22635;&#25253;&#34920;&#20876;\&#26032;&#24314;%20Microsoft%20Excel%20&#24037;&#20316;&#34920;(&#20915;&#31639;&#20844;&#24320;&#29992;&#22270;&#65289;.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user\&#26700;&#38754;\2019&#20915;&#31639;&#20844;&#24320;&#22635;&#25253;&#34920;&#20876;\&#26032;&#24314;%20Microsoft%20Excel%20&#24037;&#20316;&#34920;(&#20915;&#31639;&#20844;&#24320;&#29992;&#22270;&#65289;.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user\&#26700;&#38754;\2019&#20915;&#31639;&#20844;&#24320;&#22635;&#25253;&#34920;&#20876;\&#26032;&#24314;%20Microsoft%20Excel%20&#24037;&#20316;&#34920;(&#20915;&#31639;&#20844;&#24320;&#29992;&#22270;&#65289;.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user\&#26700;&#38754;\2019&#20915;&#31639;&#20844;&#24320;&#22635;&#25253;&#34920;&#20876;\&#26032;&#24314;%20Microsoft%20Excel%20&#24037;&#20316;&#34920;(&#20915;&#31639;&#20844;&#24320;&#29992;&#22270;&#65289;.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user\&#26700;&#38754;\2019&#20915;&#31639;&#20844;&#24320;&#22635;&#25253;&#34920;&#20876;\&#26032;&#24314;%20Microsoft%20Excel%20&#24037;&#20316;&#34920;(&#20915;&#31639;&#20844;&#24320;&#29992;&#22270;&#65289;.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9"/>
          <c:h val="0.828939195100612"/>
        </c:manualLayout>
      </c:layout>
      <c:barChart>
        <c:barDir val="col"/>
        <c:grouping val="clustered"/>
        <c:varyColors val="0"/>
        <c:ser>
          <c:idx val="0"/>
          <c:order val="0"/>
          <c:invertIfNegative val="0"/>
          <c:dLbls>
            <c:delete val="1"/>
          </c:dLbls>
          <c:cat>
            <c:strRef>
              <c:f>Sheet1!$A$37:$A$38</c:f>
              <c:strCache>
                <c:ptCount val="2"/>
                <c:pt idx="0">
                  <c:v>2019年财政拨款收支</c:v>
                </c:pt>
                <c:pt idx="1">
                  <c:v>2018年财政拨款收支</c:v>
                </c:pt>
              </c:strCache>
            </c:strRef>
          </c:cat>
          <c:val>
            <c:numRef>
              <c:f>Sheet1!$B$37:$B$38</c:f>
              <c:numCache>
                <c:formatCode>General</c:formatCode>
                <c:ptCount val="2"/>
                <c:pt idx="0">
                  <c:v>1169.7</c:v>
                </c:pt>
                <c:pt idx="1">
                  <c:v>934.1</c:v>
                </c:pt>
              </c:numCache>
            </c:numRef>
          </c:val>
        </c:ser>
        <c:dLbls>
          <c:showLegendKey val="0"/>
          <c:showVal val="0"/>
          <c:showCatName val="0"/>
          <c:showSerName val="0"/>
          <c:showPercent val="0"/>
          <c:showBubbleSize val="0"/>
        </c:dLbls>
        <c:gapWidth val="150"/>
        <c:axId val="31248768"/>
        <c:axId val="31250304"/>
      </c:barChart>
      <c:catAx>
        <c:axId val="31248768"/>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1250304"/>
        <c:crosses val="autoZero"/>
        <c:auto val="1"/>
        <c:lblAlgn val="ctr"/>
        <c:lblOffset val="100"/>
        <c:noMultiLvlLbl val="0"/>
      </c:catAx>
      <c:valAx>
        <c:axId val="31250304"/>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1248768"/>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dLbl>
              <c:idx val="1"/>
              <c:layout>
                <c:manualLayout>
                  <c:x val="0.188097112860894"/>
                  <c:y val="0.009411636045494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485846456692913"/>
                  <c:y val="-0.0079006270049577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611375765529309"/>
                  <c:y val="0.005988261883931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133968285214349"/>
                  <c:y val="0.0279844706911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Sheet1!$A$1:$A$7</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Sheet1!$B$1:$B$7</c:f>
              <c:numCache>
                <c:formatCode>General</c:formatCode>
                <c:ptCount val="7"/>
                <c:pt idx="0">
                  <c:v>1165.26</c:v>
                </c:pt>
                <c:pt idx="1">
                  <c:v>0.700000000000001</c:v>
                </c:pt>
                <c:pt idx="2">
                  <c:v>0</c:v>
                </c:pt>
                <c:pt idx="3">
                  <c:v>0</c:v>
                </c:pt>
                <c:pt idx="4">
                  <c:v>0</c:v>
                </c:pt>
                <c:pt idx="5">
                  <c:v>0</c:v>
                </c:pt>
                <c:pt idx="6">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Pt>
            <c:idx val="3"/>
            <c:bubble3D val="0"/>
          </c:dPt>
          <c:dPt>
            <c:idx val="4"/>
            <c:bubble3D val="0"/>
          </c:dPt>
          <c:dLbls>
            <c:dLbl>
              <c:idx val="2"/>
              <c:layout>
                <c:manualLayout>
                  <c:x val="-0.106966754155731"/>
                  <c:y val="0.031458151064450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919914698162733"/>
                  <c:y val="0.025671114027413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Sheet1!$A$17:$A$21</c:f>
              <c:strCache>
                <c:ptCount val="5"/>
                <c:pt idx="0">
                  <c:v>基本支出</c:v>
                </c:pt>
                <c:pt idx="1">
                  <c:v>项目支出</c:v>
                </c:pt>
                <c:pt idx="2">
                  <c:v>上缴上级支出</c:v>
                </c:pt>
                <c:pt idx="3">
                  <c:v>经营支出</c:v>
                </c:pt>
                <c:pt idx="4">
                  <c:v>对附属单位补助支出</c:v>
                </c:pt>
              </c:strCache>
            </c:strRef>
          </c:cat>
          <c:val>
            <c:numRef>
              <c:f>Sheet1!$B$17:$B$21</c:f>
              <c:numCache>
                <c:formatCode>General</c:formatCode>
                <c:ptCount val="5"/>
                <c:pt idx="0">
                  <c:v>857.9</c:v>
                </c:pt>
                <c:pt idx="1">
                  <c:v>303.229999999999</c:v>
                </c:pt>
                <c:pt idx="2">
                  <c:v>0</c:v>
                </c:pt>
                <c:pt idx="3">
                  <c:v>0</c:v>
                </c:pt>
                <c:pt idx="4">
                  <c:v>0</c:v>
                </c:pt>
              </c:numCache>
            </c:numRef>
          </c:val>
        </c:ser>
        <c:dLbls>
          <c:showLegendKey val="0"/>
          <c:showVal val="1"/>
          <c:showCatName val="0"/>
          <c:showSerName val="0"/>
          <c:showPercent val="0"/>
          <c:showBubbleSize val="0"/>
          <c:showLeaderLines val="1"/>
        </c:dLbls>
        <c:firstSliceAng val="0"/>
      </c:pieChart>
      <c:spPr>
        <a:noFill/>
        <a:ln w="25400">
          <a:noFill/>
        </a:ln>
      </c:spPr>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682852143482"/>
          <c:y val="0.0745487022455526"/>
          <c:w val="0.72172134733159"/>
          <c:h val="0.828939195100612"/>
        </c:manualLayout>
      </c:layout>
      <c:barChart>
        <c:barDir val="col"/>
        <c:grouping val="clustered"/>
        <c:varyColors val="0"/>
        <c:ser>
          <c:idx val="0"/>
          <c:order val="0"/>
          <c:invertIfNegative val="0"/>
          <c:dLbls>
            <c:delete val="1"/>
          </c:dLbls>
          <c:cat>
            <c:strRef>
              <c:f>Sheet1!$A$37:$A$38</c:f>
              <c:strCache>
                <c:ptCount val="2"/>
                <c:pt idx="0">
                  <c:v>2019年财政拨款收支</c:v>
                </c:pt>
                <c:pt idx="1">
                  <c:v>2018年财政拨款收支</c:v>
                </c:pt>
              </c:strCache>
            </c:strRef>
          </c:cat>
          <c:val>
            <c:numRef>
              <c:f>Sheet1!$B$37:$B$38</c:f>
              <c:numCache>
                <c:formatCode>General</c:formatCode>
                <c:ptCount val="2"/>
                <c:pt idx="0">
                  <c:v>1169.7</c:v>
                </c:pt>
                <c:pt idx="1">
                  <c:v>934.1</c:v>
                </c:pt>
              </c:numCache>
            </c:numRef>
          </c:val>
        </c:ser>
        <c:dLbls>
          <c:showLegendKey val="0"/>
          <c:showVal val="0"/>
          <c:showCatName val="0"/>
          <c:showSerName val="0"/>
          <c:showPercent val="0"/>
          <c:showBubbleSize val="0"/>
        </c:dLbls>
        <c:gapWidth val="150"/>
        <c:axId val="37316096"/>
        <c:axId val="37317632"/>
      </c:barChart>
      <c:catAx>
        <c:axId val="37316096"/>
        <c:scaling>
          <c:orientation val="minMax"/>
        </c:scaling>
        <c:delete val="0"/>
        <c:axPos val="b"/>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7317632"/>
        <c:crosses val="autoZero"/>
        <c:auto val="1"/>
        <c:lblAlgn val="ctr"/>
        <c:lblOffset val="100"/>
        <c:noMultiLvlLbl val="0"/>
      </c:catAx>
      <c:valAx>
        <c:axId val="37317632"/>
        <c:scaling>
          <c:orientation val="minMax"/>
        </c:scaling>
        <c:delete val="0"/>
        <c:axPos val="l"/>
        <c:majorGridlines/>
        <c:numFmt formatCode="General" sourceLinked="1"/>
        <c:majorTickMark val="out"/>
        <c:minorTickMark val="none"/>
        <c:tickLblPos val="nextTo"/>
        <c:txPr>
          <a:bodyPr rot="0" spcFirstLastPara="0" vertOverflow="ellipsis" vert="horz" wrap="square"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crossAx val="37316096"/>
        <c:crosses val="autoZero"/>
        <c:crossBetween val="between"/>
      </c:valAx>
    </c:plotArea>
    <c:legend>
      <c:legendPos val="r"/>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gap"/>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75"/>
          <c:y val="0.0486111111111111"/>
          <c:w val="0.88125"/>
          <c:h val="0.434027777777781"/>
        </c:manualLayout>
      </c:layout>
      <c:barChart>
        <c:barDir val="col"/>
        <c:grouping val="stacked"/>
        <c:varyColors val="0"/>
        <c:ser>
          <c:idx val="0"/>
          <c:order val="0"/>
          <c:spPr>
            <a:solidFill>
              <a:srgbClr val="4F81BD"/>
            </a:solidFill>
            <a:ln w="25400">
              <a:noFill/>
            </a:ln>
          </c:spPr>
          <c:invertIfNegative val="0"/>
          <c:dLbls>
            <c:delete val="1"/>
          </c:dLbls>
          <c:cat>
            <c:strRef>
              <c:f>Sheet1!$A$56:$A$57</c:f>
              <c:strCache>
                <c:ptCount val="2"/>
                <c:pt idx="0">
                  <c:v>2019年度一般公共预算财政拨款支出</c:v>
                </c:pt>
                <c:pt idx="1">
                  <c:v>2018年度一般公共预算财政拨款支出</c:v>
                </c:pt>
              </c:strCache>
            </c:strRef>
          </c:cat>
          <c:val>
            <c:numRef>
              <c:f>Sheet1!$B$56:$B$57</c:f>
              <c:numCache>
                <c:formatCode>General</c:formatCode>
                <c:ptCount val="2"/>
                <c:pt idx="0">
                  <c:v>1160.41</c:v>
                </c:pt>
                <c:pt idx="1" c:formatCode="0.00_ ">
                  <c:v>930.359999999998</c:v>
                </c:pt>
              </c:numCache>
            </c:numRef>
          </c:val>
        </c:ser>
        <c:dLbls>
          <c:showLegendKey val="0"/>
          <c:showVal val="0"/>
          <c:showCatName val="0"/>
          <c:showSerName val="0"/>
          <c:showPercent val="0"/>
          <c:showBubbleSize val="0"/>
        </c:dLbls>
        <c:gapWidth val="150"/>
        <c:overlap val="100"/>
        <c:axId val="46246528"/>
        <c:axId val="46248320"/>
      </c:barChart>
      <c:catAx>
        <c:axId val="46246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540000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6248320"/>
        <c:crosses val="autoZero"/>
        <c:auto val="1"/>
        <c:lblAlgn val="ctr"/>
        <c:lblOffset val="100"/>
        <c:noMultiLvlLbl val="0"/>
      </c:catAx>
      <c:valAx>
        <c:axId val="4624832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9525"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624652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floor>
    <c:sideWall>
      <c:thickness val="0"/>
    </c:sideWall>
    <c:backWall>
      <c:thickness val="0"/>
    </c:backWall>
    <c:plotArea>
      <c:layout>
        <c:manualLayout>
          <c:layoutTarget val="inner"/>
          <c:xMode val="edge"/>
          <c:yMode val="edge"/>
          <c:x val="0.0381003488060102"/>
          <c:y val="0.0641025641025641"/>
          <c:w val="0.656023611483774"/>
          <c:h val="0.834615384615385"/>
        </c:manualLayout>
      </c:layout>
      <c:pie3DChart>
        <c:varyColors val="1"/>
        <c:ser>
          <c:idx val="0"/>
          <c:order val="0"/>
          <c:explosion val="0"/>
          <c:dPt>
            <c:idx val="0"/>
            <c:bubble3D val="0"/>
          </c:dPt>
          <c:dPt>
            <c:idx val="1"/>
            <c:bubble3D val="0"/>
          </c:dPt>
          <c:dPt>
            <c:idx val="2"/>
            <c:bubble3D val="0"/>
          </c:dPt>
          <c:dPt>
            <c:idx val="3"/>
            <c:bubble3D val="0"/>
          </c:dPt>
          <c:dPt>
            <c:idx val="4"/>
            <c:bubble3D val="0"/>
          </c:dPt>
          <c:dPt>
            <c:idx val="5"/>
            <c:bubble3D val="0"/>
          </c:dPt>
          <c:dPt>
            <c:idx val="6"/>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3175" cap="flat" cmpd="sng" algn="ctr">
                      <a:solidFill>
                        <a:srgbClr val="000000"/>
                      </a:solidFill>
                      <a:prstDash val="solid"/>
                      <a:round/>
                    </a:ln>
                  </c:spPr>
                </c15:leaderLines>
              </c:ext>
            </c:extLst>
          </c:dLbls>
          <c:cat>
            <c:strRef>
              <c:f>Sheet1!$A$76:$A$82</c:f>
              <c:strCache>
                <c:ptCount val="7"/>
                <c:pt idx="0">
                  <c:v>一般公共服务支出</c:v>
                </c:pt>
                <c:pt idx="1">
                  <c:v>国防支出</c:v>
                </c:pt>
                <c:pt idx="2">
                  <c:v>教育支出</c:v>
                </c:pt>
                <c:pt idx="3">
                  <c:v>社会保障和就业支出</c:v>
                </c:pt>
                <c:pt idx="4">
                  <c:v>卫生健康支出</c:v>
                </c:pt>
                <c:pt idx="5">
                  <c:v>农林水支出</c:v>
                </c:pt>
                <c:pt idx="6">
                  <c:v>住房保障支出</c:v>
                </c:pt>
              </c:strCache>
            </c:strRef>
          </c:cat>
          <c:val>
            <c:numRef>
              <c:f>Sheet1!$B$76:$B$82</c:f>
              <c:numCache>
                <c:formatCode>General</c:formatCode>
                <c:ptCount val="7"/>
                <c:pt idx="0">
                  <c:v>0</c:v>
                </c:pt>
                <c:pt idx="1">
                  <c:v>0</c:v>
                </c:pt>
                <c:pt idx="2">
                  <c:v>1160.41</c:v>
                </c:pt>
                <c:pt idx="3">
                  <c:v>115.42</c:v>
                </c:pt>
                <c:pt idx="4">
                  <c:v>29.13</c:v>
                </c:pt>
                <c:pt idx="5">
                  <c:v>2.71</c:v>
                </c:pt>
                <c:pt idx="6">
                  <c:v>77.96</c:v>
                </c:pt>
              </c:numCache>
            </c:numRef>
          </c:val>
        </c:ser>
        <c:dLbls>
          <c:showLegendKey val="0"/>
          <c:showVal val="1"/>
          <c:showCatName val="0"/>
          <c:showSerName val="0"/>
          <c:showPercent val="0"/>
          <c:showBubbleSize val="0"/>
        </c:dLbls>
      </c:pie3DChart>
      <c:spPr>
        <a:noFill/>
        <a:ln w="25400">
          <a:noFill/>
        </a:ln>
      </c:spPr>
    </c:plotArea>
    <c:legend>
      <c:legendPos val="r"/>
      <c:layout>
        <c:manualLayout>
          <c:xMode val="edge"/>
          <c:yMode val="edge"/>
          <c:x val="0.712499945771238"/>
          <c:y val="0.163999932700721"/>
          <c:w val="0.255500097611766"/>
          <c:h val="0.633499899051085"/>
        </c:manualLayout>
      </c:layout>
      <c:overlay val="0"/>
      <c:spPr>
        <a:noFill/>
        <a:ln w="3175">
          <a:noFill/>
        </a:ln>
      </c:spPr>
      <c:txPr>
        <a:bodyPr rot="0" spcFirstLastPara="0" vertOverflow="ellipsis" vert="horz" wrap="square" anchor="ctr" anchorCtr="1"/>
        <a:lstStyle/>
        <a:p>
          <a:pPr>
            <a:defRPr lang="zh-CN" sz="92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legend>
    <c:plotVisOnly val="1"/>
    <c:dispBlanksAs val="zero"/>
    <c:showDLblsOverMax val="0"/>
  </c:chart>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FEFCD0-1AAA-478A-AA98-125C08D6C6EC}">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12070</Words>
  <Characters>2221</Characters>
  <Lines>18</Lines>
  <Paragraphs>28</Paragraphs>
  <TotalTime>1559</TotalTime>
  <ScaleCrop>false</ScaleCrop>
  <LinksUpToDate>false</LinksUpToDate>
  <CharactersWithSpaces>14263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尧冰松</cp:lastModifiedBy>
  <cp:lastPrinted>2020-07-23T02:58:00Z</cp:lastPrinted>
  <dcterms:modified xsi:type="dcterms:W3CDTF">2025-07-11T06:32:57Z</dcterms:modified>
  <dc:title>四川省***</dc:title>
  <cp:revision>342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7B1741C373CA4B2AA3A74B905E792D62</vt:lpwstr>
  </property>
</Properties>
</file>