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96475"/>
      <w:bookmarkStart w:id="3" w:name="_Toc15377193"/>
      <w:bookmarkStart w:id="4" w:name="_Toc15378441"/>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bookmarkStart w:id="6" w:name="_Toc15377194"/>
      <w:bookmarkStart w:id="7" w:name="_Toc15396598"/>
      <w:bookmarkStart w:id="8" w:name="_Toc15378442"/>
      <w:bookmarkStart w:id="9" w:name="_Toc15377426"/>
      <w:bookmarkStart w:id="10" w:name="_Toc1539647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峨眉山市住房保障和房地产事务中心</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公开时间：2020年9月3日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bookmarkEnd w:id="12"/>
    <w:bookmarkEnd w:id="13"/>
    <w:p>
      <w:pPr>
        <w:widowControl/>
        <w:jc w:val="center"/>
        <w:rPr>
          <w:rFonts w:ascii="黑体" w:eastAsia="黑体"/>
          <w:color w:val="000000"/>
          <w:sz w:val="36"/>
          <w:szCs w:val="36"/>
        </w:rPr>
      </w:pPr>
      <w:r>
        <w:rPr>
          <w:rFonts w:hint="eastAsia" w:ascii="黑体" w:eastAsia="黑体"/>
          <w:color w:val="000000"/>
          <w:sz w:val="36"/>
          <w:szCs w:val="36"/>
        </w:rPr>
        <w:t>四川省乐山市峨眉山市住房保障和房地产事务中心</w:t>
      </w:r>
    </w:p>
    <w:p>
      <w:pPr>
        <w:widowControl/>
        <w:jc w:val="center"/>
        <w:rPr>
          <w:rFonts w:ascii="黑体" w:eastAsia="黑体"/>
          <w:color w:val="000000"/>
          <w:sz w:val="44"/>
          <w:szCs w:val="44"/>
        </w:rPr>
      </w:pPr>
      <w:r>
        <w:rPr>
          <w:rFonts w:hint="eastAsia" w:ascii="黑体" w:eastAsia="黑体"/>
          <w:color w:val="000000"/>
          <w:sz w:val="44"/>
          <w:szCs w:val="44"/>
        </w:rPr>
        <w:t>2019年部门决算编制说明</w:t>
      </w:r>
    </w:p>
    <w:p>
      <w:pPr>
        <w:pStyle w:val="3"/>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rPr>
          <w:rFonts w:ascii="仿宋" w:hAnsi="仿宋" w:eastAsia="仿宋" w:cs="仿宋"/>
          <w:sz w:val="32"/>
          <w:szCs w:val="32"/>
        </w:rPr>
      </w:pPr>
      <w:bookmarkStart w:id="16" w:name="_Toc15378445"/>
      <w:bookmarkStart w:id="17" w:name="_Toc15377198"/>
      <w:r>
        <w:rPr>
          <w:rFonts w:hint="eastAsia" w:ascii="仿宋" w:hAnsi="仿宋" w:eastAsia="仿宋" w:cs="仿宋"/>
          <w:bCs/>
          <w:color w:val="000000"/>
          <w:sz w:val="32"/>
          <w:szCs w:val="32"/>
        </w:rPr>
        <w:t>（一）</w:t>
      </w:r>
      <w:r>
        <w:rPr>
          <w:rFonts w:hint="eastAsia" w:ascii="仿宋" w:hAnsi="仿宋" w:eastAsia="仿宋" w:cs="仿宋"/>
          <w:sz w:val="32"/>
          <w:szCs w:val="32"/>
        </w:rPr>
        <w:t>单位基本情况</w:t>
      </w:r>
    </w:p>
    <w:p>
      <w:pPr>
        <w:ind w:left="-540" w:leftChars="-257" w:right="-874" w:rightChars="-416" w:firstLine="640" w:firstLineChars="200"/>
        <w:rPr>
          <w:rFonts w:ascii="仿宋" w:hAnsi="仿宋" w:eastAsia="仿宋" w:cs="仿宋"/>
          <w:sz w:val="32"/>
          <w:szCs w:val="32"/>
        </w:rPr>
      </w:pPr>
      <w:r>
        <w:rPr>
          <w:rFonts w:hint="eastAsia" w:ascii="仿宋" w:hAnsi="仿宋" w:eastAsia="仿宋" w:cs="仿宋"/>
          <w:sz w:val="32"/>
          <w:szCs w:val="32"/>
        </w:rPr>
        <w:t>根据峨峨府定（2012）15号文件，我中心为全额预算单位。根据峨编发（2017）52号文件将白蚁所整体划入我中心，重新核定事业编制11名，我中心现有在职职工15人，本年在职人员退休2人。</w:t>
      </w:r>
    </w:p>
    <w:p>
      <w:pPr>
        <w:ind w:left="-540" w:leftChars="-257" w:right="-874" w:rightChars="-416" w:firstLine="640" w:firstLineChars="200"/>
        <w:rPr>
          <w:rFonts w:ascii="仿宋" w:hAnsi="仿宋" w:eastAsia="仿宋" w:cs="仿宋"/>
          <w:sz w:val="32"/>
          <w:szCs w:val="32"/>
        </w:rPr>
      </w:pPr>
      <w:r>
        <w:rPr>
          <w:rFonts w:hint="eastAsia" w:ascii="仿宋" w:hAnsi="仿宋" w:eastAsia="仿宋" w:cs="仿宋"/>
          <w:sz w:val="32"/>
          <w:szCs w:val="32"/>
        </w:rPr>
        <w:t>单位的主要职能：</w:t>
      </w:r>
    </w:p>
    <w:bookmarkEnd w:id="16"/>
    <w:bookmarkEnd w:id="17"/>
    <w:p>
      <w:pPr>
        <w:ind w:left="-540" w:leftChars="-257" w:right="-874" w:rightChars="-416" w:firstLine="640" w:firstLineChars="200"/>
        <w:rPr>
          <w:rFonts w:ascii="仿宋" w:hAnsi="仿宋" w:eastAsia="仿宋" w:cs="仿宋"/>
          <w:color w:val="000000" w:themeColor="text1"/>
          <w:sz w:val="32"/>
          <w:szCs w:val="32"/>
        </w:rPr>
      </w:pPr>
      <w:bookmarkStart w:id="18" w:name="_Toc15377199"/>
      <w:bookmarkStart w:id="19" w:name="_Toc15378446"/>
      <w:r>
        <w:rPr>
          <w:rFonts w:hint="eastAsia" w:ascii="仿宋" w:hAnsi="仿宋" w:eastAsia="仿宋" w:cs="仿宋"/>
          <w:color w:val="000000" w:themeColor="text1"/>
          <w:sz w:val="32"/>
          <w:szCs w:val="32"/>
        </w:rPr>
        <w:t>执行住房制度改革和危旧房、棚户区及老旧小区改造政策；承担保障性住房相关事务工作；承担房改遗留问题相关工作；承担房地产交易、房地产交易档案管理、房屋租赁服务工作；承担全市物业企业服务工作；承担住宅专项维修资金归集和使用具体事务性工作；承担住房信息系统的建设与维护工作；承担全市建筑物的白蚁防治、技术咨询及新建房屋的白蚁预防工作；完成上级交办的其他任务。</w:t>
      </w:r>
    </w:p>
    <w:p>
      <w:pPr>
        <w:ind w:left="-540" w:leftChars="-257" w:right="-874" w:rightChars="-416" w:firstLine="640" w:firstLineChars="200"/>
        <w:rPr>
          <w:rFonts w:ascii="仿宋" w:hAnsi="仿宋" w:eastAsia="仿宋" w:cs="仿宋"/>
          <w:bCs/>
          <w:color w:val="000000"/>
          <w:sz w:val="32"/>
          <w:szCs w:val="32"/>
        </w:rPr>
      </w:pPr>
      <w:r>
        <w:rPr>
          <w:rFonts w:hint="eastAsia" w:ascii="仿宋" w:hAnsi="仿宋" w:eastAsia="仿宋" w:cs="仿宋"/>
          <w:bCs/>
          <w:color w:val="000000"/>
          <w:sz w:val="32"/>
          <w:szCs w:val="32"/>
        </w:rPr>
        <w:t>（二）2019年重点工作完成情况:</w:t>
      </w:r>
    </w:p>
    <w:p>
      <w:pPr>
        <w:ind w:left="-540" w:leftChars="-257" w:right="-874" w:rightChars="-416" w:firstLine="1280" w:firstLineChars="400"/>
        <w:rPr>
          <w:rFonts w:ascii="仿宋" w:hAnsi="仿宋" w:eastAsia="仿宋" w:cs="仿宋"/>
          <w:color w:val="000000"/>
          <w:sz w:val="32"/>
          <w:szCs w:val="32"/>
        </w:rPr>
      </w:pPr>
      <w:r>
        <w:rPr>
          <w:rFonts w:hint="eastAsia" w:ascii="仿宋" w:hAnsi="仿宋" w:eastAsia="仿宋" w:cs="仿宋"/>
          <w:bCs/>
          <w:color w:val="000000"/>
          <w:sz w:val="32"/>
          <w:szCs w:val="32"/>
        </w:rPr>
        <w:t>1、</w:t>
      </w:r>
      <w:r>
        <w:rPr>
          <w:rFonts w:hint="eastAsia" w:ascii="仿宋" w:hAnsi="仿宋" w:eastAsia="仿宋" w:cs="仿宋"/>
          <w:color w:val="000000"/>
          <w:sz w:val="32"/>
          <w:szCs w:val="32"/>
        </w:rPr>
        <w:t>住房保障</w:t>
      </w:r>
    </w:p>
    <w:p>
      <w:pPr>
        <w:spacing w:line="640" w:lineRule="exact"/>
        <w:ind w:firstLine="645"/>
        <w:jc w:val="left"/>
        <w:rPr>
          <w:rFonts w:ascii="仿宋" w:hAnsi="仿宋" w:eastAsia="仿宋" w:cs="仿宋"/>
          <w:color w:val="000000"/>
          <w:sz w:val="32"/>
          <w:szCs w:val="32"/>
        </w:rPr>
      </w:pPr>
      <w:r>
        <w:rPr>
          <w:rFonts w:hint="eastAsia" w:ascii="仿宋" w:hAnsi="仿宋" w:eastAsia="仿宋" w:cs="仿宋"/>
          <w:color w:val="000000"/>
          <w:sz w:val="32"/>
          <w:szCs w:val="32"/>
        </w:rPr>
        <w:t>2019年共分配公共租赁住房82套，租金补贴发放金额41.48万元，收缴公共租赁住房租金</w:t>
      </w:r>
      <w:r>
        <w:rPr>
          <w:rFonts w:hint="eastAsia" w:ascii="仿宋" w:hAnsi="仿宋" w:eastAsia="仿宋" w:cs="仿宋"/>
          <w:sz w:val="32"/>
          <w:szCs w:val="32"/>
        </w:rPr>
        <w:t>361.42万元</w:t>
      </w:r>
      <w:r>
        <w:rPr>
          <w:rFonts w:hint="eastAsia" w:ascii="仿宋" w:hAnsi="仿宋" w:eastAsia="仿宋" w:cs="仿宋"/>
          <w:color w:val="000000"/>
          <w:sz w:val="32"/>
          <w:szCs w:val="32"/>
        </w:rPr>
        <w:t>；减免租金</w:t>
      </w:r>
      <w:r>
        <w:rPr>
          <w:rFonts w:hint="eastAsia" w:ascii="仿宋" w:hAnsi="仿宋" w:eastAsia="仿宋" w:cs="仿宋"/>
          <w:sz w:val="32"/>
          <w:szCs w:val="32"/>
        </w:rPr>
        <w:t>60</w:t>
      </w:r>
      <w:r>
        <w:rPr>
          <w:rFonts w:hint="eastAsia" w:ascii="仿宋" w:hAnsi="仿宋" w:eastAsia="仿宋" w:cs="仿宋"/>
          <w:color w:val="000000"/>
          <w:sz w:val="32"/>
          <w:szCs w:val="32"/>
        </w:rPr>
        <w:t>户。</w:t>
      </w:r>
    </w:p>
    <w:p>
      <w:pPr>
        <w:spacing w:line="640" w:lineRule="exact"/>
        <w:ind w:firstLine="640" w:firstLineChars="200"/>
        <w:jc w:val="left"/>
        <w:rPr>
          <w:rFonts w:ascii="仿宋" w:hAnsi="仿宋" w:eastAsia="仿宋" w:cs="仿宋"/>
          <w:color w:val="FF0000"/>
          <w:sz w:val="32"/>
          <w:szCs w:val="32"/>
        </w:rPr>
      </w:pPr>
      <w:r>
        <w:rPr>
          <w:rFonts w:hint="eastAsia" w:ascii="仿宋" w:hAnsi="仿宋" w:eastAsia="仿宋" w:cs="仿宋"/>
          <w:sz w:val="32"/>
          <w:szCs w:val="32"/>
        </w:rPr>
        <w:t>2、危房及室内装饰装修</w:t>
      </w:r>
      <w:r>
        <w:rPr>
          <w:rFonts w:hint="eastAsia" w:ascii="仿宋" w:hAnsi="仿宋" w:eastAsia="仿宋" w:cs="仿宋"/>
          <w:color w:val="000000" w:themeColor="text1"/>
          <w:sz w:val="32"/>
          <w:szCs w:val="32"/>
        </w:rPr>
        <w:t>管理</w:t>
      </w:r>
    </w:p>
    <w:p>
      <w:pPr>
        <w:spacing w:line="640" w:lineRule="exact"/>
        <w:ind w:firstLine="645"/>
        <w:jc w:val="left"/>
        <w:rPr>
          <w:rFonts w:ascii="仿宋" w:hAnsi="仿宋" w:eastAsia="仿宋" w:cs="仿宋"/>
          <w:sz w:val="32"/>
          <w:szCs w:val="32"/>
        </w:rPr>
      </w:pPr>
      <w:r>
        <w:rPr>
          <w:rFonts w:hint="eastAsia" w:ascii="仿宋" w:hAnsi="仿宋" w:eastAsia="仿宋" w:cs="仿宋"/>
          <w:sz w:val="32"/>
          <w:szCs w:val="32"/>
        </w:rPr>
        <w:t>强化房屋安全监管，确保群众生命财产安全。现场查看违规装饰装修房屋25处，绝大部分均得到妥善处理，有效化解了社会矛盾；加强物业公司对室内装饰装修的管理，下发通知，并对全市新的物业小区装饰装修管理情况进行检查，针对存在的问题提出了整改意见；为确保汛期安全，对全市城镇房屋汛期安全隐患进行查看并对各乡镇发出老楼、危楼隐患告知书。</w:t>
      </w:r>
    </w:p>
    <w:p>
      <w:pPr>
        <w:spacing w:line="640" w:lineRule="exact"/>
        <w:ind w:firstLine="645"/>
        <w:jc w:val="left"/>
        <w:rPr>
          <w:rFonts w:hint="eastAsia" w:ascii="仿宋" w:hAnsi="仿宋" w:eastAsia="仿宋" w:cs="仿宋"/>
          <w:sz w:val="32"/>
          <w:szCs w:val="32"/>
          <w:lang w:val="en-US" w:eastAsia="zh-CN"/>
        </w:rPr>
      </w:pPr>
      <w:r>
        <w:rPr>
          <w:rFonts w:hint="eastAsia" w:ascii="仿宋" w:hAnsi="仿宋" w:eastAsia="仿宋" w:cs="仿宋"/>
          <w:sz w:val="32"/>
          <w:szCs w:val="32"/>
        </w:rPr>
        <w:t>3、物业</w:t>
      </w:r>
      <w:r>
        <w:rPr>
          <w:rFonts w:hint="eastAsia" w:ascii="仿宋" w:hAnsi="仿宋" w:eastAsia="仿宋" w:cs="仿宋"/>
          <w:sz w:val="32"/>
          <w:szCs w:val="32"/>
          <w:lang w:eastAsia="zh-CN"/>
        </w:rPr>
        <w:t>服务</w:t>
      </w:r>
    </w:p>
    <w:p>
      <w:pPr>
        <w:widowControl/>
        <w:adjustRightInd w:val="0"/>
        <w:snapToGri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指导召开首次业主大会及成立业主委员会工作，指导成立8个小区业委会。</w:t>
      </w:r>
      <w:r>
        <w:rPr>
          <w:rFonts w:hint="eastAsia" w:ascii="仿宋" w:hAnsi="仿宋" w:eastAsia="仿宋" w:cs="仿宋"/>
          <w:kern w:val="0"/>
          <w:sz w:val="32"/>
          <w:szCs w:val="32"/>
        </w:rPr>
        <w:t>参加小区业主大会筹备组会议及处理物业纠纷100余宗，协调处理物业方面的信访及来电投诉400余件</w:t>
      </w:r>
      <w:r>
        <w:rPr>
          <w:rFonts w:hint="eastAsia" w:ascii="仿宋" w:hAnsi="仿宋" w:eastAsia="仿宋" w:cs="仿宋"/>
          <w:sz w:val="32"/>
          <w:szCs w:val="32"/>
        </w:rPr>
        <w:t>。</w:t>
      </w:r>
      <w:r>
        <w:rPr>
          <w:rFonts w:hint="eastAsia" w:ascii="仿宋" w:hAnsi="仿宋" w:eastAsia="仿宋" w:cs="仿宋"/>
          <w:kern w:val="0"/>
          <w:sz w:val="32"/>
          <w:szCs w:val="32"/>
        </w:rPr>
        <w:t>完善住宅专项维修资金支取流程及申请住宅专项维修资金所需资料，审核10个小区业委会申请住宅专项维修资金。统计上报了老旧小区改造计划。</w:t>
      </w:r>
      <w:r>
        <w:rPr>
          <w:rFonts w:hint="eastAsia" w:ascii="仿宋" w:hAnsi="仿宋" w:eastAsia="仿宋" w:cs="仿宋"/>
          <w:sz w:val="32"/>
          <w:szCs w:val="32"/>
        </w:rPr>
        <w:t>组织物业服务企业对电梯安全知识进行了学习。为了规范物业行业行为，对个别备案资料未齐全企业，进行逐一清理，加强了物业企业备案工作的开展，完善物业企业诚信信息档案建立工作。</w:t>
      </w:r>
      <w:r>
        <w:rPr>
          <w:rFonts w:hint="eastAsia" w:ascii="仿宋" w:hAnsi="仿宋" w:eastAsia="仿宋" w:cs="仿宋"/>
          <w:color w:val="000000" w:themeColor="text1"/>
          <w:sz w:val="32"/>
          <w:szCs w:val="32"/>
          <w:lang w:eastAsia="zh-CN"/>
        </w:rPr>
        <w:t>成立</w:t>
      </w:r>
      <w:r>
        <w:rPr>
          <w:rFonts w:hint="eastAsia" w:ascii="仿宋" w:hAnsi="仿宋" w:eastAsia="仿宋" w:cs="仿宋"/>
          <w:color w:val="000000" w:themeColor="text1"/>
          <w:sz w:val="32"/>
          <w:szCs w:val="32"/>
        </w:rPr>
        <w:t>了房地产业协会物业管理</w:t>
      </w:r>
      <w:r>
        <w:rPr>
          <w:rFonts w:hint="eastAsia" w:ascii="仿宋" w:hAnsi="仿宋" w:eastAsia="仿宋" w:cs="仿宋"/>
          <w:color w:val="000000" w:themeColor="text1"/>
          <w:sz w:val="32"/>
          <w:szCs w:val="32"/>
          <w:lang w:eastAsia="zh-CN"/>
        </w:rPr>
        <w:t>协</w:t>
      </w:r>
      <w:r>
        <w:rPr>
          <w:rFonts w:hint="eastAsia" w:ascii="仿宋" w:hAnsi="仿宋" w:eastAsia="仿宋" w:cs="仿宋"/>
          <w:color w:val="000000" w:themeColor="text1"/>
          <w:sz w:val="32"/>
          <w:szCs w:val="32"/>
        </w:rPr>
        <w:t>会，加强行业自律。</w:t>
      </w:r>
      <w:r>
        <w:rPr>
          <w:rFonts w:hint="eastAsia" w:ascii="仿宋" w:hAnsi="仿宋" w:eastAsia="仿宋" w:cs="仿宋"/>
          <w:sz w:val="32"/>
          <w:szCs w:val="32"/>
        </w:rPr>
        <w:t>物管系统投入正常使用，微信投票系统处于试运行阶段，目前试点浅水湾和阅湖郡两个小区，均取得成功。</w:t>
      </w:r>
    </w:p>
    <w:p>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4、房地产市场管理</w:t>
      </w:r>
    </w:p>
    <w:p>
      <w:pPr>
        <w:spacing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建立了定期房地产市场巡查制度，并进行</w:t>
      </w:r>
      <w:r>
        <w:rPr>
          <w:rFonts w:hint="eastAsia" w:ascii="仿宋" w:hAnsi="仿宋" w:eastAsia="仿宋" w:cs="仿宋"/>
          <w:color w:val="000000" w:themeColor="text1"/>
          <w:kern w:val="0"/>
          <w:sz w:val="32"/>
          <w:szCs w:val="32"/>
        </w:rPr>
        <w:t>了4次例行巡查，对存在问题的房地产开发公司、房地产中介机构要求立即整改，并取得一定效果；根据峨眉山市2019年防范非</w:t>
      </w:r>
      <w:r>
        <w:rPr>
          <w:rFonts w:hint="eastAsia" w:ascii="仿宋" w:hAnsi="仿宋" w:eastAsia="仿宋" w:cs="仿宋"/>
          <w:kern w:val="0"/>
          <w:sz w:val="32"/>
          <w:szCs w:val="32"/>
        </w:rPr>
        <w:t>法集资宣传月活动进行了教育宣传活动，发放售后返租警示教育宣传册约2000余份；按照乐山市住建局统一部署开展了房地产中介专项整治，加强对房地产经纪机构的管理，要求我市境内房地产经纪机构严格落实备案制度，建立信用管理机制，规范经营行为，按照峨府办发〔2015〕27号文件精神，继续落实购房补贴个人部分的申请发放工作，已发放金额2444.64万元。加强住宅专项维修资金的监管，加大欠缴维修资金的催缴力度，共缴存维修资金共计2.23亿元。加强信息化建设，已建成房管信息系统，房管信息系统其他子系统也正在加快进度建设中。</w:t>
      </w:r>
    </w:p>
    <w:p>
      <w:pPr>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（六）档案管理</w:t>
      </w:r>
    </w:p>
    <w:p>
      <w:pPr>
        <w:spacing w:line="640" w:lineRule="exact"/>
        <w:ind w:firstLine="640" w:firstLineChars="200"/>
        <w:rPr>
          <w:rFonts w:ascii="仿宋" w:hAnsi="仿宋" w:eastAsia="仿宋" w:cs="仿宋"/>
          <w:kern w:val="0"/>
          <w:sz w:val="32"/>
          <w:szCs w:val="32"/>
        </w:rPr>
      </w:pPr>
      <w:r>
        <w:rPr>
          <w:rFonts w:hint="eastAsia" w:ascii="仿宋" w:hAnsi="仿宋" w:eastAsia="仿宋" w:cs="仿宋"/>
          <w:sz w:val="32"/>
          <w:szCs w:val="32"/>
        </w:rPr>
        <w:t>截至2019年接待来人查询土地使用证、公积金货款、水电立户、复印产权证等资料7958人次，司法办案等部门、单位查询资料892人次，本单位内部及不动产登记中心查询档案238次，查询后，已及时归入卷柜中。组织部查核房产信息6897人次，已通过房产查核报送系统上报。接待产权证遗失，办理挂失手续49份，解除抵押贷款手续1024份。已开展历史档案扫描工作。</w:t>
      </w:r>
    </w:p>
    <w:p>
      <w:pPr>
        <w:spacing w:line="640" w:lineRule="exact"/>
        <w:ind w:firstLine="645"/>
        <w:jc w:val="left"/>
        <w:rPr>
          <w:rFonts w:ascii="仿宋" w:hAnsi="仿宋" w:eastAsia="仿宋" w:cs="仿宋"/>
          <w:sz w:val="32"/>
          <w:szCs w:val="32"/>
        </w:rPr>
      </w:pPr>
      <w:r>
        <w:rPr>
          <w:rFonts w:hint="eastAsia" w:ascii="仿宋" w:hAnsi="仿宋" w:eastAsia="仿宋" w:cs="仿宋"/>
          <w:sz w:val="32"/>
          <w:szCs w:val="32"/>
        </w:rPr>
        <w:t>（七）白蚁防治</w:t>
      </w:r>
    </w:p>
    <w:p>
      <w:pPr>
        <w:spacing w:line="640" w:lineRule="exact"/>
        <w:ind w:firstLine="645"/>
        <w:jc w:val="left"/>
        <w:rPr>
          <w:rFonts w:ascii="仿宋" w:hAnsi="仿宋" w:eastAsia="仿宋" w:cs="仿宋"/>
          <w:sz w:val="32"/>
          <w:szCs w:val="32"/>
        </w:rPr>
      </w:pPr>
      <w:r>
        <w:rPr>
          <w:rFonts w:hint="eastAsia" w:ascii="仿宋" w:hAnsi="仿宋" w:eastAsia="仿宋" w:cs="仿宋"/>
          <w:sz w:val="32"/>
          <w:szCs w:val="32"/>
        </w:rPr>
        <w:t>严格贯彻国家安全生产法和内部制定的安全施药防污制度，进行规范施工，加强对白蚁防治工程施工质量的管理，促进房屋白蚁防治工作的稳健发展。共签订新建房屋白蚁预防合同26份，涉及的房屋建筑面积为1694021.49平方米，补缴以前年度缓交新建项目白蚁防治费633892.52元；同时还对35个居民区及办公楼内遭受白蚁侵害的旧房进行技术指导和灭治工作。</w:t>
      </w:r>
    </w:p>
    <w:p>
      <w:pPr>
        <w:spacing w:line="640" w:lineRule="exact"/>
        <w:ind w:firstLine="645"/>
        <w:jc w:val="left"/>
        <w:rPr>
          <w:rFonts w:ascii="仿宋" w:hAnsi="仿宋" w:eastAsia="仿宋" w:cs="仿宋"/>
          <w:sz w:val="32"/>
          <w:szCs w:val="32"/>
        </w:rPr>
      </w:pPr>
      <w:r>
        <w:rPr>
          <w:rFonts w:hint="eastAsia" w:ascii="仿宋" w:hAnsi="仿宋" w:eastAsia="仿宋" w:cs="仿宋"/>
          <w:sz w:val="32"/>
          <w:szCs w:val="32"/>
        </w:rPr>
        <w:t>（八）信访维稳</w:t>
      </w:r>
    </w:p>
    <w:p>
      <w:pPr>
        <w:spacing w:line="640" w:lineRule="exact"/>
        <w:ind w:firstLine="645"/>
        <w:jc w:val="left"/>
        <w:rPr>
          <w:rFonts w:ascii="仿宋" w:hAnsi="仿宋" w:eastAsia="仿宋" w:cs="仿宋"/>
          <w:sz w:val="32"/>
          <w:szCs w:val="32"/>
        </w:rPr>
      </w:pPr>
      <w:r>
        <w:rPr>
          <w:rFonts w:hint="eastAsia" w:ascii="仿宋" w:hAnsi="仿宋" w:eastAsia="仿宋" w:cs="仿宋"/>
          <w:sz w:val="32"/>
          <w:szCs w:val="32"/>
        </w:rPr>
        <w:t>为做好信访维稳工作，我局认真开展矛盾纠纷排查工作，有效化解了社会矛盾，切实维护了社会稳定，共回复、解决信访问题</w:t>
      </w:r>
      <w:r>
        <w:rPr>
          <w:rFonts w:hint="eastAsia" w:ascii="仿宋" w:hAnsi="仿宋" w:eastAsia="仿宋" w:cs="仿宋"/>
          <w:color w:val="000000" w:themeColor="text1"/>
          <w:sz w:val="32"/>
          <w:szCs w:val="32"/>
          <w:lang w:val="en-US" w:eastAsia="zh-CN"/>
        </w:rPr>
        <w:t>1200</w:t>
      </w:r>
      <w:r>
        <w:rPr>
          <w:rFonts w:hint="eastAsia" w:ascii="仿宋" w:hAnsi="仿宋" w:eastAsia="仿宋" w:cs="仿宋"/>
          <w:color w:val="000000" w:themeColor="text1"/>
          <w:sz w:val="32"/>
          <w:szCs w:val="32"/>
        </w:rPr>
        <w:t>余件</w:t>
      </w:r>
      <w:r>
        <w:rPr>
          <w:rFonts w:hint="eastAsia" w:ascii="仿宋" w:hAnsi="仿宋" w:eastAsia="仿宋" w:cs="仿宋"/>
          <w:sz w:val="32"/>
          <w:szCs w:val="32"/>
        </w:rPr>
        <w:t>。接待单位职工来访、查询房改档案约62人次。</w:t>
      </w:r>
    </w:p>
    <w:p>
      <w:pPr>
        <w:spacing w:line="640" w:lineRule="exact"/>
        <w:ind w:firstLine="645"/>
        <w:jc w:val="left"/>
        <w:rPr>
          <w:rFonts w:ascii="仿宋" w:hAnsi="仿宋" w:eastAsia="仿宋" w:cs="仿宋"/>
          <w:sz w:val="32"/>
          <w:szCs w:val="32"/>
        </w:rPr>
      </w:pPr>
      <w:r>
        <w:rPr>
          <w:rFonts w:hint="eastAsia" w:ascii="仿宋" w:hAnsi="仿宋" w:eastAsia="仿宋" w:cs="仿宋"/>
          <w:sz w:val="32"/>
          <w:szCs w:val="32"/>
        </w:rPr>
        <w:t>（九）精准扶贫</w:t>
      </w:r>
    </w:p>
    <w:p>
      <w:pPr>
        <w:spacing w:line="640" w:lineRule="exact"/>
        <w:ind w:firstLine="645"/>
        <w:jc w:val="left"/>
        <w:rPr>
          <w:rFonts w:ascii="仿宋" w:hAnsi="仿宋" w:eastAsia="仿宋" w:cs="仿宋"/>
          <w:sz w:val="32"/>
          <w:szCs w:val="32"/>
        </w:rPr>
      </w:pPr>
      <w:r>
        <w:rPr>
          <w:rFonts w:hint="eastAsia" w:ascii="仿宋" w:hAnsi="仿宋" w:eastAsia="仿宋" w:cs="仿宋"/>
          <w:sz w:val="32"/>
          <w:szCs w:val="32"/>
        </w:rPr>
        <w:t>根据峨眉山市市委、市政府关于脱贫攻坚工作的统一部署，结合市住建局开展精准扶贫工作计划安排，我局结对帮扶干部职工按照《峨眉山市结对帮扶工作细则》，采取多种形式开展扶贫工作，确保建档立卡贫困户全面按期脱贫，实现扶贫攻坚路上一个都不能少的目标。2019年开展精准扶贫工作以来，我局多次组织精准扶贫干部职工参加扶贫政策学习培训，提高帮扶政策宣传水平，完善建档立卡精准识别再识别工作。我局帮扶龙池镇河心村24户贫困家庭，根据每户实际情况开展生活物资帮扶和生产资料帮扶。</w:t>
      </w:r>
    </w:p>
    <w:bookmarkEnd w:id="18"/>
    <w:bookmarkEnd w:id="19"/>
    <w:p>
      <w:pPr>
        <w:pStyle w:val="3"/>
        <w:ind w:left="-540" w:firstLine="640" w:firstLineChars="200"/>
        <w:rPr>
          <w:rStyle w:val="25"/>
          <w:rFonts w:ascii="黑体" w:hAnsi="黑体" w:eastAsia="黑体"/>
          <w:b w:val="0"/>
          <w:bCs w:val="0"/>
        </w:rPr>
      </w:pPr>
      <w:bookmarkStart w:id="20" w:name="_Toc15396601"/>
      <w:bookmarkStart w:id="21" w:name="_Toc15377200"/>
      <w:r>
        <w:rPr>
          <w:rFonts w:hint="eastAsia" w:ascii="黑体" w:hAnsi="黑体" w:eastAsia="黑体"/>
          <w:b w:val="0"/>
          <w:color w:val="000000"/>
        </w:rPr>
        <w:t>二、机</w:t>
      </w:r>
      <w:r>
        <w:rPr>
          <w:rStyle w:val="25"/>
          <w:rFonts w:hint="eastAsia" w:ascii="黑体" w:hAnsi="黑体" w:eastAsia="黑体"/>
          <w:b w:val="0"/>
          <w:bCs w:val="0"/>
        </w:rPr>
        <w:t>构设置</w:t>
      </w:r>
      <w:bookmarkEnd w:id="20"/>
      <w:bookmarkEnd w:id="21"/>
    </w:p>
    <w:p>
      <w:pPr>
        <w:pStyle w:val="3"/>
        <w:ind w:left="-540" w:firstLine="640" w:firstLineChars="200"/>
        <w:rPr>
          <w:rFonts w:ascii="仿宋" w:hAnsi="仿宋" w:eastAsia="仿宋"/>
          <w:b w:val="0"/>
          <w:bCs w:val="0"/>
          <w:color w:val="000000"/>
        </w:rPr>
      </w:pPr>
      <w:r>
        <w:rPr>
          <w:rFonts w:hint="eastAsia" w:ascii="仿宋" w:hAnsi="仿宋" w:eastAsia="仿宋"/>
          <w:b w:val="0"/>
          <w:bCs w:val="0"/>
        </w:rPr>
        <w:t>本单位为住建局下属全额拨款事业单位</w:t>
      </w:r>
    </w:p>
    <w:p/>
    <w:p>
      <w:pPr>
        <w:pStyle w:val="23"/>
        <w:spacing w:line="600" w:lineRule="exact"/>
        <w:ind w:firstLine="0" w:firstLineChars="0"/>
        <w:outlineLvl w:val="1"/>
        <w:rPr>
          <w:rStyle w:val="25"/>
          <w:rFonts w:ascii="黑体" w:hAnsi="黑体" w:eastAsia="黑体"/>
          <w:b w:val="0"/>
        </w:rPr>
      </w:pPr>
      <w:bookmarkStart w:id="22" w:name="_Toc15377205"/>
      <w:bookmarkStart w:id="23" w:name="_Toc15396603"/>
      <w:r>
        <w:rPr>
          <w:rFonts w:hint="eastAsia" w:ascii="黑体" w:hAnsi="黑体" w:eastAsia="黑体"/>
          <w:color w:val="000000"/>
          <w:sz w:val="32"/>
          <w:szCs w:val="32"/>
        </w:rPr>
        <w:t>三、收</w:t>
      </w:r>
      <w:r>
        <w:rPr>
          <w:rStyle w:val="25"/>
          <w:rFonts w:hint="eastAsia" w:ascii="黑体" w:hAnsi="黑体" w:eastAsia="黑体"/>
          <w:b w:val="0"/>
        </w:rPr>
        <w:t>入支出决算总体情况说明</w:t>
      </w:r>
      <w:bookmarkEnd w:id="22"/>
      <w:bookmarkEnd w:id="23"/>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2019年度收、支总计3269.38万元。与2018年相比，收、支总计增加1206.44万元，增长58.48</w:t>
      </w:r>
      <w:r>
        <w:rPr>
          <w:rFonts w:ascii="仿宋" w:hAnsi="仿宋" w:eastAsia="仿宋"/>
          <w:color w:val="000000"/>
          <w:sz w:val="32"/>
          <w:szCs w:val="32"/>
        </w:rPr>
        <w:t>%</w:t>
      </w:r>
      <w:r>
        <w:rPr>
          <w:rFonts w:hint="eastAsia" w:ascii="仿宋" w:hAnsi="仿宋" w:eastAsia="仿宋"/>
          <w:color w:val="000000"/>
          <w:sz w:val="32"/>
          <w:szCs w:val="32"/>
        </w:rPr>
        <w:t>。主要变动原因是购房补贴的发放金额增加。</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spacing w:line="720" w:lineRule="auto"/>
        <w:ind w:firstLine="640" w:firstLineChars="200"/>
        <w:jc w:val="left"/>
        <w:rPr>
          <w:rFonts w:ascii="仿宋_GB2312" w:eastAsia="仿宋_GB2312"/>
          <w:color w:val="000000"/>
          <w:sz w:val="32"/>
          <w:szCs w:val="32"/>
        </w:rPr>
      </w:pPr>
      <w:r>
        <w:rPr>
          <w:rFonts w:ascii="仿宋_GB2312" w:eastAsia="仿宋_GB2312"/>
          <w:color w:val="000000"/>
          <w:sz w:val="32"/>
          <w:szCs w:val="32"/>
        </w:rPr>
        <w:drawing>
          <wp:inline distT="0" distB="0" distL="0" distR="0">
            <wp:extent cx="4449445" cy="2759075"/>
            <wp:effectExtent l="19050" t="0" r="27167" b="3148"/>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spacing w:line="600" w:lineRule="exact"/>
        <w:ind w:firstLine="0" w:firstLineChars="0"/>
        <w:outlineLvl w:val="1"/>
        <w:rPr>
          <w:rStyle w:val="25"/>
          <w:rFonts w:ascii="黑体" w:hAnsi="黑体" w:eastAsia="黑体"/>
          <w:b w:val="0"/>
        </w:rPr>
      </w:pPr>
      <w:bookmarkStart w:id="24" w:name="_Toc15377206"/>
      <w:bookmarkStart w:id="25" w:name="_Toc15396604"/>
      <w:r>
        <w:rPr>
          <w:rFonts w:hint="eastAsia" w:ascii="黑体" w:hAnsi="黑体" w:eastAsia="黑体"/>
          <w:color w:val="000000"/>
          <w:sz w:val="32"/>
          <w:szCs w:val="32"/>
        </w:rPr>
        <w:t>四、收</w:t>
      </w:r>
      <w:r>
        <w:rPr>
          <w:rStyle w:val="25"/>
          <w:rFonts w:hint="eastAsia" w:ascii="黑体" w:hAnsi="黑体" w:eastAsia="黑体"/>
          <w:b w:val="0"/>
        </w:rPr>
        <w:t>入决算情况说明</w:t>
      </w:r>
      <w:bookmarkEnd w:id="24"/>
      <w:bookmarkEnd w:id="25"/>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9年本年收入合计3202.68万元，其中：一般公共预算财政拨款收入559.78万元，占17.48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；政府性基金预算财政拨款收入2642.9万元，占82.52</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720" w:lineRule="auto"/>
        <w:ind w:firstLine="640" w:firstLineChars="200"/>
        <w:rPr>
          <w:rFonts w:ascii="仿宋_GB2312" w:eastAsia="仿宋_GB2312"/>
          <w:color w:val="FF0000"/>
          <w:sz w:val="32"/>
          <w:szCs w:val="32"/>
        </w:rPr>
      </w:pPr>
      <w:r>
        <w:rPr>
          <w:rFonts w:ascii="仿宋_GB2312" w:eastAsia="仿宋_GB2312"/>
          <w:color w:val="FF0000"/>
          <w:sz w:val="32"/>
          <w:szCs w:val="32"/>
        </w:rPr>
        <w:drawing>
          <wp:inline distT="0" distB="0" distL="0" distR="0">
            <wp:extent cx="4258310" cy="2973705"/>
            <wp:effectExtent l="19050" t="0" r="27498"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spacing w:line="600" w:lineRule="exact"/>
        <w:ind w:firstLine="0" w:firstLineChars="0"/>
        <w:outlineLvl w:val="1"/>
        <w:rPr>
          <w:rStyle w:val="25"/>
          <w:rFonts w:ascii="黑体" w:hAnsi="黑体" w:eastAsia="黑体"/>
          <w:b w:val="0"/>
        </w:rPr>
      </w:pPr>
      <w:bookmarkStart w:id="26" w:name="_Toc15396605"/>
      <w:bookmarkStart w:id="27" w:name="_Toc15377207"/>
      <w:r>
        <w:rPr>
          <w:rFonts w:hint="eastAsia" w:ascii="黑体" w:hAnsi="黑体" w:eastAsia="黑体"/>
          <w:color w:val="000000"/>
          <w:sz w:val="32"/>
          <w:szCs w:val="32"/>
        </w:rPr>
        <w:t>五、支</w:t>
      </w:r>
      <w:r>
        <w:rPr>
          <w:rStyle w:val="25"/>
          <w:rFonts w:hint="eastAsia" w:ascii="黑体" w:hAnsi="黑体" w:eastAsia="黑体"/>
          <w:b w:val="0"/>
        </w:rPr>
        <w:t>出决算情况说明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9年本年支出合计3234.9万元，其中：基本支出312.39万元，占9.66</w:t>
      </w:r>
      <w:r>
        <w:rPr>
          <w:rFonts w:ascii="仿宋" w:hAnsi="仿宋" w:eastAsia="仿宋"/>
          <w:color w:val="000000"/>
          <w:sz w:val="32"/>
          <w:szCs w:val="32"/>
        </w:rPr>
        <w:t>%</w:t>
      </w:r>
      <w:r>
        <w:rPr>
          <w:rFonts w:hint="eastAsia" w:ascii="仿宋" w:hAnsi="仿宋" w:eastAsia="仿宋"/>
          <w:color w:val="000000"/>
          <w:sz w:val="32"/>
          <w:szCs w:val="32"/>
        </w:rPr>
        <w:t>；项目支出2,922.51万元，占90.34</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720" w:lineRule="auto"/>
        <w:rPr>
          <w:rFonts w:ascii="仿宋_GB2312" w:eastAsia="仿宋_GB2312"/>
          <w:color w:val="FF0000"/>
          <w:sz w:val="32"/>
          <w:szCs w:val="32"/>
        </w:rPr>
      </w:pPr>
      <w:r>
        <w:rPr>
          <w:rFonts w:ascii="仿宋_GB2312" w:eastAsia="仿宋_GB2312"/>
          <w:color w:val="FF0000"/>
          <w:sz w:val="32"/>
          <w:szCs w:val="32"/>
        </w:rPr>
        <w:drawing>
          <wp:inline distT="0" distB="0" distL="0" distR="0">
            <wp:extent cx="4950460" cy="2763520"/>
            <wp:effectExtent l="4445" t="4445" r="17145" b="1333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outlineLvl w:val="1"/>
        <w:rPr>
          <w:rStyle w:val="25"/>
          <w:rFonts w:ascii="黑体" w:hAnsi="黑体" w:eastAsia="黑体"/>
          <w:b w:val="0"/>
        </w:rPr>
      </w:pPr>
      <w:bookmarkStart w:id="28" w:name="_Toc15377208"/>
      <w:bookmarkStart w:id="29" w:name="_Toc15396606"/>
      <w:r>
        <w:rPr>
          <w:rFonts w:hint="eastAsia" w:ascii="黑体" w:hAnsi="黑体" w:eastAsia="黑体"/>
          <w:color w:val="000000"/>
          <w:sz w:val="32"/>
          <w:szCs w:val="32"/>
        </w:rPr>
        <w:t>六、财</w:t>
      </w:r>
      <w:r>
        <w:rPr>
          <w:rStyle w:val="25"/>
          <w:rFonts w:hint="eastAsia" w:ascii="黑体" w:hAnsi="黑体" w:eastAsia="黑体"/>
          <w:b w:val="0"/>
        </w:rPr>
        <w:t>政拨款收入支出决算总体情况说明</w:t>
      </w:r>
      <w:bookmarkEnd w:id="28"/>
      <w:bookmarkEnd w:id="29"/>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9年财政拨款收、支总计3269.38万元。与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8年相比，财政拨款收、支总计各增加1206.44万元，增长58.48</w:t>
      </w:r>
      <w:r>
        <w:rPr>
          <w:rFonts w:ascii="仿宋" w:hAnsi="仿宋" w:eastAsia="仿宋"/>
          <w:color w:val="000000"/>
          <w:sz w:val="32"/>
          <w:szCs w:val="32"/>
        </w:rPr>
        <w:t>%</w:t>
      </w:r>
      <w:r>
        <w:rPr>
          <w:rFonts w:hint="eastAsia" w:ascii="仿宋" w:hAnsi="仿宋" w:eastAsia="仿宋"/>
          <w:color w:val="000000"/>
          <w:sz w:val="32"/>
          <w:szCs w:val="32"/>
        </w:rPr>
        <w:t>。主要变动原因是购房补贴的发放金额增加。</w:t>
      </w:r>
      <w:r>
        <w:rPr>
          <w:rFonts w:hint="eastAsia" w:ascii="仿宋" w:hAnsi="仿宋" w:eastAsia="仿宋"/>
          <w:color w:val="000000" w:themeColor="text1"/>
          <w:sz w:val="32"/>
          <w:szCs w:val="32"/>
        </w:rPr>
        <w:t>（图4：财政拨款收、支决算总计变动情况）（柱状图）</w:t>
      </w:r>
    </w:p>
    <w:p>
      <w:pPr>
        <w:spacing w:line="720" w:lineRule="auto"/>
        <w:ind w:firstLine="640"/>
        <w:rPr>
          <w:rFonts w:ascii="仿宋" w:hAnsi="仿宋" w:eastAsia="仿宋"/>
          <w:b/>
          <w:color w:val="00B050"/>
          <w:sz w:val="32"/>
          <w:szCs w:val="32"/>
        </w:rPr>
      </w:pPr>
      <w:r>
        <w:rPr>
          <w:rFonts w:ascii="仿宋" w:hAnsi="仿宋" w:eastAsia="仿宋"/>
          <w:b/>
          <w:color w:val="00B050"/>
          <w:sz w:val="32"/>
          <w:szCs w:val="32"/>
        </w:rPr>
        <w:drawing>
          <wp:inline distT="0" distB="0" distL="0" distR="0">
            <wp:extent cx="4099560" cy="2289810"/>
            <wp:effectExtent l="19050" t="0" r="15074"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outlineLvl w:val="1"/>
        <w:rPr>
          <w:rStyle w:val="25"/>
          <w:rFonts w:ascii="黑体" w:hAnsi="黑体" w:eastAsia="黑体"/>
          <w:b w:val="0"/>
        </w:rPr>
      </w:pPr>
      <w:bookmarkStart w:id="30" w:name="_Toc15377209"/>
      <w:bookmarkStart w:id="31" w:name="_Toc15396607"/>
      <w:r>
        <w:rPr>
          <w:rFonts w:hint="eastAsia" w:ascii="黑体" w:hAnsi="黑体" w:eastAsia="黑体"/>
          <w:color w:val="000000"/>
          <w:sz w:val="32"/>
          <w:szCs w:val="32"/>
        </w:rPr>
        <w:t>七、</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0"/>
      <w:bookmarkEnd w:id="31"/>
    </w:p>
    <w:p>
      <w:pPr>
        <w:spacing w:line="600" w:lineRule="exact"/>
        <w:ind w:firstLine="643"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1、一般公共预算财政拨款支出决算总体情况</w:t>
      </w:r>
      <w:bookmarkEnd w:id="32"/>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9年一般公共预算财政拨款支出537.19万元，占本年支出合计的17.48</w:t>
      </w:r>
      <w:r>
        <w:rPr>
          <w:rFonts w:ascii="仿宋" w:hAnsi="仿宋" w:eastAsia="仿宋"/>
          <w:color w:val="000000"/>
          <w:sz w:val="32"/>
          <w:szCs w:val="32"/>
        </w:rPr>
        <w:t>%</w:t>
      </w:r>
      <w:r>
        <w:rPr>
          <w:rFonts w:hint="eastAsia" w:ascii="仿宋" w:hAnsi="仿宋" w:eastAsia="仿宋"/>
          <w:color w:val="000000"/>
          <w:sz w:val="32"/>
          <w:szCs w:val="32"/>
        </w:rPr>
        <w:t>。与2018年相比，一般公共预算财政拨款减少8.34万元，下降1.53</w:t>
      </w:r>
      <w:r>
        <w:rPr>
          <w:rFonts w:ascii="仿宋" w:hAnsi="仿宋" w:eastAsia="仿宋"/>
          <w:color w:val="000000"/>
          <w:sz w:val="32"/>
          <w:szCs w:val="32"/>
        </w:rPr>
        <w:t>%</w:t>
      </w:r>
      <w:r>
        <w:rPr>
          <w:rFonts w:hint="eastAsia" w:ascii="仿宋" w:hAnsi="仿宋" w:eastAsia="仿宋"/>
          <w:color w:val="000000"/>
          <w:sz w:val="32"/>
          <w:szCs w:val="32"/>
        </w:rPr>
        <w:t>。主要变动原因是2人退休。</w:t>
      </w:r>
    </w:p>
    <w:p>
      <w:pPr>
        <w:spacing w:line="60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720" w:lineRule="auto"/>
        <w:rPr>
          <w:rFonts w:ascii="仿宋" w:hAnsi="仿宋" w:eastAsia="仿宋"/>
          <w:color w:val="000000" w:themeColor="text1"/>
          <w:sz w:val="32"/>
          <w:szCs w:val="32"/>
        </w:rPr>
      </w:pPr>
      <w:r>
        <w:rPr>
          <w:rFonts w:ascii="仿宋" w:hAnsi="仿宋" w:eastAsia="仿宋"/>
          <w:color w:val="000000" w:themeColor="text1"/>
          <w:sz w:val="32"/>
          <w:szCs w:val="32"/>
        </w:rPr>
        <w:drawing>
          <wp:inline distT="0" distB="0" distL="0" distR="0">
            <wp:extent cx="4260215" cy="2514600"/>
            <wp:effectExtent l="4445" t="4445" r="21590" b="1460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3" w:firstLineChars="200"/>
        <w:outlineLvl w:val="2"/>
        <w:rPr>
          <w:rFonts w:ascii="仿宋" w:hAnsi="仿宋" w:eastAsia="仿宋"/>
          <w:b/>
          <w:color w:val="000000" w:themeColor="text1"/>
          <w:sz w:val="32"/>
          <w:szCs w:val="32"/>
        </w:rPr>
      </w:pPr>
      <w:bookmarkStart w:id="33" w:name="_Toc15377211"/>
      <w:r>
        <w:rPr>
          <w:rFonts w:hint="eastAsia" w:ascii="仿宋" w:hAnsi="仿宋" w:eastAsia="仿宋"/>
          <w:b/>
          <w:color w:val="000000" w:themeColor="text1"/>
          <w:sz w:val="32"/>
          <w:szCs w:val="32"/>
        </w:rPr>
        <w:t>2、一般公共预算财政拨款支出决算结构情况</w:t>
      </w:r>
      <w:bookmarkEnd w:id="33"/>
    </w:p>
    <w:p>
      <w:pPr>
        <w:spacing w:line="600" w:lineRule="exact"/>
        <w:ind w:firstLine="640"/>
        <w:rPr>
          <w:rFonts w:ascii="仿宋" w:hAnsi="仿宋" w:eastAsia="仿宋"/>
          <w:b/>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9年一般公共预算财政拨款支出537.19万元，主要用于以下方面</w:t>
      </w:r>
      <w:r>
        <w:rPr>
          <w:rFonts w:ascii="仿宋" w:hAnsi="仿宋" w:eastAsia="仿宋"/>
          <w:color w:val="000000" w:themeColor="text1"/>
          <w:sz w:val="32"/>
          <w:szCs w:val="32"/>
        </w:rPr>
        <w:t>:</w:t>
      </w:r>
      <w:r>
        <w:rPr>
          <w:rFonts w:hint="eastAsia" w:ascii="仿宋" w:hAnsi="仿宋" w:eastAsia="仿宋"/>
          <w:bCs/>
          <w:color w:val="000000" w:themeColor="text1"/>
          <w:sz w:val="32"/>
          <w:szCs w:val="32"/>
        </w:rPr>
        <w:t>社会保障和就业（类）</w:t>
      </w:r>
      <w:r>
        <w:rPr>
          <w:rFonts w:hint="eastAsia" w:ascii="仿宋" w:hAnsi="仿宋" w:eastAsia="仿宋"/>
          <w:color w:val="000000" w:themeColor="text1"/>
          <w:sz w:val="32"/>
          <w:szCs w:val="32"/>
        </w:rPr>
        <w:t>支出</w:t>
      </w:r>
      <w:r>
        <w:rPr>
          <w:rStyle w:val="14"/>
          <w:rFonts w:hint="eastAsia" w:ascii="仿宋" w:hAnsi="仿宋" w:eastAsia="仿宋"/>
          <w:b w:val="0"/>
          <w:bCs/>
          <w:color w:val="000000" w:themeColor="text1"/>
          <w:sz w:val="32"/>
          <w:szCs w:val="32"/>
        </w:rPr>
        <w:t>28.44</w:t>
      </w:r>
      <w:r>
        <w:rPr>
          <w:rFonts w:hint="eastAsia" w:ascii="仿宋" w:hAnsi="仿宋" w:eastAsia="仿宋"/>
          <w:color w:val="000000" w:themeColor="text1"/>
          <w:sz w:val="32"/>
          <w:szCs w:val="32"/>
        </w:rPr>
        <w:t>万元，占5.29</w:t>
      </w:r>
      <w:r>
        <w:rPr>
          <w:rFonts w:ascii="仿宋" w:hAnsi="仿宋" w:eastAsia="仿宋"/>
          <w:color w:val="000000" w:themeColor="text1"/>
          <w:sz w:val="32"/>
          <w:szCs w:val="32"/>
        </w:rPr>
        <w:t>%</w:t>
      </w:r>
      <w:r>
        <w:rPr>
          <w:rFonts w:hint="eastAsia" w:ascii="仿宋" w:hAnsi="仿宋" w:eastAsia="仿宋"/>
          <w:color w:val="000000" w:themeColor="text1"/>
          <w:sz w:val="32"/>
          <w:szCs w:val="32"/>
        </w:rPr>
        <w:t>；卫生健康支出6.40万元，占1.19</w:t>
      </w:r>
      <w:r>
        <w:rPr>
          <w:rFonts w:ascii="仿宋" w:hAnsi="仿宋" w:eastAsia="仿宋"/>
          <w:color w:val="000000" w:themeColor="text1"/>
          <w:sz w:val="32"/>
          <w:szCs w:val="32"/>
        </w:rPr>
        <w:t>%</w:t>
      </w:r>
      <w:r>
        <w:rPr>
          <w:rFonts w:hint="eastAsia" w:ascii="仿宋" w:hAnsi="仿宋" w:eastAsia="仿宋"/>
          <w:color w:val="000000" w:themeColor="text1"/>
          <w:sz w:val="32"/>
          <w:szCs w:val="32"/>
        </w:rPr>
        <w:t>；城乡社区支出440.74万元，占82.05%；住房保障支出</w:t>
      </w:r>
      <w:r>
        <w:rPr>
          <w:rStyle w:val="14"/>
          <w:rFonts w:hint="eastAsia" w:ascii="仿宋" w:hAnsi="仿宋" w:eastAsia="仿宋"/>
          <w:b w:val="0"/>
          <w:bCs/>
          <w:color w:val="000000" w:themeColor="text1"/>
          <w:sz w:val="32"/>
          <w:szCs w:val="32"/>
        </w:rPr>
        <w:t>61.61</w:t>
      </w:r>
      <w:r>
        <w:rPr>
          <w:rFonts w:hint="eastAsia" w:ascii="仿宋" w:hAnsi="仿宋" w:eastAsia="仿宋"/>
          <w:color w:val="000000" w:themeColor="text1"/>
          <w:sz w:val="32"/>
          <w:szCs w:val="32"/>
        </w:rPr>
        <w:t>万元，占11.47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spacing w:line="600" w:lineRule="exact"/>
        <w:ind w:firstLine="640"/>
        <w:rPr>
          <w:rFonts w:ascii="仿宋" w:hAnsi="仿宋" w:eastAsia="仿宋"/>
          <w:color w:val="0000FF"/>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720" w:lineRule="auto"/>
        <w:ind w:firstLine="640" w:firstLineChars="200"/>
        <w:rPr>
          <w:rFonts w:ascii="仿宋" w:hAnsi="仿宋" w:eastAsia="仿宋"/>
          <w:color w:val="000000"/>
          <w:sz w:val="32"/>
          <w:szCs w:val="32"/>
        </w:rPr>
      </w:pPr>
      <w:r>
        <w:rPr>
          <w:rFonts w:ascii="仿宋" w:hAnsi="仿宋" w:eastAsia="仿宋"/>
          <w:color w:val="000000"/>
          <w:sz w:val="32"/>
          <w:szCs w:val="32"/>
        </w:rPr>
        <w:drawing>
          <wp:inline distT="0" distB="0" distL="0" distR="0">
            <wp:extent cx="4915535" cy="3196590"/>
            <wp:effectExtent l="4445" t="4445" r="13970" b="184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3、一般公共预算财政拨款支出决算具体情况</w:t>
      </w:r>
      <w:bookmarkEnd w:id="34"/>
    </w:p>
    <w:p>
      <w:pPr>
        <w:spacing w:line="600" w:lineRule="exact"/>
        <w:ind w:firstLine="640" w:firstLineChars="200"/>
        <w:outlineLvl w:val="2"/>
        <w:rPr>
          <w:rFonts w:ascii="仿宋" w:hAnsi="仿宋" w:eastAsia="仿宋"/>
          <w:bCs/>
          <w:color w:val="FF0000"/>
          <w:sz w:val="32"/>
          <w:szCs w:val="32"/>
        </w:rPr>
      </w:pPr>
      <w:bookmarkStart w:id="35" w:name="_Toc15377213"/>
      <w:bookmarkStart w:id="36" w:name="_Toc15378460"/>
      <w:bookmarkStart w:id="37" w:name="_Toc15377444"/>
      <w:r>
        <w:rPr>
          <w:rFonts w:hint="eastAsia" w:ascii="仿宋" w:hAnsi="仿宋" w:eastAsia="仿宋"/>
          <w:bCs/>
          <w:color w:val="000000" w:themeColor="text1"/>
          <w:sz w:val="32"/>
          <w:szCs w:val="32"/>
        </w:rPr>
        <w:t>2019年一般公共预算支出决算数为537.19万元，</w:t>
      </w:r>
      <w:r>
        <w:rPr>
          <w:rStyle w:val="14"/>
          <w:rFonts w:hint="eastAsia" w:ascii="仿宋" w:hAnsi="仿宋" w:eastAsia="仿宋"/>
          <w:b w:val="0"/>
          <w:bCs/>
          <w:color w:val="000000" w:themeColor="text1"/>
          <w:sz w:val="32"/>
          <w:szCs w:val="32"/>
        </w:rPr>
        <w:t>完成</w:t>
      </w:r>
      <w:r>
        <w:rPr>
          <w:rStyle w:val="14"/>
          <w:rFonts w:hint="eastAsia" w:ascii="仿宋" w:hAnsi="仿宋" w:eastAsia="仿宋"/>
          <w:b w:val="0"/>
          <w:bCs/>
          <w:color w:val="000000"/>
          <w:sz w:val="32"/>
          <w:szCs w:val="32"/>
        </w:rPr>
        <w:t>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。其中：</w:t>
      </w:r>
      <w:bookmarkEnd w:id="35"/>
      <w:bookmarkEnd w:id="36"/>
      <w:bookmarkEnd w:id="37"/>
    </w:p>
    <w:p>
      <w:pPr>
        <w:spacing w:line="600" w:lineRule="exact"/>
        <w:ind w:firstLine="640" w:firstLineChars="200"/>
        <w:rPr>
          <w:rFonts w:ascii="仿宋" w:hAnsi="仿宋" w:eastAsia="仿宋"/>
          <w:bCs/>
          <w:color w:val="000000"/>
          <w:sz w:val="32"/>
          <w:szCs w:val="32"/>
        </w:rPr>
      </w:pPr>
      <w:r>
        <w:rPr>
          <w:rStyle w:val="14"/>
          <w:rFonts w:hint="eastAsia" w:ascii="仿宋" w:hAnsi="仿宋" w:eastAsia="仿宋"/>
          <w:b w:val="0"/>
          <w:bCs/>
          <w:color w:val="000000"/>
          <w:sz w:val="32"/>
          <w:szCs w:val="32"/>
        </w:rPr>
        <w:t>1</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社会保障和就业（类）行政事业单位离退休（款）机关事业单位基本养老保险缴费支出</w:t>
      </w:r>
      <w:r>
        <w:rPr>
          <w:rStyle w:val="14"/>
          <w:rFonts w:hint="eastAsia" w:ascii="仿宋" w:hAnsi="仿宋" w:eastAsia="仿宋"/>
          <w:b w:val="0"/>
          <w:bCs/>
          <w:color w:val="000000"/>
          <w:sz w:val="32"/>
          <w:szCs w:val="32"/>
          <w:lang w:val="en-US" w:eastAsia="zh-CN"/>
        </w:rPr>
        <w:t>:支出决算数18.04万元</w:t>
      </w:r>
      <w:r>
        <w:rPr>
          <w:rStyle w:val="14"/>
          <w:rFonts w:hint="eastAsia" w:ascii="仿宋" w:hAnsi="仿宋" w:eastAsia="仿宋"/>
          <w:b w:val="0"/>
          <w:bCs/>
          <w:color w:val="000000"/>
          <w:sz w:val="32"/>
          <w:szCs w:val="32"/>
        </w:rPr>
        <w:t>社会保障和就业（类）行政事业单位离退休（款）机关事业单位职业年金缴费支出（项）</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10.4</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2</w:t>
      </w:r>
      <w:r>
        <w:rPr>
          <w:rStyle w:val="14"/>
          <w:rFonts w:ascii="仿宋" w:hAnsi="仿宋" w:eastAsia="仿宋"/>
          <w:b w:val="0"/>
          <w:bCs/>
          <w:color w:val="000000"/>
          <w:sz w:val="32"/>
          <w:szCs w:val="32"/>
        </w:rPr>
        <w:t>.</w:t>
      </w:r>
      <w:r>
        <w:rPr>
          <w:rFonts w:hint="eastAsia" w:ascii="仿宋" w:hAnsi="仿宋" w:eastAsia="仿宋"/>
          <w:bCs/>
          <w:color w:val="000000" w:themeColor="text1"/>
          <w:sz w:val="32"/>
          <w:szCs w:val="32"/>
        </w:rPr>
        <w:t>卫生健康</w:t>
      </w:r>
      <w:r>
        <w:rPr>
          <w:rStyle w:val="14"/>
          <w:rFonts w:hint="eastAsia" w:ascii="仿宋" w:hAnsi="仿宋" w:eastAsia="仿宋"/>
          <w:b w:val="0"/>
          <w:bCs/>
          <w:color w:val="000000"/>
          <w:sz w:val="32"/>
          <w:szCs w:val="32"/>
        </w:rPr>
        <w:t>（类）行政事业单位医疗（款）事业单位医疗（项）</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支出决算为6.40万元，完成预算100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3</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城乡社区支出（类）城乡社区管理事务（款）住宅建设与房地产市场监管（项）</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支出决算为440.74万元，完成预算100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4</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住房保障支出（类）</w:t>
      </w:r>
      <w:r>
        <w:rPr>
          <w:rStyle w:val="14"/>
          <w:rFonts w:hint="eastAsia" w:ascii="仿宋" w:hAnsi="仿宋" w:eastAsia="仿宋"/>
          <w:b w:val="0"/>
          <w:bCs/>
          <w:color w:val="000000"/>
          <w:sz w:val="32"/>
          <w:szCs w:val="32"/>
          <w:lang w:eastAsia="zh-CN"/>
        </w:rPr>
        <w:t>保障性安居工程支出</w:t>
      </w:r>
      <w:r>
        <w:rPr>
          <w:rStyle w:val="14"/>
          <w:rFonts w:hint="eastAsia" w:ascii="仿宋" w:hAnsi="仿宋" w:eastAsia="仿宋"/>
          <w:b w:val="0"/>
          <w:bCs/>
          <w:color w:val="000000"/>
          <w:sz w:val="32"/>
          <w:szCs w:val="32"/>
        </w:rPr>
        <w:t>（款）住房公积金（项）住房保障支出（类）</w:t>
      </w:r>
      <w:r>
        <w:rPr>
          <w:rStyle w:val="14"/>
          <w:rFonts w:hint="eastAsia" w:ascii="仿宋" w:hAnsi="仿宋" w:eastAsia="仿宋"/>
          <w:b w:val="0"/>
          <w:bCs/>
          <w:color w:val="000000"/>
          <w:sz w:val="32"/>
          <w:szCs w:val="32"/>
          <w:lang w:eastAsia="zh-CN"/>
        </w:rPr>
        <w:t>保障性住房租金补贴</w:t>
      </w:r>
      <w:r>
        <w:rPr>
          <w:rStyle w:val="14"/>
          <w:rFonts w:hint="eastAsia" w:ascii="仿宋" w:hAnsi="仿宋" w:eastAsia="仿宋"/>
          <w:b w:val="0"/>
          <w:bCs/>
          <w:color w:val="000000"/>
          <w:sz w:val="32"/>
          <w:szCs w:val="32"/>
        </w:rPr>
        <w:t>（款）</w:t>
      </w:r>
      <w:r>
        <w:rPr>
          <w:rStyle w:val="14"/>
          <w:rFonts w:hint="eastAsia" w:ascii="仿宋" w:hAnsi="仿宋" w:eastAsia="仿宋"/>
          <w:b w:val="0"/>
          <w:bCs/>
          <w:color w:val="000000"/>
          <w:sz w:val="32"/>
          <w:szCs w:val="32"/>
          <w:lang w:eastAsia="zh-CN"/>
        </w:rPr>
        <w:t>：支出决算数为</w:t>
      </w:r>
      <w:r>
        <w:rPr>
          <w:rStyle w:val="14"/>
          <w:rFonts w:hint="eastAsia" w:ascii="仿宋" w:hAnsi="仿宋" w:eastAsia="仿宋"/>
          <w:b w:val="0"/>
          <w:bCs/>
          <w:color w:val="000000"/>
          <w:sz w:val="32"/>
          <w:szCs w:val="32"/>
          <w:lang w:val="en-US" w:eastAsia="zh-CN"/>
        </w:rPr>
        <w:t>41.48万元，</w:t>
      </w:r>
      <w:r>
        <w:rPr>
          <w:rStyle w:val="14"/>
          <w:rFonts w:hint="eastAsia" w:ascii="仿宋" w:hAnsi="仿宋" w:eastAsia="仿宋"/>
          <w:b w:val="0"/>
          <w:bCs/>
          <w:color w:val="000000"/>
          <w:sz w:val="32"/>
          <w:szCs w:val="32"/>
        </w:rPr>
        <w:t>住房公积金（项）</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20.13</w:t>
      </w:r>
      <w:r>
        <w:rPr>
          <w:rStyle w:val="14"/>
          <w:rFonts w:hint="eastAsia" w:ascii="仿宋" w:hAnsi="仿宋" w:eastAsia="仿宋"/>
          <w:b w:val="0"/>
          <w:bCs/>
          <w:color w:val="000000"/>
          <w:sz w:val="32"/>
          <w:szCs w:val="32"/>
        </w:rPr>
        <w:t>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tabs>
          <w:tab w:val="right" w:pos="8306"/>
        </w:tabs>
        <w:spacing w:line="600" w:lineRule="exact"/>
        <w:outlineLvl w:val="1"/>
        <w:rPr>
          <w:rStyle w:val="25"/>
        </w:rPr>
      </w:pPr>
      <w:bookmarkStart w:id="38" w:name="_Toc15396608"/>
      <w:bookmarkStart w:id="39" w:name="_Toc15377214"/>
      <w:r>
        <w:rPr>
          <w:rFonts w:hint="eastAsia" w:ascii="黑体" w:eastAsia="黑体"/>
          <w:b/>
          <w:color w:val="000000"/>
          <w:sz w:val="32"/>
          <w:szCs w:val="32"/>
        </w:rPr>
        <w:t>八、</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38"/>
      <w:bookmarkEnd w:id="39"/>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9年一般公共预算财政拨款基本支出312.39万元，其中：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286.92万元，主要包括：基本工资、津贴补贴、奖金、伙食补助费、绩效工资、机关事业单位基本养老保险缴费、职业年金缴费、其他社会保障缴费、其他工资福利支出、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25.47万元，主要包括：办公费、印刷费、水费、电费、邮电费、物业管理费、差旅费、维修（护）费、劳务费、委托业务费、工会经费、福利费、其他交通费、其他商品和服务支出、办公设备购置、专用设备购置、信息网络及软件购置更新等。</w:t>
      </w:r>
    </w:p>
    <w:p>
      <w:pPr>
        <w:spacing w:line="600" w:lineRule="exact"/>
        <w:outlineLvl w:val="1"/>
        <w:rPr>
          <w:rStyle w:val="25"/>
          <w:rFonts w:ascii="黑体" w:hAnsi="黑体" w:eastAsia="黑体"/>
          <w:b w:val="0"/>
        </w:rPr>
      </w:pPr>
      <w:bookmarkStart w:id="40" w:name="_Toc15396609"/>
      <w:bookmarkStart w:id="41" w:name="_Toc15377215"/>
      <w:r>
        <w:rPr>
          <w:rFonts w:hint="eastAsia" w:ascii="黑体" w:eastAsia="黑体"/>
          <w:color w:val="000000"/>
          <w:sz w:val="32"/>
          <w:szCs w:val="32"/>
        </w:rPr>
        <w:t>九、</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9年“三公”经费财政拨款支出决算为0万元，无预算。</w:t>
      </w:r>
    </w:p>
    <w:p>
      <w:pPr>
        <w:spacing w:line="60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9年“三公”经费财政拨款支出决算中，因公出国（境）费支出决算0万元；公务用车购置及运行维护费支出决算0万元，；公务接待费支出决算0万元。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无预算。</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0万元,无</w:t>
      </w:r>
      <w:r>
        <w:rPr>
          <w:rStyle w:val="14"/>
          <w:rFonts w:hint="eastAsia" w:ascii="仿宋" w:hAnsi="仿宋" w:eastAsia="仿宋"/>
          <w:b w:val="0"/>
          <w:bCs/>
          <w:color w:val="000000"/>
          <w:sz w:val="32"/>
          <w:szCs w:val="32"/>
        </w:rPr>
        <w:t>预算。</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0万元。主要用于</w:t>
      </w:r>
      <w:r>
        <w:rPr>
          <w:rFonts w:ascii="仿宋_GB2312" w:eastAsia="仿宋_GB2312"/>
          <w:color w:val="000000"/>
          <w:sz w:val="32"/>
          <w:szCs w:val="32"/>
        </w:rPr>
        <w:t>…</w:t>
      </w:r>
      <w:r>
        <w:rPr>
          <w:rFonts w:hint="eastAsia" w:ascii="仿宋_GB2312" w:eastAsia="仿宋_GB2312"/>
          <w:color w:val="000000"/>
          <w:sz w:val="32"/>
          <w:szCs w:val="32"/>
        </w:rPr>
        <w:t>（具体工作）等所需的公务用车燃料费、维修费、过路过桥费、保险费等支出。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无预算。</w:t>
      </w:r>
    </w:p>
    <w:p>
      <w:pPr>
        <w:spacing w:line="600" w:lineRule="exact"/>
        <w:ind w:firstLine="643"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w:t>
      </w:r>
    </w:p>
    <w:p>
      <w:pPr>
        <w:spacing w:line="600" w:lineRule="exact"/>
        <w:ind w:firstLine="640"/>
        <w:outlineLvl w:val="1"/>
        <w:rPr>
          <w:rFonts w:ascii="黑体" w:eastAsia="黑体"/>
          <w:color w:val="000000"/>
          <w:sz w:val="32"/>
          <w:szCs w:val="32"/>
        </w:rPr>
      </w:pPr>
      <w:bookmarkStart w:id="44" w:name="_Toc15396610"/>
      <w:bookmarkStart w:id="45" w:name="_Toc15377218"/>
    </w:p>
    <w:p>
      <w:pPr>
        <w:spacing w:line="600" w:lineRule="exact"/>
        <w:outlineLvl w:val="1"/>
        <w:rPr>
          <w:rStyle w:val="25"/>
          <w:rFonts w:ascii="黑体" w:hAnsi="黑体" w:eastAsia="黑体"/>
        </w:rPr>
      </w:pPr>
      <w:r>
        <w:rPr>
          <w:rFonts w:hint="eastAsia" w:ascii="黑体" w:eastAsia="黑体"/>
          <w:color w:val="000000"/>
          <w:sz w:val="32"/>
          <w:szCs w:val="32"/>
        </w:rPr>
        <w:t>十、</w:t>
      </w:r>
      <w:r>
        <w:rPr>
          <w:rStyle w:val="25"/>
          <w:rFonts w:hint="eastAsia" w:ascii="黑体" w:hAnsi="黑体" w:eastAsia="黑体"/>
          <w:b w:val="0"/>
        </w:rPr>
        <w:t>政府性基金预算支出决算情况说明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9年政府性基金预算拨款支出2697.7万元。</w:t>
      </w:r>
    </w:p>
    <w:p>
      <w:pPr>
        <w:spacing w:line="600" w:lineRule="exact"/>
        <w:ind w:firstLine="640"/>
        <w:rPr>
          <w:rFonts w:ascii="仿宋_GB2312" w:eastAsia="仿宋_GB2312"/>
          <w:color w:val="000000"/>
          <w:sz w:val="32"/>
          <w:szCs w:val="32"/>
        </w:rPr>
      </w:pPr>
    </w:p>
    <w:p>
      <w:pPr>
        <w:spacing w:line="600" w:lineRule="exact"/>
        <w:outlineLvl w:val="1"/>
        <w:rPr>
          <w:rStyle w:val="25"/>
          <w:rFonts w:ascii="黑体" w:hAnsi="黑体" w:eastAsia="黑体"/>
          <w:b w:val="0"/>
        </w:rPr>
      </w:pPr>
      <w:bookmarkStart w:id="46" w:name="_Toc15377219"/>
      <w:bookmarkStart w:id="47" w:name="_Toc15396611"/>
      <w:r>
        <w:rPr>
          <w:rStyle w:val="25"/>
          <w:rFonts w:hint="eastAsia" w:ascii="黑体" w:hAnsi="黑体" w:eastAsia="黑体"/>
          <w:b w:val="0"/>
        </w:rPr>
        <w:t>十一、国有资本经营预算支出决算情况说明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outlineLvl w:val="1"/>
        <w:rPr>
          <w:rStyle w:val="25"/>
          <w:rFonts w:ascii="黑体" w:hAnsi="黑体" w:eastAsia="黑体"/>
        </w:rPr>
      </w:pPr>
      <w:bookmarkStart w:id="48" w:name="_Toc15396612"/>
      <w:bookmarkStart w:id="49" w:name="_Toc15377221"/>
      <w:r>
        <w:rPr>
          <w:rStyle w:val="25"/>
          <w:rFonts w:hint="eastAsia" w:ascii="黑体" w:hAnsi="黑体" w:eastAsia="黑体"/>
        </w:rPr>
        <w:t>十二、</w:t>
      </w:r>
      <w:r>
        <w:rPr>
          <w:rStyle w:val="25"/>
          <w:rFonts w:hint="eastAsia" w:ascii="黑体" w:hAnsi="黑体" w:eastAsia="黑体"/>
          <w:b w:val="0"/>
        </w:rPr>
        <w:t>其他重要事项的情况说明</w:t>
      </w:r>
      <w:bookmarkEnd w:id="48"/>
      <w:bookmarkEnd w:id="49"/>
    </w:p>
    <w:p>
      <w:pPr>
        <w:spacing w:line="600" w:lineRule="exact"/>
        <w:ind w:firstLine="643"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9年，机关运行经费支出0万元，与</w:t>
      </w:r>
      <w:r>
        <w:rPr>
          <w:rFonts w:ascii="仿宋_GB2312" w:eastAsia="仿宋_GB2312"/>
          <w:color w:val="000000"/>
          <w:sz w:val="32"/>
          <w:szCs w:val="32"/>
        </w:rPr>
        <w:t>201</w:t>
      </w:r>
      <w:r>
        <w:rPr>
          <w:rFonts w:hint="eastAsia" w:ascii="仿宋_GB2312" w:eastAsia="仿宋_GB2312"/>
          <w:color w:val="000000"/>
          <w:sz w:val="32"/>
          <w:szCs w:val="32"/>
        </w:rPr>
        <w:t>8年决算数持平。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9年，政府采购支出总额0万元，其中：政府采购货物支出0万元、政府采购工程支出0万元、政府采购服务支出0万元。主授予中小企业合同金额0万元，占政府采购支出总额的0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themeColor="text1"/>
          <w:sz w:val="32"/>
          <w:szCs w:val="32"/>
        </w:rPr>
        <w:t>截至</w:t>
      </w:r>
      <w:r>
        <w:rPr>
          <w:rFonts w:ascii="仿宋_GB2312" w:eastAsia="仿宋_GB2312"/>
          <w:color w:val="000000" w:themeColor="text1"/>
          <w:sz w:val="32"/>
          <w:szCs w:val="32"/>
        </w:rPr>
        <w:t>201</w:t>
      </w:r>
      <w:r>
        <w:rPr>
          <w:rFonts w:hint="eastAsia" w:ascii="仿宋_GB2312" w:eastAsia="仿宋_GB2312"/>
          <w:color w:val="000000" w:themeColor="text1"/>
          <w:sz w:val="32"/>
          <w:szCs w:val="32"/>
        </w:rPr>
        <w:t>9年</w:t>
      </w:r>
      <w:r>
        <w:rPr>
          <w:rFonts w:ascii="仿宋_GB2312" w:eastAsia="仿宋_GB2312"/>
          <w:color w:val="000000" w:themeColor="text1"/>
          <w:sz w:val="32"/>
          <w:szCs w:val="32"/>
        </w:rPr>
        <w:t>12</w:t>
      </w:r>
      <w:r>
        <w:rPr>
          <w:rFonts w:hint="eastAsia" w:ascii="仿宋_GB2312" w:eastAsia="仿宋_GB2312"/>
          <w:color w:val="000000" w:themeColor="text1"/>
          <w:sz w:val="32"/>
          <w:szCs w:val="32"/>
        </w:rPr>
        <w:t>月</w:t>
      </w:r>
      <w:r>
        <w:rPr>
          <w:rFonts w:ascii="仿宋_GB2312" w:eastAsia="仿宋_GB2312"/>
          <w:color w:val="000000" w:themeColor="text1"/>
          <w:sz w:val="32"/>
          <w:szCs w:val="32"/>
        </w:rPr>
        <w:t>31</w:t>
      </w:r>
      <w:r>
        <w:rPr>
          <w:rFonts w:hint="eastAsia" w:ascii="仿宋_GB2312" w:eastAsia="仿宋_GB2312"/>
          <w:color w:val="000000" w:themeColor="text1"/>
          <w:sz w:val="32"/>
          <w:szCs w:val="32"/>
        </w:rPr>
        <w:t>日，共有车辆0辆</w:t>
      </w:r>
      <w:r>
        <w:rPr>
          <w:rFonts w:hint="eastAsia" w:ascii="仿宋_GB2312" w:eastAsia="仿宋_GB2312"/>
          <w:color w:val="000000"/>
          <w:sz w:val="32"/>
          <w:szCs w:val="32"/>
        </w:rPr>
        <w:t>，其中：主要领导干部用车0辆、机要通信用车0辆、应急保障用车0辆、其他用车0辆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_GB2312" w:hAnsi="仿宋_GB2312" w:eastAsia="仿宋_GB2312" w:cs="仿宋_GB2312"/>
          <w:sz w:val="32"/>
          <w:szCs w:val="32"/>
        </w:rPr>
      </w:pPr>
      <w:r>
        <w:rPr>
          <w:rFonts w:hint="eastAsia" w:ascii="仿宋" w:hAnsi="仿宋" w:eastAsia="仿宋"/>
          <w:b/>
          <w:color w:val="000000"/>
          <w:sz w:val="32"/>
          <w:szCs w:val="32"/>
        </w:rPr>
        <w:t>（四）预算绩效管理情况。</w:t>
      </w:r>
    </w:p>
    <w:p>
      <w:pPr>
        <w:widowControl/>
        <w:adjustRightInd w:val="0"/>
        <w:snapToGrid w:val="0"/>
        <w:spacing w:line="500" w:lineRule="exact"/>
        <w:ind w:firstLine="720"/>
        <w:jc w:val="left"/>
        <w:rPr>
          <w:rFonts w:ascii="仿宋" w:hAnsi="仿宋" w:eastAsia="仿宋" w:cs="仿宋"/>
          <w:color w:val="000000"/>
          <w:kern w:val="0"/>
          <w:sz w:val="32"/>
          <w:szCs w:val="32"/>
          <w:shd w:val="clear" w:color="auto" w:fill="FFFFFF"/>
          <w:lang w:val="zh-CN"/>
        </w:rPr>
      </w:pPr>
      <w:r>
        <w:rPr>
          <w:rFonts w:hint="eastAsia" w:ascii="仿宋" w:hAnsi="仿宋" w:eastAsia="仿宋" w:cs="仿宋"/>
          <w:sz w:val="32"/>
          <w:szCs w:val="32"/>
        </w:rPr>
        <w:t>按照预算绩效管理要求，峨眉山市住房保障和房地产事务中心对2019年项目支出开展了绩效目标管理，共编制绩效目标10个，涉及财政资金2922.51万元，覆盖率达到100%。</w:t>
      </w:r>
      <w:r>
        <w:rPr>
          <w:rFonts w:hint="eastAsia" w:ascii="仿宋" w:hAnsi="仿宋" w:eastAsia="仿宋" w:cs="仿宋"/>
          <w:color w:val="000000"/>
          <w:kern w:val="0"/>
          <w:sz w:val="32"/>
          <w:szCs w:val="32"/>
          <w:shd w:val="clear" w:color="auto" w:fill="FFFFFF"/>
          <w:lang w:val="zh-CN"/>
        </w:rPr>
        <w:t>通过</w:t>
      </w:r>
      <w:r>
        <w:rPr>
          <w:rFonts w:hint="eastAsia" w:ascii="仿宋" w:hAnsi="仿宋" w:eastAsia="仿宋" w:cs="仿宋"/>
          <w:color w:val="000000"/>
          <w:kern w:val="0"/>
          <w:sz w:val="32"/>
          <w:szCs w:val="32"/>
          <w:shd w:val="clear" w:color="auto" w:fill="FFFFFF"/>
        </w:rPr>
        <w:t>2019年预算支出绩效评价工作的开展，2019财政经费支出达到年初预算绩效目标的目标,按照部门支出绩效评价指标体系打分，2019年支出绩效评价得分为95分</w:t>
      </w:r>
      <w:r>
        <w:rPr>
          <w:rFonts w:hint="eastAsia" w:ascii="仿宋" w:hAnsi="仿宋" w:eastAsia="仿宋" w:cs="仿宋"/>
          <w:color w:val="000000"/>
          <w:kern w:val="0"/>
          <w:sz w:val="32"/>
          <w:szCs w:val="32"/>
          <w:shd w:val="clear" w:color="auto" w:fill="FFFFFF"/>
          <w:lang w:val="zh-CN"/>
        </w:rPr>
        <w:t>。</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房地产管理运行费、聘用人员经费、购房补贴等10个项目绩效目标实际完成情况。（本单位部门项目绩效目标个数在5个以上的，选取5个项目进行公开，目标个数在5个以下的，全部进行公开，公开内容包括选取的全部项目完成情况综述和完成情况表）。</w:t>
      </w:r>
    </w:p>
    <w:p>
      <w:pPr>
        <w:spacing w:line="640" w:lineRule="exact"/>
        <w:ind w:firstLine="645"/>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（1）房地产管理运行费项目绩效目标完成情况综述：项目全年预算数89.32万元，执行数为89.32万元，完成预算的100%。通过项目实施，</w:t>
      </w:r>
      <w:r>
        <w:rPr>
          <w:rFonts w:hint="eastAsia" w:ascii="仿宋" w:hAnsi="仿宋" w:eastAsia="仿宋" w:cs="仿宋"/>
          <w:sz w:val="32"/>
          <w:szCs w:val="32"/>
        </w:rPr>
        <w:t>保障加强房地产市场监管力度，继续落实市场巡查制度，加大对在售楼盘、房地产经纪机构的管理工作，完成了对全市物业管理活动的监督管理工作，确保单位工作正常运转。</w:t>
      </w:r>
      <w:r>
        <w:rPr>
          <w:rFonts w:hint="eastAsia" w:ascii="仿宋_GB2312" w:hAnsi="仿宋_GB2312" w:eastAsia="仿宋_GB2312" w:cs="仿宋_GB2312"/>
          <w:sz w:val="32"/>
          <w:szCs w:val="32"/>
        </w:rPr>
        <w:t>发现的主要问题：房地产企业和中介机构在日常销售过程中存在不实宣传，下一步改进措施：制作宣传资料对购房者进行房地产政策普及和购房提醒。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（2）劳务派遣人员经费绩效目标完成情况综述：项目全年预算数53.25万元，执行数为53.25万元，完成预算的100%。通过项目实施，保障新世纪人员的待遇，确保单位工作正常运转。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保障房管理经费项目绩效目标完成情况综述：项目全年预算数137.11万元，执行数为137.11万元，完成预算的100%。通过项目实施，保障全市保障房小区的物业管理和保障房维修等工作，解决中低收入家庭的住房困难。发现的主要问题：保障房小区存在一定的偷盗安全隐患。下一步改进措施：加强对保障房小区的监控安装。</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（4）购房补贴绩效目标完成情况综述：项目全年预算数2444.64万元，执行数为2444.64万元，完成预算的100%。通过项目实施，保障购房者的合法权益。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（5）档案密集架尾款绩效目标完成情况综述：项目全年预算数41.58万元，执行数为41.58万元，完成预算的100%。通过项目实施，保障房产档案的存放。</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档案密集架尾款</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峨眉山市住房保障和房地产事务中心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41.58万元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41.58万元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41.58万元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41.58万元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购置档案密集架用于放置房产档案</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购置档案密集架375.6立方，总金额75.60万元，当年支付尾款55%，用于放置房产档案</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购置面积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375.6立方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375.6立方</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本年付款率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完工率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调查中心档案管理人员对密集架的满意度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99</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99</w:t>
            </w:r>
          </w:p>
        </w:tc>
      </w:tr>
    </w:tbl>
    <w:p>
      <w:pPr>
        <w:spacing w:line="580" w:lineRule="exact"/>
        <w:ind w:firstLine="640" w:firstLineChars="200"/>
        <w:rPr>
          <w:rFonts w:ascii="仿宋_GB2312" w:hAnsi="仿宋_GB2312" w:eastAsia="仿宋_GB2312" w:cs="仿宋_GB2312"/>
          <w:sz w:val="32"/>
          <w:szCs w:val="32"/>
        </w:rPr>
      </w:pPr>
      <w:bookmarkStart w:id="71" w:name="_GoBack"/>
      <w:bookmarkEnd w:id="71"/>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房地产管理运行费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峨眉山市住房保障和房地产事务中心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89.32万元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89.32万元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89.32万元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89.32万元</w:t>
            </w:r>
          </w:p>
        </w:tc>
      </w:tr>
      <w:tr>
        <w:tblPrEx>
          <w:tblCellMar>
            <w:top w:w="0" w:type="dxa"/>
            <w:left w:w="0" w:type="dxa"/>
            <w:bottom w:w="0" w:type="dxa"/>
            <w:right w:w="0" w:type="dxa"/>
          </w:tblCellMar>
        </w:tblPrEx>
        <w:trPr>
          <w:trHeight w:val="1512"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sz w:val="32"/>
                <w:szCs w:val="32"/>
              </w:rPr>
              <w:t>计划完成对全市房地产市场监管，完成对全市物业管理活动的监管工作，完成对全市危房的巡查工作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仿宋" w:hAnsi="仿宋" w:eastAsia="仿宋" w:cs="仿宋"/>
                <w:sz w:val="32"/>
                <w:szCs w:val="32"/>
              </w:rPr>
              <w:t>完成对全市房地产市场监管，完成对全市物业管理活动的监管工作，完成对全市危房的巡查，确保单位工作的正常运转</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按期完成房地产市场巡查工作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每月一次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每月一次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按期完成危房巡查工作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每年1次大排查，每月1次抽查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每年1次大排查，每月1次抽查</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对物业小区</w:t>
            </w:r>
            <w:r>
              <w:rPr>
                <w:rFonts w:hint="eastAsia" w:ascii="宋体" w:hAnsi="宋体" w:cs="宋体"/>
                <w:color w:val="000000"/>
                <w:sz w:val="24"/>
                <w:lang w:eastAsia="zh-CN"/>
              </w:rPr>
              <w:t>、</w:t>
            </w:r>
            <w:r>
              <w:rPr>
                <w:rFonts w:hint="eastAsia" w:ascii="宋体" w:hAnsi="宋体" w:cs="宋体"/>
                <w:color w:val="000000"/>
                <w:sz w:val="24"/>
              </w:rPr>
              <w:t>房地产开发企业、中介机构存在的问题立即组织整改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整改率100%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整改率100%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调查城市居民对房地产市场和物业管理等方面的满意度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bl>
    <w:p>
      <w:pPr>
        <w:spacing w:line="580" w:lineRule="exact"/>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劳务派遣人员经费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住房保障和房地产事务中心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53.25万元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53.25万元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53.25万元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53.25万元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做好劳务派遣人员的经费保障</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保障劳务派遣人员的工资保险及时到位</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劳务派遣人员为10人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劳务派遣人员为10人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转账时间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每月一次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每月一次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按实发放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发放率100%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调查劳务派遣人员对收入的满意度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spacing w:line="580" w:lineRule="exact"/>
              <w:ind w:left="630"/>
              <w:rPr>
                <w:rFonts w:ascii="仿宋_GB2312" w:hAnsi="仿宋_GB2312" w:eastAsia="仿宋_GB2312" w:cs="仿宋_GB2312"/>
                <w:sz w:val="32"/>
                <w:szCs w:val="32"/>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保障房管理经费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峨眉山市住房保障和房地产事务中心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137.11万元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137.11万元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137.11万元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137.11万元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计划完成保障房小区的管理和保障房实物配租和公共租赁住房租金补贴的发放，收缴租金收入</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Theme="minorEastAsia" w:hAnsiTheme="minorEastAsia" w:eastAsiaTheme="minorEastAsia" w:cstheme="minorEastAsia"/>
                <w:color w:val="000000"/>
                <w:sz w:val="24"/>
              </w:rPr>
              <w:t>2019年共分配公共租赁住房82套，租金补贴发放金额41.48万元，收缴公共租赁住房租金</w:t>
            </w:r>
            <w:r>
              <w:rPr>
                <w:rFonts w:hint="eastAsia" w:asciiTheme="minorEastAsia" w:hAnsiTheme="minorEastAsia" w:eastAsiaTheme="minorEastAsia" w:cstheme="minorEastAsia"/>
                <w:sz w:val="24"/>
              </w:rPr>
              <w:t>361.42万元</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保障房小区的管理数量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12个小区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12个小区</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按时对符合条件的家庭发放租金补贴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发放41.48万元，发放率100%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发放41.48万元，发放率100%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调查保障房小区住户对小区管理的满意度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购房补贴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峨眉山市住房保障和房地产事务中心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2444.64万元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2444.64万元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2444.64万元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2444.64万元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根据购房者申请时间和财政资金的安排情况发放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发放8批次购房补贴，金额2444.64万元</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购房补贴发放标准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200元/平方米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200元/平方米</w:t>
            </w:r>
          </w:p>
        </w:tc>
      </w:tr>
      <w:tr>
        <w:tblPrEx>
          <w:tblCellMar>
            <w:top w:w="0" w:type="dxa"/>
            <w:left w:w="0" w:type="dxa"/>
            <w:bottom w:w="0" w:type="dxa"/>
            <w:right w:w="0" w:type="dxa"/>
          </w:tblCellMar>
        </w:tblPrEx>
        <w:trPr>
          <w:trHeight w:val="11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按购房面积如实发放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发放率100%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发放率100%</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调查购房者对购房补贴发放工作的满意度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bl>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峨眉山市住房保障和房地产事务中心</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购房补贴</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购房补贴</w:t>
      </w:r>
      <w:r>
        <w:rPr>
          <w:rFonts w:hint="eastAsia" w:ascii="仿宋_GB2312" w:hAnsi="仿宋_GB2312" w:eastAsia="仿宋_GB2312" w:cs="仿宋_GB2312"/>
          <w:sz w:val="32"/>
          <w:szCs w:val="32"/>
        </w:rPr>
        <w:t>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1"/>
        </w:numPr>
        <w:spacing w:line="600" w:lineRule="exact"/>
        <w:ind w:firstLine="660" w:firstLineChars="150"/>
        <w:jc w:val="center"/>
        <w:outlineLvl w:val="0"/>
        <w:rPr>
          <w:rStyle w:val="24"/>
          <w:rFonts w:ascii="黑体" w:hAnsi="黑体" w:eastAsia="黑体"/>
          <w:b w:val="0"/>
        </w:rPr>
      </w:pPr>
      <w:bookmarkStart w:id="53" w:name="_Toc15396613"/>
      <w:bookmarkStart w:id="54"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3"/>
      <w:bookmarkEnd w:id="54"/>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机关事业单位基本养老保险缴费支出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反映机关事业单位实施养老保险制度由单位缴纳的基本医疗保险费支出</w:t>
      </w:r>
      <w:r>
        <w:rPr>
          <w:rFonts w:hint="eastAsia" w:ascii="仿宋_GB2312" w:eastAsia="仿宋_GB2312"/>
          <w:color w:val="000000"/>
          <w:sz w:val="32"/>
          <w:szCs w:val="32"/>
        </w:rPr>
        <w:t>。社会保障和就业（类）</w:t>
      </w:r>
      <w:r>
        <w:rPr>
          <w:rFonts w:hint="eastAsia" w:ascii="仿宋_GB2312" w:eastAsia="仿宋_GB2312"/>
          <w:color w:val="000000"/>
          <w:sz w:val="32"/>
          <w:szCs w:val="32"/>
          <w:lang w:eastAsia="zh-CN"/>
        </w:rPr>
        <w:t>行政事业单位离退休</w:t>
      </w:r>
      <w:r>
        <w:rPr>
          <w:rFonts w:hint="eastAsia" w:ascii="仿宋_GB2312" w:eastAsia="仿宋_GB2312"/>
          <w:color w:val="000000"/>
          <w:sz w:val="32"/>
          <w:szCs w:val="32"/>
        </w:rPr>
        <w:t>（款）</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反映机关事业单位实施养老保险制度由单位实际缴纳的职业年金支出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9</w:t>
      </w:r>
      <w:r>
        <w:rPr>
          <w:rFonts w:ascii="仿宋_GB2312" w:eastAsia="仿宋_GB2312"/>
          <w:color w:val="000000"/>
          <w:sz w:val="32"/>
          <w:szCs w:val="32"/>
        </w:rPr>
        <w:t>.</w:t>
      </w:r>
      <w:r>
        <w:rPr>
          <w:rFonts w:hint="eastAsia" w:ascii="仿宋_GB2312" w:eastAsia="仿宋_GB2312"/>
          <w:color w:val="000000"/>
          <w:sz w:val="32"/>
          <w:szCs w:val="32"/>
        </w:rPr>
        <w:t>城乡社区（类）</w:t>
      </w:r>
      <w:r>
        <w:rPr>
          <w:rFonts w:hint="eastAsia" w:ascii="仿宋_GB2312" w:eastAsia="仿宋_GB2312"/>
          <w:color w:val="000000"/>
          <w:sz w:val="32"/>
          <w:szCs w:val="32"/>
          <w:lang w:eastAsia="zh-CN"/>
        </w:rPr>
        <w:t>城乡社区管理事务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住宅建设与房地产市场监管</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反映调控房地产市场运行、研究拟订城镇住房制度改革法规、对住房公积金和其他房改资金进行政策指导并监督使用等方面的支出。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住房保障（类</w:t>
      </w:r>
      <w:r>
        <w:rPr>
          <w:rFonts w:hint="eastAsia" w:ascii="仿宋_GB2312" w:eastAsia="仿宋_GB2312"/>
          <w:color w:val="000000"/>
          <w:sz w:val="32"/>
          <w:szCs w:val="32"/>
          <w:lang w:eastAsia="zh-CN"/>
        </w:rPr>
        <w:t>）保障性安居工程支出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保障性住房租金补贴</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反映各级政府向低收入住房保障家庭发放的住房租赁补贴支出；住</w:t>
      </w:r>
      <w:r>
        <w:rPr>
          <w:rFonts w:hint="eastAsia" w:ascii="仿宋_GB2312" w:eastAsia="仿宋_GB2312"/>
          <w:color w:val="000000"/>
          <w:sz w:val="32"/>
          <w:szCs w:val="32"/>
        </w:rPr>
        <w:t>房保障（类</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（款）</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反映行政事业单位按人力资源和社会保障部、财政部规定的基本工资和津贴补贴以及规定比例为职工缴纳的住房公积金</w:t>
      </w:r>
      <w:r>
        <w:rPr>
          <w:rFonts w:hint="eastAsia" w:ascii="仿宋_GB2312" w:eastAsia="仿宋_GB2312"/>
          <w:color w:val="000000"/>
          <w:sz w:val="32"/>
          <w:szCs w:val="32"/>
        </w:rPr>
        <w:t>。</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13</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55" w:name="_Toc15377226"/>
      <w:r>
        <w:rPr>
          <w:rFonts w:ascii="宋体"/>
          <w:b/>
          <w:color w:val="000000"/>
          <w:sz w:val="44"/>
          <w:szCs w:val="44"/>
        </w:rPr>
        <w:br w:type="page"/>
      </w:r>
      <w:bookmarkStart w:id="56"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6"/>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峨眉山市住房保障和房地产事务中心</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ind w:left="-540" w:leftChars="-257" w:right="-874" w:rightChars="-416" w:firstLine="600" w:firstLineChars="200"/>
        <w:rPr>
          <w:rFonts w:ascii="仿宋" w:hAnsi="仿宋" w:eastAsia="仿宋" w:cs="仿宋"/>
          <w:sz w:val="30"/>
          <w:szCs w:val="30"/>
        </w:rPr>
      </w:pPr>
      <w:r>
        <w:rPr>
          <w:rFonts w:hint="eastAsia" w:ascii="仿宋" w:hAnsi="仿宋" w:eastAsia="仿宋" w:cs="仿宋"/>
          <w:sz w:val="30"/>
          <w:szCs w:val="30"/>
        </w:rPr>
        <w:t>根据峨峨府定（2012）15号文件，我中心为全额预算单位。根据峨编发（2017）52号文件将白蚁所整体划入我中心，重新核定事业编制11名，我中心现有在职职工15人。</w:t>
      </w:r>
      <w:r>
        <w:rPr>
          <w:rFonts w:hint="eastAsia" w:ascii="仿宋" w:hAnsi="仿宋" w:eastAsia="仿宋" w:cs="仿宋"/>
          <w:color w:val="000000" w:themeColor="text1"/>
          <w:sz w:val="32"/>
          <w:szCs w:val="32"/>
        </w:rPr>
        <w:t>执行住房制度改革和危旧房、棚户区及老旧小区改造政策；承担保障性住房相关事务工作；承担房改遗留问题相关工作；承担房地产交易、房地产交易档案管理、房屋租赁服务工作；承担全市物业企业服务工作；承担住宅专项维修资金归集和使用具体事务性工作；承担住房信息系统的建设与维护工作；承担全市建筑物的白蚁防治、技术咨询及新建房屋的白蚁预防工作；完成上级交办的其他任务。</w:t>
      </w:r>
    </w:p>
    <w:p>
      <w:pPr>
        <w:widowControl/>
        <w:adjustRightInd w:val="0"/>
        <w:snapToGrid w:val="0"/>
        <w:spacing w:line="580" w:lineRule="exact"/>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ascii="仿宋_GB2312" w:hAnsi="宋体" w:eastAsia="仿宋" w:cs="宋体"/>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9年本年收入合计3202.68万元，其中：一般公共预算财政拨款收入559.78万元，占17.48</w:t>
      </w:r>
      <w:r>
        <w:rPr>
          <w:rFonts w:ascii="仿宋" w:hAnsi="仿宋" w:eastAsia="仿宋"/>
          <w:color w:val="000000"/>
          <w:sz w:val="32"/>
          <w:szCs w:val="32"/>
        </w:rPr>
        <w:t>%</w:t>
      </w:r>
      <w:r>
        <w:rPr>
          <w:rFonts w:hint="eastAsia" w:ascii="仿宋" w:hAnsi="仿宋" w:eastAsia="仿宋"/>
          <w:color w:val="000000"/>
          <w:sz w:val="32"/>
          <w:szCs w:val="32"/>
        </w:rPr>
        <w:t>；政府性基金预算财政拨款收入2642.9万元，占82.52</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仿宋_GB2312" w:hAnsi="宋体" w:eastAsia="仿宋"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r>
        <w:rPr>
          <w:rFonts w:ascii="仿宋" w:hAnsi="仿宋" w:eastAsia="仿宋"/>
          <w:color w:val="000000"/>
          <w:sz w:val="32"/>
          <w:szCs w:val="32"/>
        </w:rPr>
        <w:t>201</w:t>
      </w:r>
      <w:r>
        <w:rPr>
          <w:rFonts w:hint="eastAsia" w:ascii="仿宋" w:hAnsi="仿宋" w:eastAsia="仿宋"/>
          <w:color w:val="000000"/>
          <w:sz w:val="32"/>
          <w:szCs w:val="32"/>
        </w:rPr>
        <w:t>9年本年支出合计3234.9万元，其中：基本支出312.39万元，占9.66</w:t>
      </w:r>
      <w:r>
        <w:rPr>
          <w:rFonts w:ascii="仿宋" w:hAnsi="仿宋" w:eastAsia="仿宋"/>
          <w:color w:val="000000"/>
          <w:sz w:val="32"/>
          <w:szCs w:val="32"/>
        </w:rPr>
        <w:t>%</w:t>
      </w:r>
      <w:r>
        <w:rPr>
          <w:rFonts w:hint="eastAsia" w:ascii="仿宋" w:hAnsi="仿宋" w:eastAsia="仿宋"/>
          <w:color w:val="000000"/>
          <w:sz w:val="32"/>
          <w:szCs w:val="32"/>
        </w:rPr>
        <w:t>；项目支出2,922.51万元，占90.34</w:t>
      </w:r>
      <w:r>
        <w:rPr>
          <w:rFonts w:ascii="仿宋" w:hAnsi="仿宋" w:eastAsia="仿宋"/>
          <w:color w:val="000000"/>
          <w:sz w:val="32"/>
          <w:szCs w:val="32"/>
        </w:rPr>
        <w:t>%</w:t>
      </w:r>
      <w:r>
        <w:rPr>
          <w:rFonts w:hint="eastAsia" w:ascii="仿宋" w:hAnsi="仿宋" w:eastAsia="仿宋"/>
          <w:color w:val="000000"/>
          <w:sz w:val="32"/>
          <w:szCs w:val="32"/>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我中心资金管理年初列入财政预算，同步上报绩效目标，资金使用过程由财政全程监督，项目资金年终及时开展绩效评价，严格按照有关项目资金管理办法执行，无违纪违规情况。</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spacing w:line="580"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rPr>
        <w:t>2019年支出绩效评价得分</w:t>
      </w:r>
      <w:r>
        <w:rPr>
          <w:rFonts w:hint="eastAsia" w:ascii="仿宋_GB2312" w:hAnsi="宋体" w:eastAsia="仿宋_GB2312" w:cs="宋体"/>
          <w:color w:val="000000" w:themeColor="text1"/>
          <w:kern w:val="0"/>
          <w:sz w:val="32"/>
          <w:szCs w:val="32"/>
          <w:shd w:val="clear" w:color="auto" w:fill="FFFFFF"/>
        </w:rPr>
        <w:t>95</w:t>
      </w:r>
      <w:r>
        <w:rPr>
          <w:rFonts w:hint="eastAsia" w:ascii="仿宋_GB2312" w:hAnsi="宋体" w:eastAsia="仿宋_GB2312" w:cs="宋体"/>
          <w:color w:val="000000"/>
          <w:kern w:val="0"/>
          <w:sz w:val="32"/>
          <w:szCs w:val="32"/>
          <w:shd w:val="clear" w:color="auto" w:fill="FFFFFF"/>
        </w:rPr>
        <w:t>分，我中心将进一步加强预算绩效管理。</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购房补贴</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s="仿宋"/>
          <w:kern w:val="0"/>
          <w:sz w:val="32"/>
          <w:szCs w:val="32"/>
        </w:rPr>
        <w:t>按照峨府办发〔2015〕27号文件精神，对2015年10月16日至2016年5月31日，在我市境内个人购买新建普通商品住房（不含二手房），按建筑面积计算由财政给予200元/平方米购房补贴，2019年共申请财政支金2444.64万元，峨眉山市财政局批复下达资金2444.64万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1．项目主要用于购房补贴的发放，按照购房者的申请时间，</w:t>
      </w:r>
      <w:r>
        <w:rPr>
          <w:rFonts w:hint="eastAsia" w:ascii="仿宋_GB2312" w:hAnsi="宋体" w:eastAsia="仿宋_GB2312"/>
          <w:sz w:val="32"/>
          <w:szCs w:val="32"/>
        </w:rPr>
        <w:t>2019年共申请发放购房补贴8批次，</w:t>
      </w:r>
      <w:r>
        <w:rPr>
          <w:rFonts w:hint="eastAsia" w:ascii="仿宋_GB2312" w:hAnsi="宋体" w:eastAsia="仿宋_GB2312"/>
          <w:sz w:val="32"/>
          <w:szCs w:val="32"/>
          <w:lang w:val="zh-CN"/>
        </w:rPr>
        <w:t>申报内容与实际相符，申报目标合理可行。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widowControl/>
        <w:adjustRightInd w:val="0"/>
        <w:snapToGrid w:val="0"/>
        <w:spacing w:line="580"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该项目资金按照</w:t>
      </w:r>
      <w:r>
        <w:rPr>
          <w:rFonts w:hint="eastAsia" w:ascii="仿宋_GB2312" w:hAnsi="宋体" w:eastAsia="仿宋_GB2312" w:cs="宋体"/>
          <w:color w:val="000000"/>
          <w:kern w:val="0"/>
          <w:sz w:val="32"/>
          <w:szCs w:val="32"/>
          <w:shd w:val="clear" w:color="auto" w:fill="FFFFFF"/>
          <w:lang w:val="zh-CN"/>
        </w:rPr>
        <w:t>年初列入财政预算，同步上报绩效目标，由财政部门批复。</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 w:hAnsi="仿宋" w:eastAsia="仿宋" w:cs="仿宋"/>
          <w:sz w:val="32"/>
          <w:szCs w:val="32"/>
        </w:rPr>
      </w:pPr>
      <w:r>
        <w:rPr>
          <w:rFonts w:hint="eastAsia" w:ascii="仿宋" w:hAnsi="仿宋" w:eastAsia="仿宋" w:cs="仿宋"/>
          <w:sz w:val="32"/>
          <w:szCs w:val="32"/>
          <w:lang w:val="zh-CN"/>
        </w:rPr>
        <w:t>1．资金计划及资金到位。峨眉山市财政局下达</w:t>
      </w:r>
      <w:r>
        <w:rPr>
          <w:rFonts w:hint="eastAsia" w:ascii="仿宋" w:hAnsi="仿宋" w:eastAsia="仿宋" w:cs="仿宋"/>
          <w:sz w:val="32"/>
          <w:szCs w:val="32"/>
        </w:rPr>
        <w:t>2444.64万元。</w:t>
      </w:r>
    </w:p>
    <w:p>
      <w:pPr>
        <w:adjustRightInd w:val="0"/>
        <w:snapToGrid w:val="0"/>
        <w:spacing w:line="600" w:lineRule="exact"/>
        <w:ind w:firstLine="720"/>
        <w:rPr>
          <w:rFonts w:ascii="仿宋" w:hAnsi="仿宋" w:eastAsia="仿宋" w:cs="仿宋"/>
          <w:sz w:val="32"/>
          <w:szCs w:val="32"/>
          <w:lang w:val="zh-CN"/>
        </w:rPr>
      </w:pPr>
      <w:r>
        <w:rPr>
          <w:rFonts w:hint="eastAsia" w:ascii="仿宋" w:hAnsi="仿宋" w:eastAsia="仿宋" w:cs="仿宋"/>
          <w:sz w:val="32"/>
          <w:szCs w:val="32"/>
          <w:lang w:val="zh-CN"/>
        </w:rPr>
        <w:t>2．资金使用。我中心根据财政下达的资金预算批复指标，按程序向财政申报资金，并以财政直接支付方式，分别以一卡通系统发放和单位代发两种方式发放到购房者提供的本人账户，确保资金安全，实际共发放金额为</w:t>
      </w:r>
      <w:r>
        <w:rPr>
          <w:rFonts w:hint="eastAsia" w:ascii="仿宋" w:hAnsi="仿宋" w:eastAsia="仿宋" w:cs="仿宋"/>
          <w:sz w:val="32"/>
          <w:szCs w:val="32"/>
        </w:rPr>
        <w:t>2444.64万元，</w:t>
      </w:r>
      <w:r>
        <w:rPr>
          <w:rFonts w:hint="eastAsia" w:ascii="仿宋" w:hAnsi="仿宋" w:eastAsia="仿宋" w:cs="仿宋"/>
          <w:sz w:val="32"/>
          <w:szCs w:val="32"/>
          <w:lang w:val="zh-CN"/>
        </w:rPr>
        <w:t>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按照项目资金管理办法，严格执行财务管理制度，账务处理及时，会计核算规范，确保项目资金专款专用，无违规违纪行为。</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主要由购房户本人到政务中心窗口提交相关资料，由市场股工作人员对其资料进行审核，对符合条件的购房者按期申请时间分批次制表，由股室负责人复核后提交中心副主任审核，中心主任审批后交财务发放。对有社保卡的人员由一卡通系统发放，无社保卡人员（军人、外籍人士、港澳台地区人员</w:t>
      </w:r>
      <w:r>
        <w:rPr>
          <w:rFonts w:hint="eastAsia" w:ascii="仿宋_GB2312" w:hAnsi="宋体" w:eastAsia="仿宋_GB2312"/>
          <w:sz w:val="32"/>
          <w:szCs w:val="32"/>
          <w:lang w:val="zh-CN" w:eastAsia="zh-CN"/>
        </w:rPr>
        <w:t>等</w:t>
      </w:r>
      <w:r>
        <w:rPr>
          <w:rFonts w:hint="eastAsia" w:ascii="仿宋_GB2312" w:hAnsi="宋体" w:eastAsia="仿宋_GB2312"/>
          <w:sz w:val="32"/>
          <w:szCs w:val="32"/>
          <w:lang w:val="zh-CN"/>
        </w:rPr>
        <w:t>）由本人提供银行卡信息，单位代发。</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仿宋" w:hAnsi="仿宋" w:eastAsia="仿宋" w:cs="仿宋"/>
          <w:bCs/>
          <w:sz w:val="32"/>
          <w:szCs w:val="32"/>
        </w:rPr>
      </w:pPr>
      <w:r>
        <w:rPr>
          <w:rFonts w:hint="eastAsia" w:ascii="楷体_GB2312" w:hAnsi="宋体" w:eastAsia="楷体_GB2312"/>
          <w:b/>
          <w:sz w:val="32"/>
          <w:szCs w:val="32"/>
          <w:lang w:val="zh-CN"/>
        </w:rPr>
        <w:t>（一）项目完成情况。</w:t>
      </w:r>
      <w:r>
        <w:rPr>
          <w:rFonts w:hint="eastAsia" w:ascii="仿宋" w:hAnsi="仿宋" w:eastAsia="仿宋" w:cs="仿宋"/>
          <w:bCs/>
          <w:sz w:val="32"/>
          <w:szCs w:val="32"/>
          <w:lang w:val="zh-CN"/>
        </w:rPr>
        <w:t>按时完成了购房补贴</w:t>
      </w:r>
      <w:r>
        <w:rPr>
          <w:rFonts w:hint="eastAsia" w:ascii="仿宋" w:hAnsi="仿宋" w:eastAsia="仿宋" w:cs="仿宋"/>
          <w:bCs/>
          <w:sz w:val="32"/>
          <w:szCs w:val="32"/>
        </w:rPr>
        <w:t>2019年度的发放工作，资金使用做到合理可行，有规可依，资金使用规范。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通过购房补贴的发放，提高改善性住房、刚需性住房的销售，促进全市房地产市场平稳健康发展。</w:t>
      </w:r>
    </w:p>
    <w:p>
      <w:pPr>
        <w:numPr>
          <w:ilvl w:val="0"/>
          <w:numId w:val="2"/>
        </w:numPr>
        <w:spacing w:line="580" w:lineRule="exact"/>
        <w:ind w:firstLine="640" w:firstLineChars="200"/>
        <w:rPr>
          <w:rFonts w:ascii="黑体" w:hAnsi="宋体" w:eastAsia="黑体"/>
          <w:sz w:val="32"/>
          <w:szCs w:val="32"/>
        </w:rPr>
      </w:pPr>
      <w:r>
        <w:rPr>
          <w:rFonts w:hint="eastAsia" w:ascii="黑体" w:hAnsi="宋体" w:eastAsia="黑体"/>
          <w:sz w:val="32"/>
          <w:szCs w:val="32"/>
        </w:rPr>
        <w:t>评价结论及建议</w:t>
      </w:r>
    </w:p>
    <w:p>
      <w:pPr>
        <w:spacing w:line="580" w:lineRule="exact"/>
        <w:ind w:firstLine="640" w:firstLineChars="200"/>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rPr>
        <w:t>2019年支出绩效评价得分93.5分，由于购房补贴涉及群众较多，资金需求量大，发放时间较长，群众意见反馈大，我中心将积极与财政部门沟通，做好资金安排。</w:t>
      </w:r>
    </w:p>
    <w:p>
      <w:pPr>
        <w:adjustRightInd w:val="0"/>
        <w:snapToGrid w:val="0"/>
        <w:spacing w:line="600" w:lineRule="exact"/>
        <w:ind w:firstLine="720"/>
        <w:rPr>
          <w:rFonts w:ascii="黑体" w:hAnsi="宋体" w:eastAsia="黑体"/>
          <w:sz w:val="32"/>
          <w:szCs w:val="32"/>
        </w:rPr>
      </w:pP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7"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5"/>
      <w:bookmarkEnd w:id="57"/>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58"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58"/>
    </w:p>
    <w:p>
      <w:pPr>
        <w:pStyle w:val="3"/>
        <w:rPr>
          <w:rFonts w:ascii="仿宋" w:hAnsi="仿宋" w:eastAsia="仿宋"/>
          <w:color w:val="000000"/>
        </w:rPr>
      </w:pPr>
      <w:bookmarkStart w:id="59"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59"/>
    </w:p>
    <w:p>
      <w:pPr>
        <w:pStyle w:val="3"/>
        <w:rPr>
          <w:rFonts w:ascii="仿宋" w:hAnsi="仿宋" w:eastAsia="仿宋"/>
          <w:color w:val="000000"/>
        </w:rPr>
      </w:pPr>
      <w:bookmarkStart w:id="6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0"/>
    </w:p>
    <w:p>
      <w:pPr>
        <w:pStyle w:val="3"/>
        <w:rPr>
          <w:rFonts w:ascii="仿宋" w:hAnsi="仿宋" w:eastAsia="仿宋"/>
          <w:b w:val="0"/>
          <w:color w:val="000000"/>
        </w:rPr>
      </w:pPr>
      <w:bookmarkStart w:id="61"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1"/>
    </w:p>
    <w:p>
      <w:pPr>
        <w:pStyle w:val="3"/>
        <w:rPr>
          <w:rStyle w:val="25"/>
          <w:rFonts w:ascii="仿宋" w:hAnsi="仿宋" w:eastAsia="仿宋"/>
          <w:b w:val="0"/>
          <w:bCs w:val="0"/>
        </w:rPr>
      </w:pPr>
      <w:bookmarkStart w:id="62"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2"/>
      <w:bookmarkStart w:id="63"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3"/>
    </w:p>
    <w:p>
      <w:pPr>
        <w:pStyle w:val="3"/>
        <w:rPr>
          <w:rFonts w:ascii="仿宋" w:hAnsi="仿宋" w:eastAsia="仿宋"/>
          <w:color w:val="000000"/>
        </w:rPr>
      </w:pPr>
      <w:bookmarkStart w:id="64"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4"/>
    </w:p>
    <w:p>
      <w:pPr>
        <w:pStyle w:val="3"/>
        <w:rPr>
          <w:rFonts w:ascii="仿宋" w:hAnsi="仿宋" w:eastAsia="仿宋"/>
          <w:color w:val="000000"/>
        </w:rPr>
      </w:pPr>
      <w:bookmarkStart w:id="6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5"/>
    </w:p>
    <w:p>
      <w:pPr>
        <w:pStyle w:val="3"/>
        <w:rPr>
          <w:rFonts w:ascii="仿宋" w:hAnsi="仿宋" w:eastAsia="仿宋"/>
          <w:color w:val="000000"/>
        </w:rPr>
      </w:pPr>
      <w:bookmarkStart w:id="66"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6"/>
    </w:p>
    <w:p>
      <w:pPr>
        <w:pStyle w:val="3"/>
        <w:rPr>
          <w:rFonts w:ascii="仿宋" w:hAnsi="仿宋" w:eastAsia="仿宋"/>
          <w:color w:val="000000"/>
        </w:rPr>
      </w:pPr>
      <w:bookmarkStart w:id="67"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7"/>
    </w:p>
    <w:p>
      <w:pPr>
        <w:pStyle w:val="3"/>
        <w:rPr>
          <w:rFonts w:ascii="仿宋" w:hAnsi="仿宋" w:eastAsia="仿宋"/>
          <w:color w:val="000000"/>
        </w:rPr>
      </w:pPr>
      <w:bookmarkStart w:id="68"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68"/>
    </w:p>
    <w:p>
      <w:pPr>
        <w:pStyle w:val="3"/>
        <w:rPr>
          <w:rFonts w:ascii="仿宋" w:hAnsi="仿宋" w:eastAsia="仿宋"/>
          <w:color w:val="000000"/>
        </w:rPr>
      </w:pPr>
      <w:bookmarkStart w:id="69"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69"/>
    </w:p>
    <w:p>
      <w:pPr>
        <w:pStyle w:val="3"/>
        <w:rPr>
          <w:rFonts w:ascii="仿宋" w:hAnsi="仿宋" w:eastAsia="仿宋"/>
          <w:color w:val="000000" w:themeColor="text1"/>
        </w:rPr>
      </w:pPr>
      <w:bookmarkStart w:id="70"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C7317"/>
    <w:multiLevelType w:val="singleLevel"/>
    <w:tmpl w:val="911C7317"/>
    <w:lvl w:ilvl="0" w:tentative="0">
      <w:start w:val="5"/>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44A9"/>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61E5D"/>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1BC5"/>
    <w:rsid w:val="007F2C2F"/>
    <w:rsid w:val="007F55FC"/>
    <w:rsid w:val="007F5665"/>
    <w:rsid w:val="00800112"/>
    <w:rsid w:val="00805C26"/>
    <w:rsid w:val="00813348"/>
    <w:rsid w:val="00823952"/>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50D"/>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078BC"/>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E03A4"/>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03AF9"/>
    <w:rsid w:val="04003C5E"/>
    <w:rsid w:val="05903DB0"/>
    <w:rsid w:val="08470F11"/>
    <w:rsid w:val="0A5C59D1"/>
    <w:rsid w:val="0CAC3D19"/>
    <w:rsid w:val="0E9E0C6F"/>
    <w:rsid w:val="10C055FF"/>
    <w:rsid w:val="11652E0B"/>
    <w:rsid w:val="12D959D3"/>
    <w:rsid w:val="153F1759"/>
    <w:rsid w:val="16BB723D"/>
    <w:rsid w:val="16EC225F"/>
    <w:rsid w:val="1A5E7E9B"/>
    <w:rsid w:val="1C5F6746"/>
    <w:rsid w:val="1C7B112E"/>
    <w:rsid w:val="1DCD1985"/>
    <w:rsid w:val="1ED435F5"/>
    <w:rsid w:val="20D37DB1"/>
    <w:rsid w:val="240371BF"/>
    <w:rsid w:val="254C706E"/>
    <w:rsid w:val="25BB2C75"/>
    <w:rsid w:val="266E4359"/>
    <w:rsid w:val="27B425F4"/>
    <w:rsid w:val="29F52272"/>
    <w:rsid w:val="29FD04D3"/>
    <w:rsid w:val="2A3B06D9"/>
    <w:rsid w:val="2AE90F4E"/>
    <w:rsid w:val="2C206673"/>
    <w:rsid w:val="2C75393F"/>
    <w:rsid w:val="2CAF0D8A"/>
    <w:rsid w:val="2D2A556B"/>
    <w:rsid w:val="2D415E58"/>
    <w:rsid w:val="2FAC030B"/>
    <w:rsid w:val="319F7F4E"/>
    <w:rsid w:val="35622BB7"/>
    <w:rsid w:val="35B32420"/>
    <w:rsid w:val="377B0E3B"/>
    <w:rsid w:val="390943AB"/>
    <w:rsid w:val="3B106E29"/>
    <w:rsid w:val="3DAC2529"/>
    <w:rsid w:val="3E713526"/>
    <w:rsid w:val="3FFB7BAC"/>
    <w:rsid w:val="405321F1"/>
    <w:rsid w:val="40E97E19"/>
    <w:rsid w:val="43DE0BC7"/>
    <w:rsid w:val="450443A0"/>
    <w:rsid w:val="4948299F"/>
    <w:rsid w:val="49B03983"/>
    <w:rsid w:val="4BAC7FAB"/>
    <w:rsid w:val="4ECE2238"/>
    <w:rsid w:val="4F031C05"/>
    <w:rsid w:val="4FAF3A4E"/>
    <w:rsid w:val="502C415E"/>
    <w:rsid w:val="529022D3"/>
    <w:rsid w:val="52E56DB5"/>
    <w:rsid w:val="55462B1B"/>
    <w:rsid w:val="5624541C"/>
    <w:rsid w:val="56780AEA"/>
    <w:rsid w:val="567B4181"/>
    <w:rsid w:val="57D16C8F"/>
    <w:rsid w:val="59942527"/>
    <w:rsid w:val="5AD76B26"/>
    <w:rsid w:val="5BB45ECA"/>
    <w:rsid w:val="5FE92498"/>
    <w:rsid w:val="611969E8"/>
    <w:rsid w:val="61721D34"/>
    <w:rsid w:val="64107E21"/>
    <w:rsid w:val="64B249C8"/>
    <w:rsid w:val="6733204B"/>
    <w:rsid w:val="6E273A43"/>
    <w:rsid w:val="6ED07FF9"/>
    <w:rsid w:val="6F57485F"/>
    <w:rsid w:val="72734D90"/>
    <w:rsid w:val="727B0BEB"/>
    <w:rsid w:val="749D13DA"/>
    <w:rsid w:val="754341B1"/>
    <w:rsid w:val="790A5C50"/>
    <w:rsid w:val="79553473"/>
    <w:rsid w:val="7BB616F2"/>
    <w:rsid w:val="7E331589"/>
    <w:rsid w:val="7FE018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5.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2019年度收、支总计（万元）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2019年度</c:v>
                </c:pt>
                <c:pt idx="1">
                  <c:v>2018年度</c:v>
                </c:pt>
              </c:strCache>
            </c:strRef>
          </c:cat>
          <c:val>
            <c:numRef>
              <c:f>Sheet1!$B$2:$B$3</c:f>
              <c:numCache>
                <c:formatCode>General</c:formatCode>
                <c:ptCount val="2"/>
                <c:pt idx="0">
                  <c:v>3269.38</c:v>
                </c:pt>
                <c:pt idx="1">
                  <c:v>2062.94</c:v>
                </c:pt>
              </c:numCache>
            </c:numRef>
          </c:val>
        </c:ser>
        <c:dLbls>
          <c:showLegendKey val="0"/>
          <c:showVal val="1"/>
          <c:showCatName val="0"/>
          <c:showSerName val="0"/>
          <c:showPercent val="0"/>
          <c:showBubbleSize val="0"/>
        </c:dLbls>
        <c:gapWidth val="150"/>
        <c:overlap val="100"/>
        <c:axId val="195291776"/>
        <c:axId val="195305856"/>
      </c:barChart>
      <c:catAx>
        <c:axId val="1952917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5305856"/>
        <c:crosses val="autoZero"/>
        <c:auto val="1"/>
        <c:lblAlgn val="ctr"/>
        <c:lblOffset val="100"/>
        <c:noMultiLvlLbl val="0"/>
      </c:catAx>
      <c:valAx>
        <c:axId val="19530585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52917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2019年收入决算结构图(万元）</c:v>
                </c:pt>
              </c:strCache>
            </c:strRef>
          </c:tx>
          <c:explosion val="0"/>
          <c:dPt>
            <c:idx val="0"/>
            <c:bubble3D val="0"/>
          </c:dPt>
          <c:dPt>
            <c:idx val="1"/>
            <c:bubble3D val="0"/>
          </c:dPt>
          <c:dPt>
            <c:idx val="2"/>
            <c:bubble3D val="0"/>
          </c:dPt>
          <c:dPt>
            <c:idx val="3"/>
            <c:bubble3D val="0"/>
          </c:dPt>
          <c:dPt>
            <c:idx val="4"/>
            <c:bubble3D val="0"/>
          </c:dPt>
          <c:dPt>
            <c:idx val="5"/>
            <c:bubble3D val="0"/>
          </c:dPt>
          <c:dLbls>
            <c:dLbl>
              <c:idx val="0"/>
              <c:layout/>
              <c:dLblPos val="inEnd"/>
              <c:showLegendKey val="0"/>
              <c:showVal val="1"/>
              <c:showCatName val="0"/>
              <c:showSerName val="0"/>
              <c:showPercent val="0"/>
              <c:showBubbleSize val="0"/>
              <c:extLst>
                <c:ext xmlns:c15="http://schemas.microsoft.com/office/drawing/2012/chart" uri="{CE6537A1-D6FC-4f65-9D91-7224C49458BB}"/>
              </c:extLst>
            </c:dLbl>
            <c:dLbl>
              <c:idx val="1"/>
              <c:layout/>
              <c:dLblPos val="inEnd"/>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一般公共预算财政拨款收入</c:v>
                </c:pt>
                <c:pt idx="1">
                  <c:v>政府性基金预算财政拨款收入</c:v>
                </c:pt>
                <c:pt idx="2">
                  <c:v>上级补助收入</c:v>
                </c:pt>
                <c:pt idx="3">
                  <c:v>经营收入</c:v>
                </c:pt>
                <c:pt idx="4">
                  <c:v>附属单位上缴收入</c:v>
                </c:pt>
                <c:pt idx="5">
                  <c:v>其他收入</c:v>
                </c:pt>
              </c:strCache>
            </c:strRef>
          </c:cat>
          <c:val>
            <c:numRef>
              <c:f>Sheet1!$B$2:$B$7</c:f>
              <c:numCache>
                <c:formatCode>General</c:formatCode>
                <c:ptCount val="6"/>
                <c:pt idx="0">
                  <c:v>559.78</c:v>
                </c:pt>
                <c:pt idx="1">
                  <c:v>2642.9</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2019年支出决算结构图（万元）</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312.39</c:v>
                </c:pt>
                <c:pt idx="1" c:formatCode="#,##0.00">
                  <c:v>2922.51</c:v>
                </c:pt>
                <c:pt idx="2">
                  <c:v>0</c:v>
                </c:pt>
                <c:pt idx="3">
                  <c:v>0</c:v>
                </c:pt>
                <c:pt idx="4">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2019年财政拨款收、支决算总计变动情况（万元）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2019年度</c:v>
                </c:pt>
                <c:pt idx="1">
                  <c:v>2018年度</c:v>
                </c:pt>
              </c:strCache>
            </c:strRef>
          </c:cat>
          <c:val>
            <c:numRef>
              <c:f>Sheet1!$B$2:$B$3</c:f>
              <c:numCache>
                <c:formatCode>General</c:formatCode>
                <c:ptCount val="2"/>
                <c:pt idx="0">
                  <c:v>3269.38</c:v>
                </c:pt>
                <c:pt idx="1">
                  <c:v>2062.94</c:v>
                </c:pt>
              </c:numCache>
            </c:numRef>
          </c:val>
        </c:ser>
        <c:dLbls>
          <c:showLegendKey val="0"/>
          <c:showVal val="1"/>
          <c:showCatName val="0"/>
          <c:showSerName val="0"/>
          <c:showPercent val="0"/>
          <c:showBubbleSize val="0"/>
        </c:dLbls>
        <c:gapWidth val="150"/>
        <c:overlap val="100"/>
        <c:axId val="44229376"/>
        <c:axId val="44233088"/>
      </c:barChart>
      <c:catAx>
        <c:axId val="4422937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233088"/>
        <c:crosses val="autoZero"/>
        <c:auto val="1"/>
        <c:lblAlgn val="ctr"/>
        <c:lblOffset val="100"/>
        <c:noMultiLvlLbl val="0"/>
      </c:catAx>
      <c:valAx>
        <c:axId val="44233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229376"/>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一般公共预算财政拨款支出决算变动情况（万元）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2019年度</c:v>
                </c:pt>
                <c:pt idx="1">
                  <c:v>2018年度</c:v>
                </c:pt>
              </c:strCache>
            </c:strRef>
          </c:cat>
          <c:val>
            <c:numRef>
              <c:f>Sheet1!$B$2:$B$3</c:f>
              <c:numCache>
                <c:formatCode>General</c:formatCode>
                <c:ptCount val="2"/>
                <c:pt idx="0">
                  <c:v>537.19</c:v>
                </c:pt>
                <c:pt idx="1">
                  <c:v>545.53</c:v>
                </c:pt>
              </c:numCache>
            </c:numRef>
          </c:val>
        </c:ser>
        <c:dLbls>
          <c:showLegendKey val="0"/>
          <c:showVal val="1"/>
          <c:showCatName val="0"/>
          <c:showSerName val="0"/>
          <c:showPercent val="0"/>
          <c:showBubbleSize val="0"/>
        </c:dLbls>
        <c:gapWidth val="150"/>
        <c:overlap val="100"/>
        <c:axId val="64349312"/>
        <c:axId val="65897600"/>
      </c:barChart>
      <c:catAx>
        <c:axId val="643493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5897600"/>
        <c:crosses val="autoZero"/>
        <c:auto val="1"/>
        <c:lblAlgn val="ctr"/>
        <c:lblOffset val="100"/>
        <c:noMultiLvlLbl val="0"/>
      </c:catAx>
      <c:valAx>
        <c:axId val="658976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3493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2019年一般公共预算财政拨款支出决算结构（万元）</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社会保障和就业（类）支出</c:v>
                </c:pt>
                <c:pt idx="1">
                  <c:v>卫生健康支出</c:v>
                </c:pt>
                <c:pt idx="2">
                  <c:v>城乡社区支出</c:v>
                </c:pt>
                <c:pt idx="3">
                  <c:v>住房保障支出</c:v>
                </c:pt>
              </c:strCache>
            </c:strRef>
          </c:cat>
          <c:val>
            <c:numRef>
              <c:f>Sheet1!$B$2:$B$5</c:f>
              <c:numCache>
                <c:formatCode>General</c:formatCode>
                <c:ptCount val="4"/>
                <c:pt idx="0">
                  <c:v>28.44</c:v>
                </c:pt>
                <c:pt idx="1">
                  <c:v>6.4</c:v>
                </c:pt>
                <c:pt idx="2">
                  <c:v>440.74</c:v>
                </c:pt>
                <c:pt idx="3">
                  <c:v>1.2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859A0-C52A-4F28-B8A8-90EAC273D5D6}">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32</Pages>
  <Words>10241</Words>
  <Characters>1713</Characters>
  <Lines>14</Lines>
  <Paragraphs>23</Paragraphs>
  <TotalTime>1</TotalTime>
  <ScaleCrop>false</ScaleCrop>
  <LinksUpToDate>false</LinksUpToDate>
  <CharactersWithSpaces>11931</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2020-10-29T01:17:02Z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