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3" w:name="_GoBack"/>
      <w:bookmarkEnd w:id="73"/>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742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乐山市峨眉山市建设工程质量监督站部门</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sz w:val="32"/>
          <w:szCs w:val="32"/>
        </w:rPr>
        <w:t>受市住建局的委托，负责实施本地区建设工程质量、安全、环保监督工作。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cs="仿宋"/>
          <w:sz w:val="32"/>
          <w:szCs w:val="32"/>
        </w:rPr>
        <w:t>截止2019年12月31日，全市在建工程50项，在建工程建筑面积约330万㎡；办理竣工备案31项，备案面积约88万㎡，处理各类投诉400余起。</w:t>
      </w:r>
      <w:r>
        <w:rPr>
          <w:rFonts w:hint="eastAsia" w:hAnsi="华文楷体" w:cs="仿宋_GB2312"/>
          <w:sz w:val="32"/>
          <w:szCs w:val="32"/>
        </w:rPr>
        <w:t>共有凯旋公馆、润峨眉2个项目获得乐山市级标准化文明施工工地荣誉</w:t>
      </w:r>
    </w:p>
    <w:p>
      <w:pPr>
        <w:pStyle w:val="3"/>
        <w:rPr>
          <w:rStyle w:val="1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我单位属峨眉山市住房和城乡建设局下属事业单位。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1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2019年度收、支总计166.39万元。与2018年相比，收、支总计各减少5.22万元，下降3.04</w:t>
      </w:r>
      <w:r>
        <w:rPr>
          <w:rFonts w:ascii="仿宋" w:hAnsi="仿宋" w:eastAsia="仿宋"/>
          <w:color w:val="000000"/>
          <w:sz w:val="32"/>
          <w:szCs w:val="32"/>
        </w:rPr>
        <w:t>%</w:t>
      </w:r>
      <w:r>
        <w:rPr>
          <w:rFonts w:hint="eastAsia" w:ascii="仿宋" w:hAnsi="仿宋" w:eastAsia="仿宋"/>
          <w:color w:val="000000"/>
          <w:sz w:val="32"/>
          <w:szCs w:val="32"/>
        </w:rPr>
        <w:t>。主要变动原因是聘用人员减少一名。</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spacing w:line="720" w:lineRule="auto"/>
        <w:ind w:firstLine="640" w:firstLineChars="200"/>
        <w:jc w:val="left"/>
        <w:rPr>
          <w:rFonts w:ascii="仿宋_GB2312" w:eastAsia="仿宋_GB2312"/>
          <w:color w:val="000000"/>
          <w:sz w:val="32"/>
          <w:szCs w:val="32"/>
        </w:rPr>
      </w:pPr>
      <w:r>
        <w:rPr>
          <w:rFonts w:hint="eastAsia" w:ascii="仿宋" w:hAnsi="仿宋" w:eastAsia="仿宋"/>
          <w:color w:val="000000"/>
          <w:sz w:val="32"/>
          <w:szCs w:val="32"/>
        </w:rPr>
        <w:drawing>
          <wp:inline distT="0" distB="0" distL="0" distR="0">
            <wp:extent cx="4131310" cy="2130425"/>
            <wp:effectExtent l="19050" t="0" r="21369" b="26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spacing w:line="600" w:lineRule="exact"/>
        <w:ind w:firstLineChars="0"/>
        <w:outlineLvl w:val="1"/>
        <w:rPr>
          <w:rStyle w:val="1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9年本年收入合计162.25万元，其中：一般公共预算财政拨款收入162.25万元，占100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720" w:lineRule="auto"/>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4353560" cy="3251835"/>
            <wp:effectExtent l="19050" t="0" r="27332" b="5466"/>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1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9年本年支出合计162.82万元，其中：基本支出137.19万元，占84.26</w:t>
      </w:r>
      <w:r>
        <w:rPr>
          <w:rFonts w:ascii="仿宋" w:hAnsi="仿宋" w:eastAsia="仿宋"/>
          <w:color w:val="000000"/>
          <w:sz w:val="32"/>
          <w:szCs w:val="32"/>
        </w:rPr>
        <w:t>%</w:t>
      </w:r>
      <w:r>
        <w:rPr>
          <w:rFonts w:hint="eastAsia" w:ascii="仿宋" w:hAnsi="仿宋" w:eastAsia="仿宋"/>
          <w:color w:val="000000"/>
          <w:sz w:val="32"/>
          <w:szCs w:val="32"/>
        </w:rPr>
        <w:t>；项目支出25.63万元，占15.74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720" w:lineRule="auto"/>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4568825" cy="2130425"/>
            <wp:effectExtent l="19050" t="0" r="22197" b="26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9年财政拨款收、支总计166.39万元。与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8年相比，财政拨款收、支总计各减少5.22万元，下降3.04</w:t>
      </w:r>
      <w:r>
        <w:rPr>
          <w:rFonts w:ascii="仿宋" w:hAnsi="仿宋" w:eastAsia="仿宋"/>
          <w:color w:val="000000"/>
          <w:sz w:val="32"/>
          <w:szCs w:val="32"/>
        </w:rPr>
        <w:t>%</w:t>
      </w:r>
      <w:r>
        <w:rPr>
          <w:rFonts w:hint="eastAsia" w:ascii="仿宋" w:hAnsi="仿宋" w:eastAsia="仿宋"/>
          <w:color w:val="000000"/>
          <w:sz w:val="32"/>
          <w:szCs w:val="32"/>
        </w:rPr>
        <w:t>。主要变动原因是聘用人员减少一名。</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720" w:lineRule="auto"/>
        <w:ind w:firstLine="640"/>
        <w:rPr>
          <w:rFonts w:ascii="仿宋" w:hAnsi="仿宋" w:eastAsia="仿宋"/>
          <w:b/>
          <w:color w:val="00B050"/>
          <w:sz w:val="32"/>
          <w:szCs w:val="32"/>
        </w:rPr>
      </w:pPr>
      <w:r>
        <w:rPr>
          <w:rFonts w:ascii="仿宋" w:hAnsi="仿宋" w:eastAsia="仿宋"/>
          <w:b/>
          <w:color w:val="00B050"/>
          <w:sz w:val="32"/>
          <w:szCs w:val="32"/>
        </w:rPr>
        <w:drawing>
          <wp:inline distT="0" distB="0" distL="0" distR="0">
            <wp:extent cx="4989830" cy="2886075"/>
            <wp:effectExtent l="19050" t="0" r="19878" b="9276"/>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9年一般公共预算财政拨款支出162.82万元，占本年支出合计的100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8年相比，一般公共预算财政拨款减少4.7万元，下降2.78</w:t>
      </w:r>
      <w:r>
        <w:rPr>
          <w:rFonts w:ascii="仿宋" w:hAnsi="仿宋" w:eastAsia="仿宋"/>
          <w:color w:val="000000"/>
          <w:sz w:val="32"/>
          <w:szCs w:val="32"/>
        </w:rPr>
        <w:t>%</w:t>
      </w:r>
      <w:r>
        <w:rPr>
          <w:rFonts w:hint="eastAsia" w:ascii="仿宋" w:hAnsi="仿宋" w:eastAsia="仿宋"/>
          <w:color w:val="000000"/>
          <w:sz w:val="32"/>
          <w:szCs w:val="32"/>
        </w:rPr>
        <w:t>。主要变动原因是聘用人员减少一名。</w:t>
      </w:r>
    </w:p>
    <w:p>
      <w:pPr>
        <w:spacing w:line="720" w:lineRule="auto"/>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政拨款支出162.82万元，主要用于以下方面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社会保障和就业支出（类）</w:t>
      </w:r>
      <w:r>
        <w:rPr>
          <w:rFonts w:hint="eastAsia" w:ascii="仿宋" w:hAnsi="仿宋" w:eastAsia="仿宋"/>
          <w:color w:val="000000" w:themeColor="text1"/>
          <w:sz w:val="32"/>
          <w:szCs w:val="32"/>
        </w:rPr>
        <w:t>支出13.75万元，占8.44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卫生健康支出（类）</w:t>
      </w:r>
      <w:r>
        <w:rPr>
          <w:rFonts w:hint="eastAsia" w:ascii="仿宋" w:hAnsi="仿宋" w:eastAsia="仿宋"/>
          <w:color w:val="000000" w:themeColor="text1"/>
          <w:sz w:val="32"/>
          <w:szCs w:val="32"/>
        </w:rPr>
        <w:t>2.90万元，占1.78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城乡社区支出（类）</w:t>
      </w:r>
      <w:r>
        <w:rPr>
          <w:rFonts w:hint="eastAsia" w:ascii="仿宋" w:hAnsi="仿宋" w:eastAsia="仿宋"/>
          <w:color w:val="000000" w:themeColor="text1"/>
          <w:sz w:val="32"/>
          <w:szCs w:val="32"/>
        </w:rPr>
        <w:t>支出136.62万元，占83.92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住房保障支出（类）支出9.55万元，占5.86</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720" w:lineRule="auto"/>
        <w:ind w:firstLine="640"/>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2019年一般公共预算支出决算数为162.82万元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预算97.85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社会保障和就业支出（类）行政事业单位离退休（款）机关事业单位基本养老保险缴费支出（项）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支出决算为9.41万元，完成预算100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支出决算为4.34万元，完成预算100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卫生健康支出（类）行政事业单位医疗（款）事业单位医疗（项）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城乡社区支出（类）建设市场管理与监督（款）建设市场管理与监督（项）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支出决算为136.62万元，完成预算97.45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支出决算为9.56万元，完成预算100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1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40"/>
      <w:bookmarkEnd w:id="41"/>
      <w:r>
        <w:rPr>
          <w:rStyle w:val="1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9年一般公共预算财政拨款基本支出137.20万元，其中：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129.08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w:t>
      </w:r>
      <w:r>
        <w:rPr>
          <w:rFonts w:ascii="仿宋" w:hAnsi="仿宋" w:eastAsia="仿宋"/>
          <w:color w:val="000000"/>
          <w:sz w:val="32"/>
          <w:szCs w:val="32"/>
        </w:rPr>
        <w:t>**%</w:t>
      </w:r>
      <w:r>
        <w:rPr>
          <w:rFonts w:hint="eastAsia" w:ascii="仿宋" w:hAnsi="仿宋" w:eastAsia="仿宋"/>
          <w:color w:val="000000"/>
          <w:sz w:val="32"/>
          <w:szCs w:val="32"/>
        </w:rPr>
        <w:t>；公务接待费支出决算0万元，占</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w:t>
      </w:r>
      <w:r>
        <w:rPr>
          <w:rFonts w:hint="eastAsia" w:ascii="仿宋_GB2312" w:eastAsia="仿宋_GB2312"/>
          <w:color w:val="000000"/>
          <w:sz w:val="32"/>
          <w:szCs w:val="32"/>
        </w:rPr>
        <w:t>次，出国（境）</w:t>
      </w:r>
      <w:r>
        <w:rPr>
          <w:rFonts w:ascii="仿宋_GB2312" w:eastAsia="仿宋_GB2312"/>
          <w:color w:val="000000"/>
          <w:sz w:val="32"/>
          <w:szCs w:val="32"/>
        </w:rPr>
        <w:t>**</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w:t>
      </w:r>
      <w:r>
        <w:rPr>
          <w:rFonts w:ascii="仿宋_GB2312" w:eastAsia="仿宋_GB2312"/>
          <w:color w:val="000000"/>
          <w:sz w:val="32"/>
          <w:szCs w:val="32"/>
        </w:rPr>
        <w:t>**</w:t>
      </w:r>
      <w:r>
        <w:rPr>
          <w:rFonts w:hint="eastAsia" w:ascii="仿宋_GB2312" w:eastAsia="仿宋_GB2312"/>
          <w:color w:val="000000"/>
          <w:sz w:val="32"/>
          <w:szCs w:val="32"/>
        </w:rPr>
        <w:t>辆，金额</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w:t>
      </w:r>
      <w:r>
        <w:rPr>
          <w:rFonts w:hint="eastAsia" w:ascii="仿宋_GB2312" w:eastAsia="仿宋_GB2312"/>
          <w:color w:val="000000"/>
          <w:sz w:val="32"/>
          <w:szCs w:val="32"/>
        </w:rPr>
        <w:t>辆，其中：主要领导干部用车</w:t>
      </w:r>
      <w:r>
        <w:rPr>
          <w:rFonts w:ascii="仿宋_GB2312" w:eastAsia="仿宋_GB2312"/>
          <w:color w:val="000000"/>
          <w:sz w:val="32"/>
          <w:szCs w:val="32"/>
        </w:rPr>
        <w:t>**</w:t>
      </w:r>
      <w:r>
        <w:rPr>
          <w:rFonts w:hint="eastAsia" w:ascii="仿宋_GB2312" w:eastAsia="仿宋_GB2312"/>
          <w:color w:val="000000"/>
          <w:sz w:val="32"/>
          <w:szCs w:val="32"/>
        </w:rPr>
        <w:t>辆、机要通信用车</w:t>
      </w:r>
      <w:r>
        <w:rPr>
          <w:rFonts w:ascii="仿宋_GB2312" w:eastAsia="仿宋_GB2312"/>
          <w:color w:val="000000"/>
          <w:sz w:val="32"/>
          <w:szCs w:val="32"/>
        </w:rPr>
        <w:t>**</w:t>
      </w:r>
      <w:r>
        <w:rPr>
          <w:rFonts w:hint="eastAsia" w:ascii="仿宋_GB2312" w:eastAsia="仿宋_GB2312"/>
          <w:color w:val="000000"/>
          <w:sz w:val="32"/>
          <w:szCs w:val="32"/>
        </w:rPr>
        <w:t>辆、应急保障用车</w:t>
      </w:r>
      <w:r>
        <w:rPr>
          <w:rFonts w:ascii="仿宋_GB2312" w:eastAsia="仿宋_GB2312"/>
          <w:color w:val="000000"/>
          <w:sz w:val="32"/>
          <w:szCs w:val="32"/>
        </w:rPr>
        <w:t>**</w:t>
      </w:r>
      <w:r>
        <w:rPr>
          <w:rFonts w:hint="eastAsia" w:ascii="仿宋_GB2312" w:eastAsia="仿宋_GB2312"/>
          <w:color w:val="000000"/>
          <w:sz w:val="32"/>
          <w:szCs w:val="32"/>
        </w:rPr>
        <w:t>辆、 执法执勤用车</w:t>
      </w:r>
      <w:r>
        <w:rPr>
          <w:rFonts w:ascii="仿宋_GB2312" w:eastAsia="仿宋_GB2312"/>
          <w:color w:val="000000"/>
          <w:sz w:val="32"/>
          <w:szCs w:val="32"/>
        </w:rPr>
        <w:t>**</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。主要原因是…其中：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w:t>
      </w:r>
      <w:r>
        <w:rPr>
          <w:rFonts w:hint="eastAsia" w:ascii="仿宋_GB2312" w:eastAsia="仿宋_GB2312"/>
          <w:color w:val="000000"/>
          <w:sz w:val="32"/>
          <w:szCs w:val="32"/>
        </w:rPr>
        <w:t>批次，</w:t>
      </w:r>
      <w:r>
        <w:rPr>
          <w:rFonts w:ascii="仿宋_GB2312" w:eastAsia="仿宋_GB2312"/>
          <w:color w:val="000000"/>
          <w:sz w:val="32"/>
          <w:szCs w:val="32"/>
        </w:rPr>
        <w:t>**</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批次，</w:t>
      </w:r>
      <w:r>
        <w:rPr>
          <w:rFonts w:ascii="仿宋_GB2312" w:eastAsia="仿宋_GB2312"/>
          <w:color w:val="000000" w:themeColor="text1"/>
          <w:sz w:val="32"/>
          <w:szCs w:val="32"/>
        </w:rPr>
        <w:t>**</w:t>
      </w:r>
      <w:r>
        <w:rPr>
          <w:rFonts w:hint="eastAsia" w:ascii="仿宋_GB2312" w:eastAsia="仿宋_GB2312"/>
          <w:color w:val="000000" w:themeColor="text1"/>
          <w:sz w:val="32"/>
          <w:szCs w:val="32"/>
        </w:rPr>
        <w:t>人，共计支出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16"/>
          <w:rFonts w:ascii="黑体" w:hAnsi="黑体" w:eastAsia="黑体"/>
        </w:rPr>
      </w:pPr>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6"/>
          <w:rFonts w:ascii="黑体" w:hAnsi="黑体" w:eastAsia="黑体"/>
          <w:b w:val="0"/>
        </w:rPr>
      </w:pPr>
      <w:bookmarkStart w:id="48" w:name="_Toc15396611"/>
      <w:bookmarkStart w:id="49" w:name="_Toc15377219"/>
      <w:r>
        <w:rPr>
          <w:rStyle w:val="1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6"/>
          <w:rFonts w:hint="eastAsia" w:ascii="黑体" w:hAnsi="黑体" w:eastAsia="黑体"/>
        </w:rPr>
        <w:t>、</w:t>
      </w:r>
      <w:r>
        <w:rPr>
          <w:rStyle w:val="1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政府采购支出总额0万元，其中：政府采购货物支出</w:t>
      </w:r>
      <w:r>
        <w:rPr>
          <w:rFonts w:ascii="仿宋_GB2312" w:eastAsia="仿宋_GB2312"/>
          <w:color w:val="000000"/>
          <w:sz w:val="32"/>
          <w:szCs w:val="32"/>
        </w:rPr>
        <w:t>**</w:t>
      </w:r>
      <w:r>
        <w:rPr>
          <w:rFonts w:hint="eastAsia" w:ascii="仿宋_GB2312" w:eastAsia="仿宋_GB2312"/>
          <w:color w:val="000000"/>
          <w:sz w:val="32"/>
          <w:szCs w:val="32"/>
        </w:rPr>
        <w:t>万元、政府采购工程支出</w:t>
      </w:r>
      <w:r>
        <w:rPr>
          <w:rFonts w:ascii="仿宋_GB2312" w:eastAsia="仿宋_GB2312"/>
          <w:color w:val="000000"/>
          <w:sz w:val="32"/>
          <w:szCs w:val="32"/>
        </w:rPr>
        <w:t>**</w:t>
      </w:r>
      <w:r>
        <w:rPr>
          <w:rFonts w:hint="eastAsia" w:ascii="仿宋_GB2312" w:eastAsia="仿宋_GB2312"/>
          <w:color w:val="000000"/>
          <w:sz w:val="32"/>
          <w:szCs w:val="32"/>
        </w:rPr>
        <w:t>万元、政府采购服务支出</w:t>
      </w:r>
      <w:r>
        <w:rPr>
          <w:rFonts w:ascii="仿宋_GB2312" w:eastAsia="仿宋_GB2312"/>
          <w:color w:val="000000"/>
          <w:sz w:val="32"/>
          <w:szCs w:val="32"/>
        </w:rPr>
        <w:t>**</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日，峨眉山市建设工程质量监督站共有车辆0辆，其中：主要领导干部用车</w:t>
      </w:r>
      <w:r>
        <w:rPr>
          <w:rFonts w:ascii="仿宋_GB2312" w:eastAsia="仿宋_GB2312"/>
          <w:color w:val="000000"/>
          <w:sz w:val="32"/>
          <w:szCs w:val="32"/>
        </w:rPr>
        <w:t>**</w:t>
      </w:r>
      <w:r>
        <w:rPr>
          <w:rFonts w:hint="eastAsia" w:ascii="仿宋_GB2312" w:eastAsia="仿宋_GB2312"/>
          <w:color w:val="000000"/>
          <w:sz w:val="32"/>
          <w:szCs w:val="32"/>
        </w:rPr>
        <w:t>辆、机要通信用车</w:t>
      </w:r>
      <w:r>
        <w:rPr>
          <w:rFonts w:ascii="仿宋_GB2312" w:eastAsia="仿宋_GB2312"/>
          <w:color w:val="000000"/>
          <w:sz w:val="32"/>
          <w:szCs w:val="32"/>
        </w:rPr>
        <w:t>**</w:t>
      </w:r>
      <w:r>
        <w:rPr>
          <w:rFonts w:hint="eastAsia" w:ascii="仿宋_GB2312" w:eastAsia="仿宋_GB2312"/>
          <w:color w:val="000000"/>
          <w:sz w:val="32"/>
          <w:szCs w:val="32"/>
        </w:rPr>
        <w:t>辆、应急保障用车</w:t>
      </w:r>
      <w:r>
        <w:rPr>
          <w:rFonts w:ascii="仿宋_GB2312" w:eastAsia="仿宋_GB2312"/>
          <w:color w:val="000000"/>
          <w:sz w:val="32"/>
          <w:szCs w:val="32"/>
        </w:rPr>
        <w:t>**</w:t>
      </w:r>
      <w:r>
        <w:rPr>
          <w:rFonts w:hint="eastAsia" w:ascii="仿宋_GB2312" w:eastAsia="仿宋_GB2312"/>
          <w:color w:val="000000"/>
          <w:sz w:val="32"/>
          <w:szCs w:val="32"/>
        </w:rPr>
        <w:t>辆、其他用车</w:t>
      </w:r>
      <w:r>
        <w:rPr>
          <w:rFonts w:ascii="仿宋_GB2312" w:eastAsia="仿宋_GB2312"/>
          <w:color w:val="000000"/>
          <w:sz w:val="32"/>
          <w:szCs w:val="32"/>
        </w:rPr>
        <w:t>**</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ascii="仿宋_GB2312" w:eastAsia="仿宋_GB2312"/>
          <w:color w:val="000000" w:themeColor="text1"/>
          <w:sz w:val="32"/>
          <w:szCs w:val="32"/>
        </w:rPr>
        <w:t>**</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工程质监工作经费项目（项目名称）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本部门按要求对2019年部门整体支出开展绩效自评，从评价情况来看完成情况较好。本部门还自行组织了1个项目支出绩效评价，从评价情况来看完成情况较好。</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本部门在2019年度部门决算中反映“工程质监工作经费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等1个项目绩效目标实际完成情况。（本单位部门项目绩效目标个数在5个以上的，选取5个项目进行公开，目标个数在5个以下的，全部进行公开，公开内容包括选取的全部项目完成情况综述和完成情况表）。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（1）工程质监工作经费项目绩效目标完成情况综述。项目全年预算数30万元，执行数为25.62万元，完成预算的85.40%。通过项目实施，促进了我市建设工程质量、安全、环保水平提高。</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工程质监工作经费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峨眉山市建设工程质量监督站</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25.62</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25.62</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本部门按要求对2019年部门整体支出绩效评价情况开展自评，《峨眉山市建设工程质量监督站2019年部门整体支出绩效评价报告》见附件（附件1）。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工程质监工作经费项目开展了绩效评价，《工程质监工作经费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峨眉山市建设工程质量监督站</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本单位属峨眉山市住房和城乡建设局下属事业单位。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sz w:val="32"/>
          <w:szCs w:val="32"/>
        </w:rPr>
        <w:t>受市住建局的委托，负责实施本地区建设工程质量、安全、环保监督工作。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现有事业编制人员7人，聘用人员3人，借用人员3人。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9年本年收入合计162.25万元，其中：一般公共预算财政拨款收入162.25万元，占100</w:t>
      </w:r>
      <w:r>
        <w:rPr>
          <w:rFonts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9年本年支出合计162.82万元，其中：基本支出137.19万元，占84.26</w:t>
      </w:r>
      <w:r>
        <w:rPr>
          <w:rFonts w:ascii="仿宋" w:hAnsi="仿宋" w:eastAsia="仿宋"/>
          <w:color w:val="000000"/>
          <w:sz w:val="32"/>
          <w:szCs w:val="32"/>
        </w:rPr>
        <w:t>%</w:t>
      </w:r>
      <w:r>
        <w:rPr>
          <w:rFonts w:hint="eastAsia" w:ascii="仿宋" w:hAnsi="仿宋" w:eastAsia="仿宋"/>
          <w:color w:val="000000"/>
          <w:sz w:val="32"/>
          <w:szCs w:val="32"/>
        </w:rPr>
        <w:t>；项目支出25.63万元，占15.74</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XXX</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63"/>
    </w:p>
    <w:p>
      <w:pPr>
        <w:pStyle w:val="3"/>
        <w:rPr>
          <w:rStyle w:val="16"/>
          <w:rFonts w:ascii="仿宋" w:hAnsi="仿宋" w:eastAsia="仿宋"/>
          <w:b w:val="0"/>
          <w:bCs w:val="0"/>
        </w:rPr>
      </w:pPr>
      <w:bookmarkStart w:id="64"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97D"/>
    <w:rsid w:val="000B5A48"/>
    <w:rsid w:val="000B5EC0"/>
    <w:rsid w:val="000B6FF3"/>
    <w:rsid w:val="000C3467"/>
    <w:rsid w:val="000C3CA6"/>
    <w:rsid w:val="000D1267"/>
    <w:rsid w:val="000D1D50"/>
    <w:rsid w:val="000D5782"/>
    <w:rsid w:val="000E6613"/>
    <w:rsid w:val="000E7119"/>
    <w:rsid w:val="00106855"/>
    <w:rsid w:val="00110574"/>
    <w:rsid w:val="00114E9B"/>
    <w:rsid w:val="00142216"/>
    <w:rsid w:val="00144D6A"/>
    <w:rsid w:val="0014729F"/>
    <w:rsid w:val="00157BAB"/>
    <w:rsid w:val="001654D1"/>
    <w:rsid w:val="00174518"/>
    <w:rsid w:val="0018106D"/>
    <w:rsid w:val="001877A7"/>
    <w:rsid w:val="00191536"/>
    <w:rsid w:val="00196687"/>
    <w:rsid w:val="001A29D9"/>
    <w:rsid w:val="001C0962"/>
    <w:rsid w:val="001D7531"/>
    <w:rsid w:val="001E737D"/>
    <w:rsid w:val="001F0592"/>
    <w:rsid w:val="001F7506"/>
    <w:rsid w:val="002006CD"/>
    <w:rsid w:val="00202B36"/>
    <w:rsid w:val="00204B7A"/>
    <w:rsid w:val="00204CDE"/>
    <w:rsid w:val="0021101A"/>
    <w:rsid w:val="00220536"/>
    <w:rsid w:val="00226E96"/>
    <w:rsid w:val="00235629"/>
    <w:rsid w:val="00260C38"/>
    <w:rsid w:val="002616C0"/>
    <w:rsid w:val="00265372"/>
    <w:rsid w:val="002662AA"/>
    <w:rsid w:val="00280496"/>
    <w:rsid w:val="00294DC9"/>
    <w:rsid w:val="00295495"/>
    <w:rsid w:val="002A31DE"/>
    <w:rsid w:val="002B2613"/>
    <w:rsid w:val="002D19B0"/>
    <w:rsid w:val="002D6D05"/>
    <w:rsid w:val="002E5914"/>
    <w:rsid w:val="002F1818"/>
    <w:rsid w:val="002F567B"/>
    <w:rsid w:val="00320F98"/>
    <w:rsid w:val="003216A9"/>
    <w:rsid w:val="00335A74"/>
    <w:rsid w:val="00363066"/>
    <w:rsid w:val="0036561B"/>
    <w:rsid w:val="0037013F"/>
    <w:rsid w:val="00380C92"/>
    <w:rsid w:val="00383658"/>
    <w:rsid w:val="003874FD"/>
    <w:rsid w:val="003A484F"/>
    <w:rsid w:val="003A4883"/>
    <w:rsid w:val="003B0BE0"/>
    <w:rsid w:val="003B0C1B"/>
    <w:rsid w:val="003B688C"/>
    <w:rsid w:val="003C0291"/>
    <w:rsid w:val="003C39AE"/>
    <w:rsid w:val="003C7B60"/>
    <w:rsid w:val="003D0C0F"/>
    <w:rsid w:val="003D1FB2"/>
    <w:rsid w:val="003D66DA"/>
    <w:rsid w:val="003E0F58"/>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38B6"/>
    <w:rsid w:val="00505A47"/>
    <w:rsid w:val="00512FDA"/>
    <w:rsid w:val="00520DA0"/>
    <w:rsid w:val="005664BB"/>
    <w:rsid w:val="00566FFA"/>
    <w:rsid w:val="0057481D"/>
    <w:rsid w:val="00575F0B"/>
    <w:rsid w:val="0058486E"/>
    <w:rsid w:val="00585B33"/>
    <w:rsid w:val="0059014D"/>
    <w:rsid w:val="005B5C64"/>
    <w:rsid w:val="005C0A38"/>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78CD"/>
    <w:rsid w:val="00630AEF"/>
    <w:rsid w:val="006325F8"/>
    <w:rsid w:val="00633463"/>
    <w:rsid w:val="00634C9A"/>
    <w:rsid w:val="006440E4"/>
    <w:rsid w:val="00653C5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7F6050"/>
    <w:rsid w:val="00800112"/>
    <w:rsid w:val="00813348"/>
    <w:rsid w:val="008253BB"/>
    <w:rsid w:val="00833962"/>
    <w:rsid w:val="0083706E"/>
    <w:rsid w:val="00837282"/>
    <w:rsid w:val="008408F6"/>
    <w:rsid w:val="008423A5"/>
    <w:rsid w:val="00850625"/>
    <w:rsid w:val="00853718"/>
    <w:rsid w:val="00855221"/>
    <w:rsid w:val="00860645"/>
    <w:rsid w:val="00871F71"/>
    <w:rsid w:val="00872FD8"/>
    <w:rsid w:val="00885AF4"/>
    <w:rsid w:val="008939CD"/>
    <w:rsid w:val="00897F34"/>
    <w:rsid w:val="008A4835"/>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5AC"/>
    <w:rsid w:val="00935C98"/>
    <w:rsid w:val="00942920"/>
    <w:rsid w:val="00946945"/>
    <w:rsid w:val="00951248"/>
    <w:rsid w:val="0095152F"/>
    <w:rsid w:val="00954C49"/>
    <w:rsid w:val="00955E37"/>
    <w:rsid w:val="0097099F"/>
    <w:rsid w:val="00971997"/>
    <w:rsid w:val="00971FFC"/>
    <w:rsid w:val="0097249A"/>
    <w:rsid w:val="0098660A"/>
    <w:rsid w:val="009931C3"/>
    <w:rsid w:val="009A72A6"/>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9670B"/>
    <w:rsid w:val="00A970B7"/>
    <w:rsid w:val="00AA4AD5"/>
    <w:rsid w:val="00AB64C9"/>
    <w:rsid w:val="00AB7607"/>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DF0"/>
    <w:rsid w:val="00B77EA6"/>
    <w:rsid w:val="00B81598"/>
    <w:rsid w:val="00B841F1"/>
    <w:rsid w:val="00B85429"/>
    <w:rsid w:val="00B944D6"/>
    <w:rsid w:val="00BA19AC"/>
    <w:rsid w:val="00BB4DF0"/>
    <w:rsid w:val="00BB598D"/>
    <w:rsid w:val="00BC289F"/>
    <w:rsid w:val="00BC2D50"/>
    <w:rsid w:val="00BC5361"/>
    <w:rsid w:val="00BC5460"/>
    <w:rsid w:val="00BC6B50"/>
    <w:rsid w:val="00BD0E25"/>
    <w:rsid w:val="00BE366A"/>
    <w:rsid w:val="00BF005E"/>
    <w:rsid w:val="00BF5BD6"/>
    <w:rsid w:val="00C03E31"/>
    <w:rsid w:val="00C30E69"/>
    <w:rsid w:val="00C31F0D"/>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53A9"/>
    <w:rsid w:val="00D7035F"/>
    <w:rsid w:val="00DA634F"/>
    <w:rsid w:val="00DA65AC"/>
    <w:rsid w:val="00DB1913"/>
    <w:rsid w:val="00DC410D"/>
    <w:rsid w:val="00DC5A81"/>
    <w:rsid w:val="00DC68CA"/>
    <w:rsid w:val="00DC7CBA"/>
    <w:rsid w:val="00DD73B7"/>
    <w:rsid w:val="00DF10B6"/>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9FD04D3"/>
    <w:rsid w:val="319F7F4E"/>
    <w:rsid w:val="43D95C18"/>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标题 2 Char"/>
    <w:basedOn w:val="13"/>
    <w:link w:val="3"/>
    <w:qFormat/>
    <w:uiPriority w:val="9"/>
    <w:rPr>
      <w:rFonts w:asciiTheme="majorHAnsi" w:hAnsiTheme="majorHAnsi" w:eastAsiaTheme="majorEastAsia" w:cstheme="majorBidi"/>
      <w:b/>
      <w:bCs/>
      <w:kern w:val="2"/>
      <w:sz w:val="32"/>
      <w:szCs w:val="32"/>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收、支决算总计（万元）</c:v>
                </c:pt>
              </c:strCache>
            </c:strRef>
          </c:tx>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2018年度</c:v>
                </c:pt>
                <c:pt idx="1">
                  <c:v>2019年度</c:v>
                </c:pt>
              </c:strCache>
            </c:strRef>
          </c:cat>
          <c:val>
            <c:numRef>
              <c:f>Sheet1!$B$2:$B$3</c:f>
              <c:numCache>
                <c:formatCode>General</c:formatCode>
                <c:ptCount val="2"/>
                <c:pt idx="0">
                  <c:v>171.61</c:v>
                </c:pt>
                <c:pt idx="1">
                  <c:v>166.39</c:v>
                </c:pt>
              </c:numCache>
            </c:numRef>
          </c:val>
        </c:ser>
        <c:dLbls>
          <c:showLegendKey val="0"/>
          <c:showVal val="0"/>
          <c:showCatName val="0"/>
          <c:showSerName val="0"/>
          <c:showPercent val="0"/>
          <c:showBubbleSize val="0"/>
        </c:dLbls>
        <c:gapWidth val="150"/>
        <c:overlap val="100"/>
        <c:axId val="54693888"/>
        <c:axId val="54695808"/>
      </c:barChart>
      <c:catAx>
        <c:axId val="54693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695808"/>
        <c:crosses val="autoZero"/>
        <c:auto val="1"/>
        <c:lblAlgn val="ctr"/>
        <c:lblOffset val="100"/>
        <c:noMultiLvlLbl val="0"/>
      </c:catAx>
      <c:valAx>
        <c:axId val="546958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6938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Sheet1!$B$2:$B$9</c:f>
              <c:numCache>
                <c:formatCode>General</c:formatCode>
                <c:ptCount val="8"/>
                <c:pt idx="0">
                  <c:v>162.25</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137.19</c:v>
                </c:pt>
                <c:pt idx="1">
                  <c:v>25.63</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财政拨款收、支决算总计变动情况（万元）</a:t>
            </a:r>
            <a:endParaRPr lang="zh-CN" altLang="en-US" sz="1600"/>
          </a:p>
        </c:rich>
      </c:tx>
      <c:layout/>
      <c:overlay val="0"/>
    </c:title>
    <c:autoTitleDeleted val="0"/>
    <c:plotArea>
      <c:layout>
        <c:manualLayout>
          <c:layoutTarget val="inner"/>
          <c:xMode val="edge"/>
          <c:yMode val="edge"/>
          <c:x val="0.0788574250060919"/>
          <c:y val="0.179973558062089"/>
          <c:w val="0.809164710861452"/>
          <c:h val="0.657899113197271"/>
        </c:manualLayout>
      </c:layout>
      <c:barChart>
        <c:barDir val="col"/>
        <c:grouping val="stacked"/>
        <c:varyColors val="0"/>
        <c:ser>
          <c:idx val="0"/>
          <c:order val="0"/>
          <c:tx>
            <c:strRef>
              <c:f>Sheet1!$B$1</c:f>
              <c:strCache>
                <c:ptCount val="1"/>
                <c:pt idx="0">
                  <c:v>2019年财政拨款收、支决算总计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c:v>
                </c:pt>
                <c:pt idx="1">
                  <c:v>2018年度</c:v>
                </c:pt>
              </c:strCache>
            </c:strRef>
          </c:cat>
          <c:val>
            <c:numRef>
              <c:f>Sheet1!$B$2:$B$3</c:f>
              <c:numCache>
                <c:formatCode>General</c:formatCode>
                <c:ptCount val="2"/>
                <c:pt idx="0">
                  <c:v>166.39</c:v>
                </c:pt>
                <c:pt idx="1">
                  <c:v>171.61</c:v>
                </c:pt>
              </c:numCache>
            </c:numRef>
          </c:val>
        </c:ser>
        <c:dLbls>
          <c:showLegendKey val="0"/>
          <c:showVal val="1"/>
          <c:showCatName val="0"/>
          <c:showSerName val="0"/>
          <c:showPercent val="0"/>
          <c:showBubbleSize val="0"/>
        </c:dLbls>
        <c:gapWidth val="150"/>
        <c:overlap val="100"/>
        <c:axId val="91400448"/>
        <c:axId val="199050368"/>
      </c:barChart>
      <c:catAx>
        <c:axId val="914004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9050368"/>
        <c:crosses val="autoZero"/>
        <c:auto val="1"/>
        <c:lblAlgn val="ctr"/>
        <c:lblOffset val="100"/>
        <c:noMultiLvlLbl val="0"/>
      </c:catAx>
      <c:valAx>
        <c:axId val="199050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40044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年度一般公共预算财政拨款支出</a:t>
            </a:r>
            <a:endParaRPr lang="zh-CN" altLang="en-US"/>
          </a:p>
        </c:rich>
      </c:tx>
      <c:layout/>
      <c:overlay val="0"/>
    </c:title>
    <c:autoTitleDeleted val="0"/>
    <c:plotArea>
      <c:layout/>
      <c:barChart>
        <c:barDir val="col"/>
        <c:grouping val="stacked"/>
        <c:varyColors val="0"/>
        <c:ser>
          <c:idx val="0"/>
          <c:order val="0"/>
          <c:tx>
            <c:strRef>
              <c:f>Sheet1!$B$1</c:f>
              <c:strCache>
                <c:ptCount val="1"/>
                <c:pt idx="0">
                  <c:v>一般公共预算财政拨款支出（万元）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2018年度</c:v>
                </c:pt>
                <c:pt idx="1">
                  <c:v>2019年度</c:v>
                </c:pt>
              </c:strCache>
            </c:strRef>
          </c:cat>
          <c:val>
            <c:numRef>
              <c:f>Sheet1!$B$2:$B$3</c:f>
              <c:numCache>
                <c:formatCode>General</c:formatCode>
                <c:ptCount val="2"/>
                <c:pt idx="0">
                  <c:v>167.52</c:v>
                </c:pt>
                <c:pt idx="1">
                  <c:v>162.82</c:v>
                </c:pt>
              </c:numCache>
            </c:numRef>
          </c:val>
        </c:ser>
        <c:dLbls>
          <c:showLegendKey val="0"/>
          <c:showVal val="1"/>
          <c:showCatName val="0"/>
          <c:showSerName val="0"/>
          <c:showPercent val="0"/>
          <c:showBubbleSize val="0"/>
        </c:dLbls>
        <c:gapWidth val="150"/>
        <c:overlap val="100"/>
        <c:axId val="212143104"/>
        <c:axId val="214939520"/>
      </c:barChart>
      <c:catAx>
        <c:axId val="2121431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4939520"/>
        <c:crosses val="autoZero"/>
        <c:auto val="1"/>
        <c:lblAlgn val="ctr"/>
        <c:lblOffset val="100"/>
        <c:noMultiLvlLbl val="0"/>
      </c:catAx>
      <c:valAx>
        <c:axId val="2149395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21431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2019年一般公共预算财政拨款支</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社会保障和就业支出（类）支出</c:v>
                </c:pt>
                <c:pt idx="1">
                  <c:v>卫生健康支出（类）</c:v>
                </c:pt>
                <c:pt idx="2">
                  <c:v>城乡社区支出（类）支出</c:v>
                </c:pt>
                <c:pt idx="3">
                  <c:v>住房保障支出（类）支出</c:v>
                </c:pt>
              </c:strCache>
            </c:strRef>
          </c:cat>
          <c:val>
            <c:numRef>
              <c:f>Sheet1!$B$2:$B$5</c:f>
              <c:numCache>
                <c:formatCode>General</c:formatCode>
                <c:ptCount val="4"/>
                <c:pt idx="0">
                  <c:v>13.75</c:v>
                </c:pt>
                <c:pt idx="1">
                  <c:v>2.9</c:v>
                </c:pt>
                <c:pt idx="2">
                  <c:v>136.62</c:v>
                </c:pt>
                <c:pt idx="3">
                  <c:v>9.55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C1CCF-5F53-4204-A650-C115F941EBD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1260</Words>
  <Characters>7187</Characters>
  <Lines>59</Lines>
  <Paragraphs>16</Paragraphs>
  <TotalTime>892</TotalTime>
  <ScaleCrop>false</ScaleCrop>
  <LinksUpToDate>false</LinksUpToDate>
  <CharactersWithSpaces>8431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貌似胖呼呼</cp:lastModifiedBy>
  <cp:lastPrinted>2020-07-23T02:58:00Z</cp:lastPrinted>
  <dcterms:modified xsi:type="dcterms:W3CDTF">2020-10-29T02:08:22Z</dcterms:modified>
  <dc:title>四川省***</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