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77193"/>
      <w:bookmarkStart w:id="4" w:name="_Toc15396597"/>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77426"/>
      <w:bookmarkStart w:id="7" w:name="_Toc15378442"/>
      <w:bookmarkStart w:id="8" w:name="_Toc15396598"/>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w:t>
      </w:r>
      <w:bookmarkStart w:id="73" w:name="_GoBack"/>
      <w:bookmarkEnd w:id="73"/>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土地和房屋征收服务中心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8446"/>
      <w:bookmarkStart w:id="19" w:name="_Toc1537719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_GB2312" w:hAnsi="仿宋" w:eastAsia="仿宋_GB2312"/>
          <w:sz w:val="32"/>
          <w:szCs w:val="32"/>
        </w:rPr>
        <w:t>负责全市土地和房屋征收与补偿工作的实施。</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660"/>
        <w:rPr>
          <w:rFonts w:hint="eastAsia" w:ascii="仿宋_GB2312" w:hAnsi="仿宋" w:eastAsia="仿宋_GB2312"/>
          <w:b/>
          <w:color w:val="000000"/>
          <w:sz w:val="32"/>
          <w:szCs w:val="32"/>
        </w:rPr>
      </w:pPr>
      <w:r>
        <w:rPr>
          <w:rFonts w:hint="eastAsia" w:ascii="仿宋_GB2312" w:hAnsi="仿宋" w:eastAsia="仿宋_GB2312"/>
          <w:b/>
          <w:color w:val="000000"/>
          <w:sz w:val="32"/>
          <w:szCs w:val="32"/>
        </w:rPr>
        <w:t>1.重大交通项目</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峨汉高速：征地已完成3748亩，红线内房屋已搬迁（倒房）618户，坟墓已搬迁1872座，国有企业搬迁3家，集体土地上企业已协议签订5家，已搬迁苗圃3家；</w:t>
      </w:r>
    </w:p>
    <w:p>
      <w:pPr>
        <w:ind w:firstLine="660"/>
        <w:rPr>
          <w:rFonts w:ascii="仿宋_GB2312" w:hAnsi="仿宋" w:eastAsia="仿宋_GB2312"/>
          <w:sz w:val="32"/>
          <w:szCs w:val="32"/>
        </w:rPr>
      </w:pPr>
      <w:r>
        <w:rPr>
          <w:rFonts w:hint="eastAsia" w:ascii="仿宋_GB2312" w:hAnsi="仿宋" w:eastAsia="仿宋_GB2312"/>
          <w:sz w:val="32"/>
          <w:szCs w:val="32"/>
        </w:rPr>
        <w:t>成乐高速扩容项目：完成已征土地的构建筑物清点工作；</w:t>
      </w:r>
    </w:p>
    <w:p>
      <w:pPr>
        <w:ind w:firstLine="660"/>
        <w:rPr>
          <w:rFonts w:ascii="仿宋_GB2312" w:hAnsi="仿宋" w:eastAsia="仿宋_GB2312"/>
          <w:sz w:val="32"/>
          <w:szCs w:val="32"/>
        </w:rPr>
      </w:pPr>
      <w:r>
        <w:rPr>
          <w:rFonts w:hint="eastAsia" w:ascii="仿宋_GB2312" w:hAnsi="仿宋" w:eastAsia="仿宋_GB2312"/>
          <w:sz w:val="32"/>
          <w:szCs w:val="32"/>
        </w:rPr>
        <w:t>木太路项目：完成征地28.84亩；</w:t>
      </w:r>
    </w:p>
    <w:p>
      <w:pPr>
        <w:ind w:firstLine="660"/>
        <w:rPr>
          <w:rFonts w:ascii="仿宋_GB2312" w:hAnsi="仿宋" w:eastAsia="仿宋_GB2312"/>
          <w:sz w:val="32"/>
          <w:szCs w:val="32"/>
        </w:rPr>
      </w:pPr>
      <w:r>
        <w:rPr>
          <w:rFonts w:hint="eastAsia" w:ascii="仿宋_GB2312" w:hAnsi="仿宋" w:eastAsia="仿宋_GB2312"/>
          <w:sz w:val="32"/>
          <w:szCs w:val="32"/>
        </w:rPr>
        <w:t>川桃路延伸段：完成征地28.83亩.</w:t>
      </w:r>
    </w:p>
    <w:p>
      <w:pPr>
        <w:ind w:firstLine="640"/>
        <w:rPr>
          <w:rFonts w:ascii="仿宋_GB2312" w:hAnsi="仿宋" w:eastAsia="仿宋_GB2312"/>
          <w:b/>
          <w:sz w:val="32"/>
          <w:szCs w:val="32"/>
        </w:rPr>
      </w:pPr>
      <w:r>
        <w:rPr>
          <w:rFonts w:hint="eastAsia" w:ascii="仿宋_GB2312" w:hAnsi="仿宋" w:eastAsia="仿宋_GB2312"/>
          <w:b/>
          <w:sz w:val="32"/>
          <w:szCs w:val="32"/>
        </w:rPr>
        <w:t>2.民生工程项目</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七路一桥项目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旅博大桥周边200余亩河滩地的租用工作和2家养鸡场的拆迁工作；黄川下穿隧道项目，完成大南8组、城西8组永久性占地工作和2栋房屋的拆迁工作；城市8、9号道路建设项目，完成项目范围内涉及飞来苗圃部分苗圃及地面构建筑物的拆迁补偿协议签订工作；峨眉二中高中部扩建项目完成82户房屋拆迁工作；完成创文项目胜利站前广场200亩、旅博大道新平段165亩以及人民医院迁建项目杆管线的清场交地工作；。</w:t>
      </w:r>
    </w:p>
    <w:p>
      <w:pPr>
        <w:ind w:firstLine="640"/>
        <w:rPr>
          <w:rFonts w:ascii="仿宋_GB2312" w:hAnsi="仿宋_GB2312" w:eastAsia="仿宋_GB2312" w:cs="仿宋_GB2312"/>
          <w:b/>
          <w:sz w:val="32"/>
          <w:szCs w:val="32"/>
        </w:rPr>
      </w:pPr>
      <w:r>
        <w:rPr>
          <w:rFonts w:hint="eastAsia" w:ascii="仿宋_GB2312" w:hAnsi="仿宋_GB2312" w:eastAsia="仿宋_GB2312" w:cs="仿宋_GB2312"/>
          <w:b/>
          <w:sz w:val="32"/>
          <w:szCs w:val="32"/>
        </w:rPr>
        <w:t>3.其他重大项目</w:t>
      </w:r>
    </w:p>
    <w:p>
      <w:pPr>
        <w:ind w:firstLine="640"/>
        <w:rPr>
          <w:rFonts w:ascii="仿宋_GB2312" w:eastAsia="仿宋_GB2312"/>
          <w:sz w:val="32"/>
          <w:szCs w:val="32"/>
        </w:rPr>
      </w:pPr>
      <w:r>
        <w:rPr>
          <w:rFonts w:hint="eastAsia" w:ascii="仿宋_GB2312" w:eastAsia="仿宋_GB2312"/>
          <w:sz w:val="32"/>
          <w:szCs w:val="32"/>
        </w:rPr>
        <w:t>恒邦度假小镇（一期）项目完成征地242.99亩，签订拆迁协议44户；恒邦度假小镇（二期）项目完成征地572.11亩，完成90栋房屋的拆迁和80栋房屋测绘工作。</w:t>
      </w:r>
      <w:r>
        <w:rPr>
          <w:rFonts w:ascii="仿宋_GB2312" w:eastAsia="仿宋_GB2312"/>
          <w:sz w:val="32"/>
          <w:szCs w:val="32"/>
        </w:rPr>
        <w:t xml:space="preserve"> </w:t>
      </w:r>
    </w:p>
    <w:p>
      <w:pPr>
        <w:ind w:firstLine="640"/>
        <w:rPr>
          <w:rFonts w:ascii="仿宋_GB2312" w:eastAsia="仿宋_GB2312"/>
          <w:sz w:val="32"/>
          <w:szCs w:val="32"/>
        </w:rPr>
      </w:pPr>
      <w:r>
        <w:rPr>
          <w:rFonts w:hint="eastAsia" w:ascii="仿宋_GB2312" w:eastAsia="仿宋_GB2312"/>
          <w:sz w:val="32"/>
          <w:szCs w:val="32"/>
        </w:rPr>
        <w:t>保乐力加（二期）及高柳路改（扩）建项目完成新征用地60亩，签订拆迁协议46户。</w:t>
      </w:r>
    </w:p>
    <w:p>
      <w:pPr>
        <w:ind w:firstLine="640"/>
        <w:rPr>
          <w:rFonts w:hint="eastAsia" w:ascii="仿宋_GB2312" w:eastAsia="仿宋_GB2312"/>
          <w:sz w:val="32"/>
          <w:szCs w:val="32"/>
          <w:lang w:eastAsia="zh-CN"/>
        </w:rPr>
      </w:pPr>
      <w:r>
        <w:rPr>
          <w:rFonts w:hint="eastAsia" w:ascii="仿宋_GB2312" w:eastAsia="仿宋_GB2312"/>
          <w:sz w:val="32"/>
          <w:szCs w:val="32"/>
        </w:rPr>
        <w:t>220KV线路迁改项目，完成塔基34个，签订拆迁协议3户</w:t>
      </w:r>
      <w:r>
        <w:rPr>
          <w:rFonts w:hint="eastAsia" w:ascii="仿宋_GB2312" w:eastAsia="仿宋_GB2312"/>
          <w:sz w:val="32"/>
          <w:szCs w:val="32"/>
          <w:lang w:eastAsia="zh-CN"/>
        </w:rPr>
        <w:t>。</w:t>
      </w:r>
    </w:p>
    <w:p>
      <w:pPr>
        <w:ind w:firstLine="640"/>
        <w:rPr>
          <w:rFonts w:hint="eastAsia" w:ascii="仿宋" w:hAnsi="仿宋" w:eastAsia="仿宋_GB2312"/>
          <w:bCs/>
          <w:color w:val="000000"/>
          <w:sz w:val="32"/>
          <w:szCs w:val="32"/>
          <w:lang w:val="en-US" w:eastAsia="zh-CN"/>
        </w:rPr>
      </w:pPr>
      <w:r>
        <w:rPr>
          <w:rFonts w:hint="eastAsia" w:ascii="仿宋_GB2312" w:hAnsi="仿宋_GB2312" w:eastAsia="仿宋_GB2312" w:cs="仿宋_GB2312"/>
          <w:sz w:val="32"/>
          <w:szCs w:val="32"/>
        </w:rPr>
        <w:t>华西医院项目，完成新增58.04亩征地、构筑物清点和41户房屋拆迁工作；符北1组城市建设项目，完成110户房屋拆迁工作；城东村第二批城市建设项目，完成26户村民的房屋拆迁协议签订工作；乐河国际项目，完成项目范围内2家养鸡棚的拆除工作；小城镇危旧房棚改配套基础设施项目，完成项目范围内1家苗圃和1家厂房的拆迁工作，正在组织清场；符溪工业用地项目，完成62.01亩征地工作；金顶驾校项目，完成项目范围内已征用土地上的构建筑物清点工作；</w:t>
      </w:r>
      <w:r>
        <w:rPr>
          <w:rFonts w:hint="eastAsia" w:ascii="仿宋_GB2312" w:eastAsia="仿宋_GB2312"/>
          <w:sz w:val="32"/>
          <w:szCs w:val="32"/>
        </w:rPr>
        <w:t>完成胜利镇景安地块尚勇构建厂的拆迁工作；完成胜利镇十里村六组何玉祥木货厂房的拆迁工作；完成中央财政资金投资胜燕路延伸段构件厂搬迁工作；完成黄湾恒邦见山府二期项目9户6栋房屋拆迁工作；完成红旗彩钢扩建项目27.56亩征地工作；</w:t>
      </w:r>
      <w:r>
        <w:rPr>
          <w:rFonts w:hint="eastAsia" w:ascii="仿宋_GB2312" w:hAnsi="仿宋_GB2312" w:eastAsia="仿宋_GB2312" w:cs="仿宋_GB2312"/>
          <w:sz w:val="32"/>
          <w:szCs w:val="32"/>
        </w:rPr>
        <w:t>只有峨眉山项目，完成3户房屋拆迁工作；</w:t>
      </w:r>
      <w:r>
        <w:rPr>
          <w:rFonts w:hint="eastAsia" w:ascii="仿宋_GB2312" w:eastAsia="仿宋_GB2312"/>
          <w:sz w:val="32"/>
          <w:szCs w:val="32"/>
        </w:rPr>
        <w:t>完成恒邦项目用地涉及桂花彭桥4、6、7组(约35亩)的土地征收工作；完成原中信国安桂花彭桥3组45、46号地块坟墓及田间构建巩物的清场工作；完成胜利赶山河公园干河村委会</w:t>
      </w:r>
      <w:r>
        <w:rPr>
          <w:rFonts w:ascii="仿宋_GB2312" w:eastAsia="仿宋_GB2312"/>
          <w:sz w:val="32"/>
          <w:szCs w:val="32"/>
        </w:rPr>
        <w:t>3.45</w:t>
      </w:r>
      <w:r>
        <w:rPr>
          <w:rFonts w:hint="eastAsia" w:ascii="仿宋_GB2312" w:eastAsia="仿宋_GB2312"/>
          <w:sz w:val="32"/>
          <w:szCs w:val="32"/>
        </w:rPr>
        <w:t>亩征地工作</w:t>
      </w:r>
      <w:r>
        <w:rPr>
          <w:rFonts w:hint="eastAsia" w:ascii="仿宋_GB2312" w:eastAsia="仿宋_GB2312"/>
          <w:sz w:val="32"/>
          <w:szCs w:val="32"/>
          <w:lang w:val="en-US" w:eastAsia="zh-CN"/>
        </w:rPr>
        <w:t>.</w:t>
      </w:r>
    </w:p>
    <w:p>
      <w:pPr>
        <w:pStyle w:val="3"/>
        <w:rPr>
          <w:rStyle w:val="25"/>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峨眉山市土地和房屋征收</w:t>
      </w:r>
      <w:r>
        <w:rPr>
          <w:rFonts w:hint="eastAsia" w:ascii="仿宋_GB2312" w:eastAsia="仿宋_GB2312"/>
          <w:sz w:val="32"/>
          <w:szCs w:val="32"/>
          <w:lang w:eastAsia="zh-CN"/>
        </w:rPr>
        <w:t>服务中心为市自然资源局管理的公益一类事业单位</w:t>
      </w:r>
      <w:r>
        <w:rPr>
          <w:rFonts w:hint="eastAsia" w:ascii="仿宋_GB2312" w:eastAsia="仿宋_GB2312"/>
          <w:sz w:val="32"/>
          <w:szCs w:val="32"/>
          <w:lang w:val="en-US" w:eastAsia="zh-CN"/>
        </w:rPr>
        <w:t>。</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12143.47</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4870.04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28.62</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减少了只有峨眉山等征拆项目支出经费。</w:t>
      </w:r>
    </w:p>
    <w:p>
      <w:pPr>
        <w:spacing w:line="600" w:lineRule="exact"/>
        <w:ind w:firstLine="640" w:firstLineChars="200"/>
        <w:rPr>
          <w:rFonts w:hint="eastAsia" w:ascii="仿宋" w:hAnsi="仿宋" w:eastAsia="仿宋"/>
          <w:color w:val="000000" w:themeColor="text1"/>
          <w:sz w:val="32"/>
          <w:szCs w:val="32"/>
          <w:highlight w:val="none"/>
        </w:rPr>
      </w:pPr>
      <w:r>
        <w:rPr>
          <w:rFonts w:hint="eastAsia" w:ascii="仿宋" w:hAnsi="仿宋" w:eastAsia="仿宋"/>
          <w:color w:val="000000" w:themeColor="text1"/>
          <w:sz w:val="32"/>
          <w:szCs w:val="32"/>
          <w:highlight w:val="none"/>
        </w:rPr>
        <w:t>图</w:t>
      </w:r>
      <w:r>
        <w:rPr>
          <w:rFonts w:ascii="仿宋" w:hAnsi="仿宋" w:eastAsia="仿宋"/>
          <w:color w:val="000000" w:themeColor="text1"/>
          <w:sz w:val="32"/>
          <w:szCs w:val="32"/>
          <w:highlight w:val="none"/>
        </w:rPr>
        <w:t>1</w:t>
      </w:r>
      <w:r>
        <w:rPr>
          <w:rFonts w:hint="eastAsia" w:ascii="仿宋" w:hAnsi="仿宋" w:eastAsia="仿宋"/>
          <w:color w:val="000000" w:themeColor="text1"/>
          <w:sz w:val="32"/>
          <w:szCs w:val="32"/>
          <w:highlight w:val="none"/>
        </w:rPr>
        <w:t>：收、支决算总计变动情况图</w:t>
      </w:r>
    </w:p>
    <w:p>
      <w:pPr>
        <w:spacing w:line="600" w:lineRule="exact"/>
        <w:ind w:firstLine="420" w:firstLineChars="200"/>
        <w:rPr>
          <w:rFonts w:hint="eastAsia" w:ascii="仿宋" w:hAnsi="仿宋" w:eastAsia="仿宋"/>
          <w:color w:val="000000" w:themeColor="text1"/>
          <w:sz w:val="32"/>
          <w:szCs w:val="32"/>
          <w:highlight w:val="none"/>
        </w:rPr>
      </w:pPr>
      <w:r>
        <w:drawing>
          <wp:anchor distT="0" distB="0" distL="114300" distR="114300" simplePos="0" relativeHeight="251658240" behindDoc="0" locked="0" layoutInCell="1" allowOverlap="1">
            <wp:simplePos x="0" y="0"/>
            <wp:positionH relativeFrom="column">
              <wp:posOffset>446405</wp:posOffset>
            </wp:positionH>
            <wp:positionV relativeFrom="paragraph">
              <wp:posOffset>192405</wp:posOffset>
            </wp:positionV>
            <wp:extent cx="4572000" cy="2743200"/>
            <wp:effectExtent l="4445" t="4445" r="1460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themeColor="text1"/>
          <w:sz w:val="32"/>
          <w:szCs w:val="32"/>
          <w:highlight w:val="none"/>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ind w:firstLine="640" w:firstLineChars="200"/>
        <w:jc w:val="left"/>
        <w:rPr>
          <w:rFonts w:ascii="仿宋_GB2312" w:eastAsia="仿宋_GB2312"/>
          <w:color w:val="000000"/>
          <w:sz w:val="32"/>
          <w:szCs w:val="32"/>
        </w:rPr>
      </w:pPr>
    </w:p>
    <w:p>
      <w:pPr>
        <w:spacing w:line="600" w:lineRule="exact"/>
        <w:jc w:val="left"/>
        <w:rPr>
          <w:rFonts w:ascii="仿宋_GB2312" w:eastAsia="仿宋_GB2312"/>
          <w:color w:val="00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12135.55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544.06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4.48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11591.49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95.52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640" w:firstLineChars="200"/>
        <w:outlineLvl w:val="1"/>
        <w:rPr>
          <w:rFonts w:hint="eastAsia" w:ascii="仿宋" w:hAnsi="仿宋" w:eastAsia="仿宋"/>
          <w:color w:val="000000" w:themeColor="text1"/>
          <w:sz w:val="32"/>
          <w:szCs w:val="32"/>
        </w:rPr>
      </w:pPr>
    </w:p>
    <w:p>
      <w:pPr>
        <w:spacing w:line="600" w:lineRule="exact"/>
        <w:ind w:firstLine="640" w:firstLineChars="200"/>
        <w:outlineLvl w:val="1"/>
        <w:rPr>
          <w:rFonts w:hint="eastAsia" w:ascii="仿宋" w:hAnsi="仿宋" w:eastAsia="仿宋"/>
          <w:color w:val="000000" w:themeColor="text1"/>
          <w:sz w:val="32"/>
          <w:szCs w:val="32"/>
        </w:rPr>
      </w:pPr>
    </w:p>
    <w:p>
      <w:pPr>
        <w:spacing w:line="600" w:lineRule="exact"/>
        <w:ind w:firstLine="640" w:firstLineChars="200"/>
        <w:outlineLvl w:val="1"/>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-52705</wp:posOffset>
            </wp:positionH>
            <wp:positionV relativeFrom="paragraph">
              <wp:posOffset>61595</wp:posOffset>
            </wp:positionV>
            <wp:extent cx="4572000" cy="2743200"/>
            <wp:effectExtent l="4445" t="4445" r="1460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3"/>
        <w:numPr>
          <w:ilvl w:val="0"/>
          <w:numId w:val="0"/>
        </w:numPr>
        <w:spacing w:line="600" w:lineRule="exact"/>
        <w:ind w:left="640" w:leftChars="0"/>
        <w:outlineLvl w:val="1"/>
        <w:rPr>
          <w:rStyle w:val="25"/>
          <w:rFonts w:ascii="黑体" w:hAnsi="黑体" w:eastAsia="黑体"/>
          <w:b w:val="0"/>
        </w:rPr>
      </w:pPr>
      <w:bookmarkStart w:id="28" w:name="_Toc15377207"/>
      <w:bookmarkStart w:id="29" w:name="_Toc15396605"/>
    </w:p>
    <w:p>
      <w:pPr>
        <w:pStyle w:val="23"/>
        <w:numPr>
          <w:ilvl w:val="0"/>
          <w:numId w:val="1"/>
        </w:numPr>
        <w:spacing w:line="600" w:lineRule="exact"/>
        <w:ind w:firstLineChars="0"/>
        <w:outlineLvl w:val="1"/>
        <w:rPr>
          <w:rStyle w:val="25"/>
          <w:rFonts w:ascii="黑体" w:hAnsi="黑体" w:eastAsia="黑体"/>
          <w:b w:val="0"/>
        </w:rPr>
      </w:pPr>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12142.47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344.15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2.83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11798.32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97.17</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ind w:firstLine="960" w:firstLineChars="300"/>
        <w:outlineLvl w:val="1"/>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420" w:firstLineChars="200"/>
        <w:outlineLvl w:val="1"/>
        <w:rPr>
          <w:rFonts w:hint="eastAsia" w:ascii="仿宋" w:hAnsi="仿宋" w:eastAsia="仿宋"/>
          <w:color w:val="000000" w:themeColor="text1"/>
          <w:sz w:val="32"/>
          <w:szCs w:val="32"/>
        </w:rPr>
      </w:pPr>
      <w:r>
        <w:drawing>
          <wp:anchor distT="0" distB="0" distL="114300" distR="114300" simplePos="0" relativeHeight="251660288" behindDoc="0" locked="0" layoutInCell="1" allowOverlap="1">
            <wp:simplePos x="0" y="0"/>
            <wp:positionH relativeFrom="column">
              <wp:posOffset>175895</wp:posOffset>
            </wp:positionH>
            <wp:positionV relativeFrom="paragraph">
              <wp:posOffset>366395</wp:posOffset>
            </wp:positionV>
            <wp:extent cx="4572000" cy="2743200"/>
            <wp:effectExtent l="4445" t="4445" r="14605" b="14605"/>
            <wp:wrapNone/>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Fonts w:hint="eastAsia" w:ascii="仿宋" w:hAnsi="仿宋" w:eastAsia="仿宋"/>
          <w:color w:val="000000" w:themeColor="text1"/>
          <w:sz w:val="32"/>
          <w:szCs w:val="32"/>
        </w:rPr>
      </w:pPr>
    </w:p>
    <w:p>
      <w:pPr>
        <w:spacing w:line="600" w:lineRule="exact"/>
        <w:ind w:firstLine="640" w:firstLineChars="200"/>
        <w:outlineLvl w:val="1"/>
        <w:rPr>
          <w:rFonts w:hint="eastAsia" w:ascii="仿宋" w:hAnsi="仿宋" w:eastAsia="仿宋"/>
          <w:color w:val="000000" w:themeColor="text1"/>
          <w:sz w:val="32"/>
          <w:szCs w:val="32"/>
        </w:rPr>
      </w:pPr>
    </w:p>
    <w:p>
      <w:pPr>
        <w:spacing w:line="600" w:lineRule="exact"/>
        <w:ind w:firstLine="640" w:firstLineChars="200"/>
        <w:outlineLvl w:val="1"/>
        <w:rPr>
          <w:rFonts w:hint="eastAsia" w:ascii="仿宋" w:hAnsi="仿宋" w:eastAsia="仿宋"/>
          <w:color w:val="000000" w:themeColor="text1"/>
          <w:sz w:val="32"/>
          <w:szCs w:val="32"/>
        </w:rPr>
      </w:pPr>
    </w:p>
    <w:p>
      <w:pPr>
        <w:spacing w:line="600" w:lineRule="exact"/>
        <w:ind w:firstLine="640" w:firstLineChars="200"/>
        <w:outlineLvl w:val="1"/>
        <w:rPr>
          <w:rFonts w:hint="eastAsia" w:ascii="黑体" w:hAnsi="黑体" w:eastAsia="黑体"/>
          <w:color w:val="000000"/>
          <w:sz w:val="32"/>
          <w:szCs w:val="32"/>
        </w:rPr>
      </w:pPr>
      <w:bookmarkStart w:id="30" w:name="_Toc15377208"/>
      <w:bookmarkStart w:id="31"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320" w:firstLineChars="1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12143.38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hint="eastAsia" w:ascii="仿宋" w:hAnsi="仿宋" w:eastAsia="仿宋"/>
          <w:color w:val="000000"/>
          <w:sz w:val="32"/>
          <w:szCs w:val="32"/>
          <w:lang w:val="en-US" w:eastAsia="zh-CN"/>
        </w:rPr>
        <w:t>4692.8</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27.87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减少了只有峨眉山等征拆项目支出。</w:t>
      </w:r>
    </w:p>
    <w:p>
      <w:pPr>
        <w:spacing w:line="600" w:lineRule="exact"/>
        <w:ind w:firstLine="64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r>
        <w:drawing>
          <wp:anchor distT="0" distB="0" distL="114300" distR="114300" simplePos="0" relativeHeight="251661312" behindDoc="0" locked="0" layoutInCell="1" allowOverlap="1">
            <wp:simplePos x="0" y="0"/>
            <wp:positionH relativeFrom="column">
              <wp:posOffset>96520</wp:posOffset>
            </wp:positionH>
            <wp:positionV relativeFrom="paragraph">
              <wp:posOffset>-104140</wp:posOffset>
            </wp:positionV>
            <wp:extent cx="4572000" cy="2743200"/>
            <wp:effectExtent l="4445" t="4445" r="1460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ind w:firstLine="640"/>
        <w:rPr>
          <w:rFonts w:hint="eastAsia" w:ascii="仿宋" w:hAnsi="仿宋" w:eastAsia="仿宋"/>
          <w:color w:val="000000" w:themeColor="text1"/>
          <w:sz w:val="32"/>
          <w:szCs w:val="32"/>
        </w:rPr>
      </w:pPr>
    </w:p>
    <w:p>
      <w:pPr>
        <w:spacing w:line="600" w:lineRule="exact"/>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544.06</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4.48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96.67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21.6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增加了征拆项目支出。</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62336" behindDoc="0" locked="0" layoutInCell="1" allowOverlap="1">
            <wp:simplePos x="0" y="0"/>
            <wp:positionH relativeFrom="column">
              <wp:posOffset>378460</wp:posOffset>
            </wp:positionH>
            <wp:positionV relativeFrom="paragraph">
              <wp:posOffset>45085</wp:posOffset>
            </wp:positionV>
            <wp:extent cx="4572000" cy="2743200"/>
            <wp:effectExtent l="4445" t="4445" r="14605" b="14605"/>
            <wp:wrapNone/>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outlineLvl w:val="2"/>
        <w:rPr>
          <w:rFonts w:hint="eastAsia" w:ascii="仿宋" w:hAnsi="仿宋" w:eastAsia="仿宋"/>
          <w:b/>
          <w:color w:val="000000"/>
          <w:sz w:val="32"/>
          <w:szCs w:val="32"/>
        </w:rPr>
      </w:pPr>
      <w:bookmarkStart w:id="35" w:name="_Toc15377211"/>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hint="eastAsia" w:ascii="仿宋" w:hAnsi="仿宋" w:eastAsia="仿宋"/>
          <w:b/>
          <w:color w:val="000000"/>
          <w:sz w:val="32"/>
          <w:szCs w:val="32"/>
        </w:rPr>
      </w:pPr>
    </w:p>
    <w:p>
      <w:pPr>
        <w:spacing w:line="600" w:lineRule="exact"/>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544.06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285.68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52.51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28.1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5.16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6.73</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1.24</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23.55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4.33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城乡社区支出</w:t>
      </w:r>
      <w:r>
        <w:rPr>
          <w:rFonts w:hint="eastAsia" w:ascii="仿宋" w:hAnsi="仿宋" w:eastAsia="仿宋"/>
          <w:color w:val="000000" w:themeColor="text1"/>
          <w:sz w:val="32"/>
          <w:szCs w:val="32"/>
          <w:lang w:val="en-US" w:eastAsia="zh-CN"/>
        </w:rPr>
        <w:t>200万元，占36.76%</w:t>
      </w:r>
      <w:r>
        <w:rPr>
          <w:rFonts w:hint="eastAsia" w:ascii="仿宋" w:hAnsi="仿宋" w:eastAsia="仿宋"/>
          <w:color w:val="000000" w:themeColor="text1"/>
          <w:sz w:val="32"/>
          <w:szCs w:val="32"/>
        </w:rPr>
        <w:t>。</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0"/>
        <w:rPr>
          <w:rFonts w:hint="eastAsia" w:ascii="仿宋" w:hAnsi="仿宋" w:eastAsia="仿宋"/>
          <w:color w:val="000000"/>
          <w:sz w:val="32"/>
          <w:szCs w:val="32"/>
        </w:rPr>
      </w:pPr>
      <w:r>
        <w:drawing>
          <wp:anchor distT="0" distB="0" distL="114300" distR="114300" simplePos="0" relativeHeight="251663360" behindDoc="0" locked="0" layoutInCell="1" allowOverlap="1">
            <wp:simplePos x="0" y="0"/>
            <wp:positionH relativeFrom="column">
              <wp:posOffset>106045</wp:posOffset>
            </wp:positionH>
            <wp:positionV relativeFrom="paragraph">
              <wp:posOffset>99695</wp:posOffset>
            </wp:positionV>
            <wp:extent cx="4572000" cy="2743200"/>
            <wp:effectExtent l="4445" t="4445" r="14605" b="14605"/>
            <wp:wrapNone/>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344.06</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hint="eastAsia" w:ascii="仿宋_GB2312" w:eastAsia="仿宋_GB2312"/>
          <w:color w:val="000000"/>
          <w:sz w:val="32"/>
          <w:szCs w:val="32"/>
        </w:rPr>
      </w:pPr>
      <w:r>
        <w:rPr>
          <w:rStyle w:val="14"/>
          <w:rFonts w:hint="eastAsia" w:ascii="仿宋_GB2312" w:eastAsia="仿宋_GB2312"/>
          <w:b w:val="0"/>
          <w:color w:val="000000"/>
          <w:sz w:val="32"/>
          <w:szCs w:val="32"/>
        </w:rPr>
        <w:t>1</w:t>
      </w:r>
      <w:r>
        <w:rPr>
          <w:rStyle w:val="14"/>
          <w:rFonts w:hint="eastAsia" w:ascii="仿宋" w:hAnsi="仿宋" w:eastAsia="仿宋"/>
          <w:bCs/>
          <w:color w:val="000000"/>
          <w:sz w:val="32"/>
          <w:szCs w:val="32"/>
        </w:rPr>
        <w:t xml:space="preserve">. 一般公共服务（类）政府办公及相关机构事务（款）事业运行（项）: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285.68</w:t>
      </w:r>
      <w:r>
        <w:rPr>
          <w:rFonts w:hint="eastAsia" w:ascii="仿宋_GB2312" w:eastAsia="仿宋_GB2312"/>
          <w:color w:val="000000"/>
          <w:sz w:val="32"/>
          <w:szCs w:val="32"/>
        </w:rPr>
        <w:t>万元，完成预算100%。</w:t>
      </w:r>
    </w:p>
    <w:p>
      <w:pPr>
        <w:spacing w:line="600" w:lineRule="exact"/>
        <w:ind w:firstLine="643" w:firstLineChars="200"/>
        <w:rPr>
          <w:rStyle w:val="14"/>
          <w:rFonts w:hint="eastAsia" w:ascii="仿宋_GB2312" w:hAnsi="Calibri" w:eastAsia="仿宋_GB2312"/>
          <w:b w:val="0"/>
          <w:color w:val="000000"/>
          <w:sz w:val="32"/>
          <w:szCs w:val="32"/>
        </w:rPr>
      </w:pPr>
      <w:r>
        <w:rPr>
          <w:rStyle w:val="14"/>
          <w:rFonts w:hint="eastAsia" w:ascii="仿宋" w:hAnsi="仿宋" w:eastAsia="仿宋"/>
          <w:bCs/>
          <w:color w:val="000000"/>
          <w:sz w:val="32"/>
          <w:szCs w:val="32"/>
        </w:rPr>
        <w:t xml:space="preserve">2. 社会保障和就业（类）行政事业单位离退休（款）机关事业单位养老保险缴费支出（项）: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19.21</w:t>
      </w:r>
      <w:r>
        <w:rPr>
          <w:rFonts w:hint="eastAsia" w:ascii="仿宋_GB2312" w:eastAsia="仿宋_GB2312"/>
          <w:color w:val="000000"/>
          <w:sz w:val="32"/>
          <w:szCs w:val="32"/>
        </w:rPr>
        <w:t>万元，完成预算100%。</w:t>
      </w:r>
    </w:p>
    <w:p>
      <w:pPr>
        <w:spacing w:line="600" w:lineRule="exact"/>
        <w:ind w:firstLine="643" w:firstLineChars="200"/>
        <w:rPr>
          <w:rFonts w:hint="eastAsia" w:ascii="仿宋_GB2312" w:eastAsia="仿宋_GB2312"/>
          <w:color w:val="000000"/>
          <w:sz w:val="32"/>
          <w:szCs w:val="32"/>
        </w:rPr>
      </w:pPr>
      <w:r>
        <w:rPr>
          <w:rStyle w:val="14"/>
          <w:rFonts w:hint="eastAsia" w:ascii="仿宋" w:hAnsi="仿宋" w:eastAsia="仿宋"/>
          <w:bCs/>
          <w:color w:val="000000"/>
          <w:sz w:val="32"/>
          <w:szCs w:val="32"/>
        </w:rPr>
        <w:t>3. 社会保障和就业（类）行政事业单位离退休（款）机关事业单位职业年金缴费支出（项）</w:t>
      </w:r>
      <w:r>
        <w:rPr>
          <w:rStyle w:val="14"/>
          <w:rFonts w:hint="eastAsia" w:ascii="仿宋_GB2312" w:eastAsia="仿宋_GB2312"/>
          <w:b w:val="0"/>
          <w:color w:val="000000"/>
          <w:sz w:val="32"/>
          <w:szCs w:val="32"/>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8.89</w:t>
      </w:r>
      <w:r>
        <w:rPr>
          <w:rFonts w:hint="eastAsia" w:ascii="仿宋_GB2312" w:eastAsia="仿宋_GB2312"/>
          <w:color w:val="000000"/>
          <w:sz w:val="32"/>
          <w:szCs w:val="32"/>
        </w:rPr>
        <w:t>万元，完成预算100%。</w:t>
      </w:r>
    </w:p>
    <w:p>
      <w:pPr>
        <w:spacing w:line="600" w:lineRule="exact"/>
        <w:ind w:firstLine="643" w:firstLineChars="200"/>
        <w:rPr>
          <w:rFonts w:hint="eastAsia" w:ascii="仿宋_GB2312" w:eastAsia="仿宋_GB2312"/>
          <w:color w:val="000000"/>
          <w:sz w:val="32"/>
          <w:szCs w:val="32"/>
        </w:rPr>
      </w:pPr>
      <w:r>
        <w:rPr>
          <w:rStyle w:val="14"/>
          <w:rFonts w:hint="eastAsia" w:ascii="仿宋" w:hAnsi="仿宋" w:eastAsia="仿宋"/>
          <w:bCs/>
          <w:color w:val="000000"/>
          <w:sz w:val="32"/>
          <w:szCs w:val="32"/>
        </w:rPr>
        <w:t>4. 医疗卫生与计划生育（类）医疗保障（款）事业单位医疗（项）:</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6.73</w:t>
      </w:r>
      <w:r>
        <w:rPr>
          <w:rFonts w:hint="eastAsia" w:ascii="仿宋_GB2312" w:eastAsia="仿宋_GB2312"/>
          <w:color w:val="000000"/>
          <w:sz w:val="32"/>
          <w:szCs w:val="32"/>
        </w:rPr>
        <w:t>万元，完成预算100%。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Style w:val="14"/>
          <w:rFonts w:hint="eastAsia" w:ascii="仿宋" w:hAnsi="仿宋" w:eastAsia="仿宋"/>
          <w:bCs/>
          <w:color w:val="000000"/>
          <w:sz w:val="32"/>
          <w:szCs w:val="32"/>
          <w:lang w:val="en-US" w:eastAsia="zh-CN"/>
        </w:rPr>
        <w:t>5</w:t>
      </w:r>
      <w:r>
        <w:rPr>
          <w:rStyle w:val="14"/>
          <w:rFonts w:hint="eastAsia" w:ascii="仿宋" w:hAnsi="仿宋" w:eastAsia="仿宋"/>
          <w:bCs/>
          <w:color w:val="000000"/>
          <w:sz w:val="32"/>
          <w:szCs w:val="32"/>
        </w:rPr>
        <w:t>. 住房保障支出（类）住房改革支出（款）住房公积金（项）：</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年决算数为</w:t>
      </w:r>
      <w:r>
        <w:rPr>
          <w:rFonts w:hint="eastAsia" w:ascii="仿宋_GB2312" w:eastAsia="仿宋_GB2312"/>
          <w:color w:val="000000"/>
          <w:sz w:val="32"/>
          <w:szCs w:val="32"/>
          <w:lang w:val="en-US" w:eastAsia="zh-CN"/>
        </w:rPr>
        <w:t>23.55</w:t>
      </w:r>
      <w:r>
        <w:rPr>
          <w:rFonts w:hint="eastAsia" w:ascii="仿宋_GB2312" w:eastAsia="仿宋_GB2312"/>
          <w:color w:val="000000"/>
          <w:sz w:val="32"/>
          <w:szCs w:val="32"/>
        </w:rPr>
        <w:t>万元，完成预算100%。</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344.06</w:t>
      </w:r>
      <w:r>
        <w:rPr>
          <w:rFonts w:hint="eastAsia" w:ascii="仿宋" w:hAnsi="仿宋" w:eastAsia="仿宋"/>
          <w:color w:val="000000"/>
          <w:sz w:val="32"/>
          <w:szCs w:val="32"/>
        </w:rPr>
        <w:t>万元，其中：</w:t>
      </w:r>
    </w:p>
    <w:p>
      <w:pPr>
        <w:spacing w:line="580" w:lineRule="exact"/>
        <w:ind w:firstLine="645"/>
        <w:rPr>
          <w:rFonts w:ascii="仿宋" w:hAnsi="仿宋" w:eastAsia="仿宋"/>
          <w:color w:val="000000"/>
          <w:sz w:val="32"/>
          <w:szCs w:val="32"/>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287.82</w:t>
      </w:r>
      <w:r>
        <w:rPr>
          <w:rFonts w:hint="eastAsia" w:ascii="仿宋" w:hAnsi="仿宋" w:eastAsia="仿宋"/>
          <w:color w:val="000000"/>
          <w:sz w:val="32"/>
          <w:szCs w:val="32"/>
          <w:highlight w:val="none"/>
        </w:rPr>
        <w:t>万元，主要包括：基本工资、津贴补贴、奖金、伙食补助费、绩效工资、机关事业单位基本养老保险缴费、职业年金缴费、其他社会保障缴费、其他工资福利支出、医疗费补助、奖励金、住房公积金、其他对个人和家庭的补助支出等。</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日常公用经费</w:t>
      </w:r>
      <w:r>
        <w:rPr>
          <w:rFonts w:hint="eastAsia" w:ascii="仿宋" w:hAnsi="仿宋" w:eastAsia="仿宋"/>
          <w:color w:val="000000"/>
          <w:sz w:val="32"/>
          <w:szCs w:val="32"/>
          <w:highlight w:val="none"/>
          <w:lang w:val="en-US" w:eastAsia="zh-CN"/>
        </w:rPr>
        <w:t>56.24</w:t>
      </w:r>
      <w:r>
        <w:rPr>
          <w:rFonts w:hint="eastAsia" w:ascii="仿宋" w:hAnsi="仿宋" w:eastAsia="仿宋"/>
          <w:color w:val="000000"/>
          <w:sz w:val="32"/>
          <w:szCs w:val="32"/>
          <w:highlight w:val="none"/>
        </w:rPr>
        <w:t>万元，主要包括：</w:t>
      </w:r>
      <w:r>
        <w:rPr>
          <w:rFonts w:hint="eastAsia" w:ascii="仿宋_GB2312" w:eastAsia="仿宋_GB2312"/>
          <w:color w:val="000000"/>
          <w:sz w:val="32"/>
          <w:szCs w:val="32"/>
        </w:rPr>
        <w:t>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hint="eastAsia" w:ascii="仿宋_GB2312" w:eastAsia="仿宋_GB2312"/>
          <w:color w:val="333333"/>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6.52</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46.57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eastAsia="仿宋_GB2312"/>
          <w:color w:val="333333"/>
          <w:sz w:val="32"/>
          <w:szCs w:val="32"/>
        </w:rPr>
        <w:t>认真贯彻落实厉行节约各项规定，加强</w:t>
      </w:r>
      <w:r>
        <w:rPr>
          <w:rFonts w:hint="eastAsia" w:ascii="仿宋_GB2312" w:eastAsia="仿宋_GB2312"/>
          <w:color w:val="333333"/>
          <w:sz w:val="32"/>
          <w:szCs w:val="32"/>
          <w:lang w:eastAsia="zh-CN"/>
        </w:rPr>
        <w:t>了</w:t>
      </w:r>
      <w:r>
        <w:rPr>
          <w:rFonts w:hint="eastAsia" w:ascii="仿宋_GB2312" w:eastAsia="仿宋_GB2312"/>
          <w:color w:val="333333"/>
          <w:sz w:val="32"/>
          <w:szCs w:val="32"/>
        </w:rPr>
        <w:t>“三公”经费管理。</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万元；公务用车购置及运行维护费支出决算</w:t>
      </w:r>
      <w:r>
        <w:rPr>
          <w:rFonts w:hint="eastAsia" w:ascii="仿宋" w:hAnsi="仿宋" w:eastAsia="仿宋"/>
          <w:color w:val="000000"/>
          <w:sz w:val="32"/>
          <w:szCs w:val="32"/>
          <w:lang w:val="en-US" w:eastAsia="zh-CN"/>
        </w:rPr>
        <w:t>6.52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万元。具体情况如下：</w:t>
      </w:r>
    </w:p>
    <w:p>
      <w:pPr>
        <w:spacing w:line="600" w:lineRule="exact"/>
        <w:ind w:firstLine="1292" w:firstLineChars="404"/>
        <w:rPr>
          <w:rFonts w:hint="eastAsia" w:ascii="仿宋" w:hAnsi="仿宋" w:eastAsia="仿宋"/>
          <w:color w:val="000000"/>
          <w:sz w:val="32"/>
          <w:szCs w:val="32"/>
        </w:rPr>
      </w:pPr>
      <w:r>
        <w:rPr>
          <w:rFonts w:hint="eastAsia" w:ascii="仿宋" w:hAnsi="仿宋" w:eastAsia="仿宋"/>
          <w:color w:val="000000"/>
          <w:sz w:val="32"/>
          <w:szCs w:val="32"/>
        </w:rPr>
        <w:t>“三公”经费财政拨款支出结构</w:t>
      </w:r>
    </w:p>
    <w:p>
      <w:pPr>
        <w:spacing w:line="600" w:lineRule="exact"/>
        <w:ind w:firstLine="640"/>
        <w:rPr>
          <w:rFonts w:hint="eastAsia" w:ascii="仿宋" w:hAnsi="仿宋" w:eastAsia="仿宋"/>
          <w:color w:val="000000"/>
          <w:sz w:val="32"/>
          <w:szCs w:val="32"/>
        </w:rPr>
      </w:pPr>
      <w:r>
        <w:drawing>
          <wp:anchor distT="0" distB="0" distL="114300" distR="114300" simplePos="0" relativeHeight="251664384" behindDoc="0" locked="0" layoutInCell="1" allowOverlap="1">
            <wp:simplePos x="0" y="0"/>
            <wp:positionH relativeFrom="column">
              <wp:posOffset>781685</wp:posOffset>
            </wp:positionH>
            <wp:positionV relativeFrom="paragraph">
              <wp:posOffset>57150</wp:posOffset>
            </wp:positionV>
            <wp:extent cx="3200400" cy="2743200"/>
            <wp:effectExtent l="4445" t="4445" r="14605" b="14605"/>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万元。全年安排因公出国（境）团组0次，出国（境）0人。</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6.52</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完成预算</w:t>
      </w:r>
      <w:r>
        <w:rPr>
          <w:rStyle w:val="14"/>
          <w:rFonts w:hint="eastAsia" w:ascii="仿宋" w:hAnsi="仿宋" w:eastAsia="仿宋"/>
          <w:b w:val="0"/>
          <w:bCs/>
          <w:color w:val="000000"/>
          <w:sz w:val="32"/>
          <w:szCs w:val="32"/>
          <w:lang w:val="en-US" w:eastAsia="zh-CN"/>
        </w:rPr>
        <w:t>46.57</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辆、越野车1辆、载客汽车1辆。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6.52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征地拆迁工作</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主要用于执行公务、开展业务活动开支的交通费、住宿费、用餐费等。国内公务接待0批次0人，共计支出0万元。</w:t>
      </w:r>
    </w:p>
    <w:p>
      <w:pPr>
        <w:spacing w:line="600" w:lineRule="exact"/>
        <w:ind w:firstLine="640"/>
        <w:outlineLvl w:val="1"/>
        <w:rPr>
          <w:rStyle w:val="25"/>
          <w:rFonts w:ascii="黑体" w:hAnsi="黑体" w:eastAsia="黑体"/>
        </w:rPr>
      </w:pPr>
      <w:bookmarkStart w:id="46" w:name="_Toc15396610"/>
      <w:bookmarkStart w:id="47"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11598.32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highlight w:val="none"/>
        </w:rPr>
      </w:pP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9年国有资本经营预算拨款支出</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万元。</w:t>
      </w:r>
    </w:p>
    <w:p>
      <w:pPr>
        <w:spacing w:line="600" w:lineRule="exact"/>
        <w:ind w:firstLine="640" w:firstLineChars="200"/>
        <w:outlineLvl w:val="1"/>
        <w:rPr>
          <w:rStyle w:val="25"/>
          <w:rFonts w:ascii="黑体" w:hAnsi="黑体" w:eastAsia="黑体"/>
          <w:highlight w:val="none"/>
        </w:rPr>
      </w:pPr>
      <w:bookmarkStart w:id="50" w:name="_Toc15396612"/>
      <w:bookmarkStart w:id="51" w:name="_Toc15377221"/>
      <w:r>
        <w:rPr>
          <w:rFonts w:hint="eastAsia" w:ascii="黑体" w:hAnsi="黑体" w:eastAsia="黑体"/>
          <w:color w:val="000000"/>
          <w:sz w:val="32"/>
          <w:szCs w:val="32"/>
          <w:highlight w:val="none"/>
        </w:rPr>
        <w:t>十</w:t>
      </w:r>
      <w:r>
        <w:rPr>
          <w:rStyle w:val="25"/>
          <w:rFonts w:hint="eastAsia" w:ascii="黑体" w:hAnsi="黑体" w:eastAsia="黑体"/>
          <w:highlight w:val="none"/>
        </w:rPr>
        <w:t>、</w:t>
      </w:r>
      <w:r>
        <w:rPr>
          <w:rStyle w:val="25"/>
          <w:rFonts w:hint="eastAsia" w:ascii="黑体" w:hAnsi="黑体" w:eastAsia="黑体"/>
          <w:b w:val="0"/>
          <w:highlight w:val="none"/>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580" w:lineRule="exact"/>
        <w:ind w:firstLine="640" w:firstLineChars="200"/>
        <w:rPr>
          <w:rFonts w:hint="eastAsia" w:ascii="仿宋_GB2312" w:eastAsia="仿宋_GB2312"/>
          <w:color w:val="000000"/>
          <w:sz w:val="32"/>
          <w:szCs w:val="32"/>
        </w:rPr>
      </w:pPr>
      <w:bookmarkStart w:id="53" w:name="_Toc15377223"/>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年度，土地和房屋征收局机关运行经费支出0万元，与201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3"/>
    </w:p>
    <w:p>
      <w:pPr>
        <w:spacing w:line="58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9年，土地和房屋征收</w:t>
      </w:r>
      <w:r>
        <w:rPr>
          <w:rFonts w:hint="eastAsia" w:ascii="仿宋_GB2312" w:eastAsia="仿宋_GB2312"/>
          <w:color w:val="000000"/>
          <w:sz w:val="32"/>
          <w:szCs w:val="32"/>
          <w:lang w:eastAsia="zh-CN"/>
        </w:rPr>
        <w:t>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137.69</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9.68</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128.01</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伙食团改造</w:t>
      </w:r>
      <w:r>
        <w:rPr>
          <w:rFonts w:hint="eastAsia" w:ascii="仿宋_GB2312" w:eastAsia="仿宋_GB2312"/>
          <w:color w:val="000000"/>
          <w:sz w:val="32"/>
          <w:szCs w:val="32"/>
        </w:rPr>
        <w:t>、办公设备购置</w:t>
      </w:r>
      <w:r>
        <w:rPr>
          <w:rFonts w:hint="eastAsia" w:ascii="仿宋_GB2312" w:eastAsia="仿宋_GB2312"/>
          <w:color w:val="000000"/>
          <w:sz w:val="32"/>
          <w:szCs w:val="32"/>
          <w:lang w:eastAsia="zh-CN"/>
        </w:rPr>
        <w:t>、测绘评估采购服务</w:t>
      </w:r>
      <w:r>
        <w:rPr>
          <w:rFonts w:hint="eastAsia" w:ascii="仿宋_GB2312" w:eastAsia="仿宋_GB2312"/>
          <w:color w:val="000000"/>
          <w:sz w:val="32"/>
          <w:szCs w:val="32"/>
        </w:rPr>
        <w:t>等。</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日，土地和房屋征收</w:t>
      </w:r>
      <w:r>
        <w:rPr>
          <w:rFonts w:hint="eastAsia" w:ascii="仿宋_GB2312" w:eastAsia="仿宋_GB2312"/>
          <w:color w:val="000000"/>
          <w:sz w:val="32"/>
          <w:szCs w:val="32"/>
          <w:lang w:eastAsia="zh-CN"/>
        </w:rPr>
        <w:t>服务中心共</w:t>
      </w:r>
      <w:r>
        <w:rPr>
          <w:rFonts w:hint="eastAsia" w:ascii="仿宋_GB2312" w:eastAsia="仿宋_GB2312"/>
          <w:color w:val="000000"/>
          <w:sz w:val="32"/>
          <w:szCs w:val="32"/>
        </w:rPr>
        <w:t>有车辆0辆，其中：省部级领导干部用车0辆、一般公务用车0辆；单价50万元以上通用设备0台（套），单价100万元以上专用设备0台（套）。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按照预算绩效管理要求，本部门对201</w:t>
      </w:r>
      <w:r>
        <w:rPr>
          <w:rFonts w:hint="eastAsia" w:ascii="仿宋_GB2312" w:eastAsia="仿宋_GB2312"/>
          <w:sz w:val="32"/>
          <w:szCs w:val="32"/>
          <w:lang w:val="en-US" w:eastAsia="zh-CN"/>
        </w:rPr>
        <w:t>9</w:t>
      </w:r>
      <w:r>
        <w:rPr>
          <w:rFonts w:hint="eastAsia" w:ascii="仿宋_GB2312" w:eastAsia="仿宋_GB2312"/>
          <w:sz w:val="32"/>
          <w:szCs w:val="32"/>
        </w:rPr>
        <w:t>年一般公共预算项目支出开展了绩效目标管理，共编制绩效目标</w:t>
      </w:r>
      <w:r>
        <w:rPr>
          <w:rFonts w:hint="eastAsia" w:ascii="仿宋_GB2312" w:eastAsia="仿宋_GB2312"/>
          <w:sz w:val="32"/>
          <w:szCs w:val="32"/>
          <w:lang w:val="en-US" w:eastAsia="zh-CN"/>
        </w:rPr>
        <w:t>2</w:t>
      </w:r>
      <w:r>
        <w:rPr>
          <w:rFonts w:hint="eastAsia" w:ascii="仿宋_GB2312" w:eastAsia="仿宋_GB2312"/>
          <w:sz w:val="32"/>
          <w:szCs w:val="32"/>
        </w:rPr>
        <w:t>个，涉及财政资金</w:t>
      </w:r>
      <w:r>
        <w:rPr>
          <w:rFonts w:hint="eastAsia" w:ascii="仿宋_GB2312" w:eastAsia="仿宋_GB2312"/>
          <w:sz w:val="32"/>
          <w:szCs w:val="32"/>
          <w:lang w:val="en-US" w:eastAsia="zh-CN"/>
        </w:rPr>
        <w:t>205</w:t>
      </w:r>
      <w:r>
        <w:rPr>
          <w:rFonts w:hint="eastAsia" w:ascii="仿宋_GB2312" w:eastAsia="仿宋_GB2312"/>
          <w:sz w:val="32"/>
          <w:szCs w:val="32"/>
        </w:rPr>
        <w:t>万元，覆盖率达到100%。</w:t>
      </w:r>
    </w:p>
    <w:p>
      <w:pPr>
        <w:numPr>
          <w:ilvl w:val="0"/>
          <w:numId w:val="3"/>
        </w:numPr>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双创工作经费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“征拆工作经费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r>
        <w:rPr>
          <w:rFonts w:hint="eastAsia" w:ascii="仿宋_GB2312" w:hAnsi="仿宋_GB2312" w:eastAsia="仿宋_GB2312" w:cs="仿宋_GB2312"/>
          <w:sz w:val="32"/>
          <w:szCs w:val="32"/>
          <w:lang w:eastAsia="zh-CN"/>
        </w:rPr>
        <w:t>：</w:t>
      </w:r>
    </w:p>
    <w:p>
      <w:pPr>
        <w:numPr>
          <w:ilvl w:val="0"/>
          <w:numId w:val="4"/>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双创工作经费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对我单位负责的</w:t>
      </w:r>
      <w:r>
        <w:rPr>
          <w:rFonts w:hint="eastAsia" w:ascii="仿宋_GB2312" w:hAnsi="仿宋_GB2312" w:eastAsia="仿宋_GB2312" w:cs="仿宋_GB2312"/>
          <w:sz w:val="32"/>
          <w:szCs w:val="32"/>
        </w:rPr>
        <w:t>19责任片区15个小区开展绿化美化工作；添置环境整治卫生设施；加大宣传力度，力争家喻户晓；及时清运垃圾，定时打扫环境卫生项目实施，</w:t>
      </w:r>
      <w:r>
        <w:rPr>
          <w:rFonts w:hint="eastAsia" w:ascii="仿宋_GB2312" w:hAnsi="仿宋_GB2312" w:eastAsia="仿宋_GB2312" w:cs="仿宋_GB2312"/>
          <w:sz w:val="32"/>
          <w:szCs w:val="32"/>
          <w:lang w:eastAsia="zh-CN"/>
        </w:rPr>
        <w:t>确保了双创工作顺利推进。</w:t>
      </w:r>
    </w:p>
    <w:p>
      <w:pPr>
        <w:numPr>
          <w:ilvl w:val="0"/>
          <w:numId w:val="4"/>
        </w:numPr>
        <w:spacing w:line="58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征拆工作经费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%。通过项目实施，按“精准征收、阳光拆迁、惠民安置”的要求，完成峨汉高速等</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项目房屋拆迁补偿安置，完成市委市政府交办的</w:t>
      </w:r>
      <w:r>
        <w:rPr>
          <w:rFonts w:hint="eastAsia" w:ascii="仿宋_GB2312" w:hAnsi="仿宋_GB2312" w:eastAsia="仿宋_GB2312" w:cs="仿宋_GB2312"/>
          <w:sz w:val="32"/>
          <w:szCs w:val="32"/>
          <w:lang w:eastAsia="zh-CN"/>
        </w:rPr>
        <w:t>各项征拆任务，促进了我市经济社会发展。</w:t>
      </w: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p>
      <w:pPr>
        <w:widowControl w:val="0"/>
        <w:numPr>
          <w:ilvl w:val="0"/>
          <w:numId w:val="0"/>
        </w:numPr>
        <w:spacing w:line="580" w:lineRule="exact"/>
        <w:jc w:val="both"/>
        <w:rPr>
          <w:rFonts w:hint="eastAsia" w:ascii="仿宋_GB2312" w:hAnsi="仿宋_GB2312" w:eastAsia="仿宋_GB2312" w:cs="仿宋_GB2312"/>
          <w:sz w:val="32"/>
          <w:szCs w:val="32"/>
          <w:lang w:eastAsia="zh-CN"/>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80"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征地拆迁工作经费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峨眉山市土地和房屋征收服务中心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200</w:t>
            </w:r>
          </w:p>
        </w:tc>
      </w:tr>
      <w:tr>
        <w:tblPrEx>
          <w:tblCellMar>
            <w:top w:w="0" w:type="dxa"/>
            <w:left w:w="0" w:type="dxa"/>
            <w:bottom w:w="0" w:type="dxa"/>
            <w:right w:w="0" w:type="dxa"/>
          </w:tblCellMar>
        </w:tblPrEx>
        <w:trPr>
          <w:trHeight w:val="112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8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按“精准征收、阳光拆迁、惠民安置”的要求，完成峨汉高速等项目房屋拆迁补偿安置，完成市委市政府交办的中心任务。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完成峨汉高速</w:t>
            </w:r>
            <w:r>
              <w:rPr>
                <w:rFonts w:hint="eastAsia" w:ascii="宋体" w:hAnsi="宋体" w:cs="宋体"/>
                <w:color w:val="000000"/>
                <w:sz w:val="24"/>
                <w:lang w:eastAsia="zh-CN"/>
              </w:rPr>
              <w:t>、成乐高速扩容、恒邦度假小镇</w:t>
            </w:r>
            <w:r>
              <w:rPr>
                <w:rFonts w:hint="eastAsia" w:ascii="宋体" w:hAnsi="宋体" w:eastAsia="宋体" w:cs="宋体"/>
                <w:color w:val="000000"/>
                <w:sz w:val="24"/>
                <w:lang w:eastAsia="zh-CN"/>
              </w:rPr>
              <w:t>等项目房</w:t>
            </w:r>
            <w:r>
              <w:rPr>
                <w:rFonts w:hint="eastAsia" w:ascii="宋体" w:hAnsi="宋体" w:cs="宋体"/>
                <w:color w:val="000000"/>
                <w:sz w:val="24"/>
                <w:lang w:eastAsia="zh-CN"/>
              </w:rPr>
              <w:t>征地</w:t>
            </w:r>
            <w:r>
              <w:rPr>
                <w:rFonts w:hint="eastAsia" w:ascii="宋体" w:hAnsi="宋体" w:eastAsia="宋体" w:cs="宋体"/>
                <w:color w:val="000000"/>
                <w:sz w:val="24"/>
                <w:lang w:eastAsia="zh-CN"/>
              </w:rPr>
              <w:t>拆迁补偿安置</w:t>
            </w:r>
            <w:r>
              <w:rPr>
                <w:rFonts w:hint="eastAsia" w:ascii="宋体" w:hAnsi="宋体" w:cs="宋体"/>
                <w:color w:val="000000"/>
                <w:sz w:val="24"/>
                <w:lang w:eastAsia="zh-CN"/>
              </w:rPr>
              <w:t>及</w:t>
            </w:r>
            <w:r>
              <w:rPr>
                <w:rFonts w:hint="eastAsia" w:ascii="宋体" w:hAnsi="宋体" w:eastAsia="宋体" w:cs="宋体"/>
                <w:color w:val="000000"/>
                <w:sz w:val="24"/>
                <w:lang w:eastAsia="zh-CN"/>
              </w:rPr>
              <w:t>市委市政府交办的</w:t>
            </w:r>
            <w:r>
              <w:rPr>
                <w:rFonts w:hint="eastAsia" w:ascii="宋体" w:hAnsi="宋体" w:cs="宋体"/>
                <w:color w:val="000000"/>
                <w:sz w:val="24"/>
                <w:lang w:eastAsia="zh-CN"/>
              </w:rPr>
              <w:t>其它</w:t>
            </w:r>
            <w:r>
              <w:rPr>
                <w:rFonts w:hint="eastAsia" w:ascii="宋体" w:hAnsi="宋体" w:eastAsia="宋体" w:cs="宋体"/>
                <w:color w:val="000000"/>
                <w:sz w:val="24"/>
                <w:lang w:eastAsia="zh-CN"/>
              </w:rPr>
              <w:t>中心</w:t>
            </w:r>
            <w:r>
              <w:rPr>
                <w:rFonts w:hint="eastAsia" w:ascii="宋体" w:hAnsi="宋体" w:cs="宋体"/>
                <w:color w:val="000000"/>
                <w:sz w:val="24"/>
                <w:lang w:eastAsia="zh-CN"/>
              </w:rPr>
              <w:t>工作</w:t>
            </w:r>
            <w:r>
              <w:rPr>
                <w:rFonts w:hint="eastAsia" w:ascii="宋体" w:hAnsi="宋体" w:eastAsia="宋体" w:cs="宋体"/>
                <w:color w:val="000000"/>
                <w:sz w:val="24"/>
                <w:lang w:eastAsia="zh-CN"/>
              </w:rPr>
              <w:t>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260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用于2019年征地拆迁项目管理费用，保障征拆安工作顺利开展。按进度完成峨汉高速</w:t>
            </w:r>
            <w:r>
              <w:rPr>
                <w:rFonts w:hint="eastAsia" w:ascii="宋体" w:hAnsi="宋体" w:cs="宋体"/>
                <w:color w:val="000000"/>
                <w:sz w:val="24"/>
                <w:lang w:eastAsia="zh-CN"/>
              </w:rPr>
              <w:t>等</w:t>
            </w:r>
            <w:r>
              <w:rPr>
                <w:rFonts w:hint="eastAsia" w:ascii="宋体" w:hAnsi="宋体" w:cs="宋体"/>
                <w:color w:val="000000"/>
                <w:sz w:val="24"/>
              </w:rPr>
              <w:t>项目涉及桂花桥罗目等</w:t>
            </w:r>
            <w:r>
              <w:rPr>
                <w:rFonts w:hint="eastAsia" w:ascii="宋体" w:hAnsi="宋体" w:cs="宋体"/>
                <w:color w:val="000000"/>
                <w:sz w:val="24"/>
                <w:lang w:val="en-US" w:eastAsia="zh-CN"/>
              </w:rPr>
              <w:t>17</w:t>
            </w:r>
            <w:r>
              <w:rPr>
                <w:rFonts w:hint="eastAsia" w:ascii="宋体" w:hAnsi="宋体" w:cs="宋体"/>
                <w:color w:val="000000"/>
                <w:sz w:val="24"/>
              </w:rPr>
              <w:t>个乡镇的征地拆迁任务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保障峨汉高速</w:t>
            </w:r>
            <w:r>
              <w:rPr>
                <w:rFonts w:hint="eastAsia" w:ascii="宋体" w:hAnsi="宋体" w:cs="宋体"/>
                <w:color w:val="000000"/>
                <w:sz w:val="24"/>
                <w:lang w:eastAsia="zh-CN"/>
              </w:rPr>
              <w:t>、成乐高速扩容、保乐力加、恒邦度假小镇</w:t>
            </w:r>
            <w:r>
              <w:rPr>
                <w:rFonts w:hint="eastAsia" w:ascii="宋体" w:hAnsi="宋体" w:cs="宋体"/>
                <w:color w:val="000000"/>
                <w:sz w:val="24"/>
              </w:rPr>
              <w:t>等</w:t>
            </w:r>
            <w:r>
              <w:rPr>
                <w:rFonts w:hint="eastAsia" w:ascii="宋体" w:hAnsi="宋体" w:cs="宋体"/>
                <w:color w:val="000000"/>
                <w:sz w:val="24"/>
                <w:lang w:eastAsia="zh-CN"/>
              </w:rPr>
              <w:t>项目</w:t>
            </w:r>
            <w:r>
              <w:rPr>
                <w:rFonts w:hint="eastAsia" w:ascii="宋体" w:hAnsi="宋体" w:cs="宋体"/>
                <w:color w:val="000000"/>
                <w:sz w:val="24"/>
              </w:rPr>
              <w:t>征拆工作安全有序顺利开展。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default" w:ascii="仿宋_GB2312" w:hAnsi="仿宋_GB2312" w:eastAsia="仿宋_GB2312" w:cs="仿宋_GB2312"/>
                <w:sz w:val="32"/>
                <w:szCs w:val="32"/>
                <w:lang w:val="en-US"/>
              </w:rPr>
            </w:pPr>
            <w:r>
              <w:rPr>
                <w:rFonts w:hint="eastAsia" w:ascii="宋体" w:hAnsi="宋体" w:cs="宋体"/>
                <w:color w:val="000000"/>
                <w:sz w:val="24"/>
                <w:lang w:eastAsia="zh-CN"/>
              </w:rPr>
              <w:t>完成峨汉高速红线内房屋已搬迁（倒房）618户，坟墓已搬迁1872座等；恒邦度假小镇（一期）征地</w:t>
            </w:r>
            <w:r>
              <w:rPr>
                <w:rFonts w:hint="eastAsia" w:ascii="宋体" w:hAnsi="宋体" w:cs="宋体"/>
                <w:color w:val="000000"/>
                <w:sz w:val="24"/>
                <w:lang w:val="en-US" w:eastAsia="zh-CN"/>
              </w:rPr>
              <w:t>242.99亩、（二期）征地572.11亩等项目工作任务。</w:t>
            </w:r>
          </w:p>
          <w:p>
            <w:pPr>
              <w:widowControl/>
              <w:jc w:val="center"/>
              <w:textAlignment w:val="center"/>
              <w:rPr>
                <w:rFonts w:hint="eastAsia" w:ascii="宋体" w:hAnsi="宋体" w:eastAsia="宋体" w:cs="宋体"/>
                <w:color w:val="000000"/>
                <w:sz w:val="24"/>
                <w:lang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保障完成全市征地拆迁任务。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保障完成全市征地拆迁任务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完成了市委、市政府交办的峨汉高速、成乐高速扩容、恒邦度假小镇、保乐力加等项目的征拆工作任务。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保证机关运行和征拆工作完成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r>
    </w:tbl>
    <w:tbl>
      <w:tblPr>
        <w:tblStyle w:val="12"/>
        <w:tblpPr w:leftFromText="180" w:rightFromText="180" w:vertAnchor="text" w:horzAnchor="page" w:tblpX="1039" w:tblpY="322"/>
        <w:tblOverlap w:val="never"/>
        <w:tblW w:w="9960" w:type="dxa"/>
        <w:jc w:val="center"/>
        <w:tblLayout w:type="fixed"/>
        <w:tblCellMar>
          <w:top w:w="0" w:type="dxa"/>
          <w:left w:w="0" w:type="dxa"/>
          <w:bottom w:w="0" w:type="dxa"/>
          <w:right w:w="0" w:type="dxa"/>
        </w:tblCellMar>
      </w:tblPr>
      <w:tblGrid>
        <w:gridCol w:w="390"/>
        <w:gridCol w:w="1367"/>
        <w:gridCol w:w="1025"/>
        <w:gridCol w:w="2918"/>
        <w:gridCol w:w="1868"/>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双创工作经费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峨眉山市土地和房屋征收服务中心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widowControl/>
              <w:jc w:val="both"/>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5</w:t>
            </w:r>
          </w:p>
        </w:tc>
      </w:tr>
      <w:tr>
        <w:tblPrEx>
          <w:tblCellMar>
            <w:top w:w="0" w:type="dxa"/>
            <w:left w:w="0" w:type="dxa"/>
            <w:bottom w:w="0" w:type="dxa"/>
            <w:right w:w="0" w:type="dxa"/>
          </w:tblCellMar>
        </w:tblPrEx>
        <w:trPr>
          <w:trHeight w:val="77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53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6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31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对19责任片区15个小区制作宣传展示牌，发放创卫宣传知识，营造19责任片区双创工作氛围，力争做到户户知创卫，人人讲卫生。</w:t>
            </w:r>
          </w:p>
        </w:tc>
        <w:tc>
          <w:tcPr>
            <w:tcW w:w="42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对19责任片区15个小区开展绿化美化工作；添置环境整治卫生设施；加大宣传力度，力争家喻户晓；及时清运垃圾，定时打扫环境卫生</w:t>
            </w:r>
            <w:r>
              <w:rPr>
                <w:rFonts w:hint="eastAsia" w:ascii="宋体" w:hAnsi="宋体" w:cs="宋体"/>
                <w:color w:val="000000"/>
                <w:sz w:val="24"/>
                <w:lang w:eastAsia="zh-CN"/>
              </w:rPr>
              <w:t>，按期完成了双创工作任务。</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eastAsia="zh-CN"/>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r>
              <w:rPr>
                <w:rFonts w:hint="eastAsia" w:ascii="宋体" w:hAnsi="宋体" w:cs="宋体"/>
                <w:color w:val="000000"/>
                <w:sz w:val="24"/>
              </w:rPr>
              <w:t>准</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2019年创卫工作达到上级验收标准</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每月不少于4个工作日开展双创工作检查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每月定期对责任片区进行文明卫生督查检查，确保了责任片区通过上级验收。</w:t>
            </w:r>
          </w:p>
        </w:tc>
      </w:tr>
      <w:tr>
        <w:tblPrEx>
          <w:tblCellMar>
            <w:top w:w="0" w:type="dxa"/>
            <w:left w:w="0" w:type="dxa"/>
            <w:bottom w:w="0" w:type="dxa"/>
            <w:right w:w="0" w:type="dxa"/>
          </w:tblCellMar>
        </w:tblPrEx>
        <w:trPr>
          <w:trHeight w:val="1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对19责任片区15个小区开展绿化美化工作；添置环境整治卫生设施；加大宣传力度，力争家喻户晓；及时清运垃圾，定时打扫环境卫生</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创卫工作接受上级检查，合格率达到90%以上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通过了上级检查组验收。</w:t>
            </w:r>
          </w:p>
        </w:tc>
      </w:tr>
      <w:tr>
        <w:tblPrEx>
          <w:tblCellMar>
            <w:top w:w="0" w:type="dxa"/>
            <w:left w:w="0" w:type="dxa"/>
            <w:bottom w:w="0" w:type="dxa"/>
            <w:right w:w="0" w:type="dxa"/>
          </w:tblCellMar>
        </w:tblPrEx>
        <w:trPr>
          <w:trHeight w:val="106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社会效益指标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对19责任片区15个小区制作宣传展示牌，发放创卫宣传知识，营造19责任片区双创工作氛围，力争做到户户知创卫，人人讲卫生。</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群众知晓率达到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群众知晓率达到</w:t>
            </w:r>
            <w:r>
              <w:rPr>
                <w:rFonts w:hint="eastAsia" w:ascii="宋体" w:hAnsi="宋体" w:cs="宋体"/>
                <w:color w:val="000000"/>
                <w:sz w:val="24"/>
                <w:lang w:val="en-US" w:eastAsia="zh-CN"/>
              </w:rPr>
              <w:t>90%以上。</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满意度指标</w:t>
            </w:r>
          </w:p>
        </w:tc>
        <w:tc>
          <w:tcPr>
            <w:tcW w:w="2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保质保量完成双创工作，通过上级验收检查</w:t>
            </w:r>
          </w:p>
        </w:tc>
        <w:tc>
          <w:tcPr>
            <w:tcW w:w="1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群众满意度达到</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通过对双创工作的实施，群众满意度达到</w:t>
            </w:r>
            <w:r>
              <w:rPr>
                <w:rFonts w:hint="eastAsia" w:ascii="宋体" w:hAnsi="宋体" w:cs="宋体"/>
                <w:color w:val="000000"/>
                <w:sz w:val="24"/>
                <w:lang w:val="en-US" w:eastAsia="zh-CN"/>
              </w:rPr>
              <w:t>90%以上。</w:t>
            </w:r>
          </w:p>
        </w:tc>
      </w:tr>
    </w:tbl>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峨眉山市土地和房屋征收服务中心</w:t>
      </w:r>
      <w:r>
        <w:rPr>
          <w:rFonts w:hint="eastAsia" w:ascii="仿宋_GB2312" w:hAnsi="仿宋_GB2312" w:eastAsia="仿宋_GB2312" w:cs="仿宋_GB2312"/>
          <w:sz w:val="32"/>
          <w:szCs w:val="32"/>
        </w:rPr>
        <w:t>2019年部门整体支出绩效评价报告》见附件。</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双创工作经费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征拆工作经费</w:t>
      </w:r>
      <w:r>
        <w:rPr>
          <w:rFonts w:hint="eastAsia" w:ascii="仿宋_GB2312" w:hAnsi="仿宋_GB2312" w:eastAsia="仿宋_GB2312" w:cs="仿宋_GB2312"/>
          <w:sz w:val="32"/>
          <w:szCs w:val="32"/>
        </w:rPr>
        <w:t>项目开展了绩效评价。</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000000"/>
          <w:sz w:val="44"/>
          <w:szCs w:val="44"/>
        </w:rPr>
      </w:pPr>
      <w:bookmarkStart w:id="57" w:name="_Toc15396614"/>
      <w:bookmarkStart w:id="58" w:name="_Toc15377226"/>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lang w:eastAsia="zh-CN"/>
        </w:rPr>
        <w:t>峨眉山市土地和房屋征收服务中心</w:t>
      </w:r>
      <w:r>
        <w:rPr>
          <w:rFonts w:ascii="方正小标宋简体" w:hAnsi="宋体" w:eastAsia="方正小标宋简体"/>
          <w:color w:val="000000"/>
          <w:kern w:val="0"/>
          <w:sz w:val="40"/>
          <w:szCs w:val="44"/>
        </w:rPr>
        <w:t>2019年</w:t>
      </w:r>
    </w:p>
    <w:p>
      <w:pPr>
        <w:spacing w:line="600" w:lineRule="exact"/>
        <w:jc w:val="center"/>
        <w:rPr>
          <w:rFonts w:hint="eastAsia"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整体支出绩效报告</w:t>
      </w:r>
    </w:p>
    <w:p>
      <w:pPr>
        <w:spacing w:line="600" w:lineRule="exact"/>
        <w:jc w:val="center"/>
        <w:rPr>
          <w:rFonts w:hint="eastAsia" w:ascii="方正小标宋简体" w:hAnsi="宋体" w:eastAsia="方正小标宋简体"/>
          <w:color w:val="000000"/>
          <w:kern w:val="0"/>
          <w:sz w:val="40"/>
          <w:szCs w:val="44"/>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（一）机构组成：峨眉山市土地和房屋征收服务中心属于峨眉山市自然资源局的下属事业单位。</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（二）机构职能：承担全市土地和房屋征收与补偿工作的具体实施实施。</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（1）承担集体土地征地补偿、拆迁补偿及安置等事务性工作。</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（2）承担国有土地上房屋征收与补偿等事务性工作</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（3）完成上级交办的其他任务。</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（三）人员概况：编制数20人，实有在职人员20人（含转业士官会议纪要人员1人），另有向各单位抽调征拆工作人员21人，临聘人员4人。</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left="210" w:leftChars="100" w:firstLine="315"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szCs w:val="32"/>
        </w:rPr>
        <w:t>（</w:t>
      </w: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财政资金收入合计12143.47万元，其中一般公共预算资金544.15万元，政府性基金财政拨款收入11591.49万元，上年结转7.83万元。</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财政资金支出合计12143.47万元，其中基本支出344.15万元，项目支出11798.32万元，结转1万元。</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三、部门整体预算绩效管理情况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（一）预算管理情况。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1、按照峨眉山市财政局关于编制2019年部门预算的通知和有关要求，按时完成基础数据、项目库报送工作，按时完成预算编制工作并提交部门预算草案。</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我中心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3、进一步强化绩效理念，健全管理制度，提高绩效评价工作质量，细化部门预算编制。</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4、在财政部门批复后二十日内中心向社会公开本部门预算，包括财政资金安排的“三公经费”、机关运行经费的安排、使用情况等。</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本单位的资金使用严格遵循财经制度的规定，有严格的财政资金拨付程序，项目资金严格按照项目开展进度拨款支付。</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1．部门支出绩效。</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（1）行政运转保障。</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严格报账制度，严格控制一般性支出，保障了部门正常运转、全面履行土地和房屋征收补偿的职能职责，保障了市委、市政府交办任务的顺利及时完成。</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（2）机关厉行节约。</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关建立健全了厉行节约反对浪费长效机制，严格派车制度，加强车辆管理。严格控制陪同人数和接待标准，对于不必要的接待能取消的取消，能减少的减少。2019年公务用车不安排购置费预算，无出国（境）计划，公务车辆运行费支出6.52万元，公务接待费0万元，会议费0万元。</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（3）机关节能降耗。</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机关水、电、气、燃油节能降耗情况等。</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机关节约用水用电用气，加强车辆管理，严禁公车私用，节能减排。</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2．专项预算项目（待批复项目）支出绩效。</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（1）资金绩效分配情况。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财政2019年未下达专项资金。</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（2）项目资金管理情况。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2019年项目资金严格执行上级项目资金管理办法，根据工程进展情况适时拨付。</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（3）绩效目标完成情况。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根据征拆项目开展进度情况适时拨付。</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财务管理情况。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认真贯彻执行《会计法》和有关财经法规、制度，依法、依规组织实施本单位的会计核算和监督工作，做好日常财务核算、监督管理工作，确保了中心的正常运转，同时按要求严格审核、准确、及时支付土地和房屋征收补偿款，确保市委、市政府交办的各项目标任务的顺利完成。严格执行政府采购制度，确保采购工作依法、依规、有序进行。</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4.</w:t>
      </w:r>
      <w:r>
        <w:rPr>
          <w:rFonts w:hint="eastAsia" w:ascii="仿宋_GB2312" w:hAnsi="宋体" w:eastAsia="仿宋_GB2312" w:cs="宋体"/>
          <w:color w:val="000000"/>
          <w:kern w:val="0"/>
          <w:sz w:val="32"/>
          <w:szCs w:val="32"/>
          <w:shd w:val="clear" w:color="auto" w:fill="FFFFFF"/>
          <w:lang w:val="zh-CN"/>
        </w:rPr>
        <w:t>绩效管理工作开展情况。</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按照《峨眉山市财政局关于开展2020年财政支出绩效评价工作的通知》文件要求，编写2019年部门预算支出绩效报告，认真自查，确保财政资金发挥最大的社会效益。</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lang w:val="zh-CN"/>
        </w:rPr>
        <w:t>四、评价结论及建议</w:t>
      </w:r>
    </w:p>
    <w:p>
      <w:pPr>
        <w:widowControl/>
        <w:adjustRightInd w:val="0"/>
        <w:snapToGrid w:val="0"/>
        <w:spacing w:line="580" w:lineRule="exact"/>
        <w:ind w:left="210" w:leftChars="100" w:firstLine="480" w:firstLineChars="150"/>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单位在此次财政支出绩效评价工作中表现积极，高度重视，通过反复自查，暂未发现问题，同时也更进一步了解到财政支出绩效情况，便于确保完成市委、市政府交办的全年各项工作目标任务。接下来将进一步牢固树立绩效意识，把握绩效导向的管理趋势，强化绩效理念，落实工作责任，切实提升财政资金使用效率。</w:t>
      </w:r>
    </w:p>
    <w:p>
      <w:pPr>
        <w:spacing w:line="600" w:lineRule="exact"/>
        <w:jc w:val="center"/>
        <w:outlineLvl w:val="0"/>
        <w:rPr>
          <w:rStyle w:val="24"/>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A1B46"/>
    <w:multiLevelType w:val="singleLevel"/>
    <w:tmpl w:val="CADA1B46"/>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2387337"/>
    <w:multiLevelType w:val="singleLevel"/>
    <w:tmpl w:val="72387337"/>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1C8F3650"/>
    <w:rsid w:val="23FA5BAF"/>
    <w:rsid w:val="240371BF"/>
    <w:rsid w:val="272575B4"/>
    <w:rsid w:val="29FD04D3"/>
    <w:rsid w:val="2A78017E"/>
    <w:rsid w:val="2A7D4B6E"/>
    <w:rsid w:val="2C04575D"/>
    <w:rsid w:val="2D4F6EFD"/>
    <w:rsid w:val="2E7F3BB6"/>
    <w:rsid w:val="319F7F4E"/>
    <w:rsid w:val="40F558C9"/>
    <w:rsid w:val="47F67ABA"/>
    <w:rsid w:val="4ECE2238"/>
    <w:rsid w:val="4EF67D7E"/>
    <w:rsid w:val="4FC62233"/>
    <w:rsid w:val="50DD72F5"/>
    <w:rsid w:val="544F778A"/>
    <w:rsid w:val="55632B7F"/>
    <w:rsid w:val="5660204A"/>
    <w:rsid w:val="5BCB06D2"/>
    <w:rsid w:val="5EFE61B5"/>
    <w:rsid w:val="61390204"/>
    <w:rsid w:val="63915F3E"/>
    <w:rsid w:val="66506120"/>
    <w:rsid w:val="68C136F3"/>
    <w:rsid w:val="68DE3584"/>
    <w:rsid w:val="6DBE0E15"/>
    <w:rsid w:val="72734D90"/>
    <w:rsid w:val="74A6176B"/>
    <w:rsid w:val="787D4D27"/>
    <w:rsid w:val="790C1BBD"/>
    <w:rsid w:val="7D005A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19&#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19&#2418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19&#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19&#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19&#2418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19&#24180;&#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19&#24180;&#20915;&#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[图表.xlsx]Sheet3!$A$1:$B$1</c:f>
              <c:strCache>
                <c:ptCount val="2"/>
                <c:pt idx="0">
                  <c:v>2018年度</c:v>
                </c:pt>
                <c:pt idx="1">
                  <c:v>2019年度</c:v>
                </c:pt>
              </c:strCache>
            </c:strRef>
          </c:cat>
          <c:val>
            <c:numRef>
              <c:f>[图表.xlsx]Sheet3!$A$2:$B$2</c:f>
              <c:numCache>
                <c:formatCode>General</c:formatCode>
                <c:ptCount val="2"/>
                <c:pt idx="0">
                  <c:v>17013.51</c:v>
                </c:pt>
                <c:pt idx="1">
                  <c:v>12143.47</c:v>
                </c:pt>
              </c:numCache>
            </c:numRef>
          </c:val>
        </c:ser>
        <c:dLbls>
          <c:showLegendKey val="0"/>
          <c:showVal val="1"/>
          <c:showCatName val="0"/>
          <c:showSerName val="0"/>
          <c:showPercent val="0"/>
          <c:showBubbleSize val="0"/>
        </c:dLbls>
        <c:gapWidth val="150"/>
        <c:overlap val="100"/>
        <c:axId val="878764594"/>
        <c:axId val="162999825"/>
      </c:barChart>
      <c:catAx>
        <c:axId val="8787645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999825"/>
        <c:crosses val="autoZero"/>
        <c:auto val="1"/>
        <c:lblAlgn val="ctr"/>
        <c:lblOffset val="100"/>
        <c:noMultiLvlLbl val="0"/>
      </c:catAx>
      <c:valAx>
        <c:axId val="16299982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64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[图表.xlsx]Sheet1!$A$1:$B$1</c:f>
              <c:strCache>
                <c:ptCount val="2"/>
                <c:pt idx="0">
                  <c:v>一般公共预算财政拨款收入</c:v>
                </c:pt>
                <c:pt idx="1">
                  <c:v>政府性基金财政拨款收入</c:v>
                </c:pt>
              </c:strCache>
            </c:strRef>
          </c:cat>
          <c:val>
            <c:numRef>
              <c:f>[图表.xlsx]Sheet1!$A$2:$B$2</c:f>
              <c:numCache>
                <c:formatCode>0.00%</c:formatCode>
                <c:ptCount val="2"/>
                <c:pt idx="0">
                  <c:v>0.0448</c:v>
                </c:pt>
                <c:pt idx="1">
                  <c:v>0.9552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[图表.xlsx]Sheet1!$A$1:$B$1</c:f>
              <c:strCache>
                <c:ptCount val="2"/>
                <c:pt idx="0">
                  <c:v>基本支出</c:v>
                </c:pt>
                <c:pt idx="1">
                  <c:v>项目支出</c:v>
                </c:pt>
              </c:strCache>
            </c:strRef>
          </c:cat>
          <c:val>
            <c:numRef>
              <c:f>[图表.xlsx]Sheet1!$A$2:$B$2</c:f>
              <c:numCache>
                <c:formatCode>0.00%</c:formatCode>
                <c:ptCount val="2"/>
                <c:pt idx="0">
                  <c:v>0.0283</c:v>
                </c:pt>
                <c:pt idx="1">
                  <c:v>0.9717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[图表.xlsx]Sheet3!$A$1:$B$1</c:f>
              <c:strCache>
                <c:ptCount val="2"/>
                <c:pt idx="0">
                  <c:v>2018年度</c:v>
                </c:pt>
                <c:pt idx="1">
                  <c:v>2019年度</c:v>
                </c:pt>
              </c:strCache>
            </c:strRef>
          </c:cat>
          <c:val>
            <c:numRef>
              <c:f>[图表.xlsx]Sheet3!$A$2:$B$2</c:f>
              <c:numCache>
                <c:formatCode>General</c:formatCode>
                <c:ptCount val="2"/>
                <c:pt idx="0">
                  <c:v>16836.18</c:v>
                </c:pt>
                <c:pt idx="1">
                  <c:v>12143.38</c:v>
                </c:pt>
              </c:numCache>
            </c:numRef>
          </c:val>
        </c:ser>
        <c:dLbls>
          <c:showLegendKey val="0"/>
          <c:showVal val="1"/>
          <c:showCatName val="0"/>
          <c:showSerName val="0"/>
          <c:showPercent val="0"/>
          <c:showBubbleSize val="0"/>
        </c:dLbls>
        <c:gapWidth val="150"/>
        <c:overlap val="100"/>
        <c:axId val="878764594"/>
        <c:axId val="162999825"/>
      </c:barChart>
      <c:catAx>
        <c:axId val="8787645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999825"/>
        <c:crosses val="autoZero"/>
        <c:auto val="1"/>
        <c:lblAlgn val="ctr"/>
        <c:lblOffset val="100"/>
        <c:noMultiLvlLbl val="0"/>
      </c:catAx>
      <c:valAx>
        <c:axId val="16299982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64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一般公共预算财政拨款支出变动情况</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[图表.xlsx]Sheet3!$A$1:$B$1</c:f>
              <c:strCache>
                <c:ptCount val="2"/>
                <c:pt idx="0">
                  <c:v>2018年度</c:v>
                </c:pt>
                <c:pt idx="1">
                  <c:v>2019年度</c:v>
                </c:pt>
              </c:strCache>
            </c:strRef>
          </c:cat>
          <c:val>
            <c:numRef>
              <c:f>[图表.xlsx]Sheet3!$A$2:$B$2</c:f>
              <c:numCache>
                <c:formatCode>General</c:formatCode>
                <c:ptCount val="2"/>
                <c:pt idx="0">
                  <c:v>447.39</c:v>
                </c:pt>
                <c:pt idx="1">
                  <c:v>544.06</c:v>
                </c:pt>
              </c:numCache>
            </c:numRef>
          </c:val>
        </c:ser>
        <c:dLbls>
          <c:showLegendKey val="0"/>
          <c:showVal val="1"/>
          <c:showCatName val="0"/>
          <c:showSerName val="0"/>
          <c:showPercent val="0"/>
          <c:showBubbleSize val="0"/>
        </c:dLbls>
        <c:gapWidth val="150"/>
        <c:overlap val="100"/>
        <c:axId val="878764594"/>
        <c:axId val="162999825"/>
      </c:barChart>
      <c:catAx>
        <c:axId val="878764594"/>
        <c:scaling>
          <c:orientation val="minMax"/>
        </c:scaling>
        <c:delete val="0"/>
        <c:axPos val="b"/>
        <c:title>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999825"/>
        <c:crosses val="autoZero"/>
        <c:auto val="1"/>
        <c:lblAlgn val="ctr"/>
        <c:lblOffset val="100"/>
        <c:noMultiLvlLbl val="0"/>
      </c:catAx>
      <c:valAx>
        <c:axId val="16299982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87645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[图表.xlsx]Sheet1!$A$1:$E$1</c:f>
              <c:strCache>
                <c:ptCount val="5"/>
                <c:pt idx="0">
                  <c:v>一般公共服务</c:v>
                </c:pt>
                <c:pt idx="1">
                  <c:v>社会保障和就业</c:v>
                </c:pt>
                <c:pt idx="2">
                  <c:v>卫生健康支出</c:v>
                </c:pt>
                <c:pt idx="3">
                  <c:v>住房保障</c:v>
                </c:pt>
                <c:pt idx="4">
                  <c:v>城乡社区</c:v>
                </c:pt>
              </c:strCache>
            </c:strRef>
          </c:cat>
          <c:val>
            <c:numRef>
              <c:f>[图表.xlsx]Sheet1!$A$2:$E$2</c:f>
              <c:numCache>
                <c:formatCode>0.00%</c:formatCode>
                <c:ptCount val="5"/>
                <c:pt idx="0">
                  <c:v>0.5251</c:v>
                </c:pt>
                <c:pt idx="1">
                  <c:v>0.0516</c:v>
                </c:pt>
                <c:pt idx="2">
                  <c:v>0.0124</c:v>
                </c:pt>
                <c:pt idx="3">
                  <c:v>0.0433</c:v>
                </c:pt>
                <c:pt idx="4">
                  <c:v>0.3676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[图表.xlsx]Sheet1!$A$1:$C$1</c:f>
              <c:strCache>
                <c:ptCount val="3"/>
                <c:pt idx="0">
                  <c:v>公务用车购置及运行维护费</c:v>
                </c:pt>
                <c:pt idx="1">
                  <c:v>因公出国（境）经费</c:v>
                </c:pt>
                <c:pt idx="2">
                  <c:v>公务接待费</c:v>
                </c:pt>
              </c:strCache>
            </c:strRef>
          </c:cat>
          <c:val>
            <c:numRef>
              <c:f>[图表.xlsx]Sheet1!$A$2:$C$2</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24</TotalTime>
  <ScaleCrop>false</ScaleCrop>
  <LinksUpToDate>false</LinksUpToDate>
  <CharactersWithSpaces>8536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田学义</cp:lastModifiedBy>
  <cp:lastPrinted>2020-10-22T08:16:00Z</cp:lastPrinted>
  <dcterms:modified xsi:type="dcterms:W3CDTF">2020-10-29T00:36:22Z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