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96597"/>
      <w:bookmarkStart w:id="3" w:name="_Toc15377425"/>
      <w:bookmarkStart w:id="4" w:name="_Toc15378441"/>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8442"/>
      <w:bookmarkStart w:id="8" w:name="_Toc15396476"/>
      <w:bookmarkStart w:id="9" w:name="_Toc15377426"/>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乐山市峨眉山市龙池镇小学校部门决算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公开时间：2020年10月2</w:t>
      </w:r>
      <w:r>
        <w:rPr>
          <w:rFonts w:hint="eastAsia"/>
          <w:lang w:val="en-US" w:eastAsia="zh-CN"/>
        </w:rPr>
        <w:t>8</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第一部分部门概况</w:t>
      </w:r>
      <w:r>
        <w:rPr>
          <w:sz w:val="24"/>
        </w:rPr>
        <w:t>……………………………………………………</w:t>
      </w:r>
      <w:r>
        <w:rPr>
          <w:rFonts w:hint="eastAsia"/>
          <w:sz w:val="24"/>
        </w:rPr>
        <w:t>4</w:t>
      </w:r>
    </w:p>
    <w:p>
      <w:pPr>
        <w:pStyle w:val="11"/>
        <w:adjustRightInd w:val="0"/>
        <w:snapToGrid w:val="0"/>
        <w:spacing w:line="440" w:lineRule="exact"/>
        <w:jc w:val="left"/>
        <w:rPr>
          <w:rFonts w:ascii="仿宋" w:hAnsi="仿宋" w:eastAsia="仿宋"/>
          <w:sz w:val="24"/>
        </w:rPr>
      </w:pPr>
      <w:r>
        <w:rPr>
          <w:rFonts w:hint="eastAsia"/>
          <w:sz w:val="24"/>
        </w:rPr>
        <w:t>一、基本职能及主要工作</w:t>
      </w:r>
      <w:r>
        <w:rPr>
          <w:sz w:val="24"/>
        </w:rPr>
        <w:t>………………………………………</w:t>
      </w:r>
      <w:r>
        <w:rPr>
          <w:rFonts w:hint="eastAsia"/>
          <w:sz w:val="24"/>
        </w:rPr>
        <w:t xml:space="preserve"> 4</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r>
        <w:rPr>
          <w:sz w:val="24"/>
        </w:rPr>
        <w:t>……………………………………………………</w:t>
      </w:r>
      <w:r>
        <w:rPr>
          <w:rFonts w:hint="eastAsia"/>
          <w:sz w:val="24"/>
        </w:rPr>
        <w:t xml:space="preserve"> 4</w:t>
      </w:r>
    </w:p>
    <w:p>
      <w:pPr>
        <w:pStyle w:val="10"/>
        <w:adjustRightInd w:val="0"/>
        <w:snapToGrid w:val="0"/>
        <w:spacing w:before="0" w:line="440" w:lineRule="exact"/>
        <w:jc w:val="left"/>
        <w:rPr>
          <w:sz w:val="24"/>
          <w:szCs w:val="24"/>
        </w:rPr>
      </w:pPr>
      <w:r>
        <w:rPr>
          <w:rFonts w:hint="eastAsia"/>
          <w:sz w:val="24"/>
        </w:rPr>
        <w:t>第二部分度部门决算情况说明</w:t>
      </w:r>
      <w:r>
        <w:rPr>
          <w:sz w:val="24"/>
        </w:rPr>
        <w:t>……………………………………</w:t>
      </w:r>
      <w:r>
        <w:rPr>
          <w:rFonts w:hint="eastAsia"/>
          <w:sz w:val="24"/>
        </w:rPr>
        <w:t>..4</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sz w:val="24"/>
        </w:rPr>
        <w:t>………………………………</w:t>
      </w:r>
      <w:r>
        <w:rPr>
          <w:rFonts w:hint="eastAsia"/>
          <w:sz w:val="24"/>
        </w:rPr>
        <w:t xml:space="preserve"> 5</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r>
        <w:rPr>
          <w:sz w:val="24"/>
        </w:rPr>
        <w:t>…………………………………………</w:t>
      </w:r>
      <w:r>
        <w:rPr>
          <w:rFonts w:hint="eastAsia"/>
          <w:sz w:val="24"/>
        </w:rPr>
        <w:t>6</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r>
        <w:rPr>
          <w:sz w:val="24"/>
        </w:rPr>
        <w:t>…………………………………………</w:t>
      </w:r>
      <w:r>
        <w:rPr>
          <w:rFonts w:hint="eastAsia"/>
          <w:sz w:val="24"/>
        </w:rPr>
        <w:t xml:space="preserve"> 6</w:t>
      </w:r>
    </w:p>
    <w:p>
      <w:pPr>
        <w:pStyle w:val="11"/>
        <w:adjustRightInd w:val="0"/>
        <w:snapToGrid w:val="0"/>
        <w:spacing w:line="440" w:lineRule="exact"/>
        <w:jc w:val="left"/>
        <w:rPr>
          <w:rFonts w:ascii="仿宋" w:hAnsi="仿宋" w:eastAsia="仿宋" w:cstheme="minorBidi"/>
          <w:sz w:val="24"/>
        </w:rPr>
      </w:pPr>
      <w:r>
        <w:rPr>
          <w:rFonts w:hint="eastAsia"/>
          <w:sz w:val="24"/>
        </w:rPr>
        <w:t xml:space="preserve">四、财政拨款收入支出决算总体情况说明 </w:t>
      </w:r>
      <w:r>
        <w:rPr>
          <w:sz w:val="24"/>
        </w:rPr>
        <w:t>…………………</w:t>
      </w:r>
      <w:r>
        <w:rPr>
          <w:rFonts w:hint="eastAsia"/>
          <w:sz w:val="24"/>
        </w:rPr>
        <w:t>.. 6</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sz w:val="24"/>
        </w:rPr>
        <w:t>………………</w:t>
      </w:r>
      <w:r>
        <w:rPr>
          <w:rFonts w:hint="eastAsia"/>
          <w:sz w:val="24"/>
        </w:rPr>
        <w:t xml:space="preserve"> 7</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sz w:val="24"/>
        </w:rPr>
        <w:t>…………</w:t>
      </w:r>
      <w:r>
        <w:rPr>
          <w:rFonts w:hint="eastAsia"/>
          <w:sz w:val="24"/>
        </w:rPr>
        <w:t xml:space="preserve"> 10</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r>
        <w:rPr>
          <w:sz w:val="24"/>
        </w:rPr>
        <w:t>…………………</w:t>
      </w:r>
      <w:r>
        <w:rPr>
          <w:rFonts w:hint="eastAsia"/>
          <w:sz w:val="24"/>
        </w:rPr>
        <w:t>11</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sz w:val="24"/>
        </w:rPr>
        <w:t>………………………</w:t>
      </w:r>
      <w:r>
        <w:rPr>
          <w:rFonts w:hint="eastAsia"/>
          <w:sz w:val="24"/>
        </w:rPr>
        <w:t>..11</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r>
        <w:rPr>
          <w:sz w:val="24"/>
        </w:rPr>
        <w:t>……………………</w:t>
      </w:r>
      <w:r>
        <w:rPr>
          <w:rFonts w:hint="eastAsia"/>
          <w:sz w:val="24"/>
        </w:rPr>
        <w:t xml:space="preserve"> 11</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sz w:val="24"/>
        </w:rPr>
        <w:t>…………………………………</w:t>
      </w:r>
      <w:r>
        <w:rPr>
          <w:rFonts w:hint="eastAsia"/>
          <w:sz w:val="24"/>
        </w:rPr>
        <w:t>. 11</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第三部分名词解释</w:t>
      </w:r>
      <w:r>
        <w:rPr>
          <w:sz w:val="24"/>
        </w:rPr>
        <w:t>……………………………………………………</w:t>
      </w:r>
      <w:r>
        <w:rPr>
          <w:rFonts w:hint="eastAsia"/>
          <w:sz w:val="24"/>
        </w:rPr>
        <w:t>..16</w:t>
      </w:r>
    </w:p>
    <w:p>
      <w:pPr>
        <w:pStyle w:val="10"/>
        <w:adjustRightInd w:val="0"/>
        <w:snapToGrid w:val="0"/>
        <w:spacing w:before="0" w:line="440" w:lineRule="exact"/>
        <w:jc w:val="left"/>
        <w:rPr>
          <w:rFonts w:cstheme="minorBidi"/>
          <w:sz w:val="24"/>
          <w:szCs w:val="24"/>
        </w:rPr>
      </w:pPr>
      <w:r>
        <w:rPr>
          <w:rFonts w:hint="eastAsia"/>
          <w:sz w:val="24"/>
        </w:rPr>
        <w:t>第四部分附件</w:t>
      </w:r>
      <w:r>
        <w:rPr>
          <w:sz w:val="24"/>
        </w:rPr>
        <w:t>…………………………………………………………</w:t>
      </w:r>
      <w:r>
        <w:rPr>
          <w:rFonts w:hint="eastAsia"/>
          <w:sz w:val="24"/>
        </w:rPr>
        <w:t>..19</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r>
        <w:rPr>
          <w:rFonts w:hint="eastAsia"/>
          <w:sz w:val="24"/>
        </w:rPr>
        <w:t>19</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r>
        <w:rPr>
          <w:rFonts w:hint="eastAsia"/>
          <w:sz w:val="24"/>
        </w:rPr>
        <w:t xml:space="preserve"> 24</w:t>
      </w:r>
    </w:p>
    <w:p>
      <w:pPr>
        <w:pStyle w:val="10"/>
        <w:adjustRightInd w:val="0"/>
        <w:snapToGrid w:val="0"/>
        <w:spacing w:before="0" w:line="440" w:lineRule="exact"/>
        <w:jc w:val="left"/>
        <w:rPr>
          <w:rFonts w:cstheme="minorBidi"/>
          <w:sz w:val="24"/>
          <w:szCs w:val="24"/>
        </w:rPr>
      </w:pPr>
      <w:r>
        <w:rPr>
          <w:rFonts w:hint="eastAsia"/>
          <w:sz w:val="24"/>
        </w:rPr>
        <w:t>第五部分附表</w:t>
      </w:r>
      <w:r>
        <w:rPr>
          <w:sz w:val="24"/>
        </w:rPr>
        <w:t>……………………………………………………………</w:t>
      </w:r>
      <w:r>
        <w:rPr>
          <w:rFonts w:hint="eastAsia"/>
          <w:sz w:val="24"/>
        </w:rPr>
        <w:t>31</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bookmarkStart w:id="71" w:name="_GoBack"/>
      <w:bookmarkEnd w:id="71"/>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r>
        <w:rPr>
          <w:rFonts w:hint="eastAsia" w:ascii="仿宋" w:hAnsi="仿宋" w:eastAsia="仿宋"/>
          <w:bCs/>
          <w:color w:val="000000"/>
          <w:sz w:val="32"/>
          <w:szCs w:val="32"/>
        </w:rPr>
        <w:t>：实施小学义务教育，促进基础教育发展。进行小学学历教育。</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峨眉山市龙池镇小学校下属二级单位0个，其中行政单位0个，参照公务员法管理的事业单位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sz w:val="32"/>
          <w:szCs w:val="32"/>
        </w:rPr>
        <w:t>2019年度收、支总计896.58万元。与2018年相比，收、支总计各减少40.47万元，增长</w:t>
      </w:r>
      <w:r>
        <w:rPr>
          <w:rFonts w:ascii="仿宋" w:hAnsi="仿宋" w:eastAsia="仿宋"/>
          <w:color w:val="000000"/>
          <w:sz w:val="32"/>
          <w:szCs w:val="32"/>
        </w:rPr>
        <w:t>/</w:t>
      </w:r>
      <w:r>
        <w:rPr>
          <w:rFonts w:hint="eastAsia" w:ascii="仿宋" w:hAnsi="仿宋" w:eastAsia="仿宋"/>
          <w:color w:val="000000"/>
          <w:sz w:val="32"/>
          <w:szCs w:val="32"/>
        </w:rPr>
        <w:t>下降4.3</w:t>
      </w:r>
      <w:r>
        <w:rPr>
          <w:rFonts w:ascii="仿宋" w:hAnsi="仿宋" w:eastAsia="仿宋"/>
          <w:color w:val="000000"/>
          <w:sz w:val="32"/>
          <w:szCs w:val="32"/>
        </w:rPr>
        <w:t>%</w:t>
      </w:r>
      <w:r>
        <w:rPr>
          <w:rFonts w:hint="eastAsia" w:ascii="仿宋" w:hAnsi="仿宋" w:eastAsia="仿宋"/>
          <w:color w:val="000000"/>
          <w:sz w:val="32"/>
          <w:szCs w:val="32"/>
        </w:rPr>
        <w:t>。主要变动原因是有教师调动，学生人数减少。</w:t>
      </w:r>
    </w:p>
    <w:p>
      <w:pPr>
        <w:spacing w:line="600" w:lineRule="exact"/>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114300" distR="114300">
            <wp:extent cx="4011295" cy="2755265"/>
            <wp:effectExtent l="0" t="0" r="8255" b="698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4011295" cy="2755265"/>
                    </a:xfrm>
                    <a:prstGeom prst="rect">
                      <a:avLst/>
                    </a:prstGeom>
                  </pic:spPr>
                </pic:pic>
              </a:graphicData>
            </a:graphic>
          </wp:inline>
        </w:drawing>
      </w:r>
    </w:p>
    <w:p>
      <w:pPr>
        <w:ind w:firstLine="1600" w:firstLineChars="500"/>
        <w:rPr>
          <w:rFonts w:ascii="仿宋" w:hAnsi="仿宋" w:eastAsia="仿宋"/>
          <w:color w:val="000000" w:themeColor="text1"/>
          <w:sz w:val="32"/>
          <w:szCs w:val="32"/>
        </w:rPr>
      </w:pPr>
      <w:r>
        <w:rPr>
          <w:rFonts w:hint="eastAsia" w:ascii="仿宋" w:hAnsi="仿宋" w:eastAsia="仿宋"/>
          <w:color w:val="000000" w:themeColor="text1"/>
          <w:sz w:val="32"/>
          <w:szCs w:val="32"/>
        </w:rPr>
        <w:t>收、支决算总计变动情况图</w:t>
      </w: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9年本年收入合计887.12万元，其中：一般公共预算财政拨款收入877.97万元，占98.97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；事业收入9.15万元，占1.03</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114300" distR="114300">
            <wp:extent cx="4011295" cy="2755265"/>
            <wp:effectExtent l="0" t="0" r="8255" b="6985"/>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7"/>
                    <a:stretch>
                      <a:fillRect/>
                    </a:stretch>
                  </pic:blipFill>
                  <pic:spPr>
                    <a:xfrm>
                      <a:off x="0" y="0"/>
                      <a:ext cx="4011295" cy="2755265"/>
                    </a:xfrm>
                    <a:prstGeom prst="rect">
                      <a:avLst/>
                    </a:prstGeom>
                  </pic:spPr>
                </pic:pic>
              </a:graphicData>
            </a:graphic>
          </wp:inline>
        </w:drawing>
      </w:r>
    </w:p>
    <w:p>
      <w:pPr>
        <w:ind w:firstLine="2560" w:firstLineChars="800"/>
        <w:rPr>
          <w:rFonts w:ascii="仿宋" w:hAnsi="仿宋" w:eastAsia="仿宋"/>
          <w:color w:val="000000" w:themeColor="text1"/>
          <w:sz w:val="32"/>
          <w:szCs w:val="32"/>
        </w:rPr>
      </w:pPr>
    </w:p>
    <w:p>
      <w:pPr>
        <w:ind w:firstLine="2560" w:firstLineChars="800"/>
        <w:rPr>
          <w:rFonts w:ascii="仿宋" w:hAnsi="仿宋" w:eastAsia="仿宋"/>
          <w:color w:val="000000" w:themeColor="text1"/>
          <w:sz w:val="32"/>
          <w:szCs w:val="32"/>
        </w:rPr>
      </w:pPr>
      <w:r>
        <w:rPr>
          <w:rFonts w:hint="eastAsia" w:ascii="仿宋" w:hAnsi="仿宋" w:eastAsia="仿宋"/>
          <w:color w:val="000000" w:themeColor="text1"/>
          <w:sz w:val="32"/>
          <w:szCs w:val="32"/>
        </w:rPr>
        <w:t>收入决算结构图</w:t>
      </w: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9年本年支出合计883.83万元，其中：基本支出857万元，占96.96</w:t>
      </w:r>
      <w:r>
        <w:rPr>
          <w:rFonts w:ascii="仿宋" w:hAnsi="仿宋" w:eastAsia="仿宋"/>
          <w:color w:val="000000"/>
          <w:sz w:val="32"/>
          <w:szCs w:val="32"/>
        </w:rPr>
        <w:t>%</w:t>
      </w:r>
      <w:r>
        <w:rPr>
          <w:rFonts w:hint="eastAsia" w:ascii="仿宋" w:hAnsi="仿宋" w:eastAsia="仿宋"/>
          <w:color w:val="000000"/>
          <w:sz w:val="32"/>
          <w:szCs w:val="32"/>
        </w:rPr>
        <w:t>；项目支出26.83万元，占3.04</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4201795" cy="2886075"/>
            <wp:effectExtent l="0" t="0" r="8255" b="9525"/>
            <wp:docPr id="4" name="图片 4"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3"/>
                    <pic:cNvPicPr>
                      <a:picLocks noChangeAspect="1"/>
                    </pic:cNvPicPr>
                  </pic:nvPicPr>
                  <pic:blipFill>
                    <a:blip r:embed="rId8"/>
                    <a:stretch>
                      <a:fillRect/>
                    </a:stretch>
                  </pic:blipFill>
                  <pic:spPr>
                    <a:xfrm>
                      <a:off x="0" y="0"/>
                      <a:ext cx="4201795" cy="2886075"/>
                    </a:xfrm>
                    <a:prstGeom prst="rect">
                      <a:avLst/>
                    </a:prstGeom>
                  </pic:spPr>
                </pic:pic>
              </a:graphicData>
            </a:graphic>
          </wp:inline>
        </w:drawing>
      </w:r>
    </w:p>
    <w:p>
      <w:pPr>
        <w:spacing w:line="600" w:lineRule="exact"/>
        <w:ind w:firstLine="2560" w:firstLineChars="800"/>
        <w:rPr>
          <w:rFonts w:ascii="仿宋" w:hAnsi="仿宋" w:eastAsia="仿宋"/>
          <w:color w:val="000000" w:themeColor="text1"/>
          <w:sz w:val="32"/>
          <w:szCs w:val="32"/>
        </w:rPr>
      </w:pPr>
    </w:p>
    <w:p>
      <w:pPr>
        <w:spacing w:line="600" w:lineRule="exact"/>
        <w:ind w:firstLine="2560" w:firstLineChars="800"/>
        <w:rPr>
          <w:rFonts w:ascii="仿宋" w:hAnsi="仿宋" w:eastAsia="仿宋"/>
          <w:color w:val="000000" w:themeColor="text1"/>
          <w:sz w:val="32"/>
          <w:szCs w:val="32"/>
        </w:rPr>
      </w:pPr>
      <w:r>
        <w:rPr>
          <w:rFonts w:hint="eastAsia" w:ascii="仿宋" w:hAnsi="仿宋" w:eastAsia="仿宋"/>
          <w:color w:val="000000" w:themeColor="text1"/>
          <w:sz w:val="32"/>
          <w:szCs w:val="32"/>
        </w:rPr>
        <w:t>支出决算结构图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9年财政拨款收、支总计887.43万元。与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8年相比，财政拨款收、支总计各减少35.67万元，增长</w:t>
      </w:r>
      <w:r>
        <w:rPr>
          <w:rFonts w:ascii="仿宋" w:hAnsi="仿宋" w:eastAsia="仿宋"/>
          <w:color w:val="000000"/>
          <w:sz w:val="32"/>
          <w:szCs w:val="32"/>
        </w:rPr>
        <w:t>/</w:t>
      </w:r>
      <w:r>
        <w:rPr>
          <w:rFonts w:hint="eastAsia" w:ascii="仿宋" w:hAnsi="仿宋" w:eastAsia="仿宋"/>
          <w:color w:val="000000"/>
          <w:sz w:val="32"/>
          <w:szCs w:val="32"/>
        </w:rPr>
        <w:t>下降3.86</w:t>
      </w:r>
      <w:r>
        <w:rPr>
          <w:rFonts w:ascii="仿宋" w:hAnsi="仿宋" w:eastAsia="仿宋"/>
          <w:color w:val="000000"/>
          <w:sz w:val="32"/>
          <w:szCs w:val="32"/>
        </w:rPr>
        <w:t>%</w:t>
      </w:r>
      <w:r>
        <w:rPr>
          <w:rFonts w:hint="eastAsia" w:ascii="仿宋" w:hAnsi="仿宋" w:eastAsia="仿宋"/>
          <w:color w:val="000000"/>
          <w:sz w:val="32"/>
          <w:szCs w:val="32"/>
        </w:rPr>
        <w:t>。主要变动原因是学生人数减少，教师调动，厉行节约。</w:t>
      </w:r>
    </w:p>
    <w:p>
      <w:pPr>
        <w:spacing w:line="600" w:lineRule="exact"/>
        <w:ind w:firstLine="640"/>
        <w:rPr>
          <w:rFonts w:ascii="仿宋" w:hAnsi="仿宋" w:eastAsia="仿宋"/>
          <w:color w:val="000000"/>
          <w:sz w:val="32"/>
          <w:szCs w:val="32"/>
        </w:rPr>
      </w:pPr>
    </w:p>
    <w:p>
      <w:pPr>
        <w:ind w:firstLine="640"/>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4011295" cy="2755265"/>
            <wp:effectExtent l="0" t="0" r="8255" b="6985"/>
            <wp:docPr id="5" name="图片 5"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4"/>
                    <pic:cNvPicPr>
                      <a:picLocks noChangeAspect="1"/>
                    </pic:cNvPicPr>
                  </pic:nvPicPr>
                  <pic:blipFill>
                    <a:blip r:embed="rId9"/>
                    <a:stretch>
                      <a:fillRect/>
                    </a:stretch>
                  </pic:blipFill>
                  <pic:spPr>
                    <a:xfrm>
                      <a:off x="0" y="0"/>
                      <a:ext cx="4011295" cy="2755265"/>
                    </a:xfrm>
                    <a:prstGeom prst="rect">
                      <a:avLst/>
                    </a:prstGeom>
                  </pic:spPr>
                </pic:pic>
              </a:graphicData>
            </a:graphic>
          </wp:inline>
        </w:drawing>
      </w:r>
    </w:p>
    <w:p>
      <w:pPr>
        <w:spacing w:line="600" w:lineRule="exact"/>
        <w:rPr>
          <w:rFonts w:ascii="仿宋" w:hAnsi="仿宋" w:eastAsia="仿宋"/>
          <w:color w:val="000000"/>
          <w:sz w:val="32"/>
          <w:szCs w:val="32"/>
        </w:rPr>
      </w:pPr>
    </w:p>
    <w:p>
      <w:pPr>
        <w:spacing w:line="600" w:lineRule="exact"/>
        <w:ind w:firstLine="1600" w:firstLineChars="500"/>
        <w:rPr>
          <w:rFonts w:ascii="仿宋" w:hAnsi="仿宋" w:eastAsia="仿宋"/>
          <w:color w:val="000000" w:themeColor="text1"/>
          <w:sz w:val="32"/>
          <w:szCs w:val="32"/>
        </w:rPr>
      </w:pPr>
      <w:r>
        <w:rPr>
          <w:rFonts w:hint="eastAsia" w:ascii="仿宋" w:hAnsi="仿宋" w:eastAsia="仿宋"/>
          <w:color w:val="000000" w:themeColor="text1"/>
          <w:sz w:val="32"/>
          <w:szCs w:val="32"/>
        </w:rPr>
        <w:t>财政拨款收、支决算总计变动情况</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9年一般公共预算财政拨款支出874.68万元，占本年支出合计的98.57</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ascii="仿宋" w:hAnsi="仿宋" w:eastAsia="仿宋"/>
          <w:color w:val="000000"/>
          <w:sz w:val="32"/>
          <w:szCs w:val="32"/>
        </w:rPr>
        <w:t>/</w:t>
      </w:r>
      <w:r>
        <w:rPr>
          <w:rFonts w:hint="eastAsia" w:ascii="仿宋" w:hAnsi="仿宋" w:eastAsia="仿宋"/>
          <w:color w:val="000000"/>
          <w:sz w:val="32"/>
          <w:szCs w:val="32"/>
        </w:rPr>
        <w:t>减少38.96万元，下降4.26</w:t>
      </w:r>
      <w:r>
        <w:rPr>
          <w:rFonts w:ascii="仿宋" w:hAnsi="仿宋" w:eastAsia="仿宋"/>
          <w:color w:val="000000"/>
          <w:sz w:val="32"/>
          <w:szCs w:val="32"/>
        </w:rPr>
        <w:t>%</w:t>
      </w:r>
      <w:r>
        <w:rPr>
          <w:rFonts w:hint="eastAsia" w:ascii="仿宋" w:hAnsi="仿宋" w:eastAsia="仿宋"/>
          <w:color w:val="000000"/>
          <w:sz w:val="32"/>
          <w:szCs w:val="32"/>
        </w:rPr>
        <w:t>。主要变动原因是教师减少，学生人数减少，厉行节约。</w:t>
      </w:r>
    </w:p>
    <w:p>
      <w:pPr>
        <w:spacing w:line="600" w:lineRule="exact"/>
        <w:ind w:firstLine="640" w:firstLineChars="200"/>
        <w:rPr>
          <w:rFonts w:ascii="仿宋" w:hAnsi="仿宋" w:eastAsia="仿宋"/>
          <w:color w:val="000000"/>
          <w:sz w:val="32"/>
          <w:szCs w:val="32"/>
        </w:rPr>
      </w:pPr>
    </w:p>
    <w:p>
      <w:pPr>
        <w:ind w:left="1278" w:leftChars="304" w:hanging="640" w:hanging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114300" distR="114300">
            <wp:extent cx="4584065" cy="2755265"/>
            <wp:effectExtent l="0" t="0" r="6985" b="6985"/>
            <wp:docPr id="6" name="图片 6"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5"/>
                    <pic:cNvPicPr>
                      <a:picLocks noChangeAspect="1"/>
                    </pic:cNvPicPr>
                  </pic:nvPicPr>
                  <pic:blipFill>
                    <a:blip r:embed="rId10"/>
                    <a:stretch>
                      <a:fillRect/>
                    </a:stretch>
                  </pic:blipFill>
                  <pic:spPr>
                    <a:xfrm>
                      <a:off x="0" y="0"/>
                      <a:ext cx="4584065" cy="2755265"/>
                    </a:xfrm>
                    <a:prstGeom prst="rect">
                      <a:avLst/>
                    </a:prstGeom>
                  </pic:spPr>
                </pic:pic>
              </a:graphicData>
            </a:graphic>
          </wp:inline>
        </w:drawing>
      </w:r>
      <w:r>
        <w:rPr>
          <w:rFonts w:hint="eastAsia" w:ascii="仿宋" w:hAnsi="仿宋" w:eastAsia="仿宋"/>
          <w:color w:val="000000" w:themeColor="text1"/>
          <w:sz w:val="32"/>
          <w:szCs w:val="32"/>
        </w:rPr>
        <w:t>一一般公共预算财政拨款支出决算变动情况</w:t>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政拨款支出874.68万元，主要用于以下方面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教育支出652.74</w:t>
      </w:r>
      <w:r>
        <w:rPr>
          <w:rFonts w:hint="eastAsia" w:ascii="仿宋" w:hAnsi="仿宋" w:eastAsia="仿宋"/>
          <w:color w:val="000000" w:themeColor="text1"/>
          <w:sz w:val="32"/>
          <w:szCs w:val="32"/>
        </w:rPr>
        <w:t>万元，占74.63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支出125.66万元，占14.37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27万元，占3.09</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；住房保障支出69.28万元，占7.92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ascii="仿宋" w:hAnsi="仿宋" w:eastAsia="仿宋"/>
          <w:color w:val="000000" w:themeColor="text1"/>
          <w:sz w:val="32"/>
          <w:szCs w:val="32"/>
        </w:rPr>
      </w:pPr>
    </w:p>
    <w:p>
      <w:pPr>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114300" distR="114300">
            <wp:extent cx="4281805" cy="2693035"/>
            <wp:effectExtent l="0" t="0" r="4445" b="12065"/>
            <wp:docPr id="7" name="图片 7"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6"/>
                    <pic:cNvPicPr>
                      <a:picLocks noChangeAspect="1"/>
                    </pic:cNvPicPr>
                  </pic:nvPicPr>
                  <pic:blipFill>
                    <a:blip r:embed="rId11"/>
                    <a:stretch>
                      <a:fillRect/>
                    </a:stretch>
                  </pic:blipFill>
                  <pic:spPr>
                    <a:xfrm>
                      <a:off x="0" y="0"/>
                      <a:ext cx="4281805" cy="2693035"/>
                    </a:xfrm>
                    <a:prstGeom prst="rect">
                      <a:avLst/>
                    </a:prstGeom>
                  </pic:spPr>
                </pic:pic>
              </a:graphicData>
            </a:graphic>
          </wp:inline>
        </w:drawing>
      </w:r>
    </w:p>
    <w:p>
      <w:pPr>
        <w:spacing w:line="600" w:lineRule="exact"/>
        <w:ind w:firstLine="640"/>
        <w:rPr>
          <w:rFonts w:ascii="仿宋" w:hAnsi="仿宋" w:eastAsia="仿宋"/>
          <w:color w:val="000000" w:themeColor="text1"/>
          <w:sz w:val="32"/>
          <w:szCs w:val="32"/>
        </w:rPr>
      </w:pPr>
    </w:p>
    <w:p>
      <w:pPr>
        <w:spacing w:line="600" w:lineRule="exact"/>
        <w:ind w:firstLine="1280" w:firstLineChars="400"/>
        <w:rPr>
          <w:rFonts w:ascii="仿宋" w:hAnsi="仿宋" w:eastAsia="仿宋"/>
          <w:color w:val="000000"/>
          <w:sz w:val="32"/>
          <w:szCs w:val="32"/>
        </w:rPr>
      </w:pPr>
      <w:r>
        <w:rPr>
          <w:rFonts w:hint="eastAsia" w:ascii="仿宋" w:hAnsi="仿宋" w:eastAsia="仿宋"/>
          <w:color w:val="000000"/>
          <w:sz w:val="32"/>
          <w:szCs w:val="32"/>
        </w:rPr>
        <w:t>一般公共预算财政拨款支出决算结构</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rPr>
        <w:t>2019年般公共预算支出决算数为877.97</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预算98.94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教育（类）02（款）02（项）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支出决算为652.74万元，完成预算98.08</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，决算数小于预算数的主要原因是有12.75万元公用经费作为财政返还额度留作下年使用。其中</w:t>
      </w:r>
      <w:r>
        <w:rPr>
          <w:rStyle w:val="14"/>
          <w:rFonts w:hint="eastAsia" w:ascii="仿宋" w:hAnsi="仿宋" w:eastAsia="仿宋"/>
          <w:bCs/>
          <w:color w:val="000000"/>
          <w:sz w:val="32"/>
          <w:szCs w:val="32"/>
        </w:rPr>
        <w:t>教育（类）02（款）02（项）教育：</w:t>
      </w:r>
      <w:r>
        <w:rPr>
          <w:rStyle w:val="14"/>
          <w:rFonts w:hint="eastAsia" w:ascii="仿宋" w:hAnsi="仿宋" w:eastAsia="仿宋"/>
          <w:b w:val="0"/>
          <w:bCs/>
          <w:color w:val="000000"/>
          <w:sz w:val="32"/>
          <w:szCs w:val="32"/>
        </w:rPr>
        <w:t>支出决算为650.27万元；</w:t>
      </w:r>
      <w:r>
        <w:rPr>
          <w:rStyle w:val="14"/>
          <w:rFonts w:hint="eastAsia" w:ascii="仿宋" w:hAnsi="仿宋" w:eastAsia="仿宋"/>
          <w:bCs/>
          <w:color w:val="000000"/>
          <w:sz w:val="32"/>
          <w:szCs w:val="32"/>
        </w:rPr>
        <w:t>教育（类）02（款）99（项）：</w:t>
      </w:r>
      <w:r>
        <w:rPr>
          <w:rStyle w:val="14"/>
          <w:rFonts w:hint="eastAsia" w:ascii="仿宋" w:hAnsi="仿宋" w:eastAsia="仿宋"/>
          <w:b w:val="0"/>
          <w:bCs/>
          <w:color w:val="000000"/>
          <w:sz w:val="32"/>
          <w:szCs w:val="32"/>
        </w:rPr>
        <w:t>支出决算为:2.47万元。</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社会保障和就业（类）05（款）05（项）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支出决算为70.63万元，完成预算100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r>
        <w:rPr>
          <w:rStyle w:val="14"/>
          <w:rFonts w:hint="eastAsia" w:ascii="仿宋" w:hAnsi="仿宋" w:eastAsia="仿宋"/>
          <w:bCs/>
          <w:color w:val="000000"/>
          <w:sz w:val="32"/>
          <w:szCs w:val="32"/>
        </w:rPr>
        <w:t>社会保障和就业（类）05（款）06（项）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支出决算为32.61万元，完成预算100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r>
        <w:rPr>
          <w:rStyle w:val="14"/>
          <w:rFonts w:hint="eastAsia" w:ascii="仿宋" w:hAnsi="仿宋" w:eastAsia="仿宋"/>
          <w:bCs/>
          <w:color w:val="000000"/>
          <w:sz w:val="32"/>
          <w:szCs w:val="32"/>
        </w:rPr>
        <w:t>社会保障和就业（类）08（款）01（项）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支出决算为15.13万元，完成预算100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r>
        <w:rPr>
          <w:rStyle w:val="14"/>
          <w:rFonts w:hint="eastAsia" w:ascii="仿宋" w:hAnsi="仿宋" w:eastAsia="仿宋"/>
          <w:bCs/>
          <w:color w:val="000000"/>
          <w:sz w:val="32"/>
          <w:szCs w:val="32"/>
        </w:rPr>
        <w:t>社会保障和就业（类）08（款）99（项）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支出决算为7.29万元，完成预算100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（类）11（款）02（项）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住房保障支出</w:t>
      </w:r>
      <w:r>
        <w:rPr>
          <w:rStyle w:val="14"/>
          <w:rFonts w:hint="eastAsia" w:ascii="仿宋" w:hAnsi="仿宋" w:eastAsia="仿宋"/>
          <w:bCs/>
          <w:color w:val="000000"/>
          <w:sz w:val="32"/>
          <w:szCs w:val="32"/>
        </w:rPr>
        <w:t>（类）02（款）01（项）：</w:t>
      </w:r>
      <w:r>
        <w:rPr>
          <w:rStyle w:val="14"/>
          <w:rFonts w:hint="eastAsia" w:ascii="仿宋" w:hAnsi="仿宋" w:eastAsia="仿宋"/>
          <w:b w:val="0"/>
          <w:bCs/>
          <w:color w:val="000000"/>
          <w:sz w:val="32"/>
          <w:szCs w:val="32"/>
        </w:rPr>
        <w:t>支出决算为69.28万元，完成预算100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w:t>
      </w:r>
    </w:p>
    <w:p>
      <w:pPr>
        <w:spacing w:line="600" w:lineRule="exact"/>
        <w:rPr>
          <w:rFonts w:ascii="仿宋" w:hAnsi="仿宋" w:eastAsia="仿宋"/>
          <w:color w:val="000000"/>
          <w:sz w:val="32"/>
          <w:szCs w:val="32"/>
        </w:rPr>
      </w:pP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9年一般公共预算财政拨款基本支出847.85万元，其中：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799.66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48.19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1"/>
        <w:rPr>
          <w:rFonts w:ascii="黑体" w:eastAsia="黑体"/>
          <w:color w:val="000000"/>
          <w:sz w:val="32"/>
          <w:szCs w:val="32"/>
        </w:rPr>
      </w:pPr>
      <w:bookmarkStart w:id="44" w:name="_Toc15396610"/>
      <w:bookmarkStart w:id="45" w:name="_Toc15377218"/>
      <w:r>
        <w:rPr>
          <w:rFonts w:hint="eastAsia" w:ascii="仿宋" w:hAnsi="仿宋" w:eastAsia="仿宋"/>
          <w:color w:val="000000"/>
          <w:sz w:val="32"/>
          <w:szCs w:val="32"/>
        </w:rPr>
        <w:t>无</w:t>
      </w:r>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numPr>
          <w:ilvl w:val="0"/>
          <w:numId w:val="2"/>
        </w:numPr>
        <w:spacing w:line="600" w:lineRule="exact"/>
        <w:ind w:firstLine="640"/>
        <w:outlineLvl w:val="1"/>
        <w:rPr>
          <w:rStyle w:val="25"/>
          <w:rFonts w:ascii="黑体" w:hAnsi="黑体" w:eastAsia="黑体"/>
          <w:b w:val="0"/>
        </w:rPr>
      </w:pPr>
      <w:bookmarkStart w:id="46" w:name="_Toc15396611"/>
      <w:bookmarkStart w:id="47" w:name="_Toc15377219"/>
      <w:r>
        <w:rPr>
          <w:rStyle w:val="25"/>
          <w:rFonts w:hint="eastAsia" w:ascii="黑体" w:hAnsi="黑体" w:eastAsia="黑体"/>
          <w:b w:val="0"/>
        </w:rPr>
        <w:t>国有资本经营预算支出决算情况说明</w:t>
      </w:r>
      <w:bookmarkEnd w:id="46"/>
      <w:bookmarkEnd w:id="47"/>
    </w:p>
    <w:p>
      <w:pPr>
        <w:spacing w:line="600" w:lineRule="exact"/>
        <w:ind w:firstLine="800" w:firstLineChars="250"/>
        <w:outlineLvl w:val="1"/>
        <w:rPr>
          <w:rFonts w:ascii="仿宋_GB2312" w:eastAsia="仿宋_GB2312"/>
          <w:color w:val="000000"/>
          <w:sz w:val="32"/>
          <w:szCs w:val="32"/>
        </w:rPr>
      </w:pPr>
      <w:bookmarkStart w:id="48" w:name="_Toc15396612"/>
      <w:bookmarkStart w:id="49" w:name="_Toc15377221"/>
      <w:r>
        <w:rPr>
          <w:rFonts w:hint="eastAsia" w:ascii="仿宋_GB2312" w:eastAsia="仿宋_GB2312"/>
          <w:color w:val="000000"/>
          <w:sz w:val="32"/>
          <w:szCs w:val="32"/>
        </w:rPr>
        <w:t>无</w:t>
      </w:r>
    </w:p>
    <w:p>
      <w:pPr>
        <w:spacing w:line="600" w:lineRule="exact"/>
        <w:ind w:firstLine="800" w:firstLineChars="250"/>
        <w:outlineLvl w:val="1"/>
        <w:rPr>
          <w:rStyle w:val="25"/>
          <w:rFonts w:ascii="黑体" w:hAnsi="黑体" w:eastAsia="黑体"/>
        </w:rPr>
      </w:pPr>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9年，峨眉山市龙池镇小学校机关运行经费支出48.19万元，比</w:t>
      </w:r>
      <w:r>
        <w:rPr>
          <w:rFonts w:ascii="仿宋_GB2312" w:eastAsia="仿宋_GB2312"/>
          <w:color w:val="000000"/>
          <w:sz w:val="32"/>
          <w:szCs w:val="32"/>
        </w:rPr>
        <w:t>201</w:t>
      </w:r>
      <w:r>
        <w:rPr>
          <w:rFonts w:hint="eastAsia" w:ascii="仿宋_GB2312" w:eastAsia="仿宋_GB2312"/>
          <w:color w:val="000000"/>
          <w:sz w:val="32"/>
          <w:szCs w:val="32"/>
        </w:rPr>
        <w:t>8年减少1.81万元，下降3.62</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主要原因是学生人数减少，</w:t>
      </w:r>
      <w:r>
        <w:rPr>
          <w:rFonts w:hint="eastAsia" w:ascii="仿宋_GB2312" w:eastAsia="仿宋_GB2312"/>
          <w:color w:val="000000" w:themeColor="text1"/>
          <w:sz w:val="32"/>
          <w:szCs w:val="32"/>
          <w:lang w:eastAsia="zh-CN"/>
        </w:rPr>
        <w:t>厉行节约</w:t>
      </w:r>
      <w:r>
        <w:rPr>
          <w:rFonts w:hint="eastAsia" w:ascii="仿宋_GB2312" w:eastAsia="仿宋_GB2312"/>
          <w:color w:val="000000" w:themeColor="text1"/>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pPr>
        <w:spacing w:line="600" w:lineRule="exact"/>
        <w:ind w:firstLine="640" w:firstLineChars="200"/>
        <w:rPr>
          <w:rFonts w:ascii="仿宋" w:hAnsi="仿宋" w:eastAsia="仿宋"/>
          <w:b/>
          <w:color w:val="FF0000"/>
          <w:sz w:val="32"/>
          <w:szCs w:val="32"/>
        </w:rPr>
      </w:pPr>
      <w:r>
        <w:rPr>
          <w:rFonts w:hint="eastAsia" w:ascii="仿宋_GB2312" w:eastAsia="仿宋_GB2312"/>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autoSpaceDE w:val="0"/>
        <w:autoSpaceDN w:val="0"/>
        <w:adjustRightInd w:val="0"/>
        <w:spacing w:line="600" w:lineRule="exact"/>
        <w:ind w:firstLine="640" w:firstLineChars="200"/>
        <w:jc w:val="left"/>
        <w:outlineLvl w:val="2"/>
        <w:rPr>
          <w:rFonts w:ascii="仿宋" w:hAnsi="仿宋" w:eastAsia="仿宋"/>
          <w:color w:val="000000"/>
          <w:sz w:val="32"/>
          <w:szCs w:val="32"/>
        </w:rPr>
      </w:pPr>
      <w:r>
        <w:rPr>
          <w:rFonts w:hint="eastAsia" w:ascii="仿宋" w:hAnsi="仿宋" w:eastAsia="仿宋"/>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安保经费、免作业本费、课改研究经费、人才队伍建设资金开展了预算事前绩效评估，对4个项目编制了绩效目标，预算执行过程中，选取1个项目开展绩效监控，年终执行完毕后，对3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宋体" w:eastAsia="仿宋_GB2312" w:cs="宋体"/>
          <w:sz w:val="30"/>
          <w:szCs w:val="30"/>
        </w:rPr>
        <w:t>我单位严格按照上报的资金计划完成资金拨付，根据预算合理控制支出数额及支出进度，临时事项，按规定程序报市教育局批准或是完成预算调整程序后执行。除临时任务和不可抗力原因外，我单位基本支出部分按月均匀执行，项目支出部分按所报项目进度及时执行。</w:t>
      </w:r>
      <w:r>
        <w:rPr>
          <w:rFonts w:hint="eastAsia" w:ascii="仿宋_GB2312" w:hAnsi="仿宋" w:eastAsia="仿宋_GB2312"/>
          <w:sz w:val="30"/>
          <w:szCs w:val="30"/>
        </w:rPr>
        <w:t>全年支出执行良好</w:t>
      </w:r>
      <w:r>
        <w:rPr>
          <w:rFonts w:hint="eastAsia" w:ascii="仿宋_GB2312" w:hAnsi="仿宋_GB2312" w:eastAsia="仿宋_GB2312" w:cs="仿宋_GB2312"/>
          <w:sz w:val="32"/>
          <w:szCs w:val="32"/>
        </w:rPr>
        <w:t>。本部门还自行组织了3个项目支出绩效评价，从评价情况来看：严格按照上级主管部门和项目资金支出规范要求，对资金用途、资金拨付严格监管，</w:t>
      </w:r>
      <w:r>
        <w:rPr>
          <w:rFonts w:hint="eastAsia" w:ascii="仿宋_GB2312" w:hAnsi="仿宋" w:eastAsia="仿宋_GB2312"/>
          <w:sz w:val="30"/>
          <w:szCs w:val="30"/>
        </w:rPr>
        <w:t>全年支出执行良好</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本部门在2019年度部门决算中反映“安保经费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免作业本费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课改研究经费”“人才队伍建设资金”等4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保经费项目绩效目标完成情况综述。项目全年预算数23.33万元，执行数为23.33万元，完成预算的100%。通过项目实施，维护了学校师生的人身财产安全，保障了学校教育教学有序开展、提高了学校安全防护措施。发现的主要问题：安保人员业务素质和业务能力有待提高。下一步改进措施：加强安保人员培训，提升他们的业务能力和水平。</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免作业本费项目绩效目标完成情况综述。项目全年预算数2.24万元，执行数为2.24万元，完成预算的100%。通过项目实施，保障了贫困家庭子女和经济困难学生能用上规范、统一的作业本，为他们安心学习提供了有力的保障，解决了贫困家庭的燃眉之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课改研究经费项目绩效目标完成情况综述。项目全年预算数0.3万元，执行数为0.3万元，完成预算的100%。通过项目实施，保障学校教学研究的顺利开展，激发了教师们积极参与教学研究的激情，为学校长远发展奠定了坚实的基础和人才储备。发现的主要问题：项目资金较少，不能完全满足教育教学研究的需要。改进措施：向上级争取更多的教育教学研究项目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人才队伍建设资金项目绩效目标完成情况综述。项目全年预算数0.96万元，执行数为0.96万元，完成预算的100%。通过项目实施，为骨干教师搭建了迅速成长的平台，为他们沉下心来搞研究提供了坚实的保障，同时在他们的辐射带动下，学校的教育教学研究氛围浓厚</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，老师们干劲十足，都想加入这样的团队，为学校的发展尽自己的一份力量。</w:t>
      </w: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安保经费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峨眉山市龙池镇小学校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23.33万元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23．33万元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23.33万元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23.33万元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提升学校的安保措施和安保能力。保障师生人身财产安全，为学校教育教学正常开展提供有力安全保障。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提升了学校的安保措施和安保能力。保障了师生人身财产安全，为学校教育教学正常开展提供了有力安全保障。</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安保、宿管人数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提高安全保卫质量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工作期间认真完成安保任务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提升安保工作影响力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6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6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3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69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96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师生、社会对安保工作的满意度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本部门按要求对2019年部门整体支出绩效评价情况开展自评，《峨眉山市龙池镇小学校2019年部门整体支出绩效评价报告》见附件（附件1）。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本部门自行组织对免作业本费、课改研究、人才队伍建设资金开展了绩效评价，《峨眉山市龙池镇小学校项目2019年绩效评价报告》见附件（附件2）。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53" w:name="_Toc15396613"/>
      <w:bookmarkStart w:id="54"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3"/>
      <w:bookmarkEnd w:id="54"/>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2"/>
        <w:spacing w:line="560" w:lineRule="exact"/>
        <w:ind w:firstLine="640" w:firstLineChars="200"/>
        <w:rPr>
          <w:rFonts w:ascii="仿宋_GB2312" w:eastAsia="仿宋_GB2312" w:cs="黑体"/>
          <w:sz w:val="32"/>
          <w:szCs w:val="32"/>
        </w:rPr>
      </w:pPr>
    </w:p>
    <w:p>
      <w:pPr>
        <w:spacing w:line="600" w:lineRule="exact"/>
        <w:jc w:val="center"/>
        <w:outlineLvl w:val="0"/>
        <w:rPr>
          <w:rStyle w:val="24"/>
          <w:rFonts w:ascii="黑体" w:hAnsi="黑体" w:eastAsia="黑体"/>
          <w:b w:val="0"/>
        </w:rPr>
      </w:pPr>
      <w:bookmarkStart w:id="55" w:name="_Toc15377226"/>
      <w:r>
        <w:rPr>
          <w:rFonts w:ascii="宋体"/>
          <w:b/>
          <w:color w:val="000000"/>
          <w:sz w:val="44"/>
          <w:szCs w:val="44"/>
        </w:rPr>
        <w:br w:type="page"/>
      </w:r>
      <w:bookmarkStart w:id="56"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6"/>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峨眉山市龙池镇小学校</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shd w:val="clear" w:color="auto" w:fill="FFFFFF"/>
        <w:adjustRightInd w:val="0"/>
        <w:snapToGrid w:val="0"/>
        <w:spacing w:before="100" w:beforeAutospacing="1" w:after="100" w:afterAutospacing="1" w:line="540" w:lineRule="exact"/>
        <w:ind w:firstLine="643"/>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shd w:val="clear" w:color="auto" w:fill="FFFFFF"/>
        <w:adjustRightInd w:val="0"/>
        <w:snapToGrid w:val="0"/>
        <w:spacing w:before="100" w:beforeAutospacing="1" w:after="100" w:afterAutospacing="1" w:line="540" w:lineRule="exact"/>
        <w:ind w:firstLine="643"/>
        <w:jc w:val="left"/>
        <w:rPr>
          <w:rFonts w:ascii="仿宋_GB2312" w:eastAsia="仿宋_GB2312" w:cs="宋体"/>
          <w:kern w:val="0"/>
          <w:sz w:val="30"/>
          <w:szCs w:val="30"/>
        </w:rPr>
      </w:pPr>
      <w:r>
        <w:rPr>
          <w:rFonts w:hint="eastAsia" w:ascii="仿宋_GB2312" w:hAnsi="宋体" w:eastAsia="仿宋_GB2312" w:cs="宋体"/>
          <w:kern w:val="0"/>
          <w:sz w:val="30"/>
          <w:szCs w:val="30"/>
        </w:rPr>
        <w:t>（一）机构组成、人员概况</w:t>
      </w:r>
    </w:p>
    <w:p>
      <w:pPr>
        <w:shd w:val="clear" w:color="auto" w:fill="FFFFFF"/>
        <w:spacing w:line="540" w:lineRule="exact"/>
        <w:ind w:firstLine="600" w:firstLineChars="200"/>
        <w:rPr>
          <w:rFonts w:ascii="仿宋_GB2312" w:hAnsi="仿宋_GB2312" w:eastAsia="仿宋_GB2312" w:cs="仿宋_GB2312"/>
          <w:kern w:val="0"/>
          <w:sz w:val="30"/>
          <w:szCs w:val="30"/>
        </w:rPr>
      </w:pPr>
      <w:r>
        <w:rPr>
          <w:rFonts w:hint="eastAsia" w:ascii="仿宋_GB2312" w:hAnsi="仿宋" w:eastAsia="仿宋_GB2312"/>
          <w:sz w:val="30"/>
          <w:szCs w:val="30"/>
        </w:rPr>
        <w:t>机构组成：</w:t>
      </w:r>
      <w:r>
        <w:rPr>
          <w:rFonts w:hint="eastAsia" w:ascii="仿宋_GB2312" w:hAnsi="仿宋_GB2312" w:eastAsia="仿宋_GB2312" w:cs="仿宋_GB2312"/>
          <w:kern w:val="0"/>
          <w:sz w:val="30"/>
          <w:szCs w:val="30"/>
          <w:shd w:val="clear" w:color="auto" w:fill="FFFFFF"/>
        </w:rPr>
        <w:t>我单位内设办公室、教导处、德育处、后勤安全处等。</w:t>
      </w:r>
    </w:p>
    <w:p>
      <w:pPr>
        <w:shd w:val="clear" w:color="auto" w:fill="FFFFFF"/>
        <w:spacing w:before="100" w:beforeAutospacing="1" w:after="100" w:afterAutospacing="1" w:line="540" w:lineRule="exact"/>
        <w:ind w:firstLine="600" w:firstLineChars="200"/>
        <w:rPr>
          <w:rFonts w:ascii="仿宋_GB2312" w:eastAsia="仿宋_GB2312" w:cs="宋体"/>
          <w:kern w:val="0"/>
          <w:sz w:val="30"/>
          <w:szCs w:val="30"/>
        </w:rPr>
      </w:pPr>
      <w:r>
        <w:rPr>
          <w:rFonts w:hint="eastAsia" w:ascii="仿宋_GB2312" w:hAnsi="仿宋" w:eastAsia="仿宋_GB2312"/>
          <w:sz w:val="30"/>
          <w:szCs w:val="30"/>
        </w:rPr>
        <w:t>人员情况：核定事业编制77名，在岗专业技术人员53人，工勤人员2人。</w:t>
      </w:r>
      <w:r>
        <w:rPr>
          <w:rFonts w:hint="eastAsia" w:ascii="仿宋_GB2312" w:hAnsi="宋体" w:eastAsia="仿宋_GB2312" w:cs="宋体"/>
          <w:kern w:val="0"/>
          <w:sz w:val="30"/>
          <w:szCs w:val="30"/>
        </w:rPr>
        <w:t>长期聘用人员7名。</w:t>
      </w:r>
    </w:p>
    <w:p>
      <w:pPr>
        <w:widowControl/>
        <w:shd w:val="clear" w:color="auto" w:fill="FFFFFF"/>
        <w:adjustRightInd w:val="0"/>
        <w:snapToGrid w:val="0"/>
        <w:spacing w:before="100" w:beforeAutospacing="1" w:after="100" w:afterAutospacing="1" w:line="540" w:lineRule="exact"/>
        <w:ind w:firstLine="643"/>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（二）单位主要职责</w:t>
      </w:r>
    </w:p>
    <w:p>
      <w:pPr>
        <w:widowControl/>
        <w:shd w:val="clear" w:color="auto" w:fill="FFFFFF"/>
        <w:adjustRightInd w:val="0"/>
        <w:snapToGrid w:val="0"/>
        <w:spacing w:before="100" w:beforeAutospacing="1" w:after="100" w:afterAutospacing="1" w:line="540" w:lineRule="exact"/>
        <w:ind w:firstLine="643"/>
        <w:jc w:val="left"/>
        <w:rPr>
          <w:rFonts w:ascii="仿宋_GB2312" w:eastAsia="仿宋_GB2312" w:cs="宋体"/>
          <w:sz w:val="30"/>
          <w:szCs w:val="30"/>
          <w:shd w:val="clear" w:color="auto" w:fill="FFFFFF"/>
        </w:rPr>
      </w:pPr>
      <w:r>
        <w:rPr>
          <w:rFonts w:hint="eastAsia" w:ascii="仿宋_GB2312" w:eastAsia="仿宋_GB2312" w:cs="宋体"/>
          <w:sz w:val="30"/>
          <w:szCs w:val="30"/>
          <w:shd w:val="clear" w:color="auto" w:fill="FFFFFF"/>
        </w:rPr>
        <w:t>负责本区域学龄儿童小学阶段教育教学工作。</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shd w:val="clear" w:color="auto" w:fill="FFFFFF"/>
        <w:adjustRightInd w:val="0"/>
        <w:snapToGrid w:val="0"/>
        <w:spacing w:before="100" w:beforeAutospacing="1" w:after="100" w:afterAutospacing="1" w:line="540" w:lineRule="exact"/>
        <w:ind w:firstLine="640" w:firstLineChars="200"/>
        <w:jc w:val="left"/>
        <w:outlineLvl w:val="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我单位2019年部门决算收入为887.12万元，预算收入为608.96万元，无政府性基金预算资金；</w:t>
      </w:r>
      <w:r>
        <w:rPr>
          <w:rFonts w:hint="eastAsia" w:ascii="仿宋_GB2312" w:hAnsi="仿宋_GB2312" w:eastAsia="仿宋_GB2312" w:cs="仿宋_GB2312"/>
          <w:kern w:val="0"/>
          <w:sz w:val="30"/>
          <w:szCs w:val="30"/>
        </w:rPr>
        <w:t>决算收入与预算收入的差额278.16万元,</w:t>
      </w:r>
      <w:r>
        <w:rPr>
          <w:rFonts w:hint="eastAsia" w:ascii="仿宋_GB2312" w:hAnsi="宋体" w:eastAsia="仿宋_GB2312" w:cs="宋体"/>
          <w:kern w:val="0"/>
          <w:sz w:val="30"/>
          <w:szCs w:val="30"/>
        </w:rPr>
        <w:t>主要为学校公用经费、项目经费等支出项目为列入年初预算。</w:t>
      </w:r>
      <w:r>
        <w:rPr>
          <w:rFonts w:ascii="仿宋_GB2312" w:eastAsia="仿宋_GB2312" w:cs="宋体"/>
          <w:kern w:val="0"/>
          <w:sz w:val="30"/>
          <w:szCs w:val="30"/>
        </w:rPr>
        <w:t xml:space="preserve"> </w:t>
      </w:r>
    </w:p>
    <w:p>
      <w:pPr>
        <w:widowControl/>
        <w:shd w:val="clear" w:color="auto" w:fill="FFFFFF"/>
        <w:adjustRightInd w:val="0"/>
        <w:snapToGrid w:val="0"/>
        <w:spacing w:line="540"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shd w:val="clear" w:color="auto" w:fill="FFFFFF"/>
        <w:adjustRightInd w:val="0"/>
        <w:snapToGrid w:val="0"/>
        <w:spacing w:line="540" w:lineRule="exact"/>
        <w:ind w:firstLine="600" w:firstLineChars="200"/>
        <w:jc w:val="left"/>
        <w:rPr>
          <w:rFonts w:ascii="仿宋_GB2312" w:hAnsi="仿宋_GB2312" w:eastAsia="仿宋_GB2312" w:cs="仿宋_GB2312"/>
          <w:color w:val="000000" w:themeColor="text1"/>
          <w:kern w:val="0"/>
          <w:sz w:val="30"/>
          <w:szCs w:val="30"/>
        </w:rPr>
      </w:pPr>
      <w:r>
        <w:rPr>
          <w:rFonts w:hint="eastAsia" w:ascii="仿宋_GB2312" w:hAnsi="宋体" w:eastAsia="仿宋_GB2312" w:cs="宋体"/>
          <w:kern w:val="0"/>
          <w:sz w:val="30"/>
          <w:szCs w:val="30"/>
        </w:rPr>
        <w:t>我单位2019年支出决算数为883.82万元，其中：基本支出856.99万元，项目支出26.83万元；预算数为608.96万元，其中：基本支出608.96万元，项目支出0万元。基本支出较预算增加的278.16万元，主要原因为预算只预算了人员支出，学校公用经费和项目支出等未列入单位预算</w:t>
      </w:r>
      <w:r>
        <w:rPr>
          <w:rFonts w:hint="eastAsia" w:ascii="仿宋_GB2312" w:hAnsi="仿宋_GB2312" w:eastAsia="仿宋_GB2312" w:cs="仿宋_GB2312"/>
          <w:color w:val="000000" w:themeColor="text1"/>
          <w:kern w:val="0"/>
          <w:sz w:val="30"/>
          <w:szCs w:val="30"/>
        </w:rPr>
        <w:t>。</w:t>
      </w:r>
    </w:p>
    <w:p>
      <w:pPr>
        <w:widowControl/>
        <w:adjustRightInd w:val="0"/>
        <w:snapToGrid w:val="0"/>
        <w:spacing w:line="580" w:lineRule="exact"/>
        <w:ind w:firstLine="60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kern w:val="0"/>
          <w:sz w:val="30"/>
          <w:szCs w:val="30"/>
        </w:rPr>
        <w:t>决算支出较决算收入少3.3万元，年初结转结余列支9.46万元（年初结转结余9.46万元，年末结转结余为12.75万元）。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我单位严格按照财政部门的要求和实现编制预决算、填报绩效目标和专项项目进度表；2019年收入预算为608.96万元，其中595.16万元为公共财政预算收入，财政专户管理资金13.8万元；支出预算608.96万元，其中基本支出预算608.96万元，项目预支出预算0万元。决算收入为887.12万元，决算支出为883.82万元，其中基本支出856.99万元，项目支出26.83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宋体" w:eastAsia="仿宋_GB2312" w:cs="宋体"/>
          <w:sz w:val="30"/>
          <w:szCs w:val="30"/>
        </w:rPr>
      </w:pPr>
      <w:r>
        <w:rPr>
          <w:rFonts w:hint="eastAsia" w:ascii="仿宋_GB2312" w:hAnsi="宋体" w:eastAsia="仿宋_GB2312" w:cs="宋体"/>
          <w:sz w:val="30"/>
          <w:szCs w:val="30"/>
        </w:rPr>
        <w:t>2019年度年初结转结余9.46万元，其中基本支出结转结余9.46万元，项目支出结转结余0万元；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宋体" w:eastAsia="仿宋_GB2312" w:cs="宋体"/>
          <w:sz w:val="30"/>
          <w:szCs w:val="30"/>
        </w:rPr>
      </w:pPr>
      <w:r>
        <w:rPr>
          <w:rFonts w:hint="eastAsia" w:ascii="仿宋_GB2312" w:hAnsi="宋体" w:eastAsia="仿宋_GB2312" w:cs="宋体"/>
          <w:sz w:val="30"/>
          <w:szCs w:val="30"/>
        </w:rPr>
        <w:t>2019年年末结转结余12.75万元，其中:基本支出结转结余12.75万元，项目支出结转结余为0万元。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包括绩效自评公开、评价结果整改和应用结果反馈等情况。</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一级指标</w:t>
            </w:r>
          </w:p>
        </w:tc>
        <w:tc>
          <w:tcPr>
            <w:tcW w:w="2551"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二级指标</w:t>
            </w:r>
          </w:p>
        </w:tc>
        <w:tc>
          <w:tcPr>
            <w:tcW w:w="2694"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三级指标</w:t>
            </w:r>
          </w:p>
        </w:tc>
        <w:tc>
          <w:tcPr>
            <w:tcW w:w="850"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总分</w:t>
            </w:r>
          </w:p>
        </w:tc>
        <w:tc>
          <w:tcPr>
            <w:tcW w:w="901"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6月执行进度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12月执行进度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96.5</w:t>
            </w:r>
          </w:p>
        </w:tc>
      </w:tr>
    </w:tbl>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shd w:val="clear" w:color="auto" w:fill="FFFFFF"/>
        <w:adjustRightInd w:val="0"/>
        <w:snapToGrid w:val="0"/>
        <w:spacing w:before="100" w:beforeAutospacing="1" w:after="100" w:afterAutospacing="1" w:line="540"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hint="eastAsia" w:ascii="仿宋_GB2312" w:hAnsi="宋体" w:eastAsia="仿宋_GB2312" w:cs="宋体"/>
          <w:sz w:val="30"/>
          <w:szCs w:val="30"/>
        </w:rPr>
        <w:t>1、</w:t>
      </w:r>
      <w:r>
        <w:rPr>
          <w:rFonts w:hint="eastAsia" w:ascii="仿宋_GB2312" w:hAnsi="宋体" w:eastAsia="仿宋_GB2312" w:cs="宋体"/>
          <w:kern w:val="0"/>
          <w:sz w:val="30"/>
          <w:szCs w:val="30"/>
        </w:rPr>
        <w:t>预算编制工作有待细化。预算编制不够明确和细化，预算编制的合理性需要提高，预算执行力度还要进一步加强。</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hint="eastAsia" w:ascii="仿宋_GB2312" w:hAnsi="宋体" w:eastAsia="仿宋_GB2312" w:cs="宋体"/>
          <w:kern w:val="0"/>
          <w:sz w:val="30"/>
          <w:szCs w:val="30"/>
        </w:rPr>
        <w:t>2、部门支出相关（基本支出方面）的规章制度还不够完善。</w:t>
      </w:r>
    </w:p>
    <w:p>
      <w:pPr>
        <w:widowControl/>
        <w:shd w:val="clear" w:color="auto" w:fill="FFFFFF"/>
        <w:adjustRightInd w:val="0"/>
        <w:snapToGrid w:val="0"/>
        <w:spacing w:before="100" w:beforeAutospacing="1" w:after="100" w:afterAutospacing="1" w:line="540" w:lineRule="exact"/>
        <w:ind w:firstLine="64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1、细化预算编制工作，认真做好预算的编制。进一步加强单位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3、完善资产管理。严格编制政府采购年初预算和计划，规范各类资产的购置审批制度、资产收入管理制度、资产采购制度、使用管理制度、资产处置和报废审批制度、资产管理岗位职责制度等，加强单位内部的资产管理工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峨眉山市龙池镇小学校</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安保经费</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w:t>
      </w:r>
      <w:r>
        <w:rPr>
          <w:rFonts w:hint="eastAsia" w:ascii="仿宋_GB2312" w:eastAsia="仿宋_GB2312"/>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adjustRightInd w:val="0"/>
        <w:snapToGrid w:val="0"/>
        <w:spacing w:line="600" w:lineRule="exact"/>
        <w:ind w:firstLine="720"/>
        <w:rPr>
          <w:rFonts w:ascii="仿宋_GB2312" w:hAnsi="宋体" w:eastAsia="仿宋_GB2312"/>
          <w:sz w:val="32"/>
          <w:szCs w:val="32"/>
          <w:lang w:val="zh-CN"/>
        </w:rPr>
      </w:pPr>
      <w:r>
        <w:rPr>
          <w:rFonts w:hint="eastAsia" w:ascii="仿宋_GB2312" w:eastAsia="仿宋_GB2312" w:hAnsiTheme="minorEastAsia"/>
          <w:sz w:val="32"/>
          <w:szCs w:val="32"/>
        </w:rPr>
        <w:t>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3．资金管理办法制定情况，资金支持具体项目的条件、范围与支持方式概况。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根据市人社局下达的人员控制数，自主聘用人员，签订劳动合同，根据项目资金管理制度和学校财务管理制度自主使用项目资金。</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2019年，该项目实际使用资金23.33万元，全额用于发放学校聘请的保安、宿管人员工资。项目预算标准为每人每年3.5万元，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保障义教段公办学校按要求配齐、配足保安人员，公办寄宿制学校配足、配齐宿管人员，避免学校因经费不足导致安保人员配备不达标、或拖欠安保人员工资等情况发生，切实维护教育系统的安全稳定。</w:t>
      </w:r>
    </w:p>
    <w:p>
      <w:pPr>
        <w:adjustRightInd w:val="0"/>
        <w:snapToGrid w:val="0"/>
        <w:spacing w:line="600" w:lineRule="exact"/>
        <w:ind w:firstLine="720"/>
        <w:rPr>
          <w:rFonts w:ascii="仿宋_GB2312" w:eastAsia="仿宋_GB2312" w:hAnsiTheme="minorEastAsia"/>
          <w:sz w:val="32"/>
          <w:szCs w:val="32"/>
        </w:rPr>
      </w:pPr>
      <w:r>
        <w:rPr>
          <w:rFonts w:hint="eastAsia" w:ascii="仿宋_GB2312" w:hAnsi="宋体" w:eastAsia="仿宋_GB2312"/>
          <w:sz w:val="32"/>
          <w:szCs w:val="32"/>
          <w:lang w:val="zh-CN"/>
        </w:rPr>
        <w:t>2．</w:t>
      </w:r>
      <w:r>
        <w:rPr>
          <w:rFonts w:hint="eastAsia" w:ascii="仿宋_GB2312" w:eastAsia="仿宋_GB2312" w:hAnsiTheme="minorEastAsia"/>
          <w:sz w:val="32"/>
          <w:szCs w:val="32"/>
        </w:rPr>
        <w:t>项目资金根据学校工作实际，春秋学期各拨付1次（因每学期人数可能有调整），资金拨付时间绩效目标为当年6月前拨付春季学期资金，11月前拨付秋季学期资金，学校按要求在当年12月31日前使用完下拨资金，资金全额用于安保、宿管人员工资发放。</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3．该项目属于民生保障类项目，申报的内容和具体实施的内容相符，申报目标合理可行，</w:t>
      </w:r>
      <w:r>
        <w:rPr>
          <w:rFonts w:hint="eastAsia" w:ascii="仿宋_GB2312" w:eastAsia="仿宋_GB2312" w:hAnsiTheme="minorEastAsia"/>
          <w:sz w:val="32"/>
          <w:szCs w:val="32"/>
        </w:rPr>
        <w:t>对加强我市学校安全工作，保障学校</w:t>
      </w:r>
      <w:r>
        <w:rPr>
          <w:rFonts w:hint="eastAsia" w:ascii="仿宋_GB2312" w:hAnsi="宋体" w:eastAsia="仿宋_GB2312"/>
          <w:sz w:val="32"/>
          <w:szCs w:val="32"/>
          <w:lang w:val="zh-CN"/>
        </w:rPr>
        <w:t>师生人身安全，维护教育系统安全稳定发挥了积极作用，具有较强的社会意义。</w:t>
      </w:r>
    </w:p>
    <w:p>
      <w:pPr>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自主聘用人员，签订劳动合同，根据项目资金管理制度和学校财务管理制度自主使用项目资金。</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eastAsia="仿宋_GB2312" w:hAnsiTheme="minorEastAsia"/>
          <w:sz w:val="32"/>
          <w:szCs w:val="32"/>
        </w:rPr>
        <w:t>为进一步加强我校安全工作，切实保障广大师生人身安全，维护教育系统长期安全稳定，根据《中共峨眉山市委办公室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和宿管员由市财政本级预算“学校安保经费补助”项目予以保障。2019年，批复我校年初预算“学校安保经费补助”23.33万元，每人每年预算标准为3.5万元，预算人数为6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2019年，该项目预算资金23.33万元。项目由市教育局汇总学校情况，制定拨款报告给市财政局，市财政局审核后，将项目指标分解下达学校并进行资金拨付。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2019年，该项目实际使用资金23.33万元，全额用于发放学校聘请的保安、宿管人员工资。项目预算标准为每人每年3.5万元，项目开支范围、标准及支付进度、支付依据均合规合法，资金支付与预算相符。</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（三）项目财务管理情况。</w:t>
      </w: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宿管员。项目资金的管理使用严格执行财务管理制度，财务处理及时，会计核算规范。</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宿管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宿管员。项目资金的管理使用严格执行财务管理制度，财务处理及时，会计核算规范。</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学校下达预算指标和拨付资金。每个学校均为独立法人的预算单位，根据市人社局下达的人员控制数，自主聘用人员，签订劳动合同，根据项目资金管理制度和学校财务管理制度自主使用项目资金。</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该项目对照预算，截止2019年12月31日，下达预算指标23.33万元，</w:t>
      </w:r>
      <w:r>
        <w:rPr>
          <w:rFonts w:hint="eastAsia" w:ascii="仿宋_GB2312" w:hAnsi="宋体" w:eastAsia="仿宋_GB2312"/>
          <w:sz w:val="32"/>
          <w:szCs w:val="32"/>
          <w:lang w:val="zh-CN"/>
        </w:rPr>
        <w:t>预算指标和资金拨付分春秋两季下达，全年使用资金23.33万元。资金拨付进度、拨付总额达到预期安排，项目完成情况较好，完成率100%。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eastAsia="仿宋_GB2312" w:hAnsiTheme="minorEastAsia"/>
          <w:sz w:val="32"/>
          <w:szCs w:val="32"/>
        </w:rPr>
        <w:t>项目实施切实保障义教段公办学校按要求配齐、配足保安人员，公办寄宿制学校配足、配齐宿管人员，避免学校因经费不足导致安保人员配备不达标、或拖欠安保人员工资等情况发生。对加强我校安全工作，切实保障广大师生人身安全，维护教学校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eastAsia="仿宋_GB2312"/>
          <w:sz w:val="32"/>
          <w:szCs w:val="32"/>
        </w:rPr>
      </w:pPr>
      <w:r>
        <w:rPr>
          <w:rFonts w:hint="eastAsia" w:ascii="仿宋_GB2312" w:eastAsia="仿宋_GB2312" w:hAnsiTheme="minorEastAsia"/>
          <w:sz w:val="32"/>
          <w:szCs w:val="32"/>
        </w:rPr>
        <w:t>项目实施切实保障义教段公办学校按要求配齐、配足保安人员，公办寄宿制学校配足、配齐宿管人员，避免学校因经费不足导致安保人员配备不达标、或拖欠安保人员工资等情况发生。对加强我市学校安全工作，切实保障广大师生人身安全，维护教育系统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eastAsia="仿宋_GB2312" w:hAnsiTheme="minorEastAsia"/>
          <w:sz w:val="32"/>
          <w:szCs w:val="32"/>
        </w:rPr>
        <w:t>近年来，随着城市的不断发展和旅游业的繁荣，我校外来人口越来越多，学校周边环境较复杂等原因导致对安保工作要求越来越高，公办学校安全保卫工作矛盾突出。由于项目预算标准较低，学校经费不足，所聘人员待遇不高，缺乏培训经费。导致学校聘请的保安和宿管人员缺乏专业安保管理能力，保安人员年龄老化严重，缺少专业培训，人员素养不够，学校管理用工不规范，制度不健全。</w:t>
      </w:r>
      <w:r>
        <w:rPr>
          <w:rFonts w:hint="eastAsia" w:ascii="仿宋_GB2312" w:hAnsi="宋体" w:eastAsia="仿宋_GB2312"/>
          <w:sz w:val="32"/>
          <w:szCs w:val="32"/>
          <w:lang w:val="zh-CN"/>
        </w:rPr>
        <w:tab/>
      </w:r>
    </w:p>
    <w:p>
      <w:pPr>
        <w:spacing w:line="600" w:lineRule="exact"/>
        <w:ind w:firstLine="60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乐府办发〔2018〕18号），建议提高项目预算标准，参照市级其他部门做法，将城学校保安工作整体打包，由教育局公开招标，外包给专业保安公司管理，学校以购买服务的方式使用保安。</w:t>
      </w:r>
    </w:p>
    <w:p>
      <w:pPr>
        <w:adjustRightInd w:val="0"/>
        <w:snapToGrid w:val="0"/>
        <w:spacing w:line="600" w:lineRule="exact"/>
        <w:ind w:firstLine="720"/>
        <w:jc w:val="right"/>
        <w:rPr>
          <w:rFonts w:asciiTheme="majorEastAsia" w:hAnsiTheme="majorEastAsia" w:eastAsiaTheme="majorEastAsia"/>
          <w:sz w:val="32"/>
          <w:szCs w:val="32"/>
        </w:rPr>
      </w:pPr>
      <w:r>
        <w:rPr>
          <w:rFonts w:hint="eastAsia" w:asciiTheme="majorEastAsia" w:hAnsiTheme="majorEastAsia" w:eastAsiaTheme="majorEastAsia"/>
          <w:sz w:val="32"/>
          <w:szCs w:val="32"/>
        </w:rPr>
        <w:t>峨眉山市龙池镇小学校</w:t>
      </w:r>
    </w:p>
    <w:p>
      <w:pPr>
        <w:adjustRightInd w:val="0"/>
        <w:snapToGrid w:val="0"/>
        <w:spacing w:line="600" w:lineRule="exact"/>
        <w:ind w:firstLine="720"/>
        <w:jc w:val="right"/>
        <w:rPr>
          <w:rFonts w:asciiTheme="majorEastAsia" w:hAnsiTheme="majorEastAsia" w:eastAsiaTheme="majorEastAsia"/>
          <w:sz w:val="32"/>
          <w:szCs w:val="32"/>
        </w:rPr>
      </w:pPr>
      <w:r>
        <w:rPr>
          <w:rFonts w:hint="eastAsia" w:asciiTheme="majorEastAsia" w:hAnsiTheme="majorEastAsia" w:eastAsiaTheme="majorEastAsia"/>
          <w:sz w:val="32"/>
          <w:szCs w:val="32"/>
        </w:rPr>
        <w:t>2020年10月2</w:t>
      </w:r>
      <w:r>
        <w:rPr>
          <w:rFonts w:hint="eastAsia" w:asciiTheme="majorEastAsia" w:hAnsiTheme="majorEastAsia" w:eastAsiaTheme="majorEastAsia"/>
          <w:sz w:val="32"/>
          <w:szCs w:val="32"/>
          <w:lang w:val="en-US" w:eastAsia="zh-CN"/>
        </w:rPr>
        <w:t>8</w:t>
      </w:r>
      <w:r>
        <w:rPr>
          <w:rFonts w:hint="eastAsia" w:asciiTheme="majorEastAsia" w:hAnsiTheme="majorEastAsia" w:eastAsiaTheme="majorEastAsia"/>
          <w:sz w:val="32"/>
          <w:szCs w:val="32"/>
        </w:rPr>
        <w:t>日</w:t>
      </w:r>
    </w:p>
    <w:p>
      <w:pPr>
        <w:adjustRightInd w:val="0"/>
        <w:snapToGrid w:val="0"/>
        <w:spacing w:line="600" w:lineRule="exact"/>
        <w:rPr>
          <w:rFonts w:ascii="仿宋_GB2312" w:hAnsi="宋体" w:eastAsia="仿宋_GB2312"/>
          <w:sz w:val="32"/>
          <w:szCs w:val="32"/>
          <w:lang w:val="zh-CN"/>
        </w:rPr>
      </w:pP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7"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5"/>
      <w:bookmarkEnd w:id="5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8"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8"/>
    </w:p>
    <w:p>
      <w:pPr>
        <w:pStyle w:val="3"/>
        <w:rPr>
          <w:rFonts w:ascii="仿宋" w:hAnsi="仿宋" w:eastAsia="仿宋"/>
          <w:color w:val="000000"/>
        </w:rPr>
      </w:pPr>
      <w:bookmarkStart w:id="59"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9"/>
    </w:p>
    <w:p>
      <w:pPr>
        <w:pStyle w:val="3"/>
        <w:rPr>
          <w:rFonts w:ascii="仿宋" w:hAnsi="仿宋" w:eastAsia="仿宋"/>
          <w:color w:val="000000"/>
        </w:rPr>
      </w:pPr>
      <w:bookmarkStart w:id="60"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0"/>
    </w:p>
    <w:p>
      <w:pPr>
        <w:pStyle w:val="3"/>
        <w:rPr>
          <w:rFonts w:ascii="仿宋" w:hAnsi="仿宋" w:eastAsia="仿宋"/>
          <w:b w:val="0"/>
          <w:color w:val="000000"/>
        </w:rPr>
      </w:pPr>
      <w:bookmarkStart w:id="61"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1"/>
    </w:p>
    <w:p>
      <w:pPr>
        <w:pStyle w:val="3"/>
        <w:rPr>
          <w:rStyle w:val="25"/>
          <w:rFonts w:ascii="仿宋" w:hAnsi="仿宋" w:eastAsia="仿宋"/>
          <w:b w:val="0"/>
          <w:bCs w:val="0"/>
        </w:rPr>
      </w:pPr>
      <w:bookmarkStart w:id="62"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2"/>
      <w:bookmarkStart w:id="63"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3"/>
    </w:p>
    <w:p>
      <w:pPr>
        <w:pStyle w:val="3"/>
        <w:rPr>
          <w:rFonts w:ascii="仿宋" w:hAnsi="仿宋" w:eastAsia="仿宋"/>
          <w:color w:val="000000"/>
        </w:rPr>
      </w:pPr>
      <w:bookmarkStart w:id="64"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4"/>
    </w:p>
    <w:p>
      <w:pPr>
        <w:pStyle w:val="3"/>
        <w:rPr>
          <w:rFonts w:ascii="仿宋" w:hAnsi="仿宋" w:eastAsia="仿宋"/>
          <w:color w:val="000000"/>
        </w:rPr>
      </w:pPr>
      <w:bookmarkStart w:id="65"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5"/>
    </w:p>
    <w:p>
      <w:pPr>
        <w:pStyle w:val="3"/>
        <w:rPr>
          <w:rFonts w:ascii="仿宋" w:hAnsi="仿宋" w:eastAsia="仿宋"/>
          <w:color w:val="000000"/>
        </w:rPr>
      </w:pPr>
      <w:bookmarkStart w:id="66"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6"/>
    </w:p>
    <w:p>
      <w:pPr>
        <w:pStyle w:val="3"/>
        <w:rPr>
          <w:rFonts w:ascii="仿宋" w:hAnsi="仿宋" w:eastAsia="仿宋"/>
          <w:color w:val="000000"/>
        </w:rPr>
      </w:pPr>
      <w:bookmarkStart w:id="67"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7"/>
    </w:p>
    <w:p>
      <w:pPr>
        <w:pStyle w:val="3"/>
        <w:rPr>
          <w:rFonts w:ascii="仿宋" w:hAnsi="仿宋" w:eastAsia="仿宋"/>
          <w:color w:val="000000"/>
        </w:rPr>
      </w:pPr>
      <w:bookmarkStart w:id="68"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8"/>
    </w:p>
    <w:p>
      <w:pPr>
        <w:pStyle w:val="3"/>
        <w:rPr>
          <w:rFonts w:ascii="仿宋" w:hAnsi="仿宋" w:eastAsia="仿宋"/>
          <w:color w:val="000000"/>
        </w:rPr>
      </w:pPr>
      <w:bookmarkStart w:id="69"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9"/>
    </w:p>
    <w:p>
      <w:pPr>
        <w:pStyle w:val="3"/>
        <w:rPr>
          <w:rFonts w:ascii="仿宋" w:hAnsi="仿宋" w:eastAsia="仿宋"/>
          <w:color w:val="000000" w:themeColor="text1"/>
        </w:rPr>
      </w:pPr>
      <w:bookmarkStart w:id="70"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7</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21E6"/>
    <w:rsid w:val="000768F2"/>
    <w:rsid w:val="00087A3B"/>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17F8"/>
    <w:rsid w:val="00157BAB"/>
    <w:rsid w:val="001654D1"/>
    <w:rsid w:val="00174518"/>
    <w:rsid w:val="0018106D"/>
    <w:rsid w:val="001877A7"/>
    <w:rsid w:val="00191536"/>
    <w:rsid w:val="00196687"/>
    <w:rsid w:val="001B6E3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37D9"/>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3FE7"/>
    <w:rsid w:val="004E6DF7"/>
    <w:rsid w:val="004F0FBD"/>
    <w:rsid w:val="004F403E"/>
    <w:rsid w:val="00505A47"/>
    <w:rsid w:val="00512FDA"/>
    <w:rsid w:val="00520DA0"/>
    <w:rsid w:val="005664BB"/>
    <w:rsid w:val="00566FFA"/>
    <w:rsid w:val="00573F8E"/>
    <w:rsid w:val="0057481D"/>
    <w:rsid w:val="00575F0B"/>
    <w:rsid w:val="0058486E"/>
    <w:rsid w:val="00585B33"/>
    <w:rsid w:val="0059014D"/>
    <w:rsid w:val="005B5C64"/>
    <w:rsid w:val="005C6BD0"/>
    <w:rsid w:val="005C6C4C"/>
    <w:rsid w:val="005D1C8B"/>
    <w:rsid w:val="005D2F2C"/>
    <w:rsid w:val="005D468D"/>
    <w:rsid w:val="005D5CED"/>
    <w:rsid w:val="005F1A4C"/>
    <w:rsid w:val="00605688"/>
    <w:rsid w:val="006070AF"/>
    <w:rsid w:val="00607E6C"/>
    <w:rsid w:val="006101B1"/>
    <w:rsid w:val="00614E44"/>
    <w:rsid w:val="0062270A"/>
    <w:rsid w:val="00622830"/>
    <w:rsid w:val="00623DA0"/>
    <w:rsid w:val="00624195"/>
    <w:rsid w:val="00630AEF"/>
    <w:rsid w:val="006325F8"/>
    <w:rsid w:val="00633463"/>
    <w:rsid w:val="00634C9A"/>
    <w:rsid w:val="006440E4"/>
    <w:rsid w:val="006449D7"/>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000E"/>
    <w:rsid w:val="00784D24"/>
    <w:rsid w:val="00785FBA"/>
    <w:rsid w:val="00786E4A"/>
    <w:rsid w:val="007875EB"/>
    <w:rsid w:val="0079426B"/>
    <w:rsid w:val="007D1682"/>
    <w:rsid w:val="007D312A"/>
    <w:rsid w:val="007D3F19"/>
    <w:rsid w:val="007E23B0"/>
    <w:rsid w:val="007E48FC"/>
    <w:rsid w:val="007F1991"/>
    <w:rsid w:val="007F2C2F"/>
    <w:rsid w:val="007F55FC"/>
    <w:rsid w:val="007F5665"/>
    <w:rsid w:val="00800112"/>
    <w:rsid w:val="00805957"/>
    <w:rsid w:val="00813348"/>
    <w:rsid w:val="00816D03"/>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20F1"/>
    <w:rsid w:val="008C4DB1"/>
    <w:rsid w:val="008C4EAF"/>
    <w:rsid w:val="008C5176"/>
    <w:rsid w:val="008C7FD0"/>
    <w:rsid w:val="008E1DE7"/>
    <w:rsid w:val="008E707C"/>
    <w:rsid w:val="008F5451"/>
    <w:rsid w:val="00900B08"/>
    <w:rsid w:val="00902155"/>
    <w:rsid w:val="00902FA3"/>
    <w:rsid w:val="00913BD0"/>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C4A5A"/>
    <w:rsid w:val="009D3447"/>
    <w:rsid w:val="009D4711"/>
    <w:rsid w:val="009F1185"/>
    <w:rsid w:val="009F18CD"/>
    <w:rsid w:val="009F2A13"/>
    <w:rsid w:val="009F461F"/>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491E"/>
    <w:rsid w:val="00A67AB5"/>
    <w:rsid w:val="00A70D23"/>
    <w:rsid w:val="00A733B2"/>
    <w:rsid w:val="00A741C2"/>
    <w:rsid w:val="00A869D6"/>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08E6"/>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37AC"/>
    <w:rsid w:val="00CB4E70"/>
    <w:rsid w:val="00CC09B6"/>
    <w:rsid w:val="00CC666F"/>
    <w:rsid w:val="00CD1E3F"/>
    <w:rsid w:val="00CE44F6"/>
    <w:rsid w:val="00CE49DA"/>
    <w:rsid w:val="00CE7B61"/>
    <w:rsid w:val="00CF612D"/>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5CC4"/>
    <w:rsid w:val="00DC410D"/>
    <w:rsid w:val="00DC5A81"/>
    <w:rsid w:val="00DC68CA"/>
    <w:rsid w:val="00DC7CBA"/>
    <w:rsid w:val="00DD73B7"/>
    <w:rsid w:val="00DF28BC"/>
    <w:rsid w:val="00DF34B9"/>
    <w:rsid w:val="00E01053"/>
    <w:rsid w:val="00E06197"/>
    <w:rsid w:val="00E07ACF"/>
    <w:rsid w:val="00E31954"/>
    <w:rsid w:val="00E331A1"/>
    <w:rsid w:val="00E33202"/>
    <w:rsid w:val="00E336A9"/>
    <w:rsid w:val="00E472B1"/>
    <w:rsid w:val="00E50624"/>
    <w:rsid w:val="00E53336"/>
    <w:rsid w:val="00E568DF"/>
    <w:rsid w:val="00E64269"/>
    <w:rsid w:val="00E66797"/>
    <w:rsid w:val="00E82267"/>
    <w:rsid w:val="00E853CE"/>
    <w:rsid w:val="00E867B6"/>
    <w:rsid w:val="00E87F08"/>
    <w:rsid w:val="00EA010F"/>
    <w:rsid w:val="00EB2F1B"/>
    <w:rsid w:val="00ED1B63"/>
    <w:rsid w:val="00ED3C1F"/>
    <w:rsid w:val="00ED4085"/>
    <w:rsid w:val="00ED420E"/>
    <w:rsid w:val="00ED6FBE"/>
    <w:rsid w:val="00EE2F57"/>
    <w:rsid w:val="00EF4C34"/>
    <w:rsid w:val="00EF77C6"/>
    <w:rsid w:val="00F05438"/>
    <w:rsid w:val="00F10170"/>
    <w:rsid w:val="00F1361C"/>
    <w:rsid w:val="00F156F0"/>
    <w:rsid w:val="00F160C7"/>
    <w:rsid w:val="00F2408F"/>
    <w:rsid w:val="00F240E9"/>
    <w:rsid w:val="00F36D8F"/>
    <w:rsid w:val="00F417B1"/>
    <w:rsid w:val="00F45853"/>
    <w:rsid w:val="00F56B44"/>
    <w:rsid w:val="00F602DF"/>
    <w:rsid w:val="00F754A1"/>
    <w:rsid w:val="00F81FD9"/>
    <w:rsid w:val="00F841AA"/>
    <w:rsid w:val="00F84A94"/>
    <w:rsid w:val="00F865C2"/>
    <w:rsid w:val="00F87E96"/>
    <w:rsid w:val="00F92846"/>
    <w:rsid w:val="00FA23E8"/>
    <w:rsid w:val="00FD3CC1"/>
    <w:rsid w:val="00FF1E02"/>
    <w:rsid w:val="00FF30B4"/>
    <w:rsid w:val="04420D32"/>
    <w:rsid w:val="0BF818FE"/>
    <w:rsid w:val="10C055FF"/>
    <w:rsid w:val="16BB723D"/>
    <w:rsid w:val="22126C69"/>
    <w:rsid w:val="240371BF"/>
    <w:rsid w:val="29FD04D3"/>
    <w:rsid w:val="2D6A44D5"/>
    <w:rsid w:val="2F762ACD"/>
    <w:rsid w:val="319F7F4E"/>
    <w:rsid w:val="4A4E76E4"/>
    <w:rsid w:val="4EBC5CDF"/>
    <w:rsid w:val="4ECE2238"/>
    <w:rsid w:val="57E316C9"/>
    <w:rsid w:val="641015A3"/>
    <w:rsid w:val="70067B7B"/>
    <w:rsid w:val="70932FE8"/>
    <w:rsid w:val="72734D90"/>
    <w:rsid w:val="786B4C0F"/>
    <w:rsid w:val="7AE40AA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47E27-CC94-418D-8A72-7E669E492B2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1782</Words>
  <Characters>10162</Characters>
  <Lines>84</Lines>
  <Paragraphs>23</Paragraphs>
  <TotalTime>189</TotalTime>
  <ScaleCrop>false</ScaleCrop>
  <LinksUpToDate>false</LinksUpToDate>
  <CharactersWithSpaces>11921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尧冰松</cp:lastModifiedBy>
  <cp:lastPrinted>2020-10-28T03:50:00Z</cp:lastPrinted>
  <dcterms:modified xsi:type="dcterms:W3CDTF">2024-12-23T08:06:44Z</dcterms:modified>
  <dc:title>四川省***</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C4F7852F9FFF4122A427871D62B9FB8D</vt:lpwstr>
  </property>
</Properties>
</file>