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outlineLvl w:val="0"/>
        <w:rPr>
          <w:rFonts w:ascii="方正小标宋简体" w:hAnsi="宋体" w:eastAsia="方正小标宋简体"/>
          <w:color w:val="000000"/>
          <w:sz w:val="72"/>
          <w:szCs w:val="72"/>
        </w:rPr>
      </w:pPr>
    </w:p>
    <w:p>
      <w:pPr>
        <w:adjustRightInd w:val="0"/>
        <w:snapToGrid w:val="0"/>
        <w:jc w:val="center"/>
        <w:outlineLvl w:val="0"/>
        <w:rPr>
          <w:rFonts w:ascii="方正小标宋简体" w:hAnsi="宋体" w:eastAsia="方正小标宋简体"/>
          <w:color w:val="000000"/>
          <w:sz w:val="72"/>
          <w:szCs w:val="72"/>
        </w:rPr>
      </w:pPr>
      <w:bookmarkStart w:id="1" w:name="_Toc15377425"/>
      <w:bookmarkStart w:id="2" w:name="_Toc15378441"/>
      <w:bookmarkStart w:id="3" w:name="_Toc15396597"/>
      <w:bookmarkStart w:id="4" w:name="_Toc15396475"/>
      <w:bookmarkStart w:id="5" w:name="_Toc15377193"/>
      <w:r>
        <w:rPr>
          <w:rFonts w:hint="eastAsia" w:ascii="方正小标宋简体" w:hAnsi="黑体" w:eastAsia="方正小标宋简体"/>
          <w:color w:val="000000"/>
          <w:sz w:val="72"/>
          <w:szCs w:val="72"/>
        </w:rPr>
        <w:t>2019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jc w:val="center"/>
        <w:outlineLvl w:val="0"/>
        <w:rPr>
          <w:rFonts w:ascii="方正小标宋简体" w:hAnsi="宋体" w:eastAsia="方正小标宋简体"/>
          <w:color w:val="000000"/>
          <w:sz w:val="72"/>
          <w:szCs w:val="72"/>
        </w:rPr>
      </w:pPr>
      <w:bookmarkStart w:id="6" w:name="_Toc15377426"/>
      <w:bookmarkStart w:id="7" w:name="_Toc15396598"/>
      <w:bookmarkStart w:id="8" w:name="_Toc15377194"/>
      <w:bookmarkStart w:id="9" w:name="_Toc15396476"/>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峨眉山市发展和改改局部门决算</w:t>
      </w:r>
      <w:bookmarkEnd w:id="6"/>
      <w:bookmarkEnd w:id="7"/>
      <w:bookmarkEnd w:id="8"/>
      <w:bookmarkEnd w:id="9"/>
      <w:bookmarkEnd w:id="10"/>
      <w:bookmarkEnd w:id="11"/>
    </w:p>
    <w:p>
      <w:pPr>
        <w:adjustRightInd w:val="0"/>
        <w:snapToGrid w:val="0"/>
        <w:jc w:val="center"/>
        <w:outlineLvl w:val="0"/>
        <w:rPr>
          <w:rFonts w:ascii="方正小标宋简体" w:hAnsi="宋体" w:eastAsia="方正小标宋简体"/>
          <w:color w:val="000000"/>
          <w:sz w:val="72"/>
          <w:szCs w:val="72"/>
        </w:rPr>
      </w:pPr>
    </w:p>
    <w:p>
      <w:pPr>
        <w:widowControl/>
        <w:spacing w:line="600" w:lineRule="exact"/>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spacing w:line="600" w:lineRule="exact"/>
        <w:jc w:val="center"/>
        <w:rPr>
          <w:rFonts w:ascii="黑体" w:hAnsi="黑体" w:eastAsia="黑体" w:cstheme="minorBidi"/>
          <w:sz w:val="28"/>
          <w:szCs w:val="28"/>
        </w:rPr>
      </w:pPr>
    </w:p>
    <w:p>
      <w:pPr>
        <w:pStyle w:val="10"/>
        <w:spacing w:line="600" w:lineRule="exact"/>
      </w:pPr>
      <w:r>
        <w:rPr>
          <w:rFonts w:hint="eastAsia"/>
        </w:rPr>
        <w:t>公开时间：2020年</w:t>
      </w:r>
      <w:r>
        <w:t>10</w:t>
      </w:r>
      <w:r>
        <w:rPr>
          <w:rFonts w:hint="eastAsia"/>
        </w:rPr>
        <w:t>月</w:t>
      </w:r>
      <w:r>
        <w:t>28</w:t>
      </w:r>
      <w:r>
        <w:rPr>
          <w:rFonts w:hint="eastAsia"/>
        </w:rPr>
        <w:t>日</w:t>
      </w:r>
    </w:p>
    <w:p>
      <w:pPr>
        <w:spacing w:line="600" w:lineRule="exact"/>
      </w:pPr>
    </w:p>
    <w:p>
      <w:pPr>
        <w:pStyle w:val="10"/>
        <w:adjustRightInd w:val="0"/>
        <w:snapToGrid w:val="0"/>
        <w:spacing w:before="0" w:line="60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600" w:lineRule="exact"/>
        <w:jc w:val="left"/>
        <w:rPr>
          <w:rFonts w:ascii="仿宋" w:hAnsi="仿宋" w:eastAsia="仿宋"/>
          <w:sz w:val="24"/>
        </w:rPr>
      </w:pPr>
      <w:r>
        <w:rPr>
          <w:rFonts w:hint="eastAsia"/>
          <w:sz w:val="24"/>
        </w:rPr>
        <w:t>一、基本职能及主要工作</w:t>
      </w:r>
    </w:p>
    <w:p>
      <w:pPr>
        <w:pStyle w:val="11"/>
        <w:adjustRightInd w:val="0"/>
        <w:snapToGrid w:val="0"/>
        <w:spacing w:line="600" w:lineRule="exact"/>
        <w:jc w:val="left"/>
        <w:rPr>
          <w:rFonts w:ascii="仿宋" w:hAnsi="仿宋" w:eastAsia="仿宋" w:cstheme="minorBidi"/>
          <w:sz w:val="24"/>
        </w:rPr>
      </w:pPr>
      <w:r>
        <w:rPr>
          <w:rFonts w:hint="eastAsia"/>
          <w:sz w:val="24"/>
        </w:rPr>
        <w:t>二、机构设置</w:t>
      </w:r>
    </w:p>
    <w:p>
      <w:pPr>
        <w:pStyle w:val="10"/>
        <w:adjustRightInd w:val="0"/>
        <w:snapToGrid w:val="0"/>
        <w:spacing w:before="0" w:line="600" w:lineRule="exact"/>
        <w:jc w:val="left"/>
        <w:rPr>
          <w:sz w:val="24"/>
          <w:szCs w:val="24"/>
        </w:rPr>
      </w:pPr>
      <w:r>
        <w:rPr>
          <w:rFonts w:hint="eastAsia"/>
          <w:sz w:val="24"/>
        </w:rPr>
        <w:t>第二部分度部门决算情况说明</w:t>
      </w:r>
    </w:p>
    <w:p>
      <w:pPr>
        <w:pStyle w:val="11"/>
        <w:adjustRightInd w:val="0"/>
        <w:snapToGrid w:val="0"/>
        <w:spacing w:line="60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60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60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60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60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60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60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60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60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600" w:lineRule="exact"/>
        <w:ind w:firstLine="480" w:firstLineChars="200"/>
        <w:jc w:val="left"/>
        <w:rPr>
          <w:rFonts w:ascii="仿宋" w:hAnsi="仿宋" w:eastAsia="仿宋" w:cstheme="minorBidi"/>
          <w:sz w:val="24"/>
        </w:rPr>
      </w:pPr>
      <w:r>
        <w:rPr>
          <w:rStyle w:val="16"/>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ascii="仿宋" w:hAnsi="仿宋" w:eastAsia="仿宋"/>
          <w:sz w:val="24"/>
        </w:rPr>
        <w:tab/>
      </w:r>
    </w:p>
    <w:p>
      <w:pPr>
        <w:pStyle w:val="10"/>
        <w:adjustRightInd w:val="0"/>
        <w:snapToGrid w:val="0"/>
        <w:spacing w:before="0" w:line="60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60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600" w:lineRule="exact"/>
        <w:jc w:val="left"/>
        <w:rPr>
          <w:rFonts w:ascii="仿宋" w:hAnsi="仿宋" w:eastAsia="仿宋" w:cstheme="minorBidi"/>
          <w:sz w:val="24"/>
        </w:rPr>
      </w:pPr>
      <w:r>
        <w:rPr>
          <w:rFonts w:hint="eastAsia"/>
          <w:sz w:val="24"/>
        </w:rPr>
        <w:t>附件</w:t>
      </w:r>
      <w:r>
        <w:rPr>
          <w:sz w:val="24"/>
        </w:rPr>
        <w:t>1</w:t>
      </w:r>
    </w:p>
    <w:p>
      <w:pPr>
        <w:pStyle w:val="11"/>
        <w:adjustRightInd w:val="0"/>
        <w:snapToGrid w:val="0"/>
        <w:spacing w:line="600" w:lineRule="exact"/>
        <w:jc w:val="left"/>
        <w:rPr>
          <w:rFonts w:ascii="仿宋" w:hAnsi="仿宋" w:eastAsia="仿宋" w:cstheme="minorBidi"/>
          <w:sz w:val="24"/>
        </w:rPr>
      </w:pPr>
      <w:r>
        <w:rPr>
          <w:rFonts w:hint="eastAsia"/>
          <w:sz w:val="24"/>
        </w:rPr>
        <w:t>附件</w:t>
      </w:r>
      <w:r>
        <w:rPr>
          <w:sz w:val="24"/>
        </w:rPr>
        <w:t>2</w:t>
      </w:r>
    </w:p>
    <w:p>
      <w:pPr>
        <w:pStyle w:val="10"/>
        <w:adjustRightInd w:val="0"/>
        <w:snapToGrid w:val="0"/>
        <w:spacing w:before="0" w:line="60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60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60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60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60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60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60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60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60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60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60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60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60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60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adjustRightInd w:val="0"/>
        <w:snapToGrid w:val="0"/>
        <w:spacing w:line="600" w:lineRule="exact"/>
        <w:ind w:firstLine="1320" w:firstLineChars="550"/>
        <w:jc w:val="left"/>
        <w:rPr>
          <w:rFonts w:ascii="仿宋" w:hAnsi="仿宋" w:eastAsia="仿宋"/>
          <w:color w:val="FF0000"/>
          <w:sz w:val="24"/>
        </w:rPr>
      </w:pPr>
    </w:p>
    <w:p>
      <w:pPr>
        <w:widowControl/>
        <w:spacing w:line="60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spacing w:line="600" w:lineRule="exact"/>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widowControl/>
        <w:spacing w:line="600" w:lineRule="exact"/>
        <w:jc w:val="left"/>
        <w:rPr>
          <w:rFonts w:ascii="黑体" w:eastAsia="黑体"/>
          <w:color w:val="000000"/>
          <w:sz w:val="32"/>
          <w:szCs w:val="32"/>
        </w:rPr>
      </w:pPr>
    </w:p>
    <w:p>
      <w:pPr>
        <w:pStyle w:val="3"/>
        <w:spacing w:line="600" w:lineRule="exact"/>
        <w:rPr>
          <w:rStyle w:val="26"/>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cs="仿宋"/>
          <w:bCs/>
          <w:color w:val="000000"/>
          <w:sz w:val="32"/>
          <w:szCs w:val="32"/>
        </w:rPr>
      </w:pPr>
      <w:bookmarkStart w:id="16" w:name="_Toc15377198"/>
      <w:bookmarkStart w:id="17" w:name="_Toc15378445"/>
      <w:r>
        <w:rPr>
          <w:rFonts w:hint="eastAsia" w:ascii="仿宋" w:hAnsi="仿宋" w:eastAsia="仿宋" w:cs="仿宋"/>
          <w:bCs/>
          <w:color w:val="000000"/>
          <w:sz w:val="32"/>
          <w:szCs w:val="32"/>
        </w:rPr>
        <w:t>（一）主要职能</w:t>
      </w:r>
      <w:bookmarkEnd w:id="16"/>
      <w:bookmarkEnd w:id="17"/>
    </w:p>
    <w:p>
      <w:pPr>
        <w:pStyle w:val="32"/>
        <w:shd w:val="clear" w:color="auto" w:fill="FFFFFF"/>
        <w:spacing w:before="93" w:beforeAutospacing="0" w:after="0" w:afterAutospacing="0" w:line="600" w:lineRule="exact"/>
        <w:ind w:firstLine="720"/>
        <w:rPr>
          <w:rFonts w:ascii="仿宋" w:hAnsi="仿宋" w:eastAsia="仿宋" w:cs="仿宋"/>
          <w:color w:val="000000"/>
          <w:sz w:val="21"/>
          <w:szCs w:val="21"/>
        </w:rPr>
      </w:pPr>
      <w:r>
        <w:rPr>
          <w:rStyle w:val="31"/>
          <w:rFonts w:hint="eastAsia" w:ascii="仿宋" w:hAnsi="仿宋" w:eastAsia="仿宋" w:cs="仿宋"/>
          <w:color w:val="000000"/>
          <w:sz w:val="32"/>
          <w:szCs w:val="32"/>
        </w:rPr>
        <w:t>1、贯彻实施国家和省有关国民经济和社会发展、科技发展、人口与计划生育、经济体制改革的方针、政策和法律、法规。拟订全市国民经济和社会发展、科学技术进步、人口发展、经济体制改革、对外开放的有关地方性规范性文件和政策措施。负责本部门依法行政工作，落实行政执法责任制。</w:t>
      </w:r>
    </w:p>
    <w:p>
      <w:pPr>
        <w:pStyle w:val="32"/>
        <w:shd w:val="clear" w:color="auto" w:fill="FFFFFF"/>
        <w:spacing w:before="93" w:beforeAutospacing="0" w:after="0" w:afterAutospacing="0" w:line="600" w:lineRule="exact"/>
        <w:ind w:firstLine="720"/>
        <w:rPr>
          <w:rFonts w:ascii="仿宋" w:hAnsi="仿宋" w:eastAsia="仿宋" w:cs="仿宋"/>
          <w:color w:val="000000"/>
          <w:sz w:val="21"/>
          <w:szCs w:val="21"/>
        </w:rPr>
      </w:pPr>
      <w:r>
        <w:rPr>
          <w:rStyle w:val="31"/>
          <w:rFonts w:hint="eastAsia" w:ascii="仿宋" w:hAnsi="仿宋" w:eastAsia="仿宋" w:cs="仿宋"/>
          <w:color w:val="000000"/>
          <w:sz w:val="32"/>
          <w:szCs w:val="32"/>
        </w:rPr>
        <w:t>2、负责拟订并组织实施全市国民经济和社会发展、科技与人口发展战略，中长期规划和年度计划。统筹协调全市经济社会科技发展，研究分析宏观经济形势，提出全市经济社会发展、科技创新运用、经济结构优化、人口发展、价格总水平调控目标和政策的建议。受市政府委托向市人大提交国民经济和社会发展计划报告。</w:t>
      </w:r>
    </w:p>
    <w:p>
      <w:pPr>
        <w:pStyle w:val="32"/>
        <w:shd w:val="clear" w:color="auto" w:fill="FFFFFF"/>
        <w:spacing w:before="93" w:beforeAutospacing="0" w:after="0" w:afterAutospacing="0" w:line="600" w:lineRule="exact"/>
        <w:ind w:firstLine="720"/>
        <w:rPr>
          <w:rFonts w:ascii="仿宋" w:hAnsi="仿宋" w:eastAsia="仿宋" w:cs="仿宋"/>
          <w:color w:val="000000"/>
          <w:sz w:val="21"/>
          <w:szCs w:val="21"/>
        </w:rPr>
      </w:pPr>
      <w:r>
        <w:rPr>
          <w:rStyle w:val="31"/>
          <w:rFonts w:hint="eastAsia" w:ascii="仿宋" w:hAnsi="仿宋" w:eastAsia="仿宋" w:cs="仿宋"/>
          <w:color w:val="000000"/>
          <w:sz w:val="32"/>
          <w:szCs w:val="32"/>
        </w:rPr>
        <w:t>3、负责监测宏观经济和社会发展态势，承担预测预警和信息引导的责任，研究宏观调控重大问题并提出政策建议，搞好总量平衡，综合协调经济社会发展中的重大问题。</w:t>
      </w:r>
    </w:p>
    <w:p>
      <w:pPr>
        <w:pStyle w:val="32"/>
        <w:shd w:val="clear" w:color="auto" w:fill="FFFFFF"/>
        <w:spacing w:before="93" w:beforeAutospacing="0" w:after="0" w:afterAutospacing="0" w:line="600" w:lineRule="exact"/>
        <w:ind w:firstLine="720"/>
        <w:rPr>
          <w:rFonts w:ascii="仿宋" w:hAnsi="仿宋" w:eastAsia="仿宋" w:cs="仿宋"/>
          <w:color w:val="000000"/>
          <w:sz w:val="21"/>
          <w:szCs w:val="21"/>
        </w:rPr>
      </w:pPr>
      <w:r>
        <w:rPr>
          <w:rStyle w:val="31"/>
          <w:rFonts w:hint="eastAsia" w:ascii="仿宋" w:hAnsi="仿宋" w:eastAsia="仿宋" w:cs="仿宋"/>
          <w:color w:val="000000"/>
          <w:sz w:val="32"/>
          <w:szCs w:val="32"/>
        </w:rPr>
        <w:t>4、负责汇总分析全市财政、金融等方面情况，参与制订财政、金融、土地政策，综合分析政策执行效果，提出多渠道</w:t>
      </w:r>
      <w:r>
        <w:rPr>
          <w:rFonts w:hint="eastAsia" w:ascii="仿宋" w:hAnsi="仿宋" w:eastAsia="仿宋" w:cs="仿宋"/>
          <w:color w:val="000000"/>
          <w:sz w:val="32"/>
          <w:szCs w:val="32"/>
        </w:rPr>
        <w:t>融资的政策建议，综合协调财政、金融、价格和产业政策等经济杠杆，保证全市国民经济计划和发展规划、计划的实施。</w:t>
      </w:r>
    </w:p>
    <w:p>
      <w:pPr>
        <w:widowControl/>
        <w:shd w:val="clear" w:color="auto" w:fill="FFFFFF"/>
        <w:spacing w:line="600" w:lineRule="exact"/>
        <w:ind w:firstLine="720"/>
        <w:jc w:val="left"/>
        <w:rPr>
          <w:rFonts w:ascii="仿宋" w:hAnsi="仿宋" w:eastAsia="仿宋" w:cs="仿宋"/>
          <w:color w:val="000000"/>
          <w:kern w:val="0"/>
          <w:szCs w:val="21"/>
        </w:rPr>
      </w:pPr>
      <w:r>
        <w:rPr>
          <w:rFonts w:hint="eastAsia" w:ascii="仿宋" w:hAnsi="仿宋" w:eastAsia="仿宋" w:cs="仿宋"/>
          <w:color w:val="000000"/>
          <w:kern w:val="0"/>
          <w:sz w:val="32"/>
          <w:szCs w:val="32"/>
        </w:rPr>
        <w:t>5、承担指导推进和综合协调全市经济体制改革的责任，研究经济体制改革和对外开放的重大问题，组织拟订综合性经济体制改革方案，协调有关专项经济体制改革方案，会同有关部门搞好重要专项经济体制改革之间的衔接。</w:t>
      </w:r>
    </w:p>
    <w:p>
      <w:pPr>
        <w:widowControl/>
        <w:shd w:val="clear" w:color="auto" w:fill="FFFFFF"/>
        <w:spacing w:line="600" w:lineRule="exact"/>
        <w:ind w:firstLine="720"/>
        <w:jc w:val="left"/>
        <w:rPr>
          <w:rFonts w:ascii="仿宋" w:hAnsi="仿宋" w:eastAsia="仿宋" w:cs="仿宋"/>
          <w:color w:val="000000"/>
          <w:kern w:val="0"/>
          <w:szCs w:val="21"/>
          <w:highlight w:val="cyan"/>
        </w:rPr>
      </w:pPr>
      <w:r>
        <w:rPr>
          <w:rFonts w:hint="eastAsia" w:ascii="仿宋" w:hAnsi="仿宋" w:eastAsia="仿宋" w:cs="仿宋"/>
          <w:color w:val="000000"/>
          <w:kern w:val="0"/>
          <w:sz w:val="32"/>
          <w:szCs w:val="32"/>
        </w:rPr>
        <w:t>6、负责全市投资宏观管理和协调推进重大项目建设。拟订全社会固定资产投资总规模和投资结构的调控目标、政策及措施。按规定权限审批、核准、备案或转报固定资产投资项目（企业技术改造项目除外）和资源开发利用、外资、境外投资项目。引导民间资金的投向，研究提出全市利用外资和境外投资的规划、总量平衡和结构优化的目标及政策措施，指导和协调国外贷款项目实施。负责编制全市政府投资项目和重点建设项目的年度投资计划。</w:t>
      </w:r>
    </w:p>
    <w:p>
      <w:pPr>
        <w:widowControl/>
        <w:shd w:val="clear" w:color="auto" w:fill="FFFFFF"/>
        <w:spacing w:line="600" w:lineRule="exact"/>
        <w:ind w:firstLine="720"/>
        <w:jc w:val="left"/>
        <w:rPr>
          <w:rFonts w:ascii="仿宋" w:hAnsi="仿宋" w:eastAsia="仿宋" w:cs="仿宋"/>
          <w:color w:val="000000"/>
          <w:kern w:val="0"/>
          <w:szCs w:val="21"/>
        </w:rPr>
      </w:pPr>
      <w:r>
        <w:rPr>
          <w:rFonts w:hint="eastAsia" w:ascii="仿宋" w:hAnsi="仿宋" w:eastAsia="仿宋" w:cs="仿宋"/>
          <w:color w:val="000000"/>
          <w:kern w:val="0"/>
          <w:sz w:val="32"/>
          <w:szCs w:val="32"/>
        </w:rPr>
        <w:t>7、推进经济结构战略性调整。组织拟订全市综合性产业政策，负责协调第一、二、三产业发展的重大问题，衔接平衡相关发展规划和重大政策，协调农业和农村经济社会发展的重大问题，衔接农村专项规划和政策。拟订重大产业发展规划，引导全市重大生产力合理布局，协调推进全市重大技术装备和重大产业基地建设，会同有关部门拟订服务业、现代物流业发展战略、规划和重大政策。</w:t>
      </w:r>
    </w:p>
    <w:p>
      <w:pPr>
        <w:pStyle w:val="32"/>
        <w:shd w:val="clear" w:color="auto" w:fill="FFFFFF"/>
        <w:spacing w:before="93" w:beforeAutospacing="0" w:after="0" w:afterAutospacing="0" w:line="600" w:lineRule="exact"/>
        <w:ind w:firstLine="720"/>
        <w:rPr>
          <w:rFonts w:ascii="仿宋" w:hAnsi="仿宋" w:eastAsia="仿宋" w:cs="仿宋"/>
          <w:color w:val="000000"/>
          <w:sz w:val="21"/>
          <w:szCs w:val="21"/>
        </w:rPr>
      </w:pPr>
      <w:r>
        <w:rPr>
          <w:rStyle w:val="31"/>
          <w:rFonts w:hint="eastAsia" w:ascii="仿宋" w:hAnsi="仿宋" w:eastAsia="仿宋" w:cs="仿宋"/>
          <w:color w:val="000000"/>
          <w:sz w:val="32"/>
          <w:szCs w:val="32"/>
        </w:rPr>
        <w:t>8、促进城乡区域协调发展。组织拟订区域协调发展战略、规划和重大政策，研究提出城镇化发展战略和统筹城乡发展的重大政策，负责区域经济协作的统筹协调。</w:t>
      </w:r>
    </w:p>
    <w:p>
      <w:pPr>
        <w:pStyle w:val="32"/>
        <w:shd w:val="clear" w:color="auto" w:fill="FFFFFF"/>
        <w:spacing w:before="93" w:beforeAutospacing="0" w:after="0" w:afterAutospacing="0" w:line="600" w:lineRule="exact"/>
        <w:ind w:firstLine="720"/>
        <w:rPr>
          <w:rFonts w:ascii="仿宋" w:hAnsi="仿宋" w:eastAsia="仿宋" w:cs="仿宋"/>
          <w:color w:val="000000"/>
          <w:sz w:val="21"/>
          <w:szCs w:val="21"/>
        </w:rPr>
      </w:pPr>
      <w:r>
        <w:rPr>
          <w:rStyle w:val="31"/>
          <w:rFonts w:hint="eastAsia" w:ascii="仿宋" w:hAnsi="仿宋" w:eastAsia="仿宋" w:cs="仿宋"/>
          <w:color w:val="000000"/>
          <w:sz w:val="32"/>
          <w:szCs w:val="32"/>
        </w:rPr>
        <w:t>9、负责组织拟订并实施科技攻关、成果转化、软科学研究等计划。推进科技体制改革工作，优化科研机构布局，会同有关部门拟订全市科技人才队伍建设规划和提出相关政策建议,</w:t>
      </w:r>
      <w:r>
        <w:rPr>
          <w:rStyle w:val="31"/>
          <w:rFonts w:hint="eastAsia" w:ascii="仿宋" w:hAnsi="仿宋" w:eastAsia="仿宋" w:cs="仿宋"/>
          <w:sz w:val="32"/>
          <w:szCs w:val="32"/>
        </w:rPr>
        <w:t>引进管理国（境）外人才，并承担智力工作职责。</w:t>
      </w:r>
      <w:r>
        <w:rPr>
          <w:rStyle w:val="31"/>
          <w:rFonts w:hint="eastAsia" w:ascii="仿宋" w:hAnsi="仿宋" w:eastAsia="仿宋" w:cs="仿宋"/>
          <w:color w:val="000000"/>
          <w:sz w:val="32"/>
          <w:szCs w:val="32"/>
        </w:rPr>
        <w:t>推进全市科技创新体系建设，会同有关部门拟订促进产学研结合的政策措施，提出科研条件保障规划和政策措施建议。推进科技基础条件平台（基地）建设和科技资源共享。</w:t>
      </w:r>
    </w:p>
    <w:p>
      <w:pPr>
        <w:pStyle w:val="32"/>
        <w:shd w:val="clear" w:color="auto" w:fill="FFFFFF"/>
        <w:spacing w:before="93" w:beforeAutospacing="0" w:after="0" w:afterAutospacing="0" w:line="600" w:lineRule="exact"/>
        <w:ind w:firstLine="800"/>
        <w:rPr>
          <w:rFonts w:ascii="仿宋" w:hAnsi="仿宋" w:eastAsia="仿宋" w:cs="仿宋"/>
          <w:color w:val="000000"/>
          <w:sz w:val="21"/>
          <w:szCs w:val="21"/>
        </w:rPr>
      </w:pPr>
      <w:r>
        <w:rPr>
          <w:rStyle w:val="31"/>
          <w:rFonts w:hint="eastAsia" w:ascii="仿宋" w:hAnsi="仿宋" w:eastAsia="仿宋" w:cs="仿宋"/>
          <w:color w:val="000000"/>
          <w:sz w:val="32"/>
          <w:szCs w:val="32"/>
        </w:rPr>
        <w:t>10、会同有关部门提出强化科技投入及优化科技资源配置的政策措施建议。拟订科技成果推广、科技奖励、促进科技中介组织发展的政策措施，组织相关重大科技成果应用示范。会同有关部门拟订高新技术产业及园区发展的规划和政策措施，负责组织高新技术企业申报，推动企业自主创新能力建设。拟订科技促进农村和社会发展的政策措施，指导农业科技园区建设，促进以改善民生为重点的农村建设和社会事业发展。组织拟订科学技术普及规划和提出政策措施建议。</w:t>
      </w:r>
    </w:p>
    <w:p>
      <w:pPr>
        <w:pStyle w:val="32"/>
        <w:shd w:val="clear" w:color="auto" w:fill="FFFFFF"/>
        <w:spacing w:before="93" w:beforeAutospacing="0" w:after="0" w:afterAutospacing="0" w:line="600" w:lineRule="exact"/>
        <w:ind w:firstLine="640"/>
        <w:rPr>
          <w:rFonts w:ascii="仿宋" w:hAnsi="仿宋" w:eastAsia="仿宋" w:cs="仿宋"/>
          <w:color w:val="000000"/>
          <w:sz w:val="21"/>
          <w:szCs w:val="21"/>
        </w:rPr>
      </w:pPr>
      <w:r>
        <w:rPr>
          <w:rStyle w:val="31"/>
          <w:rFonts w:hint="eastAsia" w:ascii="仿宋" w:hAnsi="仿宋" w:eastAsia="仿宋" w:cs="仿宋"/>
          <w:color w:val="000000"/>
          <w:sz w:val="32"/>
          <w:szCs w:val="32"/>
        </w:rPr>
        <w:t>11、负责科学技术普及工作，指导协调科普活动和科技宣传工作，推进全市科普能力建设。负责全市专利联络，保护知识产权工作，归上管理科技信息、情报工作。</w:t>
      </w:r>
    </w:p>
    <w:p>
      <w:pPr>
        <w:widowControl/>
        <w:shd w:val="clear" w:color="auto" w:fill="FFFFFF"/>
        <w:spacing w:line="600" w:lineRule="exact"/>
        <w:ind w:firstLine="640"/>
        <w:jc w:val="left"/>
        <w:rPr>
          <w:rFonts w:ascii="仿宋" w:hAnsi="仿宋" w:eastAsia="仿宋" w:cs="仿宋"/>
          <w:color w:val="000000"/>
          <w:kern w:val="0"/>
          <w:szCs w:val="21"/>
        </w:rPr>
      </w:pPr>
      <w:r>
        <w:rPr>
          <w:rFonts w:hint="eastAsia" w:ascii="仿宋" w:hAnsi="仿宋" w:eastAsia="仿宋" w:cs="仿宋"/>
          <w:color w:val="000000"/>
          <w:kern w:val="0"/>
          <w:sz w:val="32"/>
          <w:szCs w:val="32"/>
        </w:rPr>
        <w:t>12、负责全市社会发展与国民经济发展的政策衔接，参与拟订人口和计划生育、科学技术、教育、文化、卫生、民政等发展政策，推进社会事业建设。研究提出促进就业、调整收入分配、完善社会保障与经济协调发展的政策建议，协调社会事业发展和政策中的重大问题及政策。</w:t>
      </w:r>
    </w:p>
    <w:p>
      <w:pPr>
        <w:widowControl/>
        <w:shd w:val="clear" w:color="auto" w:fill="FFFFFF"/>
        <w:spacing w:line="600" w:lineRule="exact"/>
        <w:ind w:firstLine="640"/>
        <w:jc w:val="left"/>
        <w:rPr>
          <w:rFonts w:ascii="仿宋" w:hAnsi="仿宋" w:eastAsia="仿宋" w:cs="仿宋"/>
          <w:color w:val="1F497D" w:themeColor="text2"/>
          <w:kern w:val="0"/>
          <w:szCs w:val="21"/>
          <w:highlight w:val="cyan"/>
          <w14:textFill>
            <w14:solidFill>
              <w14:schemeClr w14:val="tx2"/>
            </w14:solidFill>
          </w14:textFill>
        </w:rPr>
      </w:pPr>
      <w:r>
        <w:rPr>
          <w:rFonts w:hint="eastAsia" w:ascii="仿宋" w:hAnsi="仿宋" w:eastAsia="仿宋" w:cs="仿宋"/>
          <w:color w:val="000000"/>
          <w:kern w:val="0"/>
          <w:sz w:val="32"/>
          <w:szCs w:val="32"/>
        </w:rPr>
        <w:t>13、推进可持续发展，负责全市节能的综合协调工作，组织拟订并协调实施全市发展循环经济、能源资源节约和综合利用规划及政策措施，参与编制生态建设、环境保护规划，协调生态建设、能源资源节约和综合利用的重大问题，综合协调环保产业和清洁生产促进有关工作。</w:t>
      </w:r>
    </w:p>
    <w:p>
      <w:pPr>
        <w:widowControl/>
        <w:shd w:val="clear" w:color="auto" w:fill="FFFFFF"/>
        <w:spacing w:line="600" w:lineRule="exact"/>
        <w:ind w:firstLine="640"/>
        <w:jc w:val="left"/>
        <w:rPr>
          <w:rFonts w:ascii="仿宋" w:hAnsi="仿宋" w:eastAsia="仿宋" w:cs="仿宋"/>
          <w:color w:val="000000"/>
          <w:kern w:val="0"/>
          <w:szCs w:val="21"/>
        </w:rPr>
      </w:pPr>
      <w:r>
        <w:rPr>
          <w:rFonts w:hint="eastAsia" w:ascii="仿宋" w:hAnsi="仿宋" w:eastAsia="仿宋" w:cs="仿宋"/>
          <w:color w:val="000000"/>
          <w:kern w:val="0"/>
          <w:sz w:val="32"/>
          <w:szCs w:val="32"/>
        </w:rPr>
        <w:t>14、指导、协调并综合管理全市招标投标工作，会同有关行政主管部门拟订招标投标的地方性规范文件，按照职责分工对建设项目的招标投标活动实施监督检查。</w:t>
      </w:r>
    </w:p>
    <w:p>
      <w:pPr>
        <w:pStyle w:val="32"/>
        <w:shd w:val="clear" w:color="auto" w:fill="FFFFFF"/>
        <w:spacing w:before="93" w:beforeAutospacing="0" w:after="0" w:afterAutospacing="0" w:line="600" w:lineRule="exact"/>
        <w:ind w:firstLine="640"/>
        <w:rPr>
          <w:rFonts w:ascii="仿宋" w:hAnsi="仿宋" w:eastAsia="仿宋" w:cs="仿宋"/>
          <w:color w:val="000000"/>
          <w:sz w:val="21"/>
          <w:szCs w:val="21"/>
        </w:rPr>
      </w:pPr>
      <w:r>
        <w:rPr>
          <w:rFonts w:hint="eastAsia" w:ascii="仿宋" w:hAnsi="仿宋" w:eastAsia="仿宋" w:cs="仿宋"/>
          <w:color w:val="000000"/>
          <w:sz w:val="32"/>
          <w:szCs w:val="32"/>
        </w:rPr>
        <w:t>15、贯彻实施国家和省、市价格法律、法规和方针、政策，编制和执行价格调整改革规划，提出年度价格总水平调控目标及价格调控措施并组织实施，管理国家、省、市列名管理的商品和服务价格，监管实行市场调节价的商品和服务价格，按照批准的定价目录和定价权限，制定我市的政府定价和政府指导价。</w:t>
      </w:r>
      <w:r>
        <w:rPr>
          <w:rFonts w:hint="eastAsia" w:ascii="仿宋" w:hAnsi="仿宋" w:eastAsia="仿宋" w:cs="仿宋"/>
          <w:sz w:val="32"/>
          <w:szCs w:val="32"/>
        </w:rPr>
        <w:t>负责全市</w:t>
      </w:r>
      <w:r>
        <w:rPr>
          <w:rFonts w:hint="eastAsia" w:ascii="仿宋" w:hAnsi="仿宋" w:eastAsia="仿宋" w:cs="仿宋"/>
          <w:color w:val="000000"/>
          <w:sz w:val="32"/>
          <w:szCs w:val="32"/>
        </w:rPr>
        <w:t>价格成本调查监审、价格监测、价格认证等工作。组织实施重要物资和应急储备物资收储、轮换和日常管理。承担粮食管理行政职责。</w:t>
      </w:r>
    </w:p>
    <w:p>
      <w:pPr>
        <w:widowControl/>
        <w:shd w:val="clear" w:color="auto" w:fill="FFFFFF"/>
        <w:spacing w:line="600" w:lineRule="exact"/>
        <w:ind w:firstLine="640"/>
        <w:jc w:val="left"/>
        <w:rPr>
          <w:rFonts w:ascii="仿宋" w:hAnsi="仿宋" w:eastAsia="仿宋" w:cs="仿宋"/>
          <w:color w:val="000000"/>
          <w:kern w:val="0"/>
          <w:szCs w:val="21"/>
        </w:rPr>
      </w:pPr>
      <w:r>
        <w:rPr>
          <w:rFonts w:hint="eastAsia" w:ascii="仿宋" w:hAnsi="仿宋" w:eastAsia="仿宋" w:cs="仿宋"/>
          <w:color w:val="000000"/>
          <w:kern w:val="0"/>
          <w:sz w:val="32"/>
          <w:szCs w:val="32"/>
        </w:rPr>
        <w:t>16、负责组织编制全市国民经济与装备动员规划、计划，研究国民经济动员与装备动员和国民经济、国防建设的关系，协调相关重大问题，组织实施国民经济动员与装备动员有关工作。</w:t>
      </w:r>
    </w:p>
    <w:p>
      <w:pPr>
        <w:widowControl/>
        <w:shd w:val="clear" w:color="auto" w:fill="FFFFFF"/>
        <w:spacing w:line="600" w:lineRule="exact"/>
        <w:ind w:firstLine="640"/>
        <w:jc w:val="left"/>
        <w:rPr>
          <w:rFonts w:ascii="仿宋" w:hAnsi="仿宋" w:eastAsia="仿宋" w:cs="仿宋"/>
          <w:color w:val="000000"/>
          <w:kern w:val="0"/>
          <w:szCs w:val="21"/>
        </w:rPr>
      </w:pPr>
      <w:r>
        <w:rPr>
          <w:rFonts w:hint="eastAsia" w:ascii="仿宋" w:hAnsi="仿宋" w:eastAsia="仿宋" w:cs="仿宋"/>
          <w:color w:val="000000"/>
          <w:kern w:val="0"/>
          <w:sz w:val="32"/>
          <w:szCs w:val="32"/>
        </w:rPr>
        <w:t>17、承担市政府公布的有关行政审批事项。</w:t>
      </w:r>
    </w:p>
    <w:p>
      <w:pPr>
        <w:widowControl/>
        <w:shd w:val="clear" w:color="auto" w:fill="FFFFFF"/>
        <w:spacing w:line="600" w:lineRule="exact"/>
        <w:ind w:firstLine="640"/>
        <w:jc w:val="left"/>
        <w:rPr>
          <w:rFonts w:ascii="仿宋" w:hAnsi="仿宋" w:eastAsia="仿宋" w:cs="仿宋"/>
          <w:color w:val="000000"/>
          <w:kern w:val="0"/>
          <w:szCs w:val="21"/>
        </w:rPr>
      </w:pPr>
      <w:r>
        <w:rPr>
          <w:rFonts w:hint="eastAsia" w:ascii="仿宋" w:hAnsi="仿宋" w:eastAsia="仿宋" w:cs="仿宋"/>
          <w:color w:val="000000"/>
          <w:kern w:val="0"/>
          <w:sz w:val="32"/>
          <w:szCs w:val="32"/>
        </w:rPr>
        <w:t>18、承办市政府交办的其他事项。</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1.加强分析研判，经济发展稳中有升</w:t>
      </w:r>
    </w:p>
    <w:p>
      <w:pPr>
        <w:spacing w:line="600" w:lineRule="exact"/>
        <w:ind w:firstLine="645"/>
        <w:rPr>
          <w:rFonts w:ascii="仿宋_GB2312" w:eastAsia="仿宋_GB2312"/>
          <w:sz w:val="32"/>
          <w:szCs w:val="32"/>
        </w:rPr>
      </w:pPr>
      <w:r>
        <w:rPr>
          <w:rFonts w:hint="eastAsia" w:ascii="仿宋_GB2312" w:hAnsi="Calibri" w:eastAsia="仿宋_GB2312"/>
          <w:sz w:val="32"/>
          <w:szCs w:val="32"/>
        </w:rPr>
        <w:t>201</w:t>
      </w:r>
      <w:r>
        <w:rPr>
          <w:rFonts w:hint="eastAsia" w:ascii="仿宋_GB2312" w:eastAsia="仿宋_GB2312"/>
          <w:sz w:val="32"/>
          <w:szCs w:val="32"/>
        </w:rPr>
        <w:t>9</w:t>
      </w:r>
      <w:r>
        <w:rPr>
          <w:rFonts w:hint="eastAsia" w:ascii="仿宋_GB2312" w:hAnsi="Calibri" w:eastAsia="仿宋_GB2312"/>
          <w:sz w:val="32"/>
          <w:szCs w:val="32"/>
        </w:rPr>
        <w:t>年在外部经济压力持续增大、财政重整等多重压力下，我局充分发挥参谋助手作用，扎实开展经济形势分析研判，起草《峨眉山市打造绿水青山典范城市暨高质量发展评价指标体系》和《峨眉山市推动县域经济高质量发展暨争创县域经济强县实施方案》等文件，并形成季度、半年、年度经济运行分析报告。</w:t>
      </w:r>
      <w:r>
        <w:rPr>
          <w:rFonts w:hint="eastAsia" w:ascii="仿宋_GB2312" w:eastAsia="仿宋_GB2312"/>
          <w:sz w:val="32"/>
          <w:szCs w:val="32"/>
        </w:rPr>
        <w:t>2019年度我市经济运行总体平稳、稳中有进，经济向好的积极因素不断增加，发展质量明显提升，三次产业占比优化为6.7:39.3:54。</w:t>
      </w:r>
      <w:r>
        <w:rPr>
          <w:rFonts w:hint="eastAsia" w:ascii="仿宋_GB2312" w:hAnsi="Calibri" w:eastAsia="仿宋_GB2312"/>
          <w:sz w:val="32"/>
          <w:szCs w:val="32"/>
        </w:rPr>
        <w:t>预计（下同）全年地区生产总值实现300亿元，增长8.5%，其中第一产业实现19亿元，同比增长3.5%，第二产业实现114亿元，同比增长8.5%，第三产业实现166亿元，同比增长10.0%；规模以上工业增加值增速10.5%；全社会固定资产投资同比增长11.0%；社会消费品零售总额完成144亿元，增长12.3%；地方一般公共预算收入完成19.4亿元，增长20.5%;城镇居民人均可支配收入37306元，增长8.3%；农村居民人均可支配收入19082元，增长9.2%。全面完成2019年国民经济和社会发展计划任务。</w:t>
      </w:r>
    </w:p>
    <w:p>
      <w:pPr>
        <w:spacing w:line="600" w:lineRule="exact"/>
        <w:ind w:firstLine="645"/>
        <w:rPr>
          <w:rFonts w:ascii="仿宋_GB2312" w:hAnsi="黑体" w:eastAsia="仿宋_GB2312"/>
          <w:sz w:val="32"/>
          <w:szCs w:val="32"/>
        </w:rPr>
      </w:pPr>
      <w:r>
        <w:rPr>
          <w:rFonts w:hint="eastAsia" w:ascii="仿宋_GB2312" w:hAnsi="黑体" w:eastAsia="仿宋_GB2312"/>
          <w:sz w:val="32"/>
          <w:szCs w:val="32"/>
        </w:rPr>
        <w:t>2.加快项目推进建设，持续优化投资结构</w:t>
      </w:r>
    </w:p>
    <w:p>
      <w:pPr>
        <w:spacing w:line="600" w:lineRule="exact"/>
        <w:ind w:firstLine="645"/>
        <w:rPr>
          <w:rFonts w:ascii="仿宋_GB2312" w:eastAsia="仿宋_GB2312"/>
          <w:sz w:val="32"/>
          <w:szCs w:val="32"/>
        </w:rPr>
      </w:pPr>
      <w:r>
        <w:rPr>
          <w:rFonts w:hint="eastAsia" w:ascii="仿宋_GB2312" w:eastAsia="仿宋_GB2312"/>
          <w:sz w:val="32"/>
          <w:szCs w:val="32"/>
        </w:rPr>
        <w:t>一是以“挂图作战”项目为抓手，</w:t>
      </w:r>
      <w:r>
        <w:rPr>
          <w:rFonts w:hint="eastAsia" w:ascii="仿宋_GB2312" w:hAnsi="Calibri" w:eastAsia="仿宋_GB2312"/>
          <w:sz w:val="32"/>
          <w:szCs w:val="32"/>
        </w:rPr>
        <w:t>严格按照“五个一”“六包”“四主”的原则，加强项目推进，每月汇总全市“挂图作战”项目存在问题和进展情况，严格对标落实</w:t>
      </w:r>
      <w:r>
        <w:rPr>
          <w:rFonts w:hint="eastAsia" w:ascii="仿宋_GB2312" w:eastAsia="仿宋_GB2312"/>
          <w:sz w:val="32"/>
          <w:szCs w:val="32"/>
        </w:rPr>
        <w:t>，</w:t>
      </w:r>
      <w:r>
        <w:rPr>
          <w:rFonts w:hint="eastAsia" w:ascii="仿宋_GB2312" w:hAnsi="Calibri" w:eastAsia="仿宋_GB2312"/>
          <w:sz w:val="32"/>
          <w:szCs w:val="32"/>
        </w:rPr>
        <w:t>定期不定期组织项目调研，现场督察促进项目推进，每周收集汇总指挥长协调解决问题情况，通报至各项目指挥长、指挥部办公室。截</w:t>
      </w:r>
      <w:r>
        <w:rPr>
          <w:rFonts w:hint="eastAsia" w:ascii="仿宋_GB2312" w:eastAsia="仿宋_GB2312"/>
          <w:sz w:val="32"/>
          <w:szCs w:val="32"/>
        </w:rPr>
        <w:t>至</w:t>
      </w:r>
      <w:r>
        <w:rPr>
          <w:rFonts w:hint="eastAsia" w:ascii="仿宋_GB2312" w:hAnsi="Calibri" w:eastAsia="仿宋_GB2312"/>
          <w:sz w:val="32"/>
          <w:szCs w:val="32"/>
        </w:rPr>
        <w:t>目前，500万新开工项目115个，竣工项目78，在建项目94个，预计全年完成投资196.6亿元，增长11%</w:t>
      </w:r>
      <w:r>
        <w:rPr>
          <w:rFonts w:hint="eastAsia" w:ascii="仿宋_GB2312" w:eastAsia="仿宋_GB2312"/>
          <w:sz w:val="32"/>
          <w:szCs w:val="32"/>
        </w:rPr>
        <w:t>。</w:t>
      </w:r>
      <w:r>
        <w:rPr>
          <w:rFonts w:hint="eastAsia" w:ascii="仿宋_GB2312" w:hAnsi="Calibri" w:eastAsia="仿宋_GB2312"/>
          <w:sz w:val="32"/>
          <w:szCs w:val="32"/>
        </w:rPr>
        <w:t>列入省、乐山市重点项目25个，总投资453亿元，其中续建项目12个，新开工项目8个，开展前期项目5个，截止目前6个项目竣工，10个项目在建，9个项目开展前期工作，预计全年完成投资66亿元。</w:t>
      </w:r>
    </w:p>
    <w:p>
      <w:pPr>
        <w:spacing w:line="600" w:lineRule="exact"/>
        <w:ind w:firstLine="645"/>
        <w:rPr>
          <w:rFonts w:ascii="仿宋_GB2312" w:hAnsi="仿宋" w:eastAsia="仿宋_GB2312" w:cs="仿宋_GB2312"/>
          <w:bCs/>
          <w:sz w:val="32"/>
          <w:szCs w:val="32"/>
        </w:rPr>
      </w:pPr>
      <w:r>
        <w:rPr>
          <w:rFonts w:hint="eastAsia" w:ascii="仿宋_GB2312" w:hAnsi="仿宋" w:eastAsia="仿宋_GB2312" w:cs="仿宋_GB2312"/>
          <w:bCs/>
          <w:sz w:val="32"/>
          <w:szCs w:val="32"/>
        </w:rPr>
        <w:t>二是深入研究国省政策资金投向，2019年争取到国省预算内无偿资金8866万元。围绕重大基础设施和公用事业补短板领域强化项目策划包装，提前谋划2020年资金争取项目，现已完成20个总投资90亿的国省预算和地方债券项目资料组卷上报工作。完成峨眉山旅游项目债争取工作，目前该项目债已经国家发改委以发改企业债券〔2019〕94号文件批准，债券规模30亿元。</w:t>
      </w:r>
    </w:p>
    <w:p>
      <w:pPr>
        <w:spacing w:line="600" w:lineRule="exact"/>
        <w:ind w:firstLine="645"/>
        <w:rPr>
          <w:rFonts w:ascii="仿宋_GB2312" w:hAnsi="黑体" w:eastAsia="仿宋_GB2312" w:cs="仿宋_GB2312"/>
          <w:bCs/>
          <w:sz w:val="32"/>
          <w:szCs w:val="32"/>
        </w:rPr>
      </w:pPr>
      <w:r>
        <w:rPr>
          <w:rFonts w:hint="eastAsia" w:ascii="仿宋_GB2312" w:hAnsi="黑体" w:eastAsia="仿宋_GB2312" w:cs="仿宋_GB2312"/>
          <w:bCs/>
          <w:sz w:val="32"/>
          <w:szCs w:val="32"/>
        </w:rPr>
        <w:t>3．优化产业结构，加快科技创新</w:t>
      </w:r>
    </w:p>
    <w:p>
      <w:pPr>
        <w:spacing w:line="600" w:lineRule="exact"/>
        <w:ind w:firstLine="645"/>
        <w:rPr>
          <w:rFonts w:ascii="仿宋_GB2312" w:eastAsia="仿宋_GB2312"/>
          <w:bCs/>
          <w:sz w:val="32"/>
          <w:szCs w:val="32"/>
        </w:rPr>
      </w:pPr>
      <w:r>
        <w:rPr>
          <w:rFonts w:hint="eastAsia" w:ascii="仿宋_GB2312" w:eastAsia="仿宋_GB2312"/>
          <w:bCs/>
          <w:sz w:val="32"/>
          <w:szCs w:val="32"/>
        </w:rPr>
        <w:t>深化供给侧结构性改革，淘汰落后产能，培育新兴产业，加快工业企业转型升级，全市新增规上企业6户，规上工业产值产值达375亿元，规模以上工业增加值增速10.5%。万元GDP能耗下降7.7%，万元工业增加值能耗下降8%，水耗下降8%。2019年清净工业产值达257亿元，同比增长17%，清净工业对增长贡献率达64.65%，轻重工业比为68：32。大力培育高新技术企业、科技型中小企业,发展高新技术产业。5户企业通过国家高企认定，17家通过国家科技型中小企业评价。</w:t>
      </w:r>
    </w:p>
    <w:p>
      <w:pPr>
        <w:spacing w:line="600" w:lineRule="exact"/>
        <w:ind w:firstLine="645"/>
        <w:rPr>
          <w:rFonts w:ascii="仿宋_GB2312" w:hAnsi="黑体" w:eastAsia="仿宋_GB2312"/>
          <w:bCs/>
          <w:sz w:val="32"/>
          <w:szCs w:val="32"/>
        </w:rPr>
      </w:pPr>
      <w:r>
        <w:rPr>
          <w:rFonts w:hint="eastAsia" w:ascii="仿宋_GB2312" w:hAnsi="黑体" w:eastAsia="仿宋_GB2312"/>
          <w:bCs/>
          <w:sz w:val="32"/>
          <w:szCs w:val="32"/>
        </w:rPr>
        <w:t>4.防风险、保稳定，扎实做好民生工作</w:t>
      </w:r>
    </w:p>
    <w:p>
      <w:pPr>
        <w:spacing w:line="600" w:lineRule="exact"/>
        <w:ind w:firstLine="645"/>
        <w:rPr>
          <w:rFonts w:ascii="仿宋_GB2312" w:eastAsia="仿宋_GB2312"/>
          <w:bCs/>
          <w:sz w:val="32"/>
          <w:szCs w:val="32"/>
        </w:rPr>
      </w:pPr>
      <w:r>
        <w:rPr>
          <w:rFonts w:hint="eastAsia" w:ascii="仿宋_GB2312" w:eastAsia="仿宋_GB2312"/>
          <w:bCs/>
          <w:sz w:val="32"/>
          <w:szCs w:val="32"/>
        </w:rPr>
        <w:t>一是</w:t>
      </w:r>
      <w:r>
        <w:rPr>
          <w:rFonts w:hint="eastAsia" w:ascii="仿宋_GB2312" w:hAnsi="Calibri" w:eastAsia="仿宋_GB2312"/>
          <w:bCs/>
          <w:sz w:val="32"/>
          <w:szCs w:val="32"/>
        </w:rPr>
        <w:t>圆满完成了我市电力价格调查、天然气安装成本调查、非居用气成本调查、殡葬服务价格调查等工作</w:t>
      </w:r>
      <w:r>
        <w:rPr>
          <w:rFonts w:hint="eastAsia" w:ascii="仿宋_GB2312" w:eastAsia="仿宋_GB2312"/>
          <w:bCs/>
          <w:sz w:val="32"/>
          <w:szCs w:val="32"/>
        </w:rPr>
        <w:t>，</w:t>
      </w:r>
      <w:r>
        <w:rPr>
          <w:rFonts w:hint="eastAsia" w:ascii="仿宋_GB2312" w:hAnsi="Calibri" w:eastAsia="仿宋_GB2312"/>
          <w:bCs/>
          <w:sz w:val="32"/>
          <w:szCs w:val="32"/>
        </w:rPr>
        <w:t>完成农业水价改革、污水处理费调整、输配气和殡葬服务成本监审工作</w:t>
      </w:r>
      <w:r>
        <w:rPr>
          <w:rFonts w:hint="eastAsia" w:ascii="仿宋_GB2312" w:eastAsia="仿宋_GB2312"/>
          <w:bCs/>
          <w:sz w:val="32"/>
          <w:szCs w:val="32"/>
        </w:rPr>
        <w:t>；</w:t>
      </w:r>
      <w:r>
        <w:rPr>
          <w:rFonts w:hint="eastAsia" w:ascii="仿宋_GB2312" w:hAnsi="Calibri" w:eastAsia="仿宋_GB2312"/>
          <w:bCs/>
          <w:sz w:val="32"/>
          <w:szCs w:val="32"/>
        </w:rPr>
        <w:t>全面兑现了2019年1月、3月、4月、5月、6月、7月、8月价格临时补贴</w:t>
      </w:r>
      <w:r>
        <w:rPr>
          <w:rFonts w:hint="eastAsia" w:ascii="仿宋_GB2312" w:eastAsia="仿宋_GB2312"/>
          <w:bCs/>
          <w:sz w:val="32"/>
          <w:szCs w:val="32"/>
        </w:rPr>
        <w:t>。</w:t>
      </w:r>
    </w:p>
    <w:p>
      <w:pPr>
        <w:spacing w:line="600" w:lineRule="exact"/>
        <w:ind w:firstLine="645"/>
        <w:rPr>
          <w:rFonts w:ascii="仿宋_GB2312" w:eastAsia="仿宋_GB2312"/>
          <w:bCs/>
          <w:sz w:val="32"/>
          <w:szCs w:val="32"/>
        </w:rPr>
      </w:pPr>
      <w:r>
        <w:rPr>
          <w:rFonts w:hint="eastAsia" w:ascii="仿宋_GB2312" w:eastAsia="仿宋_GB2312"/>
          <w:bCs/>
          <w:sz w:val="32"/>
          <w:szCs w:val="32"/>
        </w:rPr>
        <w:t>二是积极应对非洲猪瘟疫情。强化价格市场，特别是肉类市场的价格监测，按时向上报告市场价格情况，</w:t>
      </w:r>
      <w:r>
        <w:rPr>
          <w:rFonts w:hint="eastAsia" w:ascii="仿宋_GB2312" w:hAnsi="Calibri" w:eastAsia="仿宋_GB2312"/>
          <w:bCs/>
          <w:sz w:val="32"/>
          <w:szCs w:val="32"/>
        </w:rPr>
        <w:t>多次组织各相关部门研究应对非洲猪瘟疫情的峨眉方案，向市政府报告相关情况，为领导决策提供了依据。</w:t>
      </w:r>
    </w:p>
    <w:p>
      <w:pPr>
        <w:spacing w:line="600" w:lineRule="exact"/>
        <w:ind w:firstLine="645"/>
        <w:rPr>
          <w:rFonts w:ascii="仿宋_GB2312" w:eastAsia="仿宋_GB2312"/>
          <w:bCs/>
          <w:sz w:val="32"/>
          <w:szCs w:val="32"/>
        </w:rPr>
      </w:pPr>
      <w:r>
        <w:rPr>
          <w:rFonts w:hint="eastAsia" w:ascii="仿宋_GB2312" w:eastAsia="仿宋_GB2312"/>
          <w:bCs/>
          <w:sz w:val="32"/>
          <w:szCs w:val="32"/>
        </w:rPr>
        <w:t>三是主动</w:t>
      </w:r>
      <w:r>
        <w:rPr>
          <w:rFonts w:hint="eastAsia" w:ascii="仿宋_GB2312" w:hAnsi="Calibri" w:eastAsia="仿宋_GB2312"/>
          <w:bCs/>
          <w:sz w:val="32"/>
          <w:szCs w:val="32"/>
        </w:rPr>
        <w:t>了解和掌握破产改制企业职工的信访动向，提前制定预案，妥善解决和化解矛盾纠纷。按照《信访条例》规定，及时处理峨半公司职工信访事项</w:t>
      </w:r>
      <w:r>
        <w:rPr>
          <w:rFonts w:hint="eastAsia" w:ascii="仿宋_GB2312" w:eastAsia="仿宋_GB2312"/>
          <w:bCs/>
          <w:sz w:val="32"/>
          <w:szCs w:val="32"/>
        </w:rPr>
        <w:t>；持续</w:t>
      </w:r>
      <w:r>
        <w:rPr>
          <w:rFonts w:hint="eastAsia" w:ascii="仿宋_GB2312" w:hAnsi="Calibri" w:eastAsia="仿宋_GB2312"/>
          <w:bCs/>
          <w:sz w:val="32"/>
          <w:szCs w:val="32"/>
        </w:rPr>
        <w:t>深化安全生产大排查大整治的专项工作。通过</w:t>
      </w:r>
      <w:r>
        <w:rPr>
          <w:rFonts w:hint="eastAsia" w:ascii="仿宋_GB2312" w:eastAsia="仿宋_GB2312"/>
          <w:bCs/>
          <w:sz w:val="32"/>
          <w:szCs w:val="32"/>
        </w:rPr>
        <w:t>安全检查</w:t>
      </w:r>
      <w:r>
        <w:rPr>
          <w:rFonts w:hint="eastAsia" w:ascii="仿宋_GB2312" w:hAnsi="Calibri" w:eastAsia="仿宋_GB2312"/>
          <w:bCs/>
          <w:sz w:val="32"/>
          <w:szCs w:val="32"/>
        </w:rPr>
        <w:t>，发现安全隐患18处，已经整改完成17处，整改完成率为94%。</w:t>
      </w:r>
    </w:p>
    <w:p>
      <w:pPr>
        <w:spacing w:line="600" w:lineRule="exact"/>
        <w:ind w:firstLine="645"/>
        <w:rPr>
          <w:rFonts w:ascii="仿宋_GB2312" w:hAnsi="黑体" w:eastAsia="仿宋_GB2312"/>
          <w:bCs/>
          <w:sz w:val="32"/>
          <w:szCs w:val="32"/>
        </w:rPr>
      </w:pPr>
      <w:r>
        <w:rPr>
          <w:rFonts w:hint="eastAsia" w:ascii="仿宋_GB2312" w:hAnsi="黑体" w:eastAsia="仿宋_GB2312"/>
          <w:bCs/>
          <w:sz w:val="32"/>
          <w:szCs w:val="32"/>
        </w:rPr>
        <w:t>5.坚持以党的政治建设为统领，纵深推进全面从严治党</w:t>
      </w:r>
    </w:p>
    <w:p>
      <w:pPr>
        <w:spacing w:line="600" w:lineRule="exact"/>
        <w:ind w:firstLine="645"/>
        <w:rPr>
          <w:rFonts w:ascii="仿宋_GB2312" w:hAnsi="Calibri" w:eastAsia="仿宋_GB2312"/>
          <w:bCs/>
          <w:sz w:val="32"/>
          <w:szCs w:val="32"/>
        </w:rPr>
      </w:pPr>
      <w:r>
        <w:rPr>
          <w:rFonts w:hint="eastAsia" w:ascii="仿宋_GB2312" w:hAnsi="Calibri" w:eastAsia="仿宋_GB2312"/>
          <w:bCs/>
          <w:sz w:val="32"/>
          <w:szCs w:val="32"/>
        </w:rPr>
        <w:t xml:space="preserve">一是加强党的思想建设。把党的思想建设摆在重要位置，深入学习习近平新时代中国特色社会主义思想、党的十九大精神和习近平总书记对四川工作系列重要指示精神。    </w:t>
      </w:r>
    </w:p>
    <w:p>
      <w:pPr>
        <w:spacing w:line="600" w:lineRule="exact"/>
        <w:ind w:firstLine="645"/>
        <w:rPr>
          <w:rFonts w:ascii="仿宋_GB2312" w:hAnsi="Calibri" w:eastAsia="仿宋_GB2312"/>
          <w:bCs/>
          <w:sz w:val="32"/>
          <w:szCs w:val="32"/>
        </w:rPr>
      </w:pPr>
      <w:r>
        <w:rPr>
          <w:rFonts w:hint="eastAsia" w:ascii="仿宋_GB2312" w:hAnsi="Calibri" w:eastAsia="仿宋_GB2312"/>
          <w:bCs/>
          <w:sz w:val="32"/>
          <w:szCs w:val="32"/>
        </w:rPr>
        <w:t>二是抓好党风廉政建设责任落实。通过党组中心组理论学习会、局领导班子工作会议等形式，对党风廉政建设和作风建设等方面进行专题学习、加强</w:t>
      </w:r>
      <w:bookmarkStart w:id="76" w:name="_GoBack"/>
      <w:bookmarkEnd w:id="76"/>
      <w:r>
        <w:rPr>
          <w:rFonts w:hint="eastAsia" w:ascii="仿宋_GB2312" w:hAnsi="Calibri" w:eastAsia="仿宋_GB2312"/>
          <w:bCs/>
          <w:sz w:val="32"/>
          <w:szCs w:val="32"/>
        </w:rPr>
        <w:t>研究、落实责任、强化监督。</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hAnsi="Calibri"/>
          <w:bCs/>
          <w:sz w:val="32"/>
          <w:szCs w:val="32"/>
        </w:rPr>
        <w:t>三是加强</w:t>
      </w:r>
      <w:r>
        <w:rPr>
          <w:rFonts w:hint="eastAsia"/>
          <w:bCs/>
          <w:sz w:val="32"/>
          <w:szCs w:val="32"/>
        </w:rPr>
        <w:t>党员的管理教育。以“不忘初心、牢记使命”主题教育为契机，局党组带头，在全局范围内扎实开展革命传统教育、形势政策教育、正面典型教育、廉洁警示教育，夯实干部作风。</w:t>
      </w:r>
    </w:p>
    <w:p>
      <w:pPr>
        <w:pStyle w:val="3"/>
        <w:spacing w:line="600" w:lineRule="exact"/>
        <w:rPr>
          <w:rStyle w:val="26"/>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0"/>
      <w:bookmarkEnd w:id="21"/>
    </w:p>
    <w:p>
      <w:pPr>
        <w:spacing w:line="600" w:lineRule="exact"/>
        <w:ind w:firstLine="800" w:firstLineChars="250"/>
        <w:rPr>
          <w:rFonts w:ascii="仿宋" w:hAnsi="仿宋" w:eastAsia="仿宋"/>
          <w:sz w:val="32"/>
          <w:szCs w:val="32"/>
        </w:rPr>
      </w:pPr>
      <w:r>
        <w:rPr>
          <w:rFonts w:hint="eastAsia" w:ascii="仿宋" w:hAnsi="仿宋" w:eastAsia="仿宋"/>
          <w:sz w:val="32"/>
          <w:szCs w:val="32"/>
        </w:rPr>
        <w:t>峨眉山市发展与改革局下属二级单位2个，其中行政单位</w:t>
      </w:r>
      <w:r>
        <w:rPr>
          <w:rFonts w:ascii="仿宋" w:hAnsi="仿宋" w:eastAsia="仿宋"/>
          <w:sz w:val="32"/>
          <w:szCs w:val="32"/>
        </w:rPr>
        <w:t>0</w:t>
      </w:r>
      <w:r>
        <w:rPr>
          <w:rFonts w:hint="eastAsia" w:ascii="仿宋" w:hAnsi="仿宋" w:eastAsia="仿宋"/>
          <w:sz w:val="32"/>
          <w:szCs w:val="32"/>
        </w:rPr>
        <w:t>个，参照公务员法管理的事业单位</w:t>
      </w:r>
      <w:r>
        <w:rPr>
          <w:rFonts w:ascii="仿宋" w:hAnsi="仿宋" w:eastAsia="仿宋"/>
          <w:bCs/>
          <w:sz w:val="32"/>
          <w:szCs w:val="32"/>
        </w:rPr>
        <w:t>0</w:t>
      </w:r>
      <w:r>
        <w:rPr>
          <w:rFonts w:hint="eastAsia" w:ascii="仿宋" w:hAnsi="仿宋" w:eastAsia="仿宋"/>
          <w:sz w:val="32"/>
          <w:szCs w:val="32"/>
        </w:rPr>
        <w:t>个，其他事业单位2个。</w:t>
      </w:r>
    </w:p>
    <w:p>
      <w:pPr>
        <w:pStyle w:val="5"/>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纳入2019年度部门决算编制范围的二级预算单位包括：</w:t>
      </w:r>
    </w:p>
    <w:p>
      <w:pPr>
        <w:pStyle w:val="5"/>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1</w:t>
      </w:r>
      <w:r>
        <w:rPr>
          <w:rFonts w:ascii="仿宋" w:hAnsi="仿宋" w:eastAsia="仿宋"/>
          <w:color w:val="000000"/>
          <w:sz w:val="32"/>
          <w:szCs w:val="32"/>
        </w:rPr>
        <w:t>.</w:t>
      </w:r>
      <w:r>
        <w:rPr>
          <w:rFonts w:hint="eastAsia" w:ascii="仿宋" w:hAnsi="仿宋" w:eastAsia="仿宋"/>
          <w:color w:val="000000"/>
          <w:sz w:val="32"/>
          <w:szCs w:val="32"/>
        </w:rPr>
        <w:t>无</w:t>
      </w:r>
      <w:r>
        <w:rPr>
          <w:rFonts w:ascii="仿宋" w:hAnsi="仿宋" w:eastAsia="仿宋"/>
          <w:color w:val="000000"/>
          <w:sz w:val="32"/>
          <w:szCs w:val="32"/>
        </w:rPr>
        <w:br w:type="page"/>
      </w:r>
    </w:p>
    <w:p>
      <w:pPr>
        <w:pStyle w:val="2"/>
        <w:spacing w:line="600" w:lineRule="exact"/>
        <w:ind w:right="440"/>
        <w:jc w:val="right"/>
        <w:rPr>
          <w:rStyle w:val="25"/>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2019年度部门决算情况说明</w:t>
      </w:r>
      <w:bookmarkEnd w:id="22"/>
      <w:bookmarkEnd w:id="23"/>
    </w:p>
    <w:p>
      <w:pPr>
        <w:spacing w:line="600" w:lineRule="exact"/>
      </w:pPr>
    </w:p>
    <w:p>
      <w:pPr>
        <w:pStyle w:val="24"/>
        <w:numPr>
          <w:ilvl w:val="0"/>
          <w:numId w:val="1"/>
        </w:numPr>
        <w:spacing w:line="600" w:lineRule="exact"/>
        <w:ind w:firstLineChars="0"/>
        <w:outlineLvl w:val="1"/>
        <w:rPr>
          <w:rStyle w:val="26"/>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2019年度收入总计</w:t>
      </w:r>
      <w:r>
        <w:rPr>
          <w:rFonts w:ascii="仿宋" w:hAnsi="仿宋" w:eastAsia="仿宋"/>
          <w:color w:val="000000"/>
          <w:sz w:val="32"/>
          <w:szCs w:val="32"/>
        </w:rPr>
        <w:t>1740.31</w:t>
      </w:r>
      <w:r>
        <w:rPr>
          <w:rFonts w:hint="eastAsia" w:ascii="仿宋" w:hAnsi="仿宋" w:eastAsia="仿宋"/>
          <w:color w:val="000000"/>
          <w:sz w:val="32"/>
          <w:szCs w:val="32"/>
        </w:rPr>
        <w:t>万元，与2018年相比，收入总计减少</w:t>
      </w:r>
      <w:r>
        <w:rPr>
          <w:rFonts w:ascii="仿宋" w:hAnsi="仿宋" w:eastAsia="仿宋"/>
          <w:color w:val="000000"/>
          <w:sz w:val="32"/>
          <w:szCs w:val="32"/>
        </w:rPr>
        <w:t>213.96</w:t>
      </w:r>
      <w:r>
        <w:rPr>
          <w:rFonts w:hint="eastAsia" w:ascii="仿宋" w:hAnsi="仿宋" w:eastAsia="仿宋"/>
          <w:color w:val="000000"/>
          <w:sz w:val="32"/>
          <w:szCs w:val="32"/>
        </w:rPr>
        <w:t>万元，下降</w:t>
      </w:r>
      <w:r>
        <w:rPr>
          <w:rFonts w:ascii="仿宋" w:hAnsi="仿宋" w:eastAsia="仿宋"/>
          <w:color w:val="000000"/>
          <w:sz w:val="32"/>
          <w:szCs w:val="32"/>
        </w:rPr>
        <w:t>10.94%</w:t>
      </w:r>
      <w:r>
        <w:rPr>
          <w:rFonts w:hint="eastAsia" w:ascii="仿宋" w:hAnsi="仿宋" w:eastAsia="仿宋"/>
          <w:color w:val="000000"/>
          <w:sz w:val="32"/>
          <w:szCs w:val="32"/>
        </w:rPr>
        <w:t>，2019年度支出总计</w:t>
      </w:r>
      <w:r>
        <w:rPr>
          <w:rFonts w:ascii="仿宋" w:hAnsi="仿宋" w:eastAsia="仿宋"/>
          <w:color w:val="000000"/>
          <w:sz w:val="32"/>
          <w:szCs w:val="32"/>
        </w:rPr>
        <w:t>1957.11</w:t>
      </w:r>
      <w:r>
        <w:rPr>
          <w:rFonts w:hint="eastAsia" w:ascii="仿宋" w:hAnsi="仿宋" w:eastAsia="仿宋"/>
          <w:color w:val="000000"/>
          <w:sz w:val="32"/>
          <w:szCs w:val="32"/>
        </w:rPr>
        <w:t>万元，与2018年相比，支出总计减少</w:t>
      </w:r>
      <w:r>
        <w:rPr>
          <w:rFonts w:ascii="仿宋" w:hAnsi="仿宋" w:eastAsia="仿宋"/>
          <w:color w:val="000000"/>
          <w:sz w:val="32"/>
          <w:szCs w:val="32"/>
        </w:rPr>
        <w:t>26.56</w:t>
      </w:r>
      <w:r>
        <w:rPr>
          <w:rFonts w:hint="eastAsia" w:ascii="仿宋" w:hAnsi="仿宋" w:eastAsia="仿宋"/>
          <w:color w:val="000000"/>
          <w:sz w:val="32"/>
          <w:szCs w:val="32"/>
        </w:rPr>
        <w:t>万元，下降1</w:t>
      </w:r>
      <w:r>
        <w:rPr>
          <w:rFonts w:ascii="仿宋" w:hAnsi="仿宋" w:eastAsia="仿宋"/>
          <w:color w:val="000000"/>
          <w:sz w:val="32"/>
          <w:szCs w:val="32"/>
        </w:rPr>
        <w:t>.34%</w:t>
      </w:r>
      <w:r>
        <w:rPr>
          <w:rFonts w:hint="eastAsia" w:ascii="仿宋" w:hAnsi="仿宋" w:eastAsia="仿宋"/>
          <w:color w:val="000000"/>
          <w:sz w:val="32"/>
          <w:szCs w:val="32"/>
        </w:rPr>
        <w:t>，主要变动原因是严格执行预算控制。</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-47625</wp:posOffset>
            </wp:positionH>
            <wp:positionV relativeFrom="paragraph">
              <wp:posOffset>439420</wp:posOffset>
            </wp:positionV>
            <wp:extent cx="5274310" cy="3076575"/>
            <wp:effectExtent l="0" t="0" r="0" b="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p>
    <w:p>
      <w:pPr>
        <w:spacing w:line="600" w:lineRule="exact"/>
        <w:ind w:firstLine="640" w:firstLineChars="200"/>
        <w:jc w:val="left"/>
        <w:rPr>
          <w:rFonts w:ascii="仿宋_GB2312" w:eastAsia="仿宋_GB2312"/>
          <w:color w:val="000000"/>
          <w:sz w:val="32"/>
          <w:szCs w:val="32"/>
        </w:rPr>
      </w:pPr>
    </w:p>
    <w:p>
      <w:pPr>
        <w:pStyle w:val="24"/>
        <w:numPr>
          <w:ilvl w:val="0"/>
          <w:numId w:val="1"/>
        </w:numPr>
        <w:spacing w:line="600" w:lineRule="exact"/>
        <w:ind w:firstLineChars="0"/>
        <w:outlineLvl w:val="1"/>
        <w:rPr>
          <w:rStyle w:val="26"/>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6"/>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ascii="仿宋" w:hAnsi="仿宋" w:eastAsia="仿宋"/>
          <w:color w:val="000000"/>
          <w:sz w:val="32"/>
          <w:szCs w:val="32"/>
        </w:rPr>
        <w:t>1740.31</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1455.51</w:t>
      </w:r>
      <w:r>
        <w:rPr>
          <w:rFonts w:hint="eastAsia" w:ascii="仿宋" w:hAnsi="仿宋" w:eastAsia="仿宋"/>
          <w:color w:val="000000"/>
          <w:sz w:val="32"/>
          <w:szCs w:val="32"/>
        </w:rPr>
        <w:t>万元，占</w:t>
      </w:r>
      <w:r>
        <w:rPr>
          <w:rFonts w:ascii="仿宋" w:hAnsi="仿宋" w:eastAsia="仿宋"/>
          <w:color w:val="000000"/>
          <w:sz w:val="32"/>
          <w:szCs w:val="32"/>
        </w:rPr>
        <w:t>83.64%</w:t>
      </w:r>
      <w:r>
        <w:rPr>
          <w:rFonts w:hint="eastAsia" w:ascii="仿宋" w:hAnsi="仿宋" w:eastAsia="仿宋"/>
          <w:color w:val="000000"/>
          <w:sz w:val="32"/>
          <w:szCs w:val="32"/>
        </w:rPr>
        <w:t>；政府性基金预算财政拨款收入</w:t>
      </w:r>
      <w:r>
        <w:rPr>
          <w:rFonts w:ascii="仿宋" w:hAnsi="仿宋" w:eastAsia="仿宋"/>
          <w:color w:val="000000"/>
          <w:sz w:val="32"/>
          <w:szCs w:val="32"/>
        </w:rPr>
        <w:t>284.80</w:t>
      </w:r>
      <w:r>
        <w:rPr>
          <w:rFonts w:hint="eastAsia" w:ascii="仿宋" w:hAnsi="仿宋" w:eastAsia="仿宋"/>
          <w:color w:val="000000"/>
          <w:sz w:val="32"/>
          <w:szCs w:val="32"/>
        </w:rPr>
        <w:t>万元，占</w:t>
      </w:r>
      <w:r>
        <w:rPr>
          <w:rFonts w:ascii="仿宋" w:hAnsi="仿宋" w:eastAsia="仿宋"/>
          <w:color w:val="000000"/>
          <w:sz w:val="32"/>
          <w:szCs w:val="32"/>
        </w:rPr>
        <w:t>16.36%</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；事业收入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；附属单位上缴收入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；其他收入</w:t>
      </w:r>
      <w:r>
        <w:rPr>
          <w:rFonts w:ascii="仿宋" w:hAnsi="仿宋" w:eastAsia="仿宋"/>
          <w:color w:val="000000"/>
          <w:sz w:val="32"/>
          <w:szCs w:val="32"/>
        </w:rPr>
        <w:t>2.23</w:t>
      </w:r>
      <w:r>
        <w:rPr>
          <w:rFonts w:hint="eastAsia" w:ascii="仿宋" w:hAnsi="仿宋" w:eastAsia="仿宋"/>
          <w:color w:val="000000"/>
          <w:sz w:val="32"/>
          <w:szCs w:val="32"/>
        </w:rPr>
        <w:t>万元，占</w:t>
      </w:r>
      <w:r>
        <w:rPr>
          <w:rFonts w:ascii="仿宋" w:hAnsi="仿宋" w:eastAsia="仿宋"/>
          <w:color w:val="000000"/>
          <w:sz w:val="32"/>
          <w:szCs w:val="32"/>
        </w:rPr>
        <w:t>0.09%</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_GB2312" w:eastAsia="仿宋_GB2312"/>
          <w:color w:val="FF0000"/>
          <w:sz w:val="32"/>
          <w:szCs w:val="32"/>
        </w:rPr>
        <w:drawing>
          <wp:anchor distT="0" distB="0" distL="114300" distR="114300" simplePos="0" relativeHeight="251660288" behindDoc="1" locked="0" layoutInCell="1" allowOverlap="1">
            <wp:simplePos x="0" y="0"/>
            <wp:positionH relativeFrom="column">
              <wp:posOffset>-104775</wp:posOffset>
            </wp:positionH>
            <wp:positionV relativeFrom="paragraph">
              <wp:posOffset>447675</wp:posOffset>
            </wp:positionV>
            <wp:extent cx="5512435" cy="3381375"/>
            <wp:effectExtent l="0" t="0" r="0" b="0"/>
            <wp:wrapTight wrapText="bothSides">
              <wp:wrapPolygon>
                <wp:start x="0" y="0"/>
                <wp:lineTo x="0" y="21539"/>
                <wp:lineTo x="21573" y="21539"/>
                <wp:lineTo x="21573" y="0"/>
                <wp:lineTo x="0" y="0"/>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olor w:val="000000" w:themeColor="text1"/>
          <w:sz w:val="32"/>
          <w:szCs w:val="32"/>
          <w14:textFill>
            <w14:solidFill>
              <w14:schemeClr w14:val="tx1"/>
            </w14:solidFill>
          </w14:textFill>
        </w:rPr>
        <w:t>（图2：收入决算结构图）（饼状图）</w:t>
      </w:r>
    </w:p>
    <w:p>
      <w:pPr>
        <w:pStyle w:val="24"/>
        <w:numPr>
          <w:ilvl w:val="0"/>
          <w:numId w:val="1"/>
        </w:numPr>
        <w:spacing w:line="600" w:lineRule="exact"/>
        <w:ind w:firstLineChars="0"/>
        <w:outlineLvl w:val="1"/>
        <w:rPr>
          <w:rStyle w:val="26"/>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6"/>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ascii="仿宋" w:hAnsi="仿宋" w:eastAsia="仿宋"/>
          <w:color w:val="000000"/>
          <w:sz w:val="32"/>
          <w:szCs w:val="32"/>
        </w:rPr>
        <w:t>1957.12</w:t>
      </w:r>
      <w:r>
        <w:rPr>
          <w:rFonts w:hint="eastAsia" w:ascii="仿宋" w:hAnsi="仿宋" w:eastAsia="仿宋"/>
          <w:color w:val="000000"/>
          <w:sz w:val="32"/>
          <w:szCs w:val="32"/>
        </w:rPr>
        <w:t>万元，其中：基本支出</w:t>
      </w:r>
      <w:r>
        <w:rPr>
          <w:rFonts w:ascii="仿宋" w:hAnsi="仿宋" w:eastAsia="仿宋"/>
          <w:color w:val="000000"/>
          <w:sz w:val="32"/>
          <w:szCs w:val="32"/>
        </w:rPr>
        <w:t>602.24</w:t>
      </w:r>
      <w:r>
        <w:rPr>
          <w:rFonts w:hint="eastAsia" w:ascii="仿宋" w:hAnsi="仿宋" w:eastAsia="仿宋"/>
          <w:color w:val="000000"/>
          <w:sz w:val="32"/>
          <w:szCs w:val="32"/>
        </w:rPr>
        <w:t>万元，占</w:t>
      </w:r>
      <w:r>
        <w:rPr>
          <w:rFonts w:ascii="仿宋" w:hAnsi="仿宋" w:eastAsia="仿宋"/>
          <w:color w:val="000000"/>
          <w:sz w:val="32"/>
          <w:szCs w:val="32"/>
        </w:rPr>
        <w:t>30.77%</w:t>
      </w:r>
      <w:r>
        <w:rPr>
          <w:rFonts w:hint="eastAsia" w:ascii="仿宋" w:hAnsi="仿宋" w:eastAsia="仿宋"/>
          <w:color w:val="000000"/>
          <w:sz w:val="32"/>
          <w:szCs w:val="32"/>
        </w:rPr>
        <w:t>；项目支出</w:t>
      </w:r>
      <w:r>
        <w:rPr>
          <w:rFonts w:ascii="仿宋" w:hAnsi="仿宋" w:eastAsia="仿宋"/>
          <w:color w:val="000000"/>
          <w:sz w:val="32"/>
          <w:szCs w:val="32"/>
        </w:rPr>
        <w:t>1354.88</w:t>
      </w:r>
      <w:r>
        <w:rPr>
          <w:rFonts w:hint="eastAsia" w:ascii="仿宋" w:hAnsi="仿宋" w:eastAsia="仿宋"/>
          <w:color w:val="000000"/>
          <w:sz w:val="32"/>
          <w:szCs w:val="32"/>
        </w:rPr>
        <w:t>万元，占</w:t>
      </w:r>
      <w:r>
        <w:rPr>
          <w:rFonts w:ascii="仿宋" w:hAnsi="仿宋" w:eastAsia="仿宋"/>
          <w:color w:val="000000"/>
          <w:sz w:val="32"/>
          <w:szCs w:val="32"/>
        </w:rPr>
        <w:t>69.23%</w:t>
      </w:r>
      <w:r>
        <w:rPr>
          <w:rFonts w:hint="eastAsia" w:ascii="仿宋" w:hAnsi="仿宋" w:eastAsia="仿宋"/>
          <w:color w:val="000000"/>
          <w:sz w:val="32"/>
          <w:szCs w:val="32"/>
        </w:rPr>
        <w:t>；上缴上级支出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；对附属单位补助支出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_GB2312" w:eastAsia="仿宋_GB2312"/>
          <w:color w:val="FF0000"/>
          <w:sz w:val="32"/>
          <w:szCs w:val="32"/>
        </w:rPr>
        <w:drawing>
          <wp:anchor distT="0" distB="0" distL="114300" distR="114300" simplePos="0" relativeHeight="251662336" behindDoc="1" locked="0" layoutInCell="1" allowOverlap="1">
            <wp:simplePos x="0" y="0"/>
            <wp:positionH relativeFrom="column">
              <wp:posOffset>209550</wp:posOffset>
            </wp:positionH>
            <wp:positionV relativeFrom="paragraph">
              <wp:posOffset>471805</wp:posOffset>
            </wp:positionV>
            <wp:extent cx="5274310" cy="3076575"/>
            <wp:effectExtent l="0" t="0" r="0" b="0"/>
            <wp:wrapTight wrapText="bothSides">
              <wp:wrapPolygon>
                <wp:start x="0" y="0"/>
                <wp:lineTo x="0" y="21533"/>
                <wp:lineTo x="21532" y="21533"/>
                <wp:lineTo x="21532" y="0"/>
                <wp:lineTo x="0" y="0"/>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olor w:val="000000" w:themeColor="text1"/>
          <w:sz w:val="32"/>
          <w:szCs w:val="32"/>
          <w14:textFill>
            <w14:solidFill>
              <w14:schemeClr w14:val="tx1"/>
            </w14:solidFill>
          </w14:textFill>
        </w:rPr>
        <w:t>（图3：支出决算结构图）（饼状图）</w:t>
      </w:r>
    </w:p>
    <w:p>
      <w:pPr>
        <w:spacing w:line="600" w:lineRule="exact"/>
        <w:ind w:firstLine="640" w:firstLineChars="200"/>
        <w:outlineLvl w:val="1"/>
        <w:rPr>
          <w:rStyle w:val="26"/>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9年财政拨款收入总计</w:t>
      </w:r>
      <w:r>
        <w:rPr>
          <w:rFonts w:ascii="仿宋" w:hAnsi="仿宋" w:eastAsia="仿宋"/>
          <w:color w:val="000000"/>
          <w:sz w:val="32"/>
          <w:szCs w:val="32"/>
        </w:rPr>
        <w:t>1740.31</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8年相比，财政拨款收入总计减</w:t>
      </w:r>
      <w:r>
        <w:rPr>
          <w:rFonts w:hint="eastAsia" w:ascii="仿宋" w:hAnsi="仿宋" w:eastAsia="仿宋"/>
          <w:color w:val="000000" w:themeColor="text1"/>
          <w:sz w:val="32"/>
          <w:szCs w:val="32"/>
          <w14:textFill>
            <w14:solidFill>
              <w14:schemeClr w14:val="tx1"/>
            </w14:solidFill>
          </w14:textFill>
        </w:rPr>
        <w:t>少</w:t>
      </w:r>
      <w:r>
        <w:rPr>
          <w:rFonts w:ascii="仿宋" w:hAnsi="仿宋" w:eastAsia="仿宋"/>
          <w:color w:val="000000"/>
          <w:sz w:val="32"/>
          <w:szCs w:val="32"/>
        </w:rPr>
        <w:t>269.50</w:t>
      </w:r>
      <w:r>
        <w:rPr>
          <w:rFonts w:hint="eastAsia" w:ascii="仿宋" w:hAnsi="仿宋" w:eastAsia="仿宋"/>
          <w:color w:val="000000"/>
          <w:sz w:val="32"/>
          <w:szCs w:val="32"/>
        </w:rPr>
        <w:t>万元，</w:t>
      </w:r>
      <w:r>
        <w:rPr>
          <w:rFonts w:ascii="仿宋" w:hAnsi="仿宋" w:eastAsia="仿宋"/>
          <w:color w:val="000000"/>
          <w:sz w:val="32"/>
          <w:szCs w:val="32"/>
        </w:rPr>
        <w:t xml:space="preserve"> </w:t>
      </w:r>
      <w:r>
        <w:rPr>
          <w:rFonts w:hint="eastAsia" w:ascii="仿宋" w:hAnsi="仿宋" w:eastAsia="仿宋"/>
          <w:color w:val="000000"/>
          <w:sz w:val="32"/>
          <w:szCs w:val="32"/>
        </w:rPr>
        <w:t>下降1</w:t>
      </w:r>
      <w:r>
        <w:rPr>
          <w:rFonts w:ascii="仿宋" w:hAnsi="仿宋" w:eastAsia="仿宋"/>
          <w:color w:val="000000"/>
          <w:sz w:val="32"/>
          <w:szCs w:val="32"/>
        </w:rPr>
        <w:t>3.41%</w:t>
      </w:r>
      <w:r>
        <w:rPr>
          <w:rFonts w:hint="eastAsia" w:ascii="仿宋" w:hAnsi="仿宋" w:eastAsia="仿宋"/>
          <w:color w:val="000000"/>
          <w:sz w:val="32"/>
          <w:szCs w:val="32"/>
        </w:rPr>
        <w:t>。</w:t>
      </w:r>
      <w:r>
        <w:rPr>
          <w:rFonts w:ascii="仿宋" w:hAnsi="仿宋" w:eastAsia="仿宋"/>
          <w:color w:val="000000"/>
          <w:sz w:val="32"/>
          <w:szCs w:val="32"/>
        </w:rPr>
        <w:t>201</w:t>
      </w:r>
      <w:r>
        <w:rPr>
          <w:rFonts w:hint="eastAsia" w:ascii="仿宋" w:hAnsi="仿宋" w:eastAsia="仿宋"/>
          <w:color w:val="000000"/>
          <w:sz w:val="32"/>
          <w:szCs w:val="32"/>
        </w:rPr>
        <w:t>9年财政拨款支出总计</w:t>
      </w:r>
      <w:r>
        <w:rPr>
          <w:rFonts w:ascii="仿宋" w:hAnsi="仿宋" w:eastAsia="仿宋"/>
          <w:color w:val="000000"/>
          <w:sz w:val="32"/>
          <w:szCs w:val="32"/>
        </w:rPr>
        <w:t>1957.10</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8年相比，财政拨款支出总计各减</w:t>
      </w:r>
      <w:r>
        <w:rPr>
          <w:rFonts w:hint="eastAsia" w:ascii="仿宋" w:hAnsi="仿宋" w:eastAsia="仿宋"/>
          <w:color w:val="000000" w:themeColor="text1"/>
          <w:sz w:val="32"/>
          <w:szCs w:val="32"/>
          <w14:textFill>
            <w14:solidFill>
              <w14:schemeClr w14:val="tx1"/>
            </w14:solidFill>
          </w14:textFill>
        </w:rPr>
        <w:t>少</w:t>
      </w:r>
      <w:r>
        <w:rPr>
          <w:rFonts w:ascii="仿宋" w:hAnsi="仿宋" w:eastAsia="仿宋"/>
          <w:color w:val="000000"/>
          <w:sz w:val="32"/>
          <w:szCs w:val="32"/>
        </w:rPr>
        <w:t>52.71</w:t>
      </w:r>
      <w:r>
        <w:rPr>
          <w:rFonts w:hint="eastAsia" w:ascii="仿宋" w:hAnsi="仿宋" w:eastAsia="仿宋"/>
          <w:color w:val="000000"/>
          <w:sz w:val="32"/>
          <w:szCs w:val="32"/>
        </w:rPr>
        <w:t>万元，下降</w:t>
      </w:r>
      <w:r>
        <w:rPr>
          <w:rFonts w:ascii="仿宋" w:hAnsi="仿宋" w:eastAsia="仿宋"/>
          <w:color w:val="000000"/>
          <w:sz w:val="32"/>
          <w:szCs w:val="32"/>
        </w:rPr>
        <w:t>2.62%</w:t>
      </w:r>
      <w:r>
        <w:rPr>
          <w:rFonts w:hint="eastAsia" w:ascii="仿宋" w:hAnsi="仿宋" w:eastAsia="仿宋"/>
          <w:color w:val="000000"/>
          <w:sz w:val="32"/>
          <w:szCs w:val="32"/>
        </w:rPr>
        <w:t>。主要变动原因是2</w:t>
      </w:r>
      <w:r>
        <w:rPr>
          <w:rFonts w:ascii="仿宋" w:hAnsi="仿宋" w:eastAsia="仿宋"/>
          <w:color w:val="000000"/>
          <w:sz w:val="32"/>
          <w:szCs w:val="32"/>
        </w:rPr>
        <w:t>019</w:t>
      </w:r>
      <w:r>
        <w:rPr>
          <w:rFonts w:hint="eastAsia" w:ascii="仿宋" w:hAnsi="仿宋" w:eastAsia="仿宋"/>
          <w:color w:val="000000"/>
          <w:sz w:val="32"/>
          <w:szCs w:val="32"/>
        </w:rPr>
        <w:t>年度严格执行预算控制。</w:t>
      </w:r>
    </w:p>
    <w:p>
      <w:pPr>
        <w:spacing w:line="600" w:lineRule="exact"/>
        <w:ind w:firstLine="643" w:firstLineChars="200"/>
        <w:rPr>
          <w:rFonts w:ascii="仿宋" w:hAnsi="仿宋" w:eastAsia="仿宋"/>
          <w:color w:val="000000" w:themeColor="text1"/>
          <w:sz w:val="32"/>
          <w:szCs w:val="32"/>
          <w14:textFill>
            <w14:solidFill>
              <w14:schemeClr w14:val="tx1"/>
            </w14:solidFill>
          </w14:textFill>
        </w:rPr>
      </w:pPr>
      <w:r>
        <w:rPr>
          <w:rFonts w:ascii="仿宋" w:hAnsi="仿宋" w:eastAsia="仿宋"/>
          <w:b/>
          <w:color w:val="00B050"/>
          <w:sz w:val="32"/>
          <w:szCs w:val="32"/>
        </w:rPr>
        <w:drawing>
          <wp:anchor distT="0" distB="0" distL="114300" distR="114300" simplePos="0" relativeHeight="251664384" behindDoc="1" locked="0" layoutInCell="1" allowOverlap="1">
            <wp:simplePos x="0" y="0"/>
            <wp:positionH relativeFrom="column">
              <wp:posOffset>85725</wp:posOffset>
            </wp:positionH>
            <wp:positionV relativeFrom="paragraph">
              <wp:posOffset>528955</wp:posOffset>
            </wp:positionV>
            <wp:extent cx="5274310" cy="3076575"/>
            <wp:effectExtent l="0" t="0" r="0" b="0"/>
            <wp:wrapTight wrapText="bothSides">
              <wp:wrapPolygon>
                <wp:start x="0" y="0"/>
                <wp:lineTo x="0" y="21478"/>
                <wp:lineTo x="21532" y="21478"/>
                <wp:lineTo x="21532" y="0"/>
                <wp:lineTo x="0" y="0"/>
              </wp:wrapPolygon>
            </wp:wrapTight>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pPr>
        <w:spacing w:line="600" w:lineRule="exact"/>
        <w:ind w:firstLine="640" w:firstLineChars="200"/>
        <w:outlineLvl w:val="1"/>
        <w:rPr>
          <w:rStyle w:val="26"/>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ascii="仿宋" w:hAnsi="仿宋" w:eastAsia="仿宋"/>
          <w:color w:val="000000"/>
          <w:sz w:val="32"/>
          <w:szCs w:val="32"/>
        </w:rPr>
        <w:t>1672.30</w:t>
      </w:r>
      <w:r>
        <w:rPr>
          <w:rFonts w:hint="eastAsia" w:ascii="仿宋" w:hAnsi="仿宋" w:eastAsia="仿宋"/>
          <w:color w:val="000000"/>
          <w:sz w:val="32"/>
          <w:szCs w:val="32"/>
        </w:rPr>
        <w:t>万元，占本年支出合计的</w:t>
      </w:r>
      <w:r>
        <w:rPr>
          <w:rFonts w:ascii="仿宋" w:hAnsi="仿宋" w:eastAsia="仿宋"/>
          <w:color w:val="000000"/>
          <w:sz w:val="32"/>
          <w:szCs w:val="32"/>
        </w:rPr>
        <w:t>85.45%</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w:t>
      </w:r>
      <w:r>
        <w:rPr>
          <w:rFonts w:ascii="仿宋" w:hAnsi="仿宋" w:eastAsia="仿宋"/>
          <w:color w:val="000000"/>
          <w:sz w:val="32"/>
          <w:szCs w:val="32"/>
        </w:rPr>
        <w:t>269.55</w:t>
      </w:r>
      <w:r>
        <w:rPr>
          <w:rFonts w:hint="eastAsia" w:ascii="仿宋" w:hAnsi="仿宋" w:eastAsia="仿宋"/>
          <w:color w:val="000000"/>
          <w:sz w:val="32"/>
          <w:szCs w:val="32"/>
        </w:rPr>
        <w:t>万元，增长</w:t>
      </w:r>
      <w:r>
        <w:rPr>
          <w:rFonts w:ascii="仿宋" w:hAnsi="仿宋" w:eastAsia="仿宋"/>
          <w:color w:val="000000"/>
          <w:sz w:val="32"/>
          <w:szCs w:val="32"/>
        </w:rPr>
        <w:t>130.57%</w:t>
      </w:r>
      <w:r>
        <w:rPr>
          <w:rFonts w:hint="eastAsia" w:ascii="仿宋" w:hAnsi="仿宋" w:eastAsia="仿宋"/>
          <w:color w:val="000000"/>
          <w:sz w:val="32"/>
          <w:szCs w:val="32"/>
        </w:rPr>
        <w:t>。主要变动原因是2</w:t>
      </w:r>
      <w:r>
        <w:rPr>
          <w:rFonts w:ascii="仿宋" w:hAnsi="仿宋" w:eastAsia="仿宋"/>
          <w:color w:val="000000"/>
          <w:sz w:val="32"/>
          <w:szCs w:val="32"/>
        </w:rPr>
        <w:t>019</w:t>
      </w:r>
      <w:r>
        <w:rPr>
          <w:rFonts w:hint="eastAsia" w:ascii="仿宋" w:hAnsi="仿宋" w:eastAsia="仿宋"/>
          <w:color w:val="000000"/>
          <w:sz w:val="32"/>
          <w:szCs w:val="32"/>
        </w:rPr>
        <w:t>年度严格执行预算管理。</w:t>
      </w:r>
    </w:p>
    <w:p>
      <w:pPr>
        <w:spacing w:line="6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drawing>
          <wp:anchor distT="0" distB="0" distL="114300" distR="114300" simplePos="0" relativeHeight="251663360" behindDoc="1" locked="0" layoutInCell="1" allowOverlap="1">
            <wp:simplePos x="0" y="0"/>
            <wp:positionH relativeFrom="column">
              <wp:posOffset>9525</wp:posOffset>
            </wp:positionH>
            <wp:positionV relativeFrom="paragraph">
              <wp:posOffset>205105</wp:posOffset>
            </wp:positionV>
            <wp:extent cx="5274310" cy="3076575"/>
            <wp:effectExtent l="0" t="0" r="0" b="0"/>
            <wp:wrapTight wrapText="bothSides">
              <wp:wrapPolygon>
                <wp:start x="0" y="0"/>
                <wp:lineTo x="0" y="21533"/>
                <wp:lineTo x="21532" y="21533"/>
                <wp:lineTo x="21532" y="0"/>
                <wp:lineTo x="0" y="0"/>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b/>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ascii="仿宋" w:hAnsi="仿宋" w:eastAsia="仿宋"/>
          <w:color w:val="000000" w:themeColor="text1"/>
          <w:sz w:val="32"/>
          <w:szCs w:val="32"/>
          <w14:textFill>
            <w14:solidFill>
              <w14:schemeClr w14:val="tx1"/>
            </w14:solidFill>
          </w14:textFill>
        </w:rPr>
        <w:t>1672.30</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b/>
          <w:color w:val="000000" w:themeColor="text1"/>
          <w:sz w:val="32"/>
          <w:szCs w:val="32"/>
          <w14:textFill>
            <w14:solidFill>
              <w14:schemeClr w14:val="tx1"/>
            </w14:solidFill>
          </w14:textFill>
        </w:rPr>
        <w:t>（类）</w:t>
      </w:r>
      <w:r>
        <w:rPr>
          <w:rFonts w:ascii="仿宋" w:hAnsi="仿宋" w:eastAsia="仿宋"/>
          <w:color w:val="000000" w:themeColor="text1"/>
          <w:sz w:val="32"/>
          <w:szCs w:val="32"/>
          <w14:textFill>
            <w14:solidFill>
              <w14:schemeClr w14:val="tx1"/>
            </w14:solidFill>
          </w14:textFill>
        </w:rPr>
        <w:t>380.61</w:t>
      </w:r>
      <w:r>
        <w:rPr>
          <w:rFonts w:hint="eastAsia" w:ascii="仿宋" w:hAnsi="仿宋" w:eastAsia="仿宋"/>
          <w:color w:val="000000" w:themeColor="text1"/>
          <w:sz w:val="32"/>
          <w:szCs w:val="32"/>
          <w14:textFill>
            <w14:solidFill>
              <w14:schemeClr w14:val="tx1"/>
            </w14:solidFill>
          </w14:textFill>
        </w:rPr>
        <w:t>万元，占</w:t>
      </w:r>
      <w:r>
        <w:rPr>
          <w:rFonts w:ascii="仿宋" w:hAnsi="仿宋" w:eastAsia="仿宋"/>
          <w:color w:val="000000" w:themeColor="text1"/>
          <w:sz w:val="32"/>
          <w:szCs w:val="32"/>
          <w14:textFill>
            <w14:solidFill>
              <w14:schemeClr w14:val="tx1"/>
            </w14:solidFill>
          </w14:textFill>
        </w:rPr>
        <w:t>22.76%</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外交支出（类）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国防支出（类）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公共安全支出（类）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教育支出（类）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科学技术支出（类）</w:t>
      </w:r>
      <w:r>
        <w:rPr>
          <w:rFonts w:ascii="仿宋" w:hAnsi="仿宋" w:eastAsia="仿宋"/>
          <w:color w:val="000000" w:themeColor="text1"/>
          <w:sz w:val="32"/>
          <w:szCs w:val="32"/>
          <w14:textFill>
            <w14:solidFill>
              <w14:schemeClr w14:val="tx1"/>
            </w14:solidFill>
          </w14:textFill>
        </w:rPr>
        <w:t>845.63</w:t>
      </w:r>
      <w:r>
        <w:rPr>
          <w:rFonts w:hint="eastAsia" w:ascii="仿宋" w:hAnsi="仿宋" w:eastAsia="仿宋"/>
          <w:color w:val="000000" w:themeColor="text1"/>
          <w:sz w:val="32"/>
          <w:szCs w:val="32"/>
          <w14:textFill>
            <w14:solidFill>
              <w14:schemeClr w14:val="tx1"/>
            </w14:solidFill>
          </w14:textFill>
        </w:rPr>
        <w:t>万元，占</w:t>
      </w:r>
      <w:r>
        <w:rPr>
          <w:rFonts w:ascii="仿宋" w:hAnsi="仿宋" w:eastAsia="仿宋"/>
          <w:color w:val="000000" w:themeColor="text1"/>
          <w:sz w:val="32"/>
          <w:szCs w:val="32"/>
          <w14:textFill>
            <w14:solidFill>
              <w14:schemeClr w14:val="tx1"/>
            </w14:solidFill>
          </w14:textFill>
        </w:rPr>
        <w:t>50.57%</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文化旅游体育与传媒支出（类）</w:t>
      </w:r>
      <w:r>
        <w:rPr>
          <w:rFonts w:ascii="仿宋" w:hAnsi="仿宋" w:eastAsia="仿宋"/>
          <w:b/>
          <w:bCs/>
          <w:color w:val="000000" w:themeColor="text1"/>
          <w:sz w:val="32"/>
          <w:szCs w:val="32"/>
          <w14:textFill>
            <w14:solidFill>
              <w14:schemeClr w14:val="tx1"/>
            </w14:solidFill>
          </w14:textFill>
        </w:rPr>
        <w:t>0</w:t>
      </w:r>
      <w:r>
        <w:rPr>
          <w:rFonts w:hint="eastAsia" w:ascii="仿宋" w:hAnsi="仿宋" w:eastAsia="仿宋"/>
          <w:b/>
          <w:bCs/>
          <w:color w:val="000000" w:themeColor="text1"/>
          <w:sz w:val="32"/>
          <w:szCs w:val="32"/>
          <w14:textFill>
            <w14:solidFill>
              <w14:schemeClr w14:val="tx1"/>
            </w14:solidFill>
          </w14:textFill>
        </w:rPr>
        <w:t>万元，占</w:t>
      </w:r>
      <w:r>
        <w:rPr>
          <w:rFonts w:ascii="仿宋" w:hAnsi="仿宋" w:eastAsia="仿宋"/>
          <w:b/>
          <w:bCs/>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社会保障和就业支出（类）</w:t>
      </w:r>
      <w:r>
        <w:rPr>
          <w:rFonts w:ascii="仿宋" w:hAnsi="仿宋" w:eastAsia="仿宋"/>
          <w:color w:val="000000" w:themeColor="text1"/>
          <w:sz w:val="32"/>
          <w:szCs w:val="32"/>
          <w14:textFill>
            <w14:solidFill>
              <w14:schemeClr w14:val="tx1"/>
            </w14:solidFill>
          </w14:textFill>
        </w:rPr>
        <w:t>58.17</w:t>
      </w:r>
      <w:r>
        <w:rPr>
          <w:rFonts w:hint="eastAsia" w:ascii="仿宋" w:hAnsi="仿宋" w:eastAsia="仿宋"/>
          <w:color w:val="000000" w:themeColor="text1"/>
          <w:sz w:val="32"/>
          <w:szCs w:val="32"/>
          <w14:textFill>
            <w14:solidFill>
              <w14:schemeClr w14:val="tx1"/>
            </w14:solidFill>
          </w14:textFill>
        </w:rPr>
        <w:t>万元，占</w:t>
      </w:r>
      <w:r>
        <w:rPr>
          <w:rFonts w:ascii="仿宋" w:hAnsi="仿宋" w:eastAsia="仿宋"/>
          <w:color w:val="000000" w:themeColor="text1"/>
          <w:sz w:val="32"/>
          <w:szCs w:val="32"/>
          <w14:textFill>
            <w14:solidFill>
              <w14:schemeClr w14:val="tx1"/>
            </w14:solidFill>
          </w14:textFill>
        </w:rPr>
        <w:t>3.48%</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卫生健康支出（类）</w:t>
      </w:r>
      <w:r>
        <w:rPr>
          <w:rFonts w:ascii="仿宋" w:hAnsi="仿宋" w:eastAsia="仿宋"/>
          <w:color w:val="000000" w:themeColor="text1"/>
          <w:sz w:val="32"/>
          <w:szCs w:val="32"/>
          <w14:textFill>
            <w14:solidFill>
              <w14:schemeClr w14:val="tx1"/>
            </w14:solidFill>
          </w14:textFill>
        </w:rPr>
        <w:t>11.87</w:t>
      </w:r>
      <w:r>
        <w:rPr>
          <w:rFonts w:hint="eastAsia" w:ascii="仿宋" w:hAnsi="仿宋" w:eastAsia="仿宋"/>
          <w:color w:val="000000" w:themeColor="text1"/>
          <w:sz w:val="32"/>
          <w:szCs w:val="32"/>
          <w14:textFill>
            <w14:solidFill>
              <w14:schemeClr w14:val="tx1"/>
            </w14:solidFill>
          </w14:textFill>
        </w:rPr>
        <w:t>万元，占</w:t>
      </w:r>
      <w:r>
        <w:rPr>
          <w:rFonts w:ascii="仿宋" w:hAnsi="仿宋" w:eastAsia="仿宋"/>
          <w:color w:val="000000" w:themeColor="text1"/>
          <w:sz w:val="32"/>
          <w:szCs w:val="32"/>
          <w14:textFill>
            <w14:solidFill>
              <w14:schemeClr w14:val="tx1"/>
            </w14:solidFill>
          </w14:textFill>
        </w:rPr>
        <w:t>0.71%</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节能环保支出（类）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城乡社区支出（类）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农林水支出（类）</w:t>
      </w: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16.80</w:t>
      </w:r>
      <w:r>
        <w:rPr>
          <w:rFonts w:hint="eastAsia" w:ascii="仿宋" w:hAnsi="仿宋" w:eastAsia="仿宋"/>
          <w:color w:val="000000" w:themeColor="text1"/>
          <w:sz w:val="32"/>
          <w:szCs w:val="32"/>
          <w14:textFill>
            <w14:solidFill>
              <w14:schemeClr w14:val="tx1"/>
            </w14:solidFill>
          </w14:textFill>
        </w:rPr>
        <w:t>万元，占</w:t>
      </w:r>
      <w:r>
        <w:rPr>
          <w:rFonts w:ascii="仿宋" w:hAnsi="仿宋" w:eastAsia="仿宋"/>
          <w:color w:val="000000" w:themeColor="text1"/>
          <w:sz w:val="32"/>
          <w:szCs w:val="32"/>
          <w14:textFill>
            <w14:solidFill>
              <w14:schemeClr w14:val="tx1"/>
            </w14:solidFill>
          </w14:textFill>
        </w:rPr>
        <w:t>6.98</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交通运输支出（类）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资源勘探信息等支出（类）</w:t>
      </w: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00.00</w:t>
      </w:r>
      <w:r>
        <w:rPr>
          <w:rFonts w:hint="eastAsia" w:ascii="仿宋" w:hAnsi="仿宋" w:eastAsia="仿宋"/>
          <w:color w:val="000000" w:themeColor="text1"/>
          <w:sz w:val="32"/>
          <w:szCs w:val="32"/>
          <w14:textFill>
            <w14:solidFill>
              <w14:schemeClr w14:val="tx1"/>
            </w14:solidFill>
          </w14:textFill>
        </w:rPr>
        <w:t>万元，占</w:t>
      </w:r>
      <w:r>
        <w:rPr>
          <w:rFonts w:ascii="仿宋" w:hAnsi="仿宋" w:eastAsia="仿宋"/>
          <w:color w:val="000000" w:themeColor="text1"/>
          <w:sz w:val="32"/>
          <w:szCs w:val="32"/>
          <w14:textFill>
            <w14:solidFill>
              <w14:schemeClr w14:val="tx1"/>
            </w14:solidFill>
          </w14:textFill>
        </w:rPr>
        <w:t>5.98</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商业服务业等支出（类）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金融支出（类）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援助其他地区支出（类）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自然资源海洋气象等支出（类）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住房保障支出（类）</w:t>
      </w:r>
      <w:r>
        <w:rPr>
          <w:rFonts w:ascii="仿宋" w:hAnsi="仿宋" w:eastAsia="仿宋"/>
          <w:color w:val="000000" w:themeColor="text1"/>
          <w:sz w:val="32"/>
          <w:szCs w:val="32"/>
          <w14:textFill>
            <w14:solidFill>
              <w14:schemeClr w14:val="tx1"/>
            </w14:solidFill>
          </w14:textFill>
        </w:rPr>
        <w:t>47.22</w:t>
      </w:r>
      <w:r>
        <w:rPr>
          <w:rFonts w:hint="eastAsia" w:ascii="仿宋" w:hAnsi="仿宋" w:eastAsia="仿宋"/>
          <w:color w:val="000000" w:themeColor="text1"/>
          <w:sz w:val="32"/>
          <w:szCs w:val="32"/>
          <w14:textFill>
            <w14:solidFill>
              <w14:schemeClr w14:val="tx1"/>
            </w14:solidFill>
          </w14:textFill>
        </w:rPr>
        <w:t>万元，占</w:t>
      </w:r>
      <w:r>
        <w:rPr>
          <w:rFonts w:ascii="仿宋" w:hAnsi="仿宋" w:eastAsia="仿宋"/>
          <w:color w:val="000000" w:themeColor="text1"/>
          <w:sz w:val="32"/>
          <w:szCs w:val="32"/>
          <w14:textFill>
            <w14:solidFill>
              <w14:schemeClr w14:val="tx1"/>
            </w14:solidFill>
          </w14:textFill>
        </w:rPr>
        <w:t>2.82%</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粮油物资储备支出</w:t>
      </w:r>
      <w:bookmarkStart w:id="36" w:name="_Hlk54206152"/>
      <w:r>
        <w:rPr>
          <w:rFonts w:hint="eastAsia" w:ascii="仿宋" w:hAnsi="仿宋" w:eastAsia="仿宋"/>
          <w:b/>
          <w:bCs/>
          <w:color w:val="000000" w:themeColor="text1"/>
          <w:sz w:val="32"/>
          <w:szCs w:val="32"/>
          <w14:textFill>
            <w14:solidFill>
              <w14:schemeClr w14:val="tx1"/>
            </w14:solidFill>
          </w14:textFill>
        </w:rPr>
        <w:t>支出</w:t>
      </w:r>
      <w:bookmarkEnd w:id="36"/>
      <w:r>
        <w:rPr>
          <w:rFonts w:hint="eastAsia" w:ascii="仿宋" w:hAnsi="仿宋" w:eastAsia="仿宋"/>
          <w:b/>
          <w:bCs/>
          <w:color w:val="000000" w:themeColor="text1"/>
          <w:sz w:val="32"/>
          <w:szCs w:val="32"/>
          <w14:textFill>
            <w14:solidFill>
              <w14:schemeClr w14:val="tx1"/>
            </w14:solidFill>
          </w14:textFill>
        </w:rPr>
        <w:t>（类）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灾害防治及应急管理支出（类）</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其他支出（类）</w:t>
      </w: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12.00</w:t>
      </w:r>
      <w:r>
        <w:rPr>
          <w:rFonts w:hint="eastAsia" w:ascii="仿宋" w:hAnsi="仿宋" w:eastAsia="仿宋"/>
          <w:color w:val="000000" w:themeColor="text1"/>
          <w:sz w:val="32"/>
          <w:szCs w:val="32"/>
          <w14:textFill>
            <w14:solidFill>
              <w14:schemeClr w14:val="tx1"/>
            </w14:solidFill>
          </w14:textFill>
        </w:rPr>
        <w:t>万元，占</w:t>
      </w:r>
      <w:r>
        <w:rPr>
          <w:rFonts w:ascii="仿宋" w:hAnsi="仿宋" w:eastAsia="仿宋"/>
          <w:color w:val="000000" w:themeColor="text1"/>
          <w:sz w:val="32"/>
          <w:szCs w:val="32"/>
          <w14:textFill>
            <w14:solidFill>
              <w14:schemeClr w14:val="tx1"/>
            </w14:solidFill>
          </w14:textFill>
        </w:rPr>
        <w:t>6.70</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（罗列全部功能分类科目，至类级。）</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5408" behindDoc="1" locked="0" layoutInCell="1" allowOverlap="1">
            <wp:simplePos x="0" y="0"/>
            <wp:positionH relativeFrom="column">
              <wp:posOffset>-161925</wp:posOffset>
            </wp:positionH>
            <wp:positionV relativeFrom="paragraph">
              <wp:posOffset>485775</wp:posOffset>
            </wp:positionV>
            <wp:extent cx="5838825" cy="5048250"/>
            <wp:effectExtent l="0" t="0" r="0" b="0"/>
            <wp:wrapTight wrapText="bothSides">
              <wp:wrapPolygon>
                <wp:start x="0" y="0"/>
                <wp:lineTo x="0" y="21518"/>
                <wp:lineTo x="21565" y="21518"/>
                <wp:lineTo x="21565" y="0"/>
                <wp:lineTo x="0" y="0"/>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000000"/>
          <w:sz w:val="32"/>
          <w:szCs w:val="32"/>
        </w:rPr>
        <w:t>（图6：一般公共预算财政拨款支出决算结构）（饼状图）</w:t>
      </w:r>
    </w:p>
    <w:p>
      <w:pPr>
        <w:spacing w:line="600" w:lineRule="exact"/>
        <w:ind w:firstLine="643" w:firstLineChars="200"/>
        <w:outlineLvl w:val="2"/>
        <w:rPr>
          <w:rFonts w:ascii="仿宋" w:hAnsi="仿宋" w:eastAsia="仿宋"/>
          <w:b/>
          <w:color w:val="000000"/>
          <w:sz w:val="32"/>
          <w:szCs w:val="32"/>
        </w:rPr>
      </w:pPr>
      <w:bookmarkStart w:id="37" w:name="_Toc15377212"/>
      <w:r>
        <w:rPr>
          <w:rFonts w:hint="eastAsia" w:ascii="仿宋" w:hAnsi="仿宋" w:eastAsia="仿宋"/>
          <w:b/>
          <w:color w:val="000000"/>
          <w:sz w:val="32"/>
          <w:szCs w:val="32"/>
        </w:rPr>
        <w:t>（三）一般公共预算财政拨款支出决算具体情况</w:t>
      </w:r>
      <w:bookmarkEnd w:id="37"/>
    </w:p>
    <w:p>
      <w:pPr>
        <w:spacing w:line="600" w:lineRule="exact"/>
        <w:ind w:firstLine="643" w:firstLineChars="200"/>
        <w:outlineLvl w:val="2"/>
        <w:rPr>
          <w:rFonts w:ascii="仿宋" w:hAnsi="仿宋" w:eastAsia="仿宋"/>
          <w:color w:val="FF0000"/>
          <w:sz w:val="32"/>
          <w:szCs w:val="32"/>
        </w:rPr>
      </w:pPr>
      <w:bookmarkStart w:id="38" w:name="_Toc15377444"/>
      <w:bookmarkStart w:id="39" w:name="_Toc15377213"/>
      <w:bookmarkStart w:id="40" w:name="_Toc15378460"/>
      <w:r>
        <w:rPr>
          <w:rFonts w:hint="eastAsia" w:ascii="仿宋" w:hAnsi="仿宋" w:eastAsia="仿宋"/>
          <w:b/>
          <w:color w:val="000000" w:themeColor="text1"/>
          <w:sz w:val="32"/>
          <w:szCs w:val="32"/>
          <w14:textFill>
            <w14:solidFill>
              <w14:schemeClr w14:val="tx1"/>
            </w14:solidFill>
          </w14:textFill>
        </w:rPr>
        <w:t>2019年一般公共预算支出决算数为</w:t>
      </w:r>
      <w:r>
        <w:rPr>
          <w:rFonts w:ascii="仿宋" w:hAnsi="仿宋" w:eastAsia="仿宋"/>
          <w:b/>
          <w:color w:val="000000" w:themeColor="text1"/>
          <w:sz w:val="32"/>
          <w:szCs w:val="32"/>
          <w14:textFill>
            <w14:solidFill>
              <w14:schemeClr w14:val="tx1"/>
            </w14:solidFill>
          </w14:textFill>
        </w:rPr>
        <w:t>1672.30</w:t>
      </w:r>
      <w:r>
        <w:rPr>
          <w:rFonts w:hint="eastAsia" w:ascii="仿宋" w:hAnsi="仿宋" w:eastAsia="仿宋"/>
          <w:b/>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14:textFill>
            <w14:solidFill>
              <w14:schemeClr w14:val="tx1"/>
            </w14:solidFill>
          </w14:textFill>
        </w:rPr>
        <w:t>，</w:t>
      </w:r>
      <w:r>
        <w:rPr>
          <w:rStyle w:val="15"/>
          <w:rFonts w:hint="eastAsia" w:ascii="仿宋" w:hAnsi="仿宋" w:eastAsia="仿宋"/>
          <w:bCs/>
          <w:color w:val="000000" w:themeColor="text1"/>
          <w:sz w:val="32"/>
          <w:szCs w:val="32"/>
          <w14:textFill>
            <w14:solidFill>
              <w14:schemeClr w14:val="tx1"/>
            </w14:solidFill>
          </w14:textFill>
        </w:rPr>
        <w:t>完成</w:t>
      </w:r>
      <w:r>
        <w:rPr>
          <w:rStyle w:val="15"/>
          <w:rFonts w:hint="eastAsia" w:ascii="仿宋" w:hAnsi="仿宋" w:eastAsia="仿宋"/>
          <w:bCs/>
          <w:color w:val="000000"/>
          <w:sz w:val="32"/>
          <w:szCs w:val="32"/>
        </w:rPr>
        <w:t>预算</w:t>
      </w:r>
      <w:r>
        <w:rPr>
          <w:rStyle w:val="15"/>
          <w:rFonts w:ascii="仿宋" w:hAnsi="仿宋" w:eastAsia="仿宋"/>
          <w:bCs/>
          <w:color w:val="000000"/>
          <w:sz w:val="32"/>
          <w:szCs w:val="32"/>
        </w:rPr>
        <w:t>100%</w:t>
      </w:r>
      <w:r>
        <w:rPr>
          <w:rStyle w:val="15"/>
          <w:rFonts w:hint="eastAsia" w:ascii="仿宋" w:hAnsi="仿宋" w:eastAsia="仿宋"/>
          <w:bCs/>
          <w:color w:val="000000"/>
          <w:sz w:val="32"/>
          <w:szCs w:val="32"/>
        </w:rPr>
        <w:t>。其中：</w:t>
      </w:r>
      <w:bookmarkEnd w:id="38"/>
      <w:bookmarkEnd w:id="39"/>
      <w:bookmarkEnd w:id="40"/>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w:t>
      </w:r>
      <w:bookmarkStart w:id="41" w:name="_Hlk54207502"/>
      <w:r>
        <w:rPr>
          <w:rStyle w:val="15"/>
          <w:rFonts w:hint="eastAsia" w:ascii="仿宋" w:hAnsi="仿宋" w:eastAsia="仿宋"/>
          <w:bCs/>
          <w:color w:val="000000"/>
          <w:sz w:val="32"/>
          <w:szCs w:val="32"/>
        </w:rPr>
        <w:t>一般公共服务支出（类）</w:t>
      </w:r>
      <w:bookmarkStart w:id="42" w:name="_Hlk54207378"/>
      <w:r>
        <w:rPr>
          <w:rStyle w:val="15"/>
          <w:rFonts w:hint="eastAsia" w:ascii="仿宋" w:hAnsi="仿宋" w:eastAsia="仿宋"/>
          <w:bCs/>
          <w:color w:val="000000"/>
          <w:sz w:val="32"/>
          <w:szCs w:val="32"/>
        </w:rPr>
        <w:t>发展与改革事务</w:t>
      </w:r>
      <w:bookmarkEnd w:id="42"/>
      <w:r>
        <w:rPr>
          <w:rStyle w:val="15"/>
          <w:rFonts w:hint="eastAsia" w:ascii="仿宋" w:hAnsi="仿宋" w:eastAsia="仿宋"/>
          <w:bCs/>
          <w:color w:val="000000"/>
          <w:sz w:val="32"/>
          <w:szCs w:val="32"/>
        </w:rPr>
        <w:t>（款）</w:t>
      </w:r>
      <w:bookmarkEnd w:id="41"/>
      <w:r>
        <w:rPr>
          <w:rStyle w:val="15"/>
          <w:rFonts w:hint="eastAsia" w:ascii="仿宋" w:hAnsi="仿宋" w:eastAsia="仿宋"/>
          <w:bCs/>
          <w:color w:val="000000"/>
          <w:sz w:val="32"/>
          <w:szCs w:val="32"/>
        </w:rPr>
        <w:t>行政运行（项）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212.01</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2.</w:t>
      </w:r>
      <w:r>
        <w:rPr>
          <w:rStyle w:val="15"/>
          <w:rFonts w:hint="eastAsia" w:ascii="仿宋" w:hAnsi="仿宋" w:eastAsia="仿宋"/>
          <w:bCs/>
          <w:color w:val="000000"/>
          <w:sz w:val="32"/>
          <w:szCs w:val="32"/>
        </w:rPr>
        <w:t xml:space="preserve"> 一般公共服务支出（类）发展与改革事务（款）一般行政管理事务支出（项）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104.27</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3.</w:t>
      </w:r>
      <w:r>
        <w:rPr>
          <w:rStyle w:val="15"/>
          <w:rFonts w:hint="eastAsia" w:ascii="仿宋" w:hAnsi="仿宋" w:eastAsia="仿宋"/>
          <w:bCs/>
          <w:color w:val="000000"/>
          <w:sz w:val="32"/>
          <w:szCs w:val="32"/>
        </w:rPr>
        <w:t xml:space="preserve"> 一般公共服务支出（类）发展与改革事务（款）物价管理（项）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2.75</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4.</w:t>
      </w:r>
      <w:r>
        <w:rPr>
          <w:rStyle w:val="15"/>
          <w:rFonts w:hint="eastAsia" w:ascii="仿宋" w:hAnsi="仿宋" w:eastAsia="仿宋"/>
          <w:bCs/>
          <w:color w:val="000000"/>
          <w:sz w:val="32"/>
          <w:szCs w:val="32"/>
        </w:rPr>
        <w:t xml:space="preserve"> 一般公共服务支出（类）发展与改革事务（款）事业运行（项）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58.59</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5.</w:t>
      </w:r>
      <w:r>
        <w:rPr>
          <w:rStyle w:val="15"/>
          <w:rFonts w:hint="eastAsia" w:ascii="仿宋" w:hAnsi="仿宋" w:eastAsia="仿宋"/>
          <w:bCs/>
          <w:color w:val="000000"/>
          <w:sz w:val="32"/>
          <w:szCs w:val="32"/>
        </w:rPr>
        <w:t xml:space="preserve"> 一般公共服务支出（类）发展与改革事务（款）其他发展与改革事务支出（项）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3.00</w:t>
      </w:r>
      <w:r>
        <w:rPr>
          <w:rStyle w:val="15"/>
          <w:rFonts w:hint="eastAsia" w:ascii="仿宋" w:hAnsi="仿宋" w:eastAsia="仿宋"/>
          <w:b w:val="0"/>
          <w:bCs/>
          <w:color w:val="000000"/>
          <w:sz w:val="32"/>
          <w:szCs w:val="32"/>
        </w:rPr>
        <w:t>万元。</w:t>
      </w:r>
    </w:p>
    <w:p>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6.</w:t>
      </w:r>
      <w:r>
        <w:rPr>
          <w:rFonts w:hint="eastAsia" w:ascii="仿宋" w:hAnsi="仿宋" w:eastAsia="仿宋"/>
          <w:b/>
          <w:bCs/>
          <w:color w:val="000000" w:themeColor="text1"/>
          <w:sz w:val="32"/>
          <w:szCs w:val="32"/>
          <w14:textFill>
            <w14:solidFill>
              <w14:schemeClr w14:val="tx1"/>
            </w14:solidFill>
          </w14:textFill>
        </w:rPr>
        <w:t>科学技术支出</w:t>
      </w:r>
      <w:r>
        <w:rPr>
          <w:rStyle w:val="15"/>
          <w:rFonts w:hint="eastAsia" w:ascii="仿宋" w:hAnsi="仿宋" w:eastAsia="仿宋"/>
          <w:bCs/>
          <w:color w:val="000000"/>
          <w:sz w:val="32"/>
          <w:szCs w:val="32"/>
        </w:rPr>
        <w:t>（类）科学技术管理事务（款）行政运行（项）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185.28</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7.</w:t>
      </w:r>
      <w:r>
        <w:rPr>
          <w:rFonts w:hint="eastAsia" w:ascii="仿宋" w:hAnsi="仿宋" w:eastAsia="仿宋"/>
          <w:b/>
          <w:bCs/>
          <w:color w:val="000000" w:themeColor="text1"/>
          <w:sz w:val="32"/>
          <w:szCs w:val="32"/>
          <w14:textFill>
            <w14:solidFill>
              <w14:schemeClr w14:val="tx1"/>
            </w14:solidFill>
          </w14:textFill>
        </w:rPr>
        <w:t>科学技术支出</w:t>
      </w:r>
      <w:r>
        <w:rPr>
          <w:rStyle w:val="15"/>
          <w:rFonts w:hint="eastAsia" w:ascii="仿宋" w:hAnsi="仿宋" w:eastAsia="仿宋"/>
          <w:bCs/>
          <w:color w:val="000000"/>
          <w:sz w:val="32"/>
          <w:szCs w:val="32"/>
        </w:rPr>
        <w:t>（类）技术研究与开发（款）应用技术研究与开发（项）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444.90</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8.</w:t>
      </w:r>
      <w:r>
        <w:rPr>
          <w:rFonts w:hint="eastAsia" w:ascii="仿宋" w:hAnsi="仿宋" w:eastAsia="仿宋"/>
          <w:b/>
          <w:bCs/>
          <w:color w:val="000000" w:themeColor="text1"/>
          <w:sz w:val="32"/>
          <w:szCs w:val="32"/>
          <w14:textFill>
            <w14:solidFill>
              <w14:schemeClr w14:val="tx1"/>
            </w14:solidFill>
          </w14:textFill>
        </w:rPr>
        <w:t>科学技术支出</w:t>
      </w:r>
      <w:r>
        <w:rPr>
          <w:rStyle w:val="15"/>
          <w:rFonts w:hint="eastAsia" w:ascii="仿宋" w:hAnsi="仿宋" w:eastAsia="仿宋"/>
          <w:bCs/>
          <w:color w:val="000000"/>
          <w:sz w:val="32"/>
          <w:szCs w:val="32"/>
        </w:rPr>
        <w:t>（类）科技条件与服务（款）机构运行（项）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29.10</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9.</w:t>
      </w:r>
      <w:r>
        <w:rPr>
          <w:rFonts w:hint="eastAsia" w:ascii="仿宋" w:hAnsi="仿宋" w:eastAsia="仿宋"/>
          <w:b/>
          <w:bCs/>
          <w:color w:val="000000" w:themeColor="text1"/>
          <w:sz w:val="32"/>
          <w:szCs w:val="32"/>
          <w14:textFill>
            <w14:solidFill>
              <w14:schemeClr w14:val="tx1"/>
            </w14:solidFill>
          </w14:textFill>
        </w:rPr>
        <w:t>科学技术支出</w:t>
      </w:r>
      <w:r>
        <w:rPr>
          <w:rStyle w:val="15"/>
          <w:rFonts w:hint="eastAsia" w:ascii="仿宋" w:hAnsi="仿宋" w:eastAsia="仿宋"/>
          <w:bCs/>
          <w:color w:val="000000"/>
          <w:sz w:val="32"/>
          <w:szCs w:val="32"/>
        </w:rPr>
        <w:t>（类）科技条件与服务（款）技术创新服务体系（项）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4.36</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10.</w:t>
      </w:r>
      <w:r>
        <w:rPr>
          <w:rFonts w:hint="eastAsia" w:ascii="仿宋" w:hAnsi="仿宋" w:eastAsia="仿宋"/>
          <w:b/>
          <w:bCs/>
          <w:color w:val="000000" w:themeColor="text1"/>
          <w:sz w:val="32"/>
          <w:szCs w:val="32"/>
          <w14:textFill>
            <w14:solidFill>
              <w14:schemeClr w14:val="tx1"/>
            </w14:solidFill>
          </w14:textFill>
        </w:rPr>
        <w:t>科学技术支出</w:t>
      </w:r>
      <w:r>
        <w:rPr>
          <w:rStyle w:val="15"/>
          <w:rFonts w:hint="eastAsia" w:ascii="仿宋" w:hAnsi="仿宋" w:eastAsia="仿宋"/>
          <w:bCs/>
          <w:color w:val="000000"/>
          <w:sz w:val="32"/>
          <w:szCs w:val="32"/>
        </w:rPr>
        <w:t>（类）科技条件与服务（款）科技条件专项（项）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50</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11.</w:t>
      </w:r>
      <w:r>
        <w:rPr>
          <w:rFonts w:hint="eastAsia" w:ascii="仿宋" w:hAnsi="仿宋" w:eastAsia="仿宋"/>
          <w:b/>
          <w:bCs/>
          <w:color w:val="000000" w:themeColor="text1"/>
          <w:sz w:val="32"/>
          <w:szCs w:val="32"/>
          <w14:textFill>
            <w14:solidFill>
              <w14:schemeClr w14:val="tx1"/>
            </w14:solidFill>
          </w14:textFill>
        </w:rPr>
        <w:t>科学技术支出</w:t>
      </w:r>
      <w:r>
        <w:rPr>
          <w:rStyle w:val="15"/>
          <w:rFonts w:hint="eastAsia" w:ascii="仿宋" w:hAnsi="仿宋" w:eastAsia="仿宋"/>
          <w:bCs/>
          <w:color w:val="000000"/>
          <w:sz w:val="32"/>
          <w:szCs w:val="32"/>
        </w:rPr>
        <w:t>（类）其他科学技术支出（款）科技奖励（项）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32</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12.</w:t>
      </w:r>
      <w:r>
        <w:rPr>
          <w:rFonts w:hint="eastAsia" w:ascii="仿宋" w:hAnsi="仿宋" w:eastAsia="仿宋"/>
          <w:b/>
          <w:bCs/>
          <w:color w:val="000000" w:themeColor="text1"/>
          <w:sz w:val="32"/>
          <w:szCs w:val="32"/>
          <w14:textFill>
            <w14:solidFill>
              <w14:schemeClr w14:val="tx1"/>
            </w14:solidFill>
          </w14:textFill>
        </w:rPr>
        <w:t>科学技术支出</w:t>
      </w:r>
      <w:r>
        <w:rPr>
          <w:rStyle w:val="15"/>
          <w:rFonts w:hint="eastAsia" w:ascii="仿宋" w:hAnsi="仿宋" w:eastAsia="仿宋"/>
          <w:bCs/>
          <w:color w:val="000000"/>
          <w:sz w:val="32"/>
          <w:szCs w:val="32"/>
        </w:rPr>
        <w:t>（类）其他科学技术支出（款）其他科学技术支出（项）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13.</w:t>
      </w:r>
      <w:r>
        <w:rPr>
          <w:rFonts w:hint="eastAsia" w:ascii="仿宋" w:hAnsi="仿宋" w:eastAsia="仿宋"/>
          <w:b/>
          <w:bCs/>
          <w:color w:val="000000" w:themeColor="text1"/>
          <w:sz w:val="32"/>
          <w:szCs w:val="32"/>
          <w14:textFill>
            <w14:solidFill>
              <w14:schemeClr w14:val="tx1"/>
            </w14:solidFill>
          </w14:textFill>
        </w:rPr>
        <w:t>社会保障和就业支出</w:t>
      </w:r>
      <w:r>
        <w:rPr>
          <w:rStyle w:val="15"/>
          <w:rFonts w:hint="eastAsia" w:ascii="仿宋" w:hAnsi="仿宋" w:eastAsia="仿宋"/>
          <w:bCs/>
          <w:color w:val="000000"/>
          <w:sz w:val="32"/>
          <w:szCs w:val="32"/>
        </w:rPr>
        <w:t>（类）行政事业单位离退休（款）机关事业单位基本养老保险缴费支出（项）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37.68</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14.</w:t>
      </w:r>
      <w:r>
        <w:rPr>
          <w:rFonts w:hint="eastAsia" w:ascii="仿宋" w:hAnsi="仿宋" w:eastAsia="仿宋"/>
          <w:b/>
          <w:bCs/>
          <w:color w:val="000000" w:themeColor="text1"/>
          <w:sz w:val="32"/>
          <w:szCs w:val="32"/>
          <w14:textFill>
            <w14:solidFill>
              <w14:schemeClr w14:val="tx1"/>
            </w14:solidFill>
          </w14:textFill>
        </w:rPr>
        <w:t>社会保障和就业支出</w:t>
      </w:r>
      <w:r>
        <w:rPr>
          <w:rStyle w:val="15"/>
          <w:rFonts w:hint="eastAsia" w:ascii="仿宋" w:hAnsi="仿宋" w:eastAsia="仿宋"/>
          <w:bCs/>
          <w:color w:val="000000"/>
          <w:sz w:val="32"/>
          <w:szCs w:val="32"/>
        </w:rPr>
        <w:t>（类）行政事业单位离退休（款）机关事业单位职业年金缴费支出（项）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20.49</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5</w:t>
      </w:r>
      <w:r>
        <w:rPr>
          <w:rStyle w:val="15"/>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卫生健康支出</w:t>
      </w:r>
      <w:r>
        <w:rPr>
          <w:rStyle w:val="15"/>
          <w:rFonts w:hint="eastAsia" w:ascii="仿宋" w:hAnsi="仿宋" w:eastAsia="仿宋"/>
          <w:bCs/>
          <w:color w:val="000000"/>
          <w:sz w:val="32"/>
          <w:szCs w:val="32"/>
        </w:rPr>
        <w:t>（类）行政事业单位医疗（款）行政单位医疗（项）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11.87</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6</w:t>
      </w:r>
      <w:r>
        <w:rPr>
          <w:rStyle w:val="15"/>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农林水支出</w:t>
      </w:r>
      <w:r>
        <w:rPr>
          <w:rStyle w:val="15"/>
          <w:rFonts w:hint="eastAsia" w:ascii="仿宋" w:hAnsi="仿宋" w:eastAsia="仿宋"/>
          <w:bCs/>
          <w:color w:val="000000"/>
          <w:sz w:val="32"/>
          <w:szCs w:val="32"/>
        </w:rPr>
        <w:t>（类）扶贫（款）农村基础设施建设（项）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116.8</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，决算数小于</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7</w:t>
      </w:r>
      <w:r>
        <w:rPr>
          <w:rStyle w:val="15"/>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资源勘探信息等支出</w:t>
      </w:r>
      <w:r>
        <w:rPr>
          <w:rStyle w:val="15"/>
          <w:rFonts w:hint="eastAsia" w:ascii="仿宋" w:hAnsi="仿宋" w:eastAsia="仿宋"/>
          <w:bCs/>
          <w:color w:val="000000"/>
          <w:sz w:val="32"/>
          <w:szCs w:val="32"/>
        </w:rPr>
        <w:t>（类）制造业（款）其他制造业支出（项）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8</w:t>
      </w:r>
      <w:r>
        <w:rPr>
          <w:rStyle w:val="15"/>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住房保障支出</w:t>
      </w:r>
      <w:r>
        <w:rPr>
          <w:rStyle w:val="15"/>
          <w:rFonts w:hint="eastAsia" w:ascii="仿宋" w:hAnsi="仿宋" w:eastAsia="仿宋"/>
          <w:bCs/>
          <w:color w:val="000000"/>
          <w:sz w:val="32"/>
          <w:szCs w:val="32"/>
        </w:rPr>
        <w:t>（类）住房改革支出（款）住房公积金（项）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47.22</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rPr>
        <w:t>19</w:t>
      </w:r>
      <w:r>
        <w:rPr>
          <w:rStyle w:val="15"/>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其他支出</w:t>
      </w:r>
      <w:r>
        <w:rPr>
          <w:rStyle w:val="15"/>
          <w:rFonts w:hint="eastAsia" w:ascii="仿宋" w:hAnsi="仿宋" w:eastAsia="仿宋"/>
          <w:bCs/>
          <w:color w:val="000000"/>
          <w:sz w:val="32"/>
          <w:szCs w:val="32"/>
        </w:rPr>
        <w:t>（类）其他支出（款）其他支出（项）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112.00</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pPr>
        <w:tabs>
          <w:tab w:val="right" w:pos="8306"/>
        </w:tabs>
        <w:spacing w:line="600" w:lineRule="exact"/>
        <w:ind w:firstLine="640"/>
        <w:outlineLvl w:val="1"/>
        <w:rPr>
          <w:rStyle w:val="26"/>
        </w:rPr>
      </w:pPr>
      <w:bookmarkStart w:id="43" w:name="_Toc15396608"/>
      <w:bookmarkStart w:id="44"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3"/>
      <w:bookmarkEnd w:id="44"/>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ascii="仿宋" w:hAnsi="仿宋" w:eastAsia="仿宋"/>
          <w:color w:val="000000"/>
          <w:sz w:val="32"/>
          <w:szCs w:val="32"/>
        </w:rPr>
        <w:t>843.93</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szCs w:val="32"/>
        </w:rPr>
        <w:t>539.45</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ascii="仿宋" w:hAnsi="仿宋" w:eastAsia="仿宋"/>
          <w:color w:val="000000"/>
          <w:sz w:val="32"/>
          <w:szCs w:val="32"/>
        </w:rPr>
        <w:t>62.77</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rPr>
      </w:pPr>
      <w:bookmarkStart w:id="45" w:name="_Toc15377215"/>
      <w:bookmarkStart w:id="46" w:name="_Toc15396609"/>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5"/>
      <w:bookmarkEnd w:id="46"/>
    </w:p>
    <w:p>
      <w:pPr>
        <w:spacing w:line="600" w:lineRule="exact"/>
        <w:ind w:firstLine="640"/>
        <w:outlineLvl w:val="2"/>
        <w:rPr>
          <w:rFonts w:ascii="仿宋" w:hAnsi="仿宋" w:eastAsia="仿宋"/>
          <w:b/>
          <w:color w:val="000000"/>
          <w:sz w:val="32"/>
          <w:szCs w:val="32"/>
        </w:rPr>
      </w:pPr>
      <w:bookmarkStart w:id="47" w:name="_Toc15377216"/>
      <w:r>
        <w:rPr>
          <w:rFonts w:hint="eastAsia" w:ascii="仿宋" w:hAnsi="仿宋" w:eastAsia="仿宋"/>
          <w:b/>
          <w:color w:val="000000"/>
          <w:sz w:val="32"/>
          <w:szCs w:val="32"/>
        </w:rPr>
        <w:t>（一）“三公”经费财政拨款支出决算总体情况说明</w:t>
      </w:r>
      <w:bookmarkEnd w:id="47"/>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ascii="仿宋" w:hAnsi="仿宋" w:eastAsia="仿宋"/>
          <w:color w:val="000000"/>
          <w:sz w:val="32"/>
          <w:szCs w:val="32"/>
        </w:rPr>
        <w:t>0</w:t>
      </w:r>
      <w:r>
        <w:rPr>
          <w:rFonts w:hint="eastAsia" w:ascii="仿宋" w:hAnsi="仿宋" w:eastAsia="仿宋"/>
          <w:color w:val="000000"/>
          <w:sz w:val="32"/>
          <w:szCs w:val="32"/>
        </w:rPr>
        <w:t>万元</w:t>
      </w:r>
      <w:bookmarkStart w:id="48" w:name="_Toc15377217"/>
      <w:r>
        <w:rPr>
          <w:rFonts w:hint="eastAsia" w:ascii="仿宋" w:hAnsi="仿宋" w:eastAsia="仿宋"/>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48"/>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；公务用车购置及运行维护费支出决算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；公务接待费支出决算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1312" behindDoc="1" locked="0" layoutInCell="1" allowOverlap="1">
            <wp:simplePos x="0" y="0"/>
            <wp:positionH relativeFrom="column">
              <wp:posOffset>9525</wp:posOffset>
            </wp:positionH>
            <wp:positionV relativeFrom="paragraph">
              <wp:posOffset>528955</wp:posOffset>
            </wp:positionV>
            <wp:extent cx="5274310" cy="3076575"/>
            <wp:effectExtent l="0" t="0" r="0" b="0"/>
            <wp:wrapTight wrapText="bothSides">
              <wp:wrapPolygon>
                <wp:start x="0" y="0"/>
                <wp:lineTo x="0" y="21533"/>
                <wp:lineTo x="21532" y="21533"/>
                <wp:lineTo x="21532" y="0"/>
                <wp:lineTo x="0" y="0"/>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000000"/>
          <w:sz w:val="32"/>
          <w:szCs w:val="32"/>
        </w:rPr>
        <w:t>（图7：“三公”经费财政拨款支出结构）（饼状图）</w:t>
      </w:r>
    </w:p>
    <w:p>
      <w:pPr>
        <w:spacing w:line="600" w:lineRule="exact"/>
        <w:ind w:firstLine="640"/>
        <w:rPr>
          <w:rFonts w:ascii="仿宋" w:hAnsi="仿宋" w:eastAsia="仿宋"/>
          <w:color w:val="000000"/>
          <w:sz w:val="32"/>
          <w:szCs w:val="32"/>
        </w:rPr>
      </w:pP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ascii="仿宋_GB2312" w:eastAsia="仿宋_GB2312"/>
          <w:color w:val="000000"/>
          <w:sz w:val="32"/>
          <w:szCs w:val="32"/>
        </w:rPr>
        <w:t>0</w:t>
      </w:r>
      <w:r>
        <w:rPr>
          <w:rFonts w:hint="eastAsia" w:ascii="仿宋_GB2312" w:eastAsia="仿宋_GB2312"/>
          <w:color w:val="000000"/>
          <w:sz w:val="32"/>
          <w:szCs w:val="32"/>
        </w:rPr>
        <w:t>次，出国（境）</w:t>
      </w:r>
      <w:r>
        <w:rPr>
          <w:rFonts w:ascii="仿宋_GB2312" w:eastAsia="仿宋_GB2312"/>
          <w:color w:val="000000"/>
          <w:sz w:val="32"/>
          <w:szCs w:val="32"/>
        </w:rPr>
        <w:t>0</w:t>
      </w:r>
      <w:r>
        <w:rPr>
          <w:rFonts w:hint="eastAsia" w:ascii="仿宋_GB2312" w:eastAsia="仿宋_GB2312"/>
          <w:color w:val="000000"/>
          <w:sz w:val="32"/>
          <w:szCs w:val="32"/>
        </w:rPr>
        <w:t>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8年减少0</w:t>
      </w:r>
      <w:r>
        <w:rPr>
          <w:rFonts w:ascii="仿宋_GB2312" w:eastAsia="仿宋_GB2312"/>
          <w:color w:val="000000"/>
          <w:sz w:val="32"/>
          <w:szCs w:val="32"/>
        </w:rPr>
        <w:t>.26</w:t>
      </w:r>
      <w:r>
        <w:rPr>
          <w:rFonts w:hint="eastAsia" w:ascii="仿宋_GB2312" w:eastAsia="仿宋_GB2312"/>
          <w:color w:val="000000"/>
          <w:sz w:val="32"/>
          <w:szCs w:val="32"/>
        </w:rPr>
        <w:t>万元，下降1</w:t>
      </w:r>
      <w:r>
        <w:rPr>
          <w:rFonts w:ascii="仿宋_GB2312" w:eastAsia="仿宋_GB2312"/>
          <w:color w:val="000000"/>
          <w:sz w:val="32"/>
          <w:szCs w:val="32"/>
        </w:rPr>
        <w:t>00%</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万元。全年按规定更新购置公务用车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ascii="仿宋_GB2312" w:eastAsia="仿宋_GB2312"/>
          <w:color w:val="000000"/>
          <w:sz w:val="32"/>
          <w:szCs w:val="32"/>
        </w:rPr>
        <w:t>2</w:t>
      </w:r>
      <w:r>
        <w:rPr>
          <w:rFonts w:hint="eastAsia" w:ascii="仿宋_GB2312" w:eastAsia="仿宋_GB2312"/>
          <w:color w:val="000000"/>
          <w:sz w:val="32"/>
          <w:szCs w:val="32"/>
        </w:rPr>
        <w:t>辆，其中：主要领导干部用车</w:t>
      </w:r>
      <w:r>
        <w:rPr>
          <w:rFonts w:ascii="仿宋_GB2312" w:eastAsia="仿宋_GB2312"/>
          <w:color w:val="000000"/>
          <w:sz w:val="32"/>
          <w:szCs w:val="32"/>
        </w:rPr>
        <w:t>0</w:t>
      </w:r>
      <w:r>
        <w:rPr>
          <w:rFonts w:hint="eastAsia" w:ascii="仿宋_GB2312" w:eastAsia="仿宋_GB2312"/>
          <w:color w:val="000000"/>
          <w:sz w:val="32"/>
          <w:szCs w:val="32"/>
        </w:rPr>
        <w:t>辆、机要通信用车</w:t>
      </w:r>
      <w:r>
        <w:rPr>
          <w:rFonts w:ascii="仿宋_GB2312" w:eastAsia="仿宋_GB2312"/>
          <w:color w:val="000000"/>
          <w:sz w:val="32"/>
          <w:szCs w:val="32"/>
        </w:rPr>
        <w:t>0</w:t>
      </w:r>
      <w:r>
        <w:rPr>
          <w:rFonts w:hint="eastAsia" w:ascii="仿宋_GB2312" w:eastAsia="仿宋_GB2312"/>
          <w:color w:val="000000"/>
          <w:sz w:val="32"/>
          <w:szCs w:val="32"/>
        </w:rPr>
        <w:t>辆、应急保障用车</w:t>
      </w:r>
      <w:r>
        <w:rPr>
          <w:rFonts w:ascii="仿宋_GB2312" w:eastAsia="仿宋_GB2312"/>
          <w:color w:val="000000"/>
          <w:sz w:val="32"/>
          <w:szCs w:val="32"/>
        </w:rPr>
        <w:t>0</w:t>
      </w:r>
      <w:r>
        <w:rPr>
          <w:rFonts w:hint="eastAsia" w:ascii="仿宋_GB2312" w:eastAsia="仿宋_GB2312"/>
          <w:color w:val="000000"/>
          <w:sz w:val="32"/>
          <w:szCs w:val="32"/>
        </w:rPr>
        <w:t>辆、 执法执勤用车</w:t>
      </w:r>
      <w:r>
        <w:rPr>
          <w:rFonts w:ascii="仿宋_GB2312" w:eastAsia="仿宋_GB2312"/>
          <w:color w:val="000000"/>
          <w:sz w:val="32"/>
          <w:szCs w:val="32"/>
        </w:rPr>
        <w:t>0</w:t>
      </w:r>
      <w:r>
        <w:rPr>
          <w:rFonts w:hint="eastAsia" w:ascii="仿宋_GB2312" w:eastAsia="仿宋_GB2312"/>
          <w:color w:val="000000"/>
          <w:sz w:val="32"/>
          <w:szCs w:val="32"/>
        </w:rPr>
        <w:t>辆、其他车辆2辆。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0</w:t>
      </w:r>
      <w:r>
        <w:rPr>
          <w:rFonts w:hint="eastAsia" w:ascii="仿宋_GB2312" w:eastAsia="仿宋_GB2312"/>
          <w:color w:val="000000"/>
          <w:sz w:val="32"/>
          <w:szCs w:val="32"/>
        </w:rPr>
        <w:t>万元。主要用于所需的公务用车燃料费、维修费、过路过桥费、保险费等支出。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0</w:t>
      </w:r>
      <w:r>
        <w:rPr>
          <w:rFonts w:hint="eastAsia" w:ascii="仿宋_GB2312" w:eastAsia="仿宋_GB2312"/>
          <w:color w:val="000000"/>
          <w:sz w:val="32"/>
          <w:szCs w:val="32"/>
        </w:rPr>
        <w:t>万元，增长</w:t>
      </w:r>
      <w:r>
        <w:rPr>
          <w:rFonts w:ascii="仿宋_GB2312" w:eastAsia="仿宋_GB2312"/>
          <w:color w:val="000000"/>
          <w:sz w:val="32"/>
          <w:szCs w:val="32"/>
        </w:rPr>
        <w:t>0%</w:t>
      </w:r>
      <w:r>
        <w:rPr>
          <w:rFonts w:hint="eastAsia" w:ascii="仿宋_GB2312" w:eastAsia="仿宋_GB2312"/>
          <w:color w:val="000000"/>
          <w:sz w:val="32"/>
          <w:szCs w:val="32"/>
        </w:rPr>
        <w:t>。主要原因是峨眉山市粮食和物资储备中心接待费其中：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ascii="仿宋" w:hAnsi="仿宋" w:eastAsia="仿宋"/>
          <w:color w:val="000000"/>
          <w:sz w:val="32"/>
          <w:szCs w:val="32"/>
        </w:rPr>
        <w:t>0</w:t>
      </w:r>
      <w:r>
        <w:rPr>
          <w:rFonts w:hint="eastAsia" w:ascii="仿宋_GB2312" w:eastAsia="仿宋_GB2312"/>
          <w:color w:val="000000"/>
          <w:sz w:val="32"/>
          <w:szCs w:val="32"/>
        </w:rPr>
        <w:t>万元。国内公务接待</w:t>
      </w:r>
      <w:r>
        <w:rPr>
          <w:rFonts w:ascii="仿宋_GB2312" w:eastAsia="仿宋_GB2312"/>
          <w:color w:val="000000"/>
          <w:sz w:val="32"/>
          <w:szCs w:val="32"/>
        </w:rPr>
        <w:t>0</w:t>
      </w:r>
      <w:r>
        <w:rPr>
          <w:rFonts w:hint="eastAsia" w:ascii="仿宋_GB2312" w:eastAsia="仿宋_GB2312"/>
          <w:color w:val="000000"/>
          <w:sz w:val="32"/>
          <w:szCs w:val="32"/>
        </w:rPr>
        <w:t>批次，</w:t>
      </w:r>
      <w:r>
        <w:rPr>
          <w:rFonts w:ascii="仿宋_GB2312" w:eastAsia="仿宋_GB2312"/>
          <w:color w:val="000000"/>
          <w:sz w:val="32"/>
          <w:szCs w:val="32"/>
        </w:rPr>
        <w:t>0</w:t>
      </w:r>
      <w:r>
        <w:rPr>
          <w:rFonts w:hint="eastAsia" w:ascii="仿宋_GB2312" w:eastAsia="仿宋_GB2312"/>
          <w:color w:val="000000"/>
          <w:sz w:val="32"/>
          <w:szCs w:val="32"/>
        </w:rPr>
        <w:t>人次（不包括陪同人员），共计支出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 w:hAnsi="仿宋" w:eastAsia="仿宋"/>
          <w:b/>
          <w:color w:val="000000"/>
          <w:sz w:val="32"/>
          <w:szCs w:val="32"/>
        </w:rPr>
        <w:t>外事接待支出</w:t>
      </w:r>
      <w:r>
        <w:rPr>
          <w:rFonts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批次，</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w:t>
      </w:r>
    </w:p>
    <w:p>
      <w:pPr>
        <w:spacing w:line="600" w:lineRule="exact"/>
        <w:ind w:firstLine="640"/>
        <w:outlineLvl w:val="1"/>
        <w:rPr>
          <w:rFonts w:ascii="黑体" w:eastAsia="黑体"/>
          <w:color w:val="000000"/>
          <w:sz w:val="32"/>
          <w:szCs w:val="32"/>
        </w:rPr>
      </w:pPr>
      <w:bookmarkStart w:id="49" w:name="_Toc15377218"/>
      <w:bookmarkStart w:id="50" w:name="_Toc15396610"/>
    </w:p>
    <w:p>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9"/>
      <w:bookmarkEnd w:id="50"/>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ascii="仿宋_GB2312" w:eastAsia="仿宋_GB2312"/>
          <w:color w:val="000000"/>
          <w:sz w:val="32"/>
          <w:szCs w:val="32"/>
        </w:rPr>
        <w:t>284.8</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6"/>
          <w:rFonts w:ascii="黑体" w:hAnsi="黑体" w:eastAsia="黑体"/>
          <w:b w:val="0"/>
        </w:rPr>
      </w:pPr>
      <w:bookmarkStart w:id="51" w:name="_Toc15396611"/>
      <w:bookmarkStart w:id="52" w:name="_Toc15377219"/>
      <w:r>
        <w:rPr>
          <w:rStyle w:val="26"/>
          <w:rFonts w:hint="eastAsia" w:ascii="黑体" w:hAnsi="黑体" w:eastAsia="黑体"/>
          <w:b w:val="0"/>
        </w:rPr>
        <w:t>国有资本经营预算支出决算情况说明</w:t>
      </w:r>
      <w:bookmarkEnd w:id="51"/>
      <w:bookmarkEnd w:id="52"/>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6"/>
          <w:rFonts w:ascii="黑体" w:hAnsi="黑体" w:eastAsia="黑体"/>
        </w:rPr>
      </w:pPr>
      <w:bookmarkStart w:id="53" w:name="_Toc15396612"/>
      <w:bookmarkStart w:id="54" w:name="_Toc15377221"/>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53"/>
      <w:bookmarkEnd w:id="54"/>
    </w:p>
    <w:p>
      <w:pPr>
        <w:spacing w:line="600" w:lineRule="exact"/>
        <w:ind w:firstLine="643" w:firstLineChars="200"/>
        <w:outlineLvl w:val="2"/>
        <w:rPr>
          <w:rFonts w:ascii="仿宋" w:hAnsi="仿宋" w:eastAsia="仿宋"/>
          <w:color w:val="000000"/>
          <w:sz w:val="32"/>
          <w:szCs w:val="32"/>
        </w:rPr>
      </w:pPr>
      <w:bookmarkStart w:id="55" w:name="_Toc15377222"/>
      <w:r>
        <w:rPr>
          <w:rFonts w:hint="eastAsia" w:ascii="仿宋" w:hAnsi="仿宋" w:eastAsia="仿宋"/>
          <w:b/>
          <w:color w:val="000000"/>
          <w:sz w:val="32"/>
          <w:szCs w:val="32"/>
        </w:rPr>
        <w:t>（一）机关运行经费支出情况</w:t>
      </w:r>
      <w:bookmarkEnd w:id="55"/>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9年，峨眉山市发展与改革局机关运行经费支出</w:t>
      </w:r>
      <w:r>
        <w:rPr>
          <w:rFonts w:ascii="仿宋_GB2312" w:eastAsia="仿宋_GB2312"/>
          <w:color w:val="000000"/>
          <w:sz w:val="32"/>
          <w:szCs w:val="32"/>
        </w:rPr>
        <w:t>62.77</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ascii="仿宋_GB2312" w:eastAsia="仿宋_GB2312"/>
          <w:color w:val="000000"/>
          <w:sz w:val="32"/>
          <w:szCs w:val="32"/>
        </w:rPr>
        <w:t>36.52</w:t>
      </w:r>
      <w:r>
        <w:rPr>
          <w:rFonts w:hint="eastAsia" w:ascii="仿宋_GB2312" w:eastAsia="仿宋_GB2312"/>
          <w:color w:val="000000"/>
          <w:sz w:val="32"/>
          <w:szCs w:val="32"/>
        </w:rPr>
        <w:t>万元，下降</w:t>
      </w:r>
      <w:r>
        <w:rPr>
          <w:rFonts w:ascii="仿宋_GB2312" w:eastAsia="仿宋_GB2312"/>
          <w:color w:val="000000"/>
          <w:sz w:val="32"/>
          <w:szCs w:val="32"/>
        </w:rPr>
        <w:t>58.18%</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w:t>
      </w:r>
      <w:bookmarkStart w:id="56" w:name="_Toc15377223"/>
      <w:r>
        <w:rPr>
          <w:rFonts w:hint="eastAsia" w:ascii="仿宋_GB2312" w:eastAsia="仿宋_GB2312"/>
          <w:color w:val="000000" w:themeColor="text1"/>
          <w:sz w:val="32"/>
          <w:szCs w:val="32"/>
          <w14:textFill>
            <w14:solidFill>
              <w14:schemeClr w14:val="tx1"/>
            </w14:solidFill>
          </w14:textFill>
        </w:rPr>
        <w:t>是大力压缩节俭公用经费支出。</w:t>
      </w:r>
    </w:p>
    <w:p>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（二）政府采购支出情况</w:t>
      </w:r>
      <w:bookmarkEnd w:id="56"/>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9年，峨眉山市发展与改革局政府采购支出总额</w:t>
      </w:r>
      <w:r>
        <w:rPr>
          <w:rFonts w:ascii="仿宋_GB2312" w:eastAsia="仿宋_GB2312"/>
          <w:color w:val="000000"/>
          <w:sz w:val="32"/>
          <w:szCs w:val="32"/>
        </w:rPr>
        <w:t>250</w:t>
      </w:r>
      <w:r>
        <w:rPr>
          <w:rFonts w:hint="eastAsia" w:ascii="仿宋_GB2312" w:eastAsia="仿宋_GB2312"/>
          <w:color w:val="000000"/>
          <w:sz w:val="32"/>
          <w:szCs w:val="32"/>
        </w:rPr>
        <w:t>万元，用于峨眉山市乡村振兴规划编制费用。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7" w:name="_Toc15377224"/>
      <w:r>
        <w:rPr>
          <w:rFonts w:hint="eastAsia" w:ascii="仿宋" w:hAnsi="仿宋" w:eastAsia="仿宋"/>
          <w:b/>
          <w:color w:val="000000"/>
          <w:sz w:val="32"/>
          <w:szCs w:val="32"/>
        </w:rPr>
        <w:t>（三）国有资产占有使用情况</w:t>
      </w:r>
      <w:bookmarkEnd w:id="57"/>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日，峨眉山市发展与改革局共有车辆</w:t>
      </w:r>
      <w:r>
        <w:rPr>
          <w:rFonts w:ascii="仿宋_GB2312" w:eastAsia="仿宋_GB2312"/>
          <w:color w:val="000000"/>
          <w:sz w:val="32"/>
          <w:szCs w:val="32"/>
        </w:rPr>
        <w:t>2</w:t>
      </w:r>
      <w:r>
        <w:rPr>
          <w:rFonts w:hint="eastAsia" w:ascii="仿宋_GB2312" w:eastAsia="仿宋_GB2312"/>
          <w:color w:val="000000"/>
          <w:sz w:val="32"/>
          <w:szCs w:val="32"/>
        </w:rPr>
        <w:t>辆，其中：主要领导干部用车</w:t>
      </w:r>
      <w:r>
        <w:rPr>
          <w:rFonts w:ascii="仿宋_GB2312" w:eastAsia="仿宋_GB2312"/>
          <w:color w:val="000000"/>
          <w:sz w:val="32"/>
          <w:szCs w:val="32"/>
        </w:rPr>
        <w:t>0</w:t>
      </w:r>
      <w:r>
        <w:rPr>
          <w:rFonts w:hint="eastAsia" w:ascii="仿宋_GB2312" w:eastAsia="仿宋_GB2312"/>
          <w:color w:val="000000"/>
          <w:sz w:val="32"/>
          <w:szCs w:val="32"/>
        </w:rPr>
        <w:t>辆、机要通信用车</w:t>
      </w:r>
      <w:r>
        <w:rPr>
          <w:rFonts w:ascii="仿宋_GB2312" w:eastAsia="仿宋_GB2312"/>
          <w:color w:val="000000"/>
          <w:sz w:val="32"/>
          <w:szCs w:val="32"/>
        </w:rPr>
        <w:t>0</w:t>
      </w:r>
      <w:r>
        <w:rPr>
          <w:rFonts w:hint="eastAsia" w:ascii="仿宋_GB2312" w:eastAsia="仿宋_GB2312"/>
          <w:color w:val="000000"/>
          <w:sz w:val="32"/>
          <w:szCs w:val="32"/>
        </w:rPr>
        <w:t>辆、应急保障用车2辆。</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根据预算绩效管理要求，本部门（单位）在年初预算编制阶段，组织对重点科技项目经费项目（项目名称）开展了预算事前绩效评估，对2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个项目开展了绩效目标完成情况自评。</w:t>
      </w:r>
    </w:p>
    <w:p>
      <w:pPr>
        <w:spacing w:line="600" w:lineRule="exact"/>
        <w:ind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本部门按要求对2019年部门整体支出开展绩效自评，从评价情况来看，我局整体绩效完成情况较好，2019年，我单位共收入1740.31万元，共支出1957.11万元，</w:t>
      </w:r>
      <w:r>
        <w:rPr>
          <w:rFonts w:hint="eastAsia" w:ascii="仿宋_GB2312" w:hAnsi="仿宋" w:eastAsia="仿宋_GB2312"/>
          <w:sz w:val="32"/>
          <w:szCs w:val="32"/>
        </w:rPr>
        <w:t>在财政拨款制度上严格按照本单位执行进度进行，预算执行进度均达到本单位应达到的执行进度。我单位严格执行《党政机关厉行节约反对浪费条例》，厉行节约，压缩行政成本性支出、严控一般性支出，做到“先有预算、后有支出”</w:t>
      </w:r>
      <w:r>
        <w:rPr>
          <w:rFonts w:hint="eastAsia" w:ascii="仿宋_GB2312" w:hAnsi="仿宋_GB2312" w:eastAsia="仿宋_GB2312" w:cs="仿宋_GB2312"/>
          <w:sz w:val="32"/>
          <w:szCs w:val="32"/>
        </w:rPr>
        <w:t>。本部门还自行组织了</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支出绩效评价，从评价情况来看37个科技项目总体上实施顺利，4个项目已完成，其余项目按计划实施，4个已完成项目基本实现了预期目标，33个正在实施的科技项目也已取得了一定的经济效益、社会效益。如峨胜水泥集团股份有限公司实施的《水泥生产中氮氧化物低排放技术研究》项目，完成该项目进度100%，实现了水泥生产氮氧化物超低排放的目标，年可节约运行成本641万元，年可减排氮氧化物1640吨。</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本部门在2019年度部门决算中反映“项目评审及课题研究等费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重点项目挂图作战工作经费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 重点科技项目管理经费”、“科技项目”、“重点科技项目经费”等</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个项目绩效目标实际完成情况。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（1）“项目评审及课题研究等费”项目绩效目标完成情况综述。项目全年预算数</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69</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69</w:t>
      </w:r>
      <w:r>
        <w:rPr>
          <w:rFonts w:hint="eastAsia" w:ascii="仿宋_GB2312" w:hAnsi="仿宋_GB2312" w:eastAsia="仿宋_GB2312" w:cs="仿宋_GB2312"/>
          <w:sz w:val="32"/>
          <w:szCs w:val="32"/>
        </w:rPr>
        <w:t xml:space="preserve">%。通过项目实施，保障政府投资项目可行性研究顺来开展，提高了政府投资项目效益和长期可持续发展。 </w:t>
      </w:r>
      <w:r>
        <w:rPr>
          <w:rFonts w:ascii="仿宋_GB2312" w:hAnsi="仿宋_GB2312" w:eastAsia="仿宋_GB2312" w:cs="仿宋_GB2312"/>
          <w:sz w:val="32"/>
          <w:szCs w:val="32"/>
        </w:rPr>
        <w:t xml:space="preserve">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发现的主要问题：因峨眉山市政府财政重振工作，政府投资项目压缩，未完成当年预计项目评审数。</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下一步改进措施：加强与财政部门对接，科学制定项目评审计划，提高项目经费绩效。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重点项目挂图作战工作经费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项目绩效目标完成情况综述。项目全年预算数</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%。通过项目实施，保障我市重点项目顺利推进，如期完成项目建设。</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（3）“重点科技项目管理费”项目绩效目标完成情况综述。项目全年预算数</w:t>
      </w:r>
      <w:r>
        <w:rPr>
          <w:rFonts w:ascii="仿宋_GB2312" w:hAnsi="仿宋_GB2312" w:eastAsia="仿宋_GB2312" w:cs="仿宋_GB2312"/>
          <w:sz w:val="32"/>
          <w:szCs w:val="32"/>
        </w:rPr>
        <w:t>35</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35</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%。通过项目实施，保障我市各重点科技项目顺利推进，提高了企业科技自主创新及研究能力。</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）“双创工作经费”项目绩效目标完成情况综述。项目全年预算数</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%。通过项目实施，保障我市创建卫生文明城市工作任务完成。</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）“重点科技项目经费”项目绩效目标完成情况综述。项目全年预算数</w:t>
      </w:r>
      <w:r>
        <w:rPr>
          <w:rFonts w:ascii="仿宋_GB2312" w:hAnsi="仿宋_GB2312" w:eastAsia="仿宋_GB2312" w:cs="仿宋_GB2312"/>
          <w:sz w:val="32"/>
          <w:szCs w:val="32"/>
        </w:rPr>
        <w:t>360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360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%。通过项目实施，保障37个科技项目总体上实施顺利，4个项目已完成，其余项目按计划实施。</w:t>
      </w:r>
    </w:p>
    <w:p>
      <w:pPr>
        <w:spacing w:line="600" w:lineRule="exact"/>
        <w:ind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val="zh-CN"/>
        </w:rPr>
        <w:t>有的项目实施单位存在技术资料归档不全的问题。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下一步改进措施：监督项目实施单位进行技术资料归档。</w:t>
      </w:r>
    </w:p>
    <w:p>
      <w:pPr>
        <w:spacing w:line="60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项目评审及课题研究等费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峨眉山市发展与改革局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ascii="宋体" w:hAnsi="宋体" w:cs="宋体"/>
                <w:color w:val="000000"/>
                <w:sz w:val="24"/>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6</w:t>
            </w:r>
            <w:r>
              <w:rPr>
                <w:rFonts w:ascii="宋体" w:hAnsi="宋体" w:cs="宋体"/>
                <w:color w:val="000000"/>
                <w:sz w:val="24"/>
              </w:rPr>
              <w:t>9</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ascii="宋体" w:hAnsi="宋体" w:cs="宋体"/>
                <w:color w:val="000000"/>
                <w:sz w:val="24"/>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6</w:t>
            </w:r>
            <w:r>
              <w:rPr>
                <w:rFonts w:ascii="宋体" w:hAnsi="宋体" w:cs="宋体"/>
                <w:color w:val="000000"/>
                <w:sz w:val="24"/>
              </w:rPr>
              <w:t>9</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r>
              <w:rPr>
                <w:rFonts w:hint="eastAsia" w:ascii="宋体" w:hAnsi="宋体" w:cs="宋体"/>
                <w:color w:val="000000"/>
                <w:sz w:val="24"/>
              </w:rPr>
              <w:t>无</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完成政府投资项目评审和每季度集中开工项目仪式共4次</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完成2</w:t>
            </w:r>
            <w:r>
              <w:rPr>
                <w:rFonts w:ascii="宋体" w:hAnsi="宋体" w:cs="宋体"/>
                <w:color w:val="000000"/>
                <w:sz w:val="24"/>
              </w:rPr>
              <w:t>019</w:t>
            </w:r>
            <w:r>
              <w:rPr>
                <w:rFonts w:hint="eastAsia" w:ascii="宋体" w:hAnsi="宋体" w:cs="宋体"/>
                <w:color w:val="000000"/>
                <w:sz w:val="24"/>
              </w:rPr>
              <w:t>年度政府投资项目评审和集中开工项目仪式共4次</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数量指标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预计对20-30个政府投资项目可行性研究报告组织评审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sz w:val="22"/>
                <w:szCs w:val="22"/>
              </w:rPr>
            </w:pPr>
            <w:r>
              <w:rPr>
                <w:rFonts w:hint="eastAsia"/>
                <w:color w:val="000000"/>
                <w:sz w:val="22"/>
                <w:szCs w:val="22"/>
              </w:rPr>
              <w:t>完成20个项目及3个课题评估，4次集中开工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r>
              <w:rPr>
                <w:rFonts w:hint="eastAsia"/>
                <w:color w:val="000000"/>
                <w:sz w:val="22"/>
                <w:szCs w:val="22"/>
              </w:rPr>
              <w:t>完成1</w:t>
            </w:r>
            <w:r>
              <w:rPr>
                <w:color w:val="000000"/>
                <w:sz w:val="22"/>
                <w:szCs w:val="22"/>
              </w:rPr>
              <w:t>2</w:t>
            </w:r>
            <w:r>
              <w:rPr>
                <w:rFonts w:hint="eastAsia"/>
                <w:color w:val="000000"/>
                <w:sz w:val="22"/>
                <w:szCs w:val="22"/>
              </w:rPr>
              <w:t>个项目及</w:t>
            </w:r>
            <w:r>
              <w:rPr>
                <w:color w:val="000000"/>
                <w:sz w:val="22"/>
                <w:szCs w:val="22"/>
              </w:rPr>
              <w:t>2</w:t>
            </w:r>
            <w:r>
              <w:rPr>
                <w:rFonts w:hint="eastAsia"/>
                <w:color w:val="000000"/>
                <w:sz w:val="22"/>
                <w:szCs w:val="22"/>
              </w:rPr>
              <w:t>个课题研究评估，4次集中开工</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质量指标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评审项目落实评审意见结果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规范政府2019年项目投资，拟制完成实施方案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如期完成2019年项目投资实施方案</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时效指标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按期完成率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年底前完成率≥80%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完成率=</w:t>
            </w:r>
            <w:r>
              <w:rPr>
                <w:rFonts w:ascii="宋体" w:hAnsi="宋体" w:cs="宋体"/>
                <w:color w:val="000000"/>
                <w:sz w:val="24"/>
              </w:rPr>
              <w:t>66.7</w:t>
            </w:r>
            <w:r>
              <w:rPr>
                <w:rFonts w:hint="eastAsia" w:ascii="宋体" w:hAnsi="宋体" w:cs="宋体"/>
                <w:color w:val="000000"/>
                <w:sz w:val="24"/>
              </w:rPr>
              <w:t>%</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经费使用节约率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提高10%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2%</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项目工作得到有序落实</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ascii="宋体" w:hAnsi="宋体" w:cs="宋体"/>
                <w:color w:val="000000"/>
                <w:sz w:val="24"/>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spacing w:line="600" w:lineRule="exact"/>
              <w:jc w:val="center"/>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重点项目挂图作战工作经费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峨眉山市发展与改革局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5</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r>
              <w:rPr>
                <w:rFonts w:hint="eastAsia" w:ascii="宋体" w:hAnsi="宋体" w:cs="宋体"/>
                <w:color w:val="000000"/>
                <w:sz w:val="24"/>
              </w:rPr>
              <w:t>无</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调研全市挂图作战项目推进项目，保障推进顺利率≥80%</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全市挂图作战项目推进项目推进率=</w:t>
            </w:r>
            <w:r>
              <w:rPr>
                <w:rFonts w:ascii="宋体" w:hAnsi="宋体" w:cs="宋体"/>
                <w:color w:val="000000"/>
                <w:sz w:val="24"/>
              </w:rPr>
              <w:t>100</w:t>
            </w:r>
            <w:r>
              <w:rPr>
                <w:rFonts w:hint="eastAsia" w:ascii="宋体" w:hAnsi="宋体" w:cs="宋体"/>
                <w:color w:val="000000"/>
                <w:sz w:val="24"/>
              </w:rPr>
              <w:t>%</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推进全市大于30个以上挂图作战日常工作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完成30个以上工作推进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完成5</w:t>
            </w:r>
            <w:r>
              <w:rPr>
                <w:rFonts w:ascii="宋体" w:hAnsi="宋体" w:cs="宋体"/>
                <w:color w:val="000000"/>
                <w:sz w:val="24"/>
              </w:rPr>
              <w:t>2</w:t>
            </w:r>
            <w:r>
              <w:rPr>
                <w:rFonts w:hint="eastAsia" w:ascii="宋体" w:hAnsi="宋体" w:cs="宋体"/>
                <w:color w:val="000000"/>
                <w:sz w:val="24"/>
              </w:rPr>
              <w:t>个重点项目工作推进</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负责各项目协调服务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协调率≥90%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协调率=</w:t>
            </w:r>
            <w:r>
              <w:rPr>
                <w:rFonts w:ascii="宋体" w:hAnsi="宋体" w:cs="宋体"/>
                <w:color w:val="000000"/>
                <w:sz w:val="24"/>
              </w:rPr>
              <w:t>100</w:t>
            </w:r>
            <w:r>
              <w:rPr>
                <w:rFonts w:hint="eastAsia" w:ascii="宋体" w:hAnsi="宋体" w:cs="宋体"/>
                <w:color w:val="000000"/>
                <w:sz w:val="24"/>
              </w:rPr>
              <w:t>%</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重点项目按时完成率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12月前完成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2</w:t>
            </w:r>
            <w:r>
              <w:rPr>
                <w:rFonts w:hint="eastAsia" w:ascii="宋体" w:hAnsi="宋体" w:cs="宋体"/>
                <w:color w:val="000000"/>
                <w:sz w:val="24"/>
              </w:rPr>
              <w:t>月</w:t>
            </w:r>
            <w:r>
              <w:rPr>
                <w:rFonts w:ascii="宋体" w:hAnsi="宋体" w:cs="宋体"/>
                <w:color w:val="000000"/>
                <w:sz w:val="24"/>
              </w:rPr>
              <w:t>15</w:t>
            </w:r>
            <w:r>
              <w:rPr>
                <w:rFonts w:hint="eastAsia" w:ascii="宋体" w:hAnsi="宋体" w:cs="宋体"/>
                <w:color w:val="000000"/>
                <w:sz w:val="24"/>
              </w:rPr>
              <w:t>日完成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经费使用节约率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节约率≥5%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节约率=</w:t>
            </w:r>
            <w:r>
              <w:rPr>
                <w:rFonts w:ascii="宋体" w:hAnsi="宋体" w:cs="宋体"/>
                <w:color w:val="000000"/>
                <w:sz w:val="24"/>
              </w:rPr>
              <w:t>7</w:t>
            </w:r>
            <w:r>
              <w:rPr>
                <w:rFonts w:hint="eastAsia" w:ascii="宋体" w:hAnsi="宋体" w:cs="宋体"/>
                <w:color w:val="000000"/>
                <w:sz w:val="24"/>
              </w:rPr>
              <w:t>%</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促进固定资产投资，带动产业发展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投资完成率≥80%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投资完成率=</w:t>
            </w:r>
            <w:r>
              <w:rPr>
                <w:rFonts w:ascii="宋体" w:hAnsi="宋体" w:cs="宋体"/>
                <w:color w:val="000000"/>
                <w:sz w:val="24"/>
              </w:rPr>
              <w:t>91</w:t>
            </w:r>
            <w:r>
              <w:rPr>
                <w:rFonts w:hint="eastAsia" w:ascii="宋体" w:hAnsi="宋体" w:cs="宋体"/>
                <w:color w:val="000000"/>
                <w:sz w:val="24"/>
              </w:rPr>
              <w:t>%</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促进固定资产投资，带动产业发展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投资完成率≥80%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投资完成率=</w:t>
            </w:r>
            <w:r>
              <w:rPr>
                <w:rFonts w:ascii="宋体" w:hAnsi="宋体" w:cs="宋体"/>
                <w:color w:val="000000"/>
                <w:sz w:val="24"/>
              </w:rPr>
              <w:t>91</w:t>
            </w:r>
            <w:r>
              <w:rPr>
                <w:rFonts w:hint="eastAsia" w:ascii="宋体" w:hAnsi="宋体" w:cs="宋体"/>
                <w:color w:val="000000"/>
                <w:sz w:val="24"/>
              </w:rPr>
              <w:t>%</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textAlignment w:val="center"/>
              <w:rPr>
                <w:rFonts w:ascii="宋体" w:hAnsi="宋体"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spacing w:line="600" w:lineRule="exact"/>
              <w:jc w:val="center"/>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重点科技项目管理费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峨眉山市发展与改革局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3</w:t>
            </w:r>
            <w:r>
              <w:rPr>
                <w:rFonts w:ascii="宋体" w:hAnsi="宋体" w:cs="宋体"/>
                <w:color w:val="000000"/>
                <w:sz w:val="24"/>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3</w:t>
            </w:r>
            <w:r>
              <w:rPr>
                <w:rFonts w:ascii="宋体" w:hAnsi="宋体" w:cs="宋体"/>
                <w:color w:val="000000"/>
                <w:sz w:val="24"/>
              </w:rPr>
              <w:t>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3</w:t>
            </w:r>
            <w:r>
              <w:rPr>
                <w:rFonts w:ascii="宋体" w:hAnsi="宋体" w:cs="宋体"/>
                <w:color w:val="000000"/>
                <w:sz w:val="24"/>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3</w:t>
            </w:r>
            <w:r>
              <w:rPr>
                <w:rFonts w:ascii="宋体" w:hAnsi="宋体" w:cs="宋体"/>
                <w:color w:val="000000"/>
                <w:sz w:val="24"/>
              </w:rPr>
              <w:t>5</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r>
              <w:rPr>
                <w:rFonts w:hint="eastAsia" w:ascii="宋体" w:hAnsi="宋体" w:cs="宋体"/>
                <w:color w:val="000000"/>
                <w:sz w:val="24"/>
              </w:rPr>
              <w:t>无</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大力推进高新技术企业的申报工作，做好重点科技项目的管理与社会效益的评价，申报与评价率≥80%</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大力推进高新技术企业的申报工作，做好重点科技项目的管理与社会效益的评价，申报与评价率=</w:t>
            </w:r>
            <w:r>
              <w:rPr>
                <w:rFonts w:ascii="宋体" w:hAnsi="宋体" w:cs="宋体"/>
                <w:color w:val="000000"/>
                <w:sz w:val="24"/>
              </w:rPr>
              <w:t>10</w:t>
            </w:r>
            <w:r>
              <w:rPr>
                <w:rFonts w:hint="eastAsia" w:ascii="宋体" w:hAnsi="宋体" w:cs="宋体"/>
                <w:color w:val="000000"/>
                <w:sz w:val="24"/>
              </w:rPr>
              <w:t>0%</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数量指标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高新技术产业产值比上年增长10%以上，新认定高新技术企业1家以上，专利增长10%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完成率</w:t>
            </w:r>
            <w:r>
              <w:rPr>
                <w:rFonts w:hint="eastAsia"/>
                <w:color w:val="000000"/>
                <w:sz w:val="22"/>
                <w:szCs w:val="22"/>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完成率</w:t>
            </w:r>
            <w:r>
              <w:rPr>
                <w:rFonts w:hint="eastAsia"/>
                <w:color w:val="000000"/>
                <w:sz w:val="22"/>
                <w:szCs w:val="22"/>
              </w:rPr>
              <w:t>=</w:t>
            </w:r>
            <w:r>
              <w:rPr>
                <w:color w:val="000000"/>
                <w:sz w:val="22"/>
                <w:szCs w:val="22"/>
              </w:rPr>
              <w:t>10</w:t>
            </w:r>
            <w:r>
              <w:rPr>
                <w:rFonts w:hint="eastAsia"/>
                <w:color w:val="000000"/>
                <w:sz w:val="22"/>
                <w:szCs w:val="22"/>
              </w:rPr>
              <w:t>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质量指标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高新企业增加值</w:t>
            </w:r>
          </w:p>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增加率≥50%</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增加率=</w:t>
            </w:r>
            <w:r>
              <w:rPr>
                <w:color w:val="000000"/>
                <w:sz w:val="22"/>
                <w:szCs w:val="22"/>
              </w:rPr>
              <w:t>10</w:t>
            </w:r>
            <w:r>
              <w:rPr>
                <w:rFonts w:hint="eastAsia"/>
                <w:color w:val="000000"/>
                <w:sz w:val="22"/>
                <w:szCs w:val="22"/>
              </w:rPr>
              <w:t>0%</w:t>
            </w:r>
          </w:p>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时效指标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按期完成率</w:t>
            </w:r>
          </w:p>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12月底前</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2</w:t>
            </w:r>
            <w:r>
              <w:rPr>
                <w:rFonts w:hint="eastAsia" w:ascii="宋体" w:hAnsi="宋体" w:cs="宋体"/>
                <w:color w:val="000000"/>
                <w:sz w:val="24"/>
              </w:rPr>
              <w:t>月前完成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经济效益指标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经费使用节约率</w:t>
            </w:r>
          </w:p>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节约率≥10%</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节约率=1</w:t>
            </w:r>
            <w:r>
              <w:rPr>
                <w:color w:val="000000"/>
                <w:sz w:val="22"/>
                <w:szCs w:val="22"/>
              </w:rPr>
              <w:t>3</w:t>
            </w:r>
            <w:r>
              <w:rPr>
                <w:rFonts w:hint="eastAsia"/>
                <w:color w:val="000000"/>
                <w:sz w:val="22"/>
                <w:szCs w:val="22"/>
              </w:rPr>
              <w:t>%</w:t>
            </w:r>
          </w:p>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社会效益指标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保障项目科技管理工作落实</w:t>
            </w:r>
          </w:p>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保障完成全市科技管理工作</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完成率=</w:t>
            </w:r>
            <w:r>
              <w:rPr>
                <w:rFonts w:ascii="宋体" w:hAnsi="宋体" w:cs="宋体"/>
                <w:color w:val="000000"/>
                <w:sz w:val="24"/>
              </w:rPr>
              <w:t>100</w:t>
            </w:r>
            <w:r>
              <w:rPr>
                <w:rFonts w:hint="eastAsia" w:ascii="宋体" w:hAnsi="宋体" w:cs="宋体"/>
                <w:color w:val="000000"/>
                <w:sz w:val="24"/>
              </w:rPr>
              <w:t>%</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spacing w:line="600" w:lineRule="exact"/>
              <w:jc w:val="center"/>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双创工作经费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峨眉山市发展与改革局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5</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r>
              <w:rPr>
                <w:rFonts w:hint="eastAsia" w:ascii="宋体" w:hAnsi="宋体" w:cs="宋体"/>
                <w:color w:val="000000"/>
                <w:sz w:val="24"/>
              </w:rPr>
              <w:t>无</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2019年度创文创卫工作达到上级验收标准</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通过上级评审组验收</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数量指标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每月4个工作日进行双创工作自查</w:t>
            </w:r>
          </w:p>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全年总天数≥50天</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全年总天数=</w:t>
            </w:r>
            <w:r>
              <w:rPr>
                <w:color w:val="000000"/>
                <w:sz w:val="22"/>
                <w:szCs w:val="22"/>
              </w:rPr>
              <w:t>63</w:t>
            </w:r>
            <w:r>
              <w:rPr>
                <w:rFonts w:hint="eastAsia"/>
                <w:color w:val="000000"/>
                <w:sz w:val="22"/>
                <w:szCs w:val="22"/>
              </w:rPr>
              <w:t>天</w:t>
            </w:r>
          </w:p>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质量指标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按上级要求标准实施工作，推进文明卫生城市建设</w:t>
            </w:r>
          </w:p>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合格率≥90%</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合格率=</w:t>
            </w:r>
            <w:r>
              <w:rPr>
                <w:color w:val="000000"/>
                <w:sz w:val="22"/>
                <w:szCs w:val="22"/>
              </w:rPr>
              <w:t>100</w:t>
            </w:r>
            <w:r>
              <w:rPr>
                <w:rFonts w:hint="eastAsia"/>
                <w:color w:val="000000"/>
                <w:sz w:val="22"/>
                <w:szCs w:val="22"/>
              </w:rPr>
              <w:t>%</w:t>
            </w:r>
          </w:p>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时效指标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按期完成双创工作</w:t>
            </w:r>
          </w:p>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12月前完成</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1</w:t>
            </w:r>
            <w:r>
              <w:rPr>
                <w:rFonts w:hint="eastAsia" w:ascii="宋体" w:hAnsi="宋体" w:cs="宋体"/>
                <w:color w:val="000000"/>
                <w:sz w:val="24"/>
              </w:rPr>
              <w:t>月底已完成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4"/>
              </w:rPr>
            </w:pPr>
            <w:r>
              <w:rPr>
                <w:rFonts w:hint="eastAsia"/>
                <w:color w:val="000000"/>
                <w:sz w:val="24"/>
              </w:rPr>
              <w:t>社会效益指标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4"/>
              </w:rPr>
            </w:pPr>
            <w:r>
              <w:rPr>
                <w:rFonts w:hint="eastAsia"/>
                <w:color w:val="000000"/>
                <w:sz w:val="24"/>
              </w:rPr>
              <w:t>营造红华苑责任片区双创氛围</w:t>
            </w:r>
          </w:p>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4"/>
              </w:rPr>
            </w:pPr>
            <w:r>
              <w:rPr>
                <w:rFonts w:hint="eastAsia"/>
                <w:color w:val="000000"/>
                <w:sz w:val="24"/>
              </w:rPr>
              <w:t>群众知晓率≥80%</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color w:val="000000"/>
                <w:sz w:val="24"/>
              </w:rPr>
              <w:t>群众知晓率≥</w:t>
            </w:r>
            <w:r>
              <w:rPr>
                <w:color w:val="000000"/>
                <w:sz w:val="24"/>
              </w:rPr>
              <w:t>9</w:t>
            </w:r>
            <w:r>
              <w:rPr>
                <w:rFonts w:hint="eastAsia"/>
                <w:color w:val="000000"/>
                <w:sz w:val="24"/>
              </w:rPr>
              <w:t>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4"/>
              </w:rPr>
            </w:pPr>
            <w:r>
              <w:rPr>
                <w:rFonts w:hint="eastAsia"/>
                <w:color w:val="000000"/>
                <w:sz w:val="24"/>
              </w:rPr>
              <w:t>满意度指标</w:t>
            </w:r>
          </w:p>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4"/>
              </w:rPr>
            </w:pPr>
            <w:r>
              <w:rPr>
                <w:rFonts w:hint="eastAsia"/>
                <w:color w:val="000000"/>
                <w:sz w:val="24"/>
              </w:rPr>
              <w:t>满意度指标</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4"/>
              </w:rPr>
            </w:pPr>
            <w:r>
              <w:rPr>
                <w:rFonts w:hint="eastAsia"/>
                <w:color w:val="000000"/>
                <w:sz w:val="24"/>
              </w:rPr>
              <w:t>群众满意度</w:t>
            </w:r>
          </w:p>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4"/>
              </w:rPr>
            </w:pPr>
            <w:r>
              <w:rPr>
                <w:rFonts w:hint="eastAsia"/>
                <w:color w:val="000000"/>
                <w:sz w:val="24"/>
              </w:rPr>
              <w:t>≥80%</w:t>
            </w:r>
          </w:p>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4"/>
              </w:rPr>
            </w:pPr>
            <w:r>
              <w:rPr>
                <w:rFonts w:hint="eastAsia"/>
                <w:color w:val="000000"/>
                <w:sz w:val="24"/>
              </w:rPr>
              <w:t>≥</w:t>
            </w:r>
            <w:r>
              <w:rPr>
                <w:color w:val="000000"/>
                <w:sz w:val="24"/>
              </w:rPr>
              <w:t>90</w:t>
            </w:r>
            <w:r>
              <w:rPr>
                <w:rFonts w:hint="eastAsia"/>
                <w:color w:val="000000"/>
                <w:sz w:val="24"/>
              </w:rPr>
              <w:t>%</w:t>
            </w:r>
          </w:p>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spacing w:line="600" w:lineRule="exact"/>
              <w:jc w:val="center"/>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b/>
                <w:bCs/>
                <w:color w:val="000000"/>
                <w:kern w:val="0"/>
                <w:sz w:val="36"/>
                <w:szCs w:val="36"/>
              </w:rPr>
            </w:pPr>
          </w:p>
          <w:p>
            <w:pPr>
              <w:widowControl/>
              <w:spacing w:line="600" w:lineRule="exact"/>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重点科技项目经费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峨眉山市发展与改革局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3</w:t>
            </w:r>
            <w:r>
              <w:rPr>
                <w:rFonts w:ascii="宋体" w:hAnsi="宋体" w:cs="宋体"/>
                <w:color w:val="000000"/>
                <w:sz w:val="24"/>
              </w:rPr>
              <w:t>60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3</w:t>
            </w:r>
            <w:r>
              <w:rPr>
                <w:rFonts w:ascii="宋体" w:hAnsi="宋体" w:cs="宋体"/>
                <w:color w:val="000000"/>
                <w:sz w:val="24"/>
              </w:rPr>
              <w:t>60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3</w:t>
            </w:r>
            <w:r>
              <w:rPr>
                <w:rFonts w:ascii="宋体" w:hAnsi="宋体" w:cs="宋体"/>
                <w:color w:val="000000"/>
                <w:sz w:val="24"/>
              </w:rPr>
              <w:t>60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3</w:t>
            </w:r>
            <w:r>
              <w:rPr>
                <w:rFonts w:ascii="宋体" w:hAnsi="宋体" w:cs="宋体"/>
                <w:color w:val="000000"/>
                <w:sz w:val="24"/>
              </w:rPr>
              <w:t>60</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r>
              <w:rPr>
                <w:rFonts w:hint="eastAsia" w:ascii="宋体" w:hAnsi="宋体" w:cs="宋体"/>
                <w:color w:val="000000"/>
                <w:sz w:val="24"/>
              </w:rPr>
              <w:t>无</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激励企业持续走科技创新道路</w:t>
            </w:r>
            <w:r>
              <w:rPr>
                <w:rFonts w:hint="eastAsia"/>
                <w:color w:val="000000"/>
                <w:kern w:val="0"/>
                <w:sz w:val="22"/>
                <w:szCs w:val="22"/>
              </w:rPr>
              <w:t>，</w:t>
            </w:r>
            <w:r>
              <w:rPr>
                <w:rFonts w:hint="eastAsia"/>
                <w:color w:val="000000"/>
                <w:sz w:val="22"/>
                <w:szCs w:val="22"/>
              </w:rPr>
              <w:t>奖励企业科技项目经费，按时高效全额完成奖励经费拨付</w:t>
            </w:r>
          </w:p>
          <w:p>
            <w:pPr>
              <w:widowControl/>
              <w:jc w:val="center"/>
              <w:rPr>
                <w:color w:val="000000"/>
                <w:kern w:val="0"/>
                <w:sz w:val="22"/>
                <w:szCs w:val="22"/>
              </w:rPr>
            </w:pPr>
          </w:p>
          <w:p>
            <w:pPr>
              <w:widowControl/>
              <w:jc w:val="center"/>
              <w:rPr>
                <w:color w:val="000000"/>
                <w:kern w:val="0"/>
                <w:sz w:val="22"/>
                <w:szCs w:val="22"/>
              </w:rPr>
            </w:pPr>
          </w:p>
          <w:p>
            <w:pPr>
              <w:widowControl/>
              <w:spacing w:line="600" w:lineRule="exact"/>
              <w:jc w:val="center"/>
              <w:textAlignment w:val="center"/>
              <w:rPr>
                <w:rFonts w:ascii="宋体" w:hAns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ascii="宋体" w:hAnsi="宋体" w:cs="宋体"/>
                <w:color w:val="000000"/>
                <w:sz w:val="24"/>
              </w:rPr>
              <w:t>2019</w:t>
            </w:r>
            <w:r>
              <w:rPr>
                <w:rFonts w:hint="eastAsia" w:ascii="宋体" w:hAnsi="宋体" w:cs="宋体"/>
                <w:color w:val="000000"/>
                <w:sz w:val="24"/>
              </w:rPr>
              <w:t>年</w:t>
            </w:r>
            <w:r>
              <w:rPr>
                <w:rFonts w:ascii="宋体" w:hAnsi="宋体" w:cs="宋体"/>
                <w:color w:val="000000"/>
                <w:sz w:val="24"/>
              </w:rPr>
              <w:t>12</w:t>
            </w:r>
            <w:r>
              <w:rPr>
                <w:rFonts w:hint="eastAsia" w:ascii="宋体" w:hAnsi="宋体" w:cs="宋体"/>
                <w:color w:val="000000"/>
                <w:sz w:val="24"/>
              </w:rPr>
              <w:t>月底前完成经费审核及拨付</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推进全市“大众创业，万众创新”工作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企业自主创新率≥80%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企业自主创新率=</w:t>
            </w:r>
            <w:r>
              <w:rPr>
                <w:rFonts w:ascii="宋体" w:hAnsi="宋体" w:cs="宋体"/>
                <w:color w:val="000000"/>
                <w:sz w:val="24"/>
              </w:rPr>
              <w:t>10</w:t>
            </w:r>
            <w:r>
              <w:rPr>
                <w:rFonts w:hint="eastAsia" w:ascii="宋体" w:hAnsi="宋体" w:cs="宋体"/>
                <w:color w:val="000000"/>
                <w:sz w:val="24"/>
              </w:rPr>
              <w:t>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按期完成率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2019年12月前完成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2</w:t>
            </w:r>
            <w:r>
              <w:rPr>
                <w:rFonts w:ascii="宋体" w:hAnsi="宋体" w:cs="宋体"/>
                <w:color w:val="000000"/>
                <w:sz w:val="24"/>
              </w:rPr>
              <w:t>019</w:t>
            </w:r>
            <w:r>
              <w:rPr>
                <w:rFonts w:hint="eastAsia" w:ascii="宋体" w:hAnsi="宋体" w:cs="宋体"/>
                <w:color w:val="000000"/>
                <w:sz w:val="24"/>
              </w:rPr>
              <w:t>年1</w:t>
            </w:r>
            <w:r>
              <w:rPr>
                <w:rFonts w:ascii="宋体" w:hAnsi="宋体" w:cs="宋体"/>
                <w:color w:val="000000"/>
                <w:sz w:val="24"/>
              </w:rPr>
              <w:t>2</w:t>
            </w:r>
            <w:r>
              <w:rPr>
                <w:rFonts w:hint="eastAsia" w:ascii="宋体" w:hAnsi="宋体" w:cs="宋体"/>
                <w:color w:val="000000"/>
                <w:sz w:val="24"/>
              </w:rPr>
              <w:t>月前已完成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经费使用节约率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≥10%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≥10%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保障项目科技管理工作落实</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000000"/>
                <w:kern w:val="0"/>
                <w:sz w:val="22"/>
                <w:szCs w:val="22"/>
              </w:rPr>
            </w:pPr>
            <w:r>
              <w:rPr>
                <w:rFonts w:hint="eastAsia"/>
                <w:color w:val="000000"/>
                <w:sz w:val="22"/>
                <w:szCs w:val="22"/>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sz w:val="24"/>
              </w:rPr>
              <w:t>=</w:t>
            </w:r>
            <w:r>
              <w:rPr>
                <w:rFonts w:ascii="宋体" w:hAnsi="宋体" w:cs="宋体"/>
                <w:color w:val="000000"/>
                <w:sz w:val="24"/>
              </w:rPr>
              <w:t>100</w:t>
            </w:r>
            <w:r>
              <w:rPr>
                <w:rFonts w:hint="eastAsia" w:ascii="宋体" w:hAnsi="宋体" w:cs="宋体"/>
                <w:color w:val="000000"/>
                <w:sz w:val="24"/>
              </w:rPr>
              <w:t>%</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600" w:lineRule="exact"/>
              <w:jc w:val="center"/>
              <w:textAlignment w:val="center"/>
              <w:rPr>
                <w:rFonts w:ascii="宋体" w:hAnsi="宋体" w:cs="宋体"/>
                <w:color w:val="000000"/>
                <w:sz w:val="24"/>
              </w:rPr>
            </w:pPr>
          </w:p>
        </w:tc>
      </w:tr>
    </w:tbl>
    <w:p>
      <w:pPr>
        <w:spacing w:line="600" w:lineRule="exact"/>
        <w:ind w:left="630"/>
        <w:rPr>
          <w:rFonts w:ascii="仿宋_GB2312" w:hAnsi="仿宋_GB2312" w:eastAsia="仿宋_GB2312" w:cs="仿宋_GB2312"/>
          <w:sz w:val="32"/>
          <w:szCs w:val="32"/>
        </w:rPr>
      </w:pPr>
    </w:p>
    <w:p>
      <w:pPr>
        <w:spacing w:line="600" w:lineRule="exact"/>
        <w:ind w:left="630"/>
        <w:rPr>
          <w:rFonts w:ascii="仿宋_GB2312" w:hAnsi="仿宋_GB2312" w:eastAsia="仿宋_GB2312" w:cs="仿宋_GB2312"/>
          <w:sz w:val="32"/>
          <w:szCs w:val="32"/>
        </w:rPr>
      </w:pPr>
    </w:p>
    <w:p>
      <w:pPr>
        <w:spacing w:line="600" w:lineRule="exact"/>
        <w:ind w:left="630"/>
        <w:rPr>
          <w:rFonts w:ascii="仿宋_GB2312" w:hAnsi="仿宋_GB2312" w:eastAsia="仿宋_GB2312" w:cs="仿宋_GB2312"/>
          <w:sz w:val="32"/>
          <w:szCs w:val="32"/>
        </w:rPr>
      </w:pPr>
    </w:p>
    <w:p>
      <w:pPr>
        <w:spacing w:line="60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本部门按要求对2019年部门整体支出绩效评价情况开展自评，《峨眉山市发展和改革局2019年部门整体支出绩效评价报告》见附件（附件1）。</w:t>
      </w:r>
    </w:p>
    <w:p>
      <w:pPr>
        <w:spacing w:line="60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本部门自行组织对重点科技项目经费开展了绩效评价，《峨眉山市发展和改革局重点科技项目经费2019年绩效评价报告》见附件（附件2）。</w:t>
      </w:r>
    </w:p>
    <w:p>
      <w:pPr>
        <w:widowControl/>
        <w:spacing w:line="600" w:lineRule="exact"/>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5"/>
          <w:rFonts w:ascii="黑体" w:hAnsi="黑体" w:eastAsia="黑体"/>
          <w:b w:val="0"/>
        </w:rPr>
      </w:pPr>
      <w:bookmarkStart w:id="58" w:name="_Toc15396613"/>
      <w:bookmarkStart w:id="59" w:name="_Toc15377225"/>
      <w:r>
        <w:rPr>
          <w:rFonts w:hint="eastAsia" w:ascii="黑体" w:hAnsi="黑体" w:eastAsia="黑体"/>
          <w:color w:val="000000"/>
          <w:sz w:val="44"/>
          <w:szCs w:val="44"/>
        </w:rPr>
        <w:t>名</w:t>
      </w:r>
      <w:r>
        <w:rPr>
          <w:rStyle w:val="25"/>
          <w:rFonts w:hint="eastAsia" w:ascii="黑体" w:hAnsi="黑体" w:eastAsia="黑体"/>
          <w:b w:val="0"/>
        </w:rPr>
        <w:t>词解释</w:t>
      </w:r>
      <w:bookmarkEnd w:id="58"/>
      <w:bookmarkEnd w:id="59"/>
    </w:p>
    <w:p>
      <w:pPr>
        <w:spacing w:line="600" w:lineRule="exact"/>
        <w:jc w:val="left"/>
        <w:rPr>
          <w:rFonts w:ascii="宋体"/>
          <w:b/>
          <w:color w:val="000000"/>
          <w:sz w:val="44"/>
          <w:szCs w:val="44"/>
        </w:rPr>
      </w:pPr>
    </w:p>
    <w:p>
      <w:pPr>
        <w:pStyle w:val="23"/>
        <w:spacing w:line="600" w:lineRule="exact"/>
        <w:ind w:firstLine="640" w:firstLineChars="200"/>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rPr>
        <w:t>财政拨款收入：指单位从同级财政部门取得的财政预算资金。</w:t>
      </w:r>
    </w:p>
    <w:p>
      <w:pPr>
        <w:pStyle w:val="23"/>
        <w:spacing w:line="600" w:lineRule="exact"/>
        <w:ind w:firstLine="640" w:firstLineChars="200"/>
        <w:rPr>
          <w:rFonts w:ascii="黑体" w:hAnsi="黑体" w:eastAsia="黑体"/>
          <w:sz w:val="32"/>
          <w:szCs w:val="32"/>
        </w:rPr>
      </w:pPr>
      <w:r>
        <w:rPr>
          <w:rFonts w:ascii="黑体" w:hAnsi="黑体" w:eastAsia="黑体"/>
          <w:sz w:val="32"/>
          <w:szCs w:val="32"/>
        </w:rPr>
        <w:t>2.</w:t>
      </w:r>
      <w:r>
        <w:rPr>
          <w:rFonts w:hint="eastAsia" w:ascii="黑体" w:hAnsi="黑体" w:eastAsia="黑体"/>
          <w:sz w:val="32"/>
          <w:szCs w:val="32"/>
        </w:rPr>
        <w:t>事业收入：指事业单位开展专业业务活动及辅助活动取得的收入。</w:t>
      </w:r>
    </w:p>
    <w:p>
      <w:pPr>
        <w:pStyle w:val="23"/>
        <w:spacing w:line="600" w:lineRule="exact"/>
        <w:ind w:firstLine="640" w:firstLineChars="200"/>
        <w:rPr>
          <w:rFonts w:ascii="黑体" w:hAnsi="黑体" w:eastAsia="黑体"/>
          <w:sz w:val="32"/>
          <w:szCs w:val="32"/>
        </w:rPr>
      </w:pPr>
      <w:r>
        <w:rPr>
          <w:rFonts w:ascii="黑体" w:hAnsi="黑体" w:eastAsia="黑体"/>
          <w:sz w:val="32"/>
          <w:szCs w:val="32"/>
        </w:rPr>
        <w:t>3.</w:t>
      </w:r>
      <w:r>
        <w:rPr>
          <w:rFonts w:hint="eastAsia" w:ascii="黑体" w:hAnsi="黑体" w:eastAsia="黑体"/>
          <w:sz w:val="32"/>
          <w:szCs w:val="32"/>
        </w:rPr>
        <w:t>经营收入：指事业单位在专业业务活动及其辅助活动之外开展非独立核算经营活动取得的收入。</w:t>
      </w:r>
    </w:p>
    <w:p>
      <w:pPr>
        <w:pStyle w:val="23"/>
        <w:spacing w:line="600" w:lineRule="exact"/>
        <w:ind w:firstLine="640" w:firstLineChars="200"/>
        <w:rPr>
          <w:rFonts w:ascii="黑体" w:hAnsi="黑体" w:eastAsia="黑体"/>
          <w:sz w:val="32"/>
          <w:szCs w:val="32"/>
        </w:rPr>
      </w:pPr>
      <w:r>
        <w:rPr>
          <w:rFonts w:ascii="黑体" w:hAnsi="黑体" w:eastAsia="黑体"/>
          <w:sz w:val="32"/>
          <w:szCs w:val="32"/>
        </w:rPr>
        <w:t>4.</w:t>
      </w:r>
      <w:r>
        <w:rPr>
          <w:rFonts w:hint="eastAsia" w:ascii="黑体" w:hAnsi="黑体" w:eastAsia="黑体"/>
          <w:sz w:val="32"/>
          <w:szCs w:val="32"/>
        </w:rPr>
        <w:t>其他收入：指单位取得的除上述收入以外的各项收入。</w:t>
      </w:r>
      <w:r>
        <w:rPr>
          <w:rFonts w:ascii="黑体" w:hAnsi="黑体" w:eastAsia="黑体"/>
          <w:sz w:val="32"/>
          <w:szCs w:val="32"/>
        </w:rPr>
        <w:t xml:space="preserve"> </w:t>
      </w:r>
    </w:p>
    <w:p>
      <w:pPr>
        <w:pStyle w:val="23"/>
        <w:spacing w:line="600" w:lineRule="exact"/>
        <w:ind w:firstLine="640" w:firstLineChars="200"/>
        <w:rPr>
          <w:rFonts w:ascii="黑体" w:hAnsi="黑体" w:eastAsia="黑体"/>
          <w:sz w:val="32"/>
          <w:szCs w:val="32"/>
        </w:rPr>
      </w:pPr>
      <w:r>
        <w:rPr>
          <w:rFonts w:ascii="黑体" w:hAnsi="黑体" w:eastAsia="黑体"/>
          <w:sz w:val="32"/>
          <w:szCs w:val="32"/>
        </w:rPr>
        <w:t>5.</w:t>
      </w:r>
      <w:r>
        <w:rPr>
          <w:rFonts w:hint="eastAsia" w:ascii="黑体" w:hAnsi="黑体" w:eastAsia="黑体"/>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黑体" w:hAnsi="黑体" w:eastAsia="黑体"/>
          <w:sz w:val="32"/>
          <w:szCs w:val="32"/>
        </w:rPr>
        <w:t xml:space="preserve"> </w:t>
      </w:r>
    </w:p>
    <w:p>
      <w:pPr>
        <w:pStyle w:val="23"/>
        <w:spacing w:line="600" w:lineRule="exact"/>
        <w:ind w:firstLine="640" w:firstLineChars="200"/>
        <w:rPr>
          <w:rFonts w:ascii="黑体" w:hAnsi="黑体" w:eastAsia="黑体"/>
          <w:sz w:val="32"/>
          <w:szCs w:val="32"/>
        </w:rPr>
      </w:pPr>
      <w:r>
        <w:rPr>
          <w:rFonts w:ascii="黑体" w:hAnsi="黑体" w:eastAsia="黑体"/>
          <w:sz w:val="32"/>
          <w:szCs w:val="32"/>
        </w:rPr>
        <w:t>6.</w:t>
      </w:r>
      <w:r>
        <w:rPr>
          <w:rFonts w:hint="eastAsia" w:ascii="黑体" w:hAnsi="黑体" w:eastAsia="黑体"/>
          <w:sz w:val="32"/>
          <w:szCs w:val="32"/>
        </w:rPr>
        <w:t>年初结转和结余：指以前年度尚未完成、结转到本年按有关规定继续使用的资金。</w:t>
      </w:r>
      <w:r>
        <w:rPr>
          <w:rFonts w:ascii="黑体" w:hAnsi="黑体" w:eastAsia="黑体"/>
          <w:sz w:val="32"/>
          <w:szCs w:val="32"/>
        </w:rPr>
        <w:t xml:space="preserve"> </w:t>
      </w:r>
    </w:p>
    <w:p>
      <w:pPr>
        <w:pStyle w:val="23"/>
        <w:spacing w:line="600" w:lineRule="exact"/>
        <w:ind w:firstLine="640" w:firstLineChars="200"/>
        <w:rPr>
          <w:rFonts w:ascii="黑体" w:hAnsi="黑体" w:eastAsia="黑体"/>
          <w:sz w:val="32"/>
          <w:szCs w:val="32"/>
        </w:rPr>
      </w:pPr>
      <w:r>
        <w:rPr>
          <w:rFonts w:ascii="黑体" w:hAnsi="黑体" w:eastAsia="黑体"/>
          <w:sz w:val="32"/>
          <w:szCs w:val="32"/>
        </w:rPr>
        <w:t>7.</w:t>
      </w:r>
      <w:r>
        <w:rPr>
          <w:rFonts w:hint="eastAsia" w:ascii="黑体" w:hAnsi="黑体" w:eastAsia="黑体"/>
          <w:sz w:val="32"/>
          <w:szCs w:val="32"/>
        </w:rPr>
        <w:t>结余分配：指事业单位按照事业单位会计制度的规定从非财政补助结余中分配的事业基金和职工福利基金等。</w:t>
      </w:r>
    </w:p>
    <w:p>
      <w:pPr>
        <w:pStyle w:val="23"/>
        <w:spacing w:line="600" w:lineRule="exact"/>
        <w:ind w:firstLine="640" w:firstLineChars="200"/>
        <w:rPr>
          <w:rFonts w:ascii="黑体" w:hAnsi="黑体" w:eastAsia="黑体"/>
          <w:sz w:val="32"/>
          <w:szCs w:val="32"/>
        </w:rPr>
      </w:pPr>
      <w:r>
        <w:rPr>
          <w:rFonts w:ascii="黑体" w:hAnsi="黑体" w:eastAsia="黑体"/>
          <w:sz w:val="32"/>
          <w:szCs w:val="32"/>
        </w:rPr>
        <w:t>8</w:t>
      </w:r>
      <w:r>
        <w:rPr>
          <w:rFonts w:hint="eastAsia" w:ascii="黑体" w:hAnsi="黑体" w:eastAsia="黑体"/>
          <w:sz w:val="32"/>
          <w:szCs w:val="32"/>
        </w:rPr>
        <w:t>、年末结转和结余：指单位按有关规定结转到下年或以后年度继续使用的资金。</w:t>
      </w:r>
    </w:p>
    <w:p>
      <w:pPr>
        <w:spacing w:line="600" w:lineRule="exact"/>
        <w:ind w:firstLine="640" w:firstLineChars="200"/>
        <w:rPr>
          <w:rFonts w:ascii="黑体" w:hAnsi="黑体" w:eastAsia="黑体"/>
          <w:color w:val="000000"/>
          <w:sz w:val="32"/>
          <w:szCs w:val="32"/>
        </w:rPr>
      </w:pPr>
      <w:r>
        <w:rPr>
          <w:rFonts w:ascii="黑体" w:hAnsi="黑体" w:eastAsia="黑体"/>
          <w:color w:val="000000"/>
          <w:sz w:val="32"/>
          <w:szCs w:val="32"/>
        </w:rPr>
        <w:t>9.</w:t>
      </w:r>
      <w:r>
        <w:rPr>
          <w:rFonts w:hint="eastAsia" w:ascii="黑体" w:hAnsi="黑体" w:eastAsia="黑体"/>
          <w:color w:val="000000"/>
          <w:sz w:val="32"/>
          <w:szCs w:val="32"/>
          <w:shd w:val="clear" w:color="auto" w:fill="FFFFFF"/>
        </w:rPr>
        <w:t xml:space="preserve"> 一般公共服务（类）发展与改革事务（款）行政运行（项）：指反映行政单位（包括实行公务员管理的事业单位）的基本支出。</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Fonts w:ascii="仿宋_GB2312" w:eastAsia="仿宋_GB2312"/>
          <w:color w:val="000000"/>
          <w:sz w:val="32"/>
          <w:szCs w:val="32"/>
        </w:rPr>
        <w:t>10.</w:t>
      </w:r>
      <w:r>
        <w:rPr>
          <w:rFonts w:hint="eastAsia" w:ascii="黑体" w:hAnsi="黑体" w:eastAsia="黑体"/>
          <w:color w:val="000000"/>
          <w:sz w:val="32"/>
          <w:szCs w:val="32"/>
        </w:rPr>
        <w:t xml:space="preserve"> </w:t>
      </w:r>
      <w:r>
        <w:rPr>
          <w:rStyle w:val="31"/>
          <w:rFonts w:hint="eastAsia" w:ascii="黑体" w:hAnsi="黑体" w:eastAsia="黑体"/>
          <w:color w:val="000000"/>
          <w:sz w:val="32"/>
          <w:szCs w:val="32"/>
        </w:rPr>
        <w:t>一般公共服务（类）发展与改革事务（款）一般行政管理事务（项）：指反映行政单位（包括实行公务员管理的事业单位）未单独设置项级科目的其他项目支出。</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ascii="黑体" w:hAnsi="黑体" w:eastAsia="黑体"/>
          <w:color w:val="000000"/>
          <w:sz w:val="32"/>
          <w:szCs w:val="32"/>
        </w:rPr>
        <w:t>11</w:t>
      </w:r>
      <w:r>
        <w:rPr>
          <w:rStyle w:val="31"/>
          <w:rFonts w:hint="eastAsia" w:ascii="黑体" w:hAnsi="黑体" w:eastAsia="黑体"/>
          <w:color w:val="000000"/>
          <w:sz w:val="32"/>
          <w:szCs w:val="32"/>
        </w:rPr>
        <w:t>. 一般公共服务（类）发展与改革事务（款）经济体制改革研究（项）：指反映经济体制改革与研究方面的支出。</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hint="eastAsia" w:ascii="黑体" w:hAnsi="黑体" w:eastAsia="黑体"/>
          <w:color w:val="000000"/>
          <w:sz w:val="32"/>
          <w:szCs w:val="32"/>
        </w:rPr>
        <w:t>1</w:t>
      </w:r>
      <w:r>
        <w:rPr>
          <w:rStyle w:val="31"/>
          <w:rFonts w:ascii="黑体" w:hAnsi="黑体" w:eastAsia="黑体"/>
          <w:color w:val="000000"/>
          <w:sz w:val="32"/>
          <w:szCs w:val="32"/>
        </w:rPr>
        <w:t>2</w:t>
      </w:r>
      <w:r>
        <w:rPr>
          <w:rStyle w:val="31"/>
          <w:rFonts w:hint="eastAsia" w:ascii="黑体" w:hAnsi="黑体" w:eastAsia="黑体"/>
          <w:color w:val="000000"/>
          <w:sz w:val="32"/>
          <w:szCs w:val="32"/>
        </w:rPr>
        <w:t>. 一般公共服务（类）发展与改革事务（款）物价管理（项）：指反映物价管理方面的支出。</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hint="eastAsia" w:ascii="黑体" w:hAnsi="黑体" w:eastAsia="黑体"/>
          <w:color w:val="000000"/>
          <w:sz w:val="32"/>
          <w:szCs w:val="32"/>
        </w:rPr>
        <w:t>1</w:t>
      </w:r>
      <w:r>
        <w:rPr>
          <w:rStyle w:val="31"/>
          <w:rFonts w:ascii="黑体" w:hAnsi="黑体" w:eastAsia="黑体"/>
          <w:color w:val="000000"/>
          <w:sz w:val="32"/>
          <w:szCs w:val="32"/>
        </w:rPr>
        <w:t>3</w:t>
      </w:r>
      <w:r>
        <w:rPr>
          <w:rStyle w:val="31"/>
          <w:rFonts w:hint="eastAsia" w:ascii="黑体" w:hAnsi="黑体" w:eastAsia="黑体"/>
          <w:color w:val="000000"/>
          <w:sz w:val="32"/>
          <w:szCs w:val="32"/>
        </w:rPr>
        <w:t>. 一般公共服务（类）发展与改革事务（款）事业运行（项）：指反映事业单位的基本支出，不包括行政单位（包括实行公务员管理的事业单位）后勤服务中心、医疗室等附属事业单位。</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hint="eastAsia" w:ascii="黑体" w:hAnsi="黑体" w:eastAsia="黑体"/>
          <w:color w:val="000000"/>
          <w:sz w:val="32"/>
          <w:szCs w:val="32"/>
        </w:rPr>
        <w:t>1</w:t>
      </w:r>
      <w:r>
        <w:rPr>
          <w:rStyle w:val="31"/>
          <w:rFonts w:ascii="黑体" w:hAnsi="黑体" w:eastAsia="黑体"/>
          <w:color w:val="000000"/>
          <w:sz w:val="32"/>
          <w:szCs w:val="32"/>
        </w:rPr>
        <w:t>4</w:t>
      </w:r>
      <w:r>
        <w:rPr>
          <w:rStyle w:val="31"/>
          <w:rFonts w:hint="eastAsia" w:ascii="黑体" w:hAnsi="黑体" w:eastAsia="黑体"/>
          <w:color w:val="000000"/>
          <w:sz w:val="32"/>
          <w:szCs w:val="32"/>
        </w:rPr>
        <w:t>. 科学技术事务（类）科学技术管理事务（款）行政运行</w:t>
      </w:r>
      <w:r>
        <w:rPr>
          <w:rFonts w:ascii="Calibri" w:hAnsi="Calibri" w:eastAsia="黑体" w:cs="Calibri"/>
          <w:color w:val="000000"/>
          <w:sz w:val="32"/>
          <w:szCs w:val="32"/>
        </w:rPr>
        <w:t> </w:t>
      </w:r>
      <w:r>
        <w:rPr>
          <w:rFonts w:hint="eastAsia" w:ascii="黑体" w:hAnsi="黑体" w:eastAsia="黑体"/>
          <w:color w:val="000000"/>
          <w:sz w:val="32"/>
          <w:szCs w:val="32"/>
        </w:rPr>
        <w:t>（</w:t>
      </w:r>
      <w:r>
        <w:rPr>
          <w:rStyle w:val="31"/>
          <w:rFonts w:hint="eastAsia" w:ascii="黑体" w:hAnsi="黑体" w:eastAsia="黑体"/>
          <w:color w:val="000000"/>
          <w:sz w:val="32"/>
          <w:szCs w:val="32"/>
        </w:rPr>
        <w:t>项）：指反映行政单位（包括实行公务员管理的事业单位）的基本支出。</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ascii="黑体" w:hAnsi="黑体" w:eastAsia="黑体"/>
          <w:color w:val="000000"/>
          <w:sz w:val="32"/>
          <w:szCs w:val="32"/>
        </w:rPr>
        <w:t>15</w:t>
      </w:r>
      <w:r>
        <w:rPr>
          <w:rStyle w:val="31"/>
          <w:rFonts w:hint="eastAsia" w:ascii="黑体" w:hAnsi="黑体" w:eastAsia="黑体"/>
          <w:color w:val="000000"/>
          <w:sz w:val="32"/>
          <w:szCs w:val="32"/>
        </w:rPr>
        <w:t>.科学技术事务（类）科学技术管理事务（款）其他科学技术管理事务支出（项）：指反映除上述项目以外其他用于科学技术管理事务方面的支出。</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hint="eastAsia" w:ascii="黑体" w:hAnsi="黑体" w:eastAsia="黑体"/>
          <w:color w:val="000000"/>
          <w:sz w:val="32"/>
          <w:szCs w:val="32"/>
        </w:rPr>
        <w:t>1</w:t>
      </w:r>
      <w:r>
        <w:rPr>
          <w:rStyle w:val="31"/>
          <w:rFonts w:ascii="黑体" w:hAnsi="黑体" w:eastAsia="黑体"/>
          <w:color w:val="000000"/>
          <w:sz w:val="32"/>
          <w:szCs w:val="32"/>
        </w:rPr>
        <w:t>6</w:t>
      </w:r>
      <w:r>
        <w:rPr>
          <w:rStyle w:val="31"/>
          <w:rFonts w:hint="eastAsia" w:ascii="黑体" w:hAnsi="黑体" w:eastAsia="黑体"/>
          <w:color w:val="000000"/>
          <w:sz w:val="32"/>
          <w:szCs w:val="32"/>
        </w:rPr>
        <w:t>. 科学技术事务（类）应用研究（款）高技术研究（项）：</w:t>
      </w:r>
    </w:p>
    <w:p>
      <w:pPr>
        <w:pStyle w:val="33"/>
        <w:shd w:val="clear" w:color="auto" w:fill="FFFFFF"/>
        <w:spacing w:before="93" w:beforeAutospacing="0" w:after="0" w:afterAutospacing="0" w:line="600" w:lineRule="exact"/>
        <w:rPr>
          <w:rFonts w:ascii="黑体" w:hAnsi="黑体" w:eastAsia="黑体"/>
          <w:color w:val="000000"/>
          <w:sz w:val="32"/>
          <w:szCs w:val="32"/>
        </w:rPr>
      </w:pPr>
      <w:r>
        <w:rPr>
          <w:rStyle w:val="31"/>
          <w:rFonts w:hint="eastAsia" w:ascii="黑体" w:hAnsi="黑体" w:eastAsia="黑体"/>
          <w:color w:val="000000"/>
          <w:sz w:val="32"/>
          <w:szCs w:val="32"/>
        </w:rPr>
        <w:t>指反映为解决事关国民经济长远发展和国家安全等重大战略性、前沿性和前瞻性高技术问题而开展的研究工作支出。</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hint="eastAsia" w:ascii="黑体" w:hAnsi="黑体" w:eastAsia="黑体"/>
          <w:color w:val="000000"/>
          <w:sz w:val="32"/>
          <w:szCs w:val="32"/>
        </w:rPr>
        <w:t>1</w:t>
      </w:r>
      <w:r>
        <w:rPr>
          <w:rStyle w:val="31"/>
          <w:rFonts w:ascii="黑体" w:hAnsi="黑体" w:eastAsia="黑体"/>
          <w:color w:val="000000"/>
          <w:sz w:val="32"/>
          <w:szCs w:val="32"/>
        </w:rPr>
        <w:t>7</w:t>
      </w:r>
      <w:r>
        <w:rPr>
          <w:rStyle w:val="31"/>
          <w:rFonts w:hint="eastAsia" w:ascii="黑体" w:hAnsi="黑体" w:eastAsia="黑体"/>
          <w:color w:val="000000"/>
          <w:sz w:val="32"/>
          <w:szCs w:val="32"/>
        </w:rPr>
        <w:t>. 科学技术事务（类）技术研究与开发（款）应用技术研</w:t>
      </w:r>
      <w:r>
        <w:rPr>
          <w:rFonts w:ascii="Calibri" w:hAnsi="Calibri" w:eastAsia="黑体" w:cs="Calibri"/>
          <w:color w:val="000000"/>
          <w:sz w:val="32"/>
          <w:szCs w:val="32"/>
        </w:rPr>
        <w:t> </w:t>
      </w:r>
      <w:r>
        <w:rPr>
          <w:rStyle w:val="31"/>
          <w:rFonts w:hint="eastAsia" w:ascii="黑体" w:hAnsi="黑体" w:eastAsia="黑体"/>
          <w:color w:val="000000"/>
          <w:sz w:val="32"/>
          <w:szCs w:val="32"/>
        </w:rPr>
        <w:t>究与开发（项）：指反映从事技术开发研究和近期可望取得实用价值的专项技术开发研究的支出。</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hint="eastAsia" w:ascii="黑体" w:hAnsi="黑体" w:eastAsia="黑体"/>
          <w:color w:val="000000"/>
          <w:sz w:val="32"/>
          <w:szCs w:val="32"/>
        </w:rPr>
        <w:t>1</w:t>
      </w:r>
      <w:r>
        <w:rPr>
          <w:rStyle w:val="31"/>
          <w:rFonts w:ascii="黑体" w:hAnsi="黑体" w:eastAsia="黑体"/>
          <w:color w:val="000000"/>
          <w:sz w:val="32"/>
          <w:szCs w:val="32"/>
        </w:rPr>
        <w:t>8</w:t>
      </w:r>
      <w:r>
        <w:rPr>
          <w:rStyle w:val="31"/>
          <w:rFonts w:hint="eastAsia" w:ascii="黑体" w:hAnsi="黑体" w:eastAsia="黑体"/>
          <w:color w:val="000000"/>
          <w:sz w:val="32"/>
          <w:szCs w:val="32"/>
        </w:rPr>
        <w:t>. 科学技术事务（类）技术研究与开发（款）其他技术研</w:t>
      </w:r>
      <w:r>
        <w:rPr>
          <w:rFonts w:ascii="Calibri" w:hAnsi="Calibri" w:eastAsia="黑体" w:cs="Calibri"/>
          <w:color w:val="000000"/>
          <w:sz w:val="32"/>
          <w:szCs w:val="32"/>
        </w:rPr>
        <w:t> </w:t>
      </w:r>
      <w:r>
        <w:rPr>
          <w:rStyle w:val="31"/>
          <w:rFonts w:hint="eastAsia" w:ascii="黑体" w:hAnsi="黑体" w:eastAsia="黑体"/>
          <w:color w:val="000000"/>
          <w:sz w:val="32"/>
          <w:szCs w:val="32"/>
        </w:rPr>
        <w:t>究与开发支出（项）：指反映除上述项目以外其他用于技术研究与开发方面的支出。</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hint="eastAsia" w:ascii="黑体" w:hAnsi="黑体" w:eastAsia="黑体"/>
          <w:color w:val="000000"/>
          <w:sz w:val="32"/>
          <w:szCs w:val="32"/>
        </w:rPr>
        <w:t>1</w:t>
      </w:r>
      <w:r>
        <w:rPr>
          <w:rStyle w:val="31"/>
          <w:rFonts w:ascii="黑体" w:hAnsi="黑体" w:eastAsia="黑体"/>
          <w:color w:val="000000"/>
          <w:sz w:val="32"/>
          <w:szCs w:val="32"/>
        </w:rPr>
        <w:t>9</w:t>
      </w:r>
      <w:r>
        <w:rPr>
          <w:rStyle w:val="31"/>
          <w:rFonts w:hint="eastAsia" w:ascii="黑体" w:hAnsi="黑体" w:eastAsia="黑体"/>
          <w:color w:val="000000"/>
          <w:sz w:val="32"/>
          <w:szCs w:val="32"/>
        </w:rPr>
        <w:t>. 科学技术事务（类）科技条件与服务（款）机构运行（项）：指反映科技服务机构的基本支出。</w:t>
      </w:r>
    </w:p>
    <w:p>
      <w:pPr>
        <w:pStyle w:val="33"/>
        <w:shd w:val="clear" w:color="auto" w:fill="FFFFFF"/>
        <w:spacing w:before="93" w:beforeAutospacing="0" w:after="0" w:afterAutospacing="0" w:line="600" w:lineRule="exact"/>
        <w:rPr>
          <w:rFonts w:ascii="黑体" w:hAnsi="黑体" w:eastAsia="黑体"/>
          <w:color w:val="000000"/>
          <w:sz w:val="32"/>
          <w:szCs w:val="32"/>
        </w:rPr>
      </w:pPr>
      <w:r>
        <w:rPr>
          <w:rStyle w:val="31"/>
          <w:rFonts w:hint="eastAsia" w:ascii="黑体" w:hAnsi="黑体" w:eastAsia="黑体"/>
          <w:color w:val="000000"/>
          <w:sz w:val="32"/>
          <w:szCs w:val="32"/>
        </w:rPr>
        <w:t>18. 科学技术事务（类）其他科学技术支出（款）其他科学技术支出（项）：指反映其他科学技术支出中除以上各项外用于科技方面的支出。</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ascii="黑体" w:hAnsi="黑体" w:eastAsia="黑体"/>
          <w:color w:val="000000"/>
          <w:sz w:val="32"/>
          <w:szCs w:val="32"/>
        </w:rPr>
        <w:t>20</w:t>
      </w:r>
      <w:r>
        <w:rPr>
          <w:rStyle w:val="31"/>
          <w:rFonts w:hint="eastAsia" w:ascii="黑体" w:hAnsi="黑体" w:eastAsia="黑体"/>
          <w:color w:val="000000"/>
          <w:sz w:val="32"/>
          <w:szCs w:val="32"/>
        </w:rPr>
        <w:t>. 社会保障和就业支出（类）行政事业单位离退休（款）</w:t>
      </w:r>
      <w:r>
        <w:rPr>
          <w:rFonts w:ascii="Calibri" w:hAnsi="Calibri" w:eastAsia="黑体" w:cs="Calibri"/>
          <w:color w:val="000000"/>
          <w:sz w:val="32"/>
          <w:szCs w:val="32"/>
        </w:rPr>
        <w:t> </w:t>
      </w:r>
      <w:r>
        <w:rPr>
          <w:rStyle w:val="31"/>
          <w:rFonts w:hint="eastAsia" w:ascii="黑体" w:hAnsi="黑体" w:eastAsia="黑体"/>
          <w:color w:val="000000"/>
          <w:sz w:val="32"/>
          <w:szCs w:val="32"/>
        </w:rPr>
        <w:t>未归口管理的行政单位离退休（项）：指反映未实行归口管理的行政单位（包括实行公务员管理的事业单位）开支的离退休支出。</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hint="eastAsia" w:ascii="黑体" w:hAnsi="黑体" w:eastAsia="黑体"/>
          <w:color w:val="000000"/>
          <w:sz w:val="32"/>
          <w:szCs w:val="32"/>
        </w:rPr>
        <w:t>2</w:t>
      </w:r>
      <w:r>
        <w:rPr>
          <w:rStyle w:val="31"/>
          <w:rFonts w:ascii="黑体" w:hAnsi="黑体" w:eastAsia="黑体"/>
          <w:color w:val="000000"/>
          <w:sz w:val="32"/>
          <w:szCs w:val="32"/>
        </w:rPr>
        <w:t>1</w:t>
      </w:r>
      <w:r>
        <w:rPr>
          <w:rStyle w:val="31"/>
          <w:rFonts w:hint="eastAsia" w:ascii="黑体" w:hAnsi="黑体" w:eastAsia="黑体"/>
          <w:color w:val="000000"/>
          <w:sz w:val="32"/>
          <w:szCs w:val="32"/>
        </w:rPr>
        <w:t>. 社会保障和就业支出（类）行政事业单位离退休（款）</w:t>
      </w:r>
      <w:r>
        <w:rPr>
          <w:rFonts w:ascii="Calibri" w:hAnsi="Calibri" w:eastAsia="黑体" w:cs="Calibri"/>
          <w:color w:val="000000"/>
          <w:sz w:val="32"/>
          <w:szCs w:val="32"/>
        </w:rPr>
        <w:t> </w:t>
      </w:r>
      <w:r>
        <w:rPr>
          <w:rStyle w:val="31"/>
          <w:rFonts w:hint="eastAsia" w:ascii="黑体" w:hAnsi="黑体" w:eastAsia="黑体"/>
          <w:color w:val="000000"/>
          <w:sz w:val="32"/>
          <w:szCs w:val="32"/>
        </w:rPr>
        <w:t>机关事业单位基本养老保险缴费支出（项）：指反映机关事业单位实施养老保险制度由单位缴纳的基本养老保险费支出。</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hint="eastAsia" w:ascii="黑体" w:hAnsi="黑体" w:eastAsia="黑体"/>
          <w:color w:val="000000"/>
          <w:sz w:val="32"/>
          <w:szCs w:val="32"/>
        </w:rPr>
        <w:t>2</w:t>
      </w:r>
      <w:r>
        <w:rPr>
          <w:rStyle w:val="31"/>
          <w:rFonts w:ascii="黑体" w:hAnsi="黑体" w:eastAsia="黑体"/>
          <w:color w:val="000000"/>
          <w:sz w:val="32"/>
          <w:szCs w:val="32"/>
        </w:rPr>
        <w:t>2</w:t>
      </w:r>
      <w:r>
        <w:rPr>
          <w:rStyle w:val="31"/>
          <w:rFonts w:hint="eastAsia" w:ascii="黑体" w:hAnsi="黑体" w:eastAsia="黑体"/>
          <w:color w:val="000000"/>
          <w:sz w:val="32"/>
          <w:szCs w:val="32"/>
        </w:rPr>
        <w:t>. 社会保障和就业支出（类）抚恤（款）死亡抚恤（项）：指反映按规定用于烈士和牺牲、病故人员家属的一次性和伤残补助费。</w:t>
      </w:r>
    </w:p>
    <w:p>
      <w:pPr>
        <w:pStyle w:val="33"/>
        <w:shd w:val="clear" w:color="auto" w:fill="FFFFFF"/>
        <w:spacing w:before="93" w:beforeAutospacing="0" w:after="0" w:afterAutospacing="0" w:line="600" w:lineRule="exact"/>
        <w:ind w:firstLine="707" w:firstLineChars="221"/>
        <w:rPr>
          <w:rFonts w:ascii="黑体" w:hAnsi="黑体" w:eastAsia="黑体"/>
          <w:color w:val="000000"/>
          <w:sz w:val="32"/>
          <w:szCs w:val="32"/>
        </w:rPr>
      </w:pPr>
      <w:r>
        <w:rPr>
          <w:rStyle w:val="31"/>
          <w:rFonts w:hint="eastAsia" w:ascii="黑体" w:hAnsi="黑体" w:eastAsia="黑体"/>
          <w:color w:val="000000"/>
          <w:sz w:val="32"/>
          <w:szCs w:val="32"/>
        </w:rPr>
        <w:t>2</w:t>
      </w:r>
      <w:r>
        <w:rPr>
          <w:rStyle w:val="31"/>
          <w:rFonts w:ascii="黑体" w:hAnsi="黑体" w:eastAsia="黑体"/>
          <w:color w:val="000000"/>
          <w:sz w:val="32"/>
          <w:szCs w:val="32"/>
        </w:rPr>
        <w:t>3</w:t>
      </w:r>
      <w:r>
        <w:rPr>
          <w:rStyle w:val="31"/>
          <w:rFonts w:hint="eastAsia" w:ascii="黑体" w:hAnsi="黑体" w:eastAsia="黑体"/>
          <w:color w:val="000000"/>
          <w:sz w:val="32"/>
          <w:szCs w:val="32"/>
        </w:rPr>
        <w:t>. 医疗卫生与计划生育支出（类）医疗保障（款）行政单位医疗（项）：指反映财政部门集中安排的行政单位基本医疗保险缴费经费，未参加医疗保险的行政单位的公费医疗经费，按国家规定享受离休人员、红军老战士待遇人员的医疗经费。</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hint="eastAsia" w:ascii="黑体" w:hAnsi="黑体" w:eastAsia="黑体"/>
          <w:color w:val="000000"/>
          <w:sz w:val="32"/>
          <w:szCs w:val="32"/>
        </w:rPr>
        <w:t>2</w:t>
      </w:r>
      <w:r>
        <w:rPr>
          <w:rStyle w:val="31"/>
          <w:rFonts w:ascii="黑体" w:hAnsi="黑体" w:eastAsia="黑体"/>
          <w:color w:val="000000"/>
          <w:sz w:val="32"/>
          <w:szCs w:val="32"/>
        </w:rPr>
        <w:t>4</w:t>
      </w:r>
      <w:r>
        <w:rPr>
          <w:rStyle w:val="31"/>
          <w:rFonts w:hint="eastAsia" w:ascii="黑体" w:hAnsi="黑体" w:eastAsia="黑体"/>
          <w:color w:val="000000"/>
          <w:sz w:val="32"/>
          <w:szCs w:val="32"/>
        </w:rPr>
        <w:t>.医疗卫生与计划生育支出（类）医疗保障（款）其他医疗保障支出（项）:指反映除上述项目以外其他用于医疗保障方面的支出。</w:t>
      </w:r>
    </w:p>
    <w:p>
      <w:pPr>
        <w:pStyle w:val="33"/>
        <w:shd w:val="clear" w:color="auto" w:fill="FFFFFF"/>
        <w:spacing w:before="93" w:beforeAutospacing="0" w:after="0" w:afterAutospacing="0" w:line="600" w:lineRule="exact"/>
        <w:ind w:firstLine="640"/>
        <w:rPr>
          <w:rStyle w:val="31"/>
          <w:rFonts w:ascii="黑体" w:hAnsi="黑体" w:eastAsia="黑体"/>
          <w:color w:val="000000"/>
          <w:sz w:val="32"/>
          <w:szCs w:val="32"/>
        </w:rPr>
      </w:pPr>
      <w:r>
        <w:rPr>
          <w:rStyle w:val="31"/>
          <w:rFonts w:hint="eastAsia" w:ascii="黑体" w:hAnsi="黑体" w:eastAsia="黑体"/>
          <w:color w:val="000000"/>
          <w:sz w:val="32"/>
          <w:szCs w:val="32"/>
        </w:rPr>
        <w:t>2</w:t>
      </w:r>
      <w:r>
        <w:rPr>
          <w:rStyle w:val="31"/>
          <w:rFonts w:ascii="黑体" w:hAnsi="黑体" w:eastAsia="黑体"/>
          <w:color w:val="000000"/>
          <w:sz w:val="32"/>
          <w:szCs w:val="32"/>
        </w:rPr>
        <w:t>5</w:t>
      </w:r>
      <w:r>
        <w:rPr>
          <w:rStyle w:val="31"/>
          <w:rFonts w:hint="eastAsia" w:ascii="黑体" w:hAnsi="黑体" w:eastAsia="黑体"/>
          <w:color w:val="000000"/>
          <w:sz w:val="32"/>
          <w:szCs w:val="32"/>
        </w:rPr>
        <w:t>.住房保障支出（类）住房改革支出（款）住房公积金（项）:指反映行政事业单位按人力资源和社会保障部、财政部规定的基本工资和津贴补贴以及规定比例为职工缴纳的住房公积金。</w:t>
      </w:r>
    </w:p>
    <w:p>
      <w:pPr>
        <w:pStyle w:val="33"/>
        <w:shd w:val="clear" w:color="auto" w:fill="FFFFFF"/>
        <w:spacing w:before="93" w:beforeAutospacing="0" w:after="0" w:afterAutospacing="0" w:line="600" w:lineRule="exact"/>
        <w:ind w:firstLine="640"/>
        <w:rPr>
          <w:rFonts w:ascii="黑体" w:hAnsi="黑体" w:eastAsia="黑体"/>
          <w:color w:val="000000"/>
          <w:sz w:val="32"/>
          <w:szCs w:val="32"/>
        </w:rPr>
      </w:pPr>
      <w:r>
        <w:rPr>
          <w:rStyle w:val="31"/>
          <w:rFonts w:hint="eastAsia" w:ascii="黑体" w:hAnsi="黑体" w:eastAsia="黑体"/>
          <w:color w:val="000000"/>
          <w:sz w:val="32"/>
          <w:szCs w:val="32"/>
        </w:rPr>
        <w:t>2</w:t>
      </w:r>
      <w:r>
        <w:rPr>
          <w:rStyle w:val="31"/>
          <w:rFonts w:ascii="黑体" w:hAnsi="黑体" w:eastAsia="黑体"/>
          <w:color w:val="000000"/>
          <w:sz w:val="32"/>
          <w:szCs w:val="32"/>
        </w:rPr>
        <w:t>6.</w:t>
      </w:r>
      <w:r>
        <w:rPr>
          <w:rStyle w:val="31"/>
          <w:rFonts w:hint="eastAsia" w:ascii="黑体" w:hAnsi="黑体" w:eastAsia="黑体"/>
          <w:color w:val="000000"/>
        </w:rPr>
        <w:t xml:space="preserve"> </w:t>
      </w:r>
      <w:r>
        <w:rPr>
          <w:rStyle w:val="31"/>
          <w:rFonts w:hint="eastAsia" w:ascii="黑体" w:hAnsi="黑体" w:eastAsia="黑体"/>
          <w:color w:val="000000"/>
          <w:sz w:val="32"/>
          <w:szCs w:val="32"/>
        </w:rPr>
        <w:t>农林水支出（类）扶贫（款）农村基础设施建设（项）：指反映用于农村贫困地区乡村道路、住房、基本农田、水利设施、人畜饮水、生态环境保护等生产生活条件改善方面的支出。</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pPr>
        <w:spacing w:line="600" w:lineRule="exact"/>
        <w:ind w:firstLine="640" w:firstLineChars="200"/>
        <w:rPr>
          <w:rFonts w:ascii="黑体" w:hAnsi="黑体" w:eastAsia="黑体"/>
          <w:color w:val="000000"/>
          <w:sz w:val="32"/>
          <w:szCs w:val="32"/>
        </w:rPr>
      </w:pPr>
      <w:r>
        <w:rPr>
          <w:rFonts w:ascii="黑体" w:hAnsi="黑体" w:eastAsia="黑体"/>
          <w:color w:val="000000"/>
          <w:sz w:val="32"/>
          <w:szCs w:val="32"/>
        </w:rPr>
        <w:t>27.</w:t>
      </w:r>
      <w:r>
        <w:rPr>
          <w:rFonts w:hint="eastAsia" w:ascii="黑体" w:hAnsi="黑体" w:eastAsia="黑体"/>
          <w:color w:val="000000"/>
          <w:sz w:val="32"/>
          <w:szCs w:val="32"/>
        </w:rPr>
        <w:t>基本支出：指为保障机构正常运转、完成日常工作任务而发生的人员支出和公用支出。</w:t>
      </w:r>
    </w:p>
    <w:p>
      <w:pPr>
        <w:spacing w:line="600" w:lineRule="exact"/>
        <w:ind w:firstLine="640" w:firstLineChars="200"/>
        <w:rPr>
          <w:rFonts w:ascii="黑体" w:hAnsi="黑体" w:eastAsia="黑体"/>
          <w:color w:val="000000"/>
          <w:sz w:val="32"/>
          <w:szCs w:val="32"/>
        </w:rPr>
      </w:pPr>
      <w:r>
        <w:rPr>
          <w:rFonts w:ascii="黑体" w:hAnsi="黑体" w:eastAsia="黑体"/>
          <w:color w:val="000000"/>
          <w:sz w:val="32"/>
          <w:szCs w:val="32"/>
        </w:rPr>
        <w:t>28.</w:t>
      </w:r>
      <w:r>
        <w:rPr>
          <w:rFonts w:hint="eastAsia" w:ascii="黑体" w:hAnsi="黑体" w:eastAsia="黑体"/>
          <w:color w:val="000000"/>
          <w:sz w:val="32"/>
          <w:szCs w:val="32"/>
        </w:rPr>
        <w:t>项目支出：指在基本支出之外为完成特定行政任务和事业发展目标所发生的支出。</w:t>
      </w:r>
      <w:r>
        <w:rPr>
          <w:rFonts w:ascii="黑体" w:hAnsi="黑体" w:eastAsia="黑体"/>
          <w:color w:val="000000"/>
          <w:sz w:val="32"/>
          <w:szCs w:val="32"/>
        </w:rPr>
        <w:t xml:space="preserve"> </w:t>
      </w:r>
    </w:p>
    <w:p>
      <w:pPr>
        <w:spacing w:line="600" w:lineRule="exact"/>
        <w:ind w:firstLine="640" w:firstLineChars="200"/>
        <w:rPr>
          <w:rFonts w:ascii="黑体" w:hAnsi="黑体" w:eastAsia="黑体"/>
          <w:color w:val="000000"/>
          <w:sz w:val="32"/>
          <w:szCs w:val="32"/>
        </w:rPr>
      </w:pPr>
      <w:r>
        <w:rPr>
          <w:rFonts w:ascii="黑体" w:hAnsi="黑体" w:eastAsia="黑体"/>
          <w:color w:val="000000"/>
          <w:sz w:val="32"/>
          <w:szCs w:val="32"/>
        </w:rPr>
        <w:t>29.</w:t>
      </w:r>
      <w:r>
        <w:rPr>
          <w:rFonts w:hint="eastAsia" w:ascii="黑体" w:hAnsi="黑体" w:eastAsia="黑体"/>
          <w:color w:val="000000"/>
          <w:sz w:val="32"/>
          <w:szCs w:val="32"/>
        </w:rPr>
        <w:t>经营支出：指事业单位在专业业务活动及其辅助活动之外开展非独立核算经营活动发生的支出。</w:t>
      </w:r>
    </w:p>
    <w:p>
      <w:pPr>
        <w:pStyle w:val="23"/>
        <w:spacing w:line="600" w:lineRule="exact"/>
        <w:ind w:firstLine="640" w:firstLineChars="200"/>
        <w:rPr>
          <w:rFonts w:ascii="黑体" w:hAnsi="黑体" w:eastAsia="黑体"/>
          <w:sz w:val="32"/>
          <w:szCs w:val="32"/>
        </w:rPr>
      </w:pPr>
      <w:r>
        <w:rPr>
          <w:rFonts w:ascii="黑体" w:hAnsi="黑体" w:eastAsia="黑体"/>
          <w:sz w:val="32"/>
          <w:szCs w:val="32"/>
        </w:rPr>
        <w:t>30.</w:t>
      </w:r>
      <w:r>
        <w:rPr>
          <w:rFonts w:hint="eastAsia" w:ascii="黑体" w:hAnsi="黑体" w:eastAsia="黑体"/>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600" w:lineRule="exact"/>
        <w:ind w:firstLine="640" w:firstLineChars="200"/>
        <w:rPr>
          <w:rFonts w:ascii="黑体" w:hAnsi="黑体" w:eastAsia="黑体"/>
          <w:sz w:val="32"/>
          <w:szCs w:val="32"/>
        </w:rPr>
      </w:pPr>
      <w:r>
        <w:rPr>
          <w:rFonts w:ascii="黑体" w:hAnsi="黑体" w:eastAsia="黑体"/>
          <w:sz w:val="32"/>
          <w:szCs w:val="32"/>
        </w:rPr>
        <w:t>31.</w:t>
      </w:r>
      <w:r>
        <w:rPr>
          <w:rFonts w:hint="eastAsia" w:ascii="黑体" w:hAnsi="黑体" w:eastAsia="黑体"/>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spacing w:line="600" w:lineRule="exact"/>
        <w:ind w:firstLine="640" w:firstLineChars="200"/>
        <w:rPr>
          <w:rFonts w:ascii="仿宋_GB2312" w:eastAsia="仿宋_GB2312" w:cs="黑体"/>
          <w:sz w:val="32"/>
          <w:szCs w:val="32"/>
        </w:rPr>
      </w:pPr>
    </w:p>
    <w:p>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25"/>
          <w:rFonts w:ascii="黑体" w:hAnsi="黑体" w:eastAsia="黑体"/>
          <w:b w:val="0"/>
        </w:rPr>
      </w:pPr>
      <w:bookmarkStart w:id="60" w:name="_Toc15377226"/>
      <w:r>
        <w:rPr>
          <w:rFonts w:ascii="宋体"/>
          <w:b/>
          <w:color w:val="000000"/>
          <w:sz w:val="44"/>
          <w:szCs w:val="44"/>
        </w:rPr>
        <w:br w:type="page"/>
      </w:r>
      <w:bookmarkStart w:id="61"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61"/>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600" w:lineRule="exact"/>
        <w:jc w:val="center"/>
        <w:rPr>
          <w:rFonts w:ascii="方正小标宋简体" w:hAnsi="方正小标宋简体" w:eastAsia="方正小标宋简体" w:cs="方正小标宋简体"/>
          <w:sz w:val="44"/>
          <w:szCs w:val="44"/>
        </w:rPr>
      </w:pPr>
    </w:p>
    <w:p>
      <w:pPr>
        <w:widowControl/>
        <w:spacing w:line="580" w:lineRule="exact"/>
        <w:jc w:val="center"/>
        <w:rPr>
          <w:rFonts w:ascii="方正小标宋_GBK" w:hAnsi="宋体" w:eastAsia="方正小标宋_GBK"/>
          <w:b/>
          <w:sz w:val="44"/>
          <w:szCs w:val="44"/>
          <w:shd w:val="clear" w:color="auto" w:fill="FFFFFF"/>
        </w:rPr>
      </w:pPr>
      <w:r>
        <w:rPr>
          <w:rFonts w:hint="eastAsia" w:ascii="方正小标宋_GBK" w:hAnsi="宋体" w:eastAsia="方正小标宋_GBK"/>
          <w:b/>
          <w:sz w:val="44"/>
          <w:szCs w:val="44"/>
          <w:shd w:val="clear" w:color="auto" w:fill="FFFFFF"/>
        </w:rPr>
        <w:t>峨眉山市发展</w:t>
      </w:r>
      <w:r>
        <w:rPr>
          <w:rFonts w:hint="eastAsia" w:ascii="宋体" w:hAnsi="宋体" w:cs="宋体"/>
          <w:b/>
          <w:sz w:val="44"/>
          <w:szCs w:val="44"/>
          <w:shd w:val="clear" w:color="auto" w:fill="FFFFFF"/>
        </w:rPr>
        <w:t>和</w:t>
      </w:r>
      <w:r>
        <w:rPr>
          <w:rFonts w:hint="eastAsia" w:ascii="方正小标宋_GBK" w:hAnsi="宋体" w:eastAsia="方正小标宋_GBK"/>
          <w:b/>
          <w:sz w:val="44"/>
          <w:szCs w:val="44"/>
          <w:shd w:val="clear" w:color="auto" w:fill="FFFFFF"/>
        </w:rPr>
        <w:t>改革局</w:t>
      </w:r>
    </w:p>
    <w:p>
      <w:pPr>
        <w:widowControl/>
        <w:spacing w:line="580" w:lineRule="exact"/>
        <w:jc w:val="center"/>
        <w:rPr>
          <w:rFonts w:ascii="方正小标宋_GBK" w:hAnsi="宋体" w:eastAsia="方正小标宋_GBK"/>
          <w:b/>
          <w:sz w:val="44"/>
          <w:szCs w:val="44"/>
          <w:shd w:val="clear" w:color="auto" w:fill="FFFFFF"/>
        </w:rPr>
      </w:pPr>
      <w:r>
        <w:rPr>
          <w:rFonts w:hint="eastAsia" w:ascii="方正小标宋_GBK" w:hAnsi="宋体" w:eastAsia="方正小标宋_GBK"/>
          <w:b/>
          <w:sz w:val="44"/>
          <w:szCs w:val="44"/>
          <w:shd w:val="clear" w:color="auto" w:fill="FFFFFF"/>
        </w:rPr>
        <w:t>2019年部门整体支出绩效评价报告</w:t>
      </w:r>
    </w:p>
    <w:p>
      <w:pPr>
        <w:widowControl/>
        <w:adjustRightInd w:val="0"/>
        <w:snapToGrid w:val="0"/>
        <w:spacing w:line="580" w:lineRule="exact"/>
        <w:ind w:firstLine="720"/>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720"/>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spacing w:line="60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峨眉山市发改局为市政府工作部门之一，下属二级预算单位2个，其中：峨眉山市价格认证中心和峨眉山市科技开发和生产力促进中心属全额拨款事业单位。</w:t>
      </w:r>
    </w:p>
    <w:p>
      <w:pPr>
        <w:spacing w:line="600" w:lineRule="exact"/>
        <w:ind w:firstLine="640" w:firstLineChars="200"/>
        <w:outlineLvl w:val="1"/>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pPr>
        <w:pStyle w:val="32"/>
        <w:shd w:val="clear" w:color="auto" w:fill="FFFFFF"/>
        <w:spacing w:before="93" w:beforeAutospacing="0" w:after="0" w:afterAutospacing="0" w:line="600" w:lineRule="exact"/>
        <w:ind w:firstLine="720"/>
        <w:rPr>
          <w:rFonts w:ascii="仿宋" w:hAnsi="仿宋" w:eastAsia="仿宋" w:cs="仿宋"/>
          <w:color w:val="000000"/>
          <w:sz w:val="21"/>
          <w:szCs w:val="21"/>
        </w:rPr>
      </w:pPr>
      <w:r>
        <w:rPr>
          <w:rStyle w:val="31"/>
          <w:rFonts w:hint="eastAsia" w:ascii="仿宋" w:hAnsi="仿宋" w:eastAsia="仿宋" w:cs="仿宋"/>
          <w:color w:val="000000"/>
          <w:sz w:val="32"/>
          <w:szCs w:val="32"/>
        </w:rPr>
        <w:t>1、贯彻实施国家和省有关国民经济和社会发展、科技发展、人口与计划生育、经济体制改革的方针、政策和法律、法规。拟订全市国民经济和社会发展、科学技术进步、人口发展、经济体制改革、对外开放的有关地方性规范性文件和政策措施。负责本部门依法行政工作，落实行政执法责任制。</w:t>
      </w:r>
    </w:p>
    <w:p>
      <w:pPr>
        <w:pStyle w:val="32"/>
        <w:shd w:val="clear" w:color="auto" w:fill="FFFFFF"/>
        <w:spacing w:before="93" w:beforeAutospacing="0" w:after="0" w:afterAutospacing="0" w:line="600" w:lineRule="exact"/>
        <w:ind w:firstLine="720"/>
        <w:rPr>
          <w:rFonts w:ascii="仿宋" w:hAnsi="仿宋" w:eastAsia="仿宋" w:cs="仿宋"/>
          <w:color w:val="000000"/>
          <w:sz w:val="21"/>
          <w:szCs w:val="21"/>
        </w:rPr>
      </w:pPr>
      <w:r>
        <w:rPr>
          <w:rStyle w:val="31"/>
          <w:rFonts w:hint="eastAsia" w:ascii="仿宋" w:hAnsi="仿宋" w:eastAsia="仿宋" w:cs="仿宋"/>
          <w:color w:val="000000"/>
          <w:sz w:val="32"/>
          <w:szCs w:val="32"/>
        </w:rPr>
        <w:t>2、负责拟订并组织实施全市国民经济和社会发展、科技与人口发展战略，中长期规划和年度计划。统筹协调全市经济社会科技发展，研究分析宏观经济形势，提出全市经济社会发展、科技创新运用、经济结构优化、人口发展、价格总水平调控目标和政策的建议。受市政府委托向市人大提交国民经济和社会发展计划报告。</w:t>
      </w:r>
    </w:p>
    <w:p>
      <w:pPr>
        <w:pStyle w:val="32"/>
        <w:shd w:val="clear" w:color="auto" w:fill="FFFFFF"/>
        <w:spacing w:before="93" w:beforeAutospacing="0" w:after="0" w:afterAutospacing="0" w:line="600" w:lineRule="exact"/>
        <w:ind w:firstLine="720"/>
        <w:rPr>
          <w:rFonts w:ascii="仿宋" w:hAnsi="仿宋" w:eastAsia="仿宋" w:cs="仿宋"/>
          <w:color w:val="000000"/>
          <w:sz w:val="21"/>
          <w:szCs w:val="21"/>
        </w:rPr>
      </w:pPr>
      <w:r>
        <w:rPr>
          <w:rStyle w:val="31"/>
          <w:rFonts w:hint="eastAsia" w:ascii="仿宋" w:hAnsi="仿宋" w:eastAsia="仿宋" w:cs="仿宋"/>
          <w:color w:val="000000"/>
          <w:sz w:val="32"/>
          <w:szCs w:val="32"/>
        </w:rPr>
        <w:t>3、负责监测宏观经济和社会发展态势，承担预测预警和信息引导的责任，研究宏观调控重大问题并提出政策建议，搞好总量平衡，综合协调经济社会发展中的重大问题。</w:t>
      </w:r>
    </w:p>
    <w:p>
      <w:pPr>
        <w:pStyle w:val="32"/>
        <w:shd w:val="clear" w:color="auto" w:fill="FFFFFF"/>
        <w:spacing w:before="93" w:beforeAutospacing="0" w:after="0" w:afterAutospacing="0" w:line="600" w:lineRule="exact"/>
        <w:ind w:firstLine="720"/>
        <w:rPr>
          <w:rFonts w:ascii="仿宋" w:hAnsi="仿宋" w:eastAsia="仿宋" w:cs="仿宋"/>
          <w:color w:val="000000"/>
          <w:sz w:val="21"/>
          <w:szCs w:val="21"/>
        </w:rPr>
      </w:pPr>
      <w:r>
        <w:rPr>
          <w:rStyle w:val="31"/>
          <w:rFonts w:hint="eastAsia" w:ascii="仿宋" w:hAnsi="仿宋" w:eastAsia="仿宋" w:cs="仿宋"/>
          <w:color w:val="000000"/>
          <w:sz w:val="32"/>
          <w:szCs w:val="32"/>
        </w:rPr>
        <w:t>4、负责汇总分析全市财政、金融等方面情况，参与制订财政、金融、土地政策，综合分析政策执行效果，提出多渠道</w:t>
      </w:r>
      <w:r>
        <w:rPr>
          <w:rFonts w:hint="eastAsia" w:ascii="仿宋" w:hAnsi="仿宋" w:eastAsia="仿宋" w:cs="仿宋"/>
          <w:color w:val="000000"/>
          <w:sz w:val="32"/>
          <w:szCs w:val="32"/>
        </w:rPr>
        <w:t>融资的政策建议，综合协调财政、金融、价格和产业政策等经济杠杆，保证全市国民经济计划和发展规划、计划的实施。</w:t>
      </w:r>
    </w:p>
    <w:p>
      <w:pPr>
        <w:widowControl/>
        <w:shd w:val="clear" w:color="auto" w:fill="FFFFFF"/>
        <w:spacing w:line="600" w:lineRule="exact"/>
        <w:ind w:firstLine="720"/>
        <w:jc w:val="left"/>
        <w:rPr>
          <w:rFonts w:ascii="仿宋" w:hAnsi="仿宋" w:eastAsia="仿宋" w:cs="仿宋"/>
          <w:color w:val="000000"/>
          <w:kern w:val="0"/>
          <w:szCs w:val="21"/>
        </w:rPr>
      </w:pPr>
      <w:r>
        <w:rPr>
          <w:rFonts w:hint="eastAsia" w:ascii="仿宋" w:hAnsi="仿宋" w:eastAsia="仿宋" w:cs="仿宋"/>
          <w:color w:val="000000"/>
          <w:kern w:val="0"/>
          <w:sz w:val="32"/>
          <w:szCs w:val="32"/>
        </w:rPr>
        <w:t>5、承担指导推进和综合协调全市经济体制改革的责任，研究经济体制改革和对外开放的重大问题，组织拟订综合性经济体制改革方案，协调有关专项经济体制改革方案，会同有关部门搞好重要专项经济体制改革之间的衔接。</w:t>
      </w:r>
    </w:p>
    <w:p>
      <w:pPr>
        <w:widowControl/>
        <w:shd w:val="clear" w:color="auto" w:fill="FFFFFF"/>
        <w:spacing w:line="600" w:lineRule="exact"/>
        <w:ind w:firstLine="720"/>
        <w:jc w:val="left"/>
        <w:rPr>
          <w:rFonts w:ascii="仿宋" w:hAnsi="仿宋" w:eastAsia="仿宋" w:cs="仿宋"/>
          <w:color w:val="000000"/>
          <w:kern w:val="0"/>
          <w:szCs w:val="21"/>
          <w:highlight w:val="cyan"/>
        </w:rPr>
      </w:pPr>
      <w:r>
        <w:rPr>
          <w:rFonts w:hint="eastAsia" w:ascii="仿宋" w:hAnsi="仿宋" w:eastAsia="仿宋" w:cs="仿宋"/>
          <w:color w:val="000000"/>
          <w:kern w:val="0"/>
          <w:sz w:val="32"/>
          <w:szCs w:val="32"/>
        </w:rPr>
        <w:t>6、负责全市投资宏观管理和协调推进重大项目建设。拟订全社会固定资产投资总规模和投资结构的调控目标、政策及措施。按规定权限审批、核准、备案或转报固定资产投资项目（企业技术改造项目除外）和资源开发利用、外资、境外投资项目。引导民间资金的投向，研究提出全市利用外资和境外投资的规划、总量平衡和结构优化的目标及政策措施，指导和协调国外贷款项目实施。负责编制全市政府投资项目和重点建设项目的年度投资计划。</w:t>
      </w:r>
    </w:p>
    <w:p>
      <w:pPr>
        <w:widowControl/>
        <w:shd w:val="clear" w:color="auto" w:fill="FFFFFF"/>
        <w:spacing w:line="600" w:lineRule="exact"/>
        <w:ind w:firstLine="720"/>
        <w:jc w:val="left"/>
        <w:rPr>
          <w:rFonts w:ascii="仿宋" w:hAnsi="仿宋" w:eastAsia="仿宋" w:cs="仿宋"/>
          <w:color w:val="000000"/>
          <w:kern w:val="0"/>
          <w:szCs w:val="21"/>
        </w:rPr>
      </w:pPr>
      <w:r>
        <w:rPr>
          <w:rFonts w:hint="eastAsia" w:ascii="仿宋" w:hAnsi="仿宋" w:eastAsia="仿宋" w:cs="仿宋"/>
          <w:color w:val="000000"/>
          <w:kern w:val="0"/>
          <w:sz w:val="32"/>
          <w:szCs w:val="32"/>
        </w:rPr>
        <w:t>7、推进经济结构战略性调整。组织拟订全市综合性产业政策，负责协调第一、二、三产业发展的重大问题，衔接平衡相关发展规划和重大政策，协调农业和农村经济社会发展的重大问题，衔接农村专项规划和政策。拟订重大产业发展规划，引导全市重大生产力合理布局，协调推进全市重大技术装备和重大产业基地建设，会同有关部门拟订服务业、现代物流业发展战略、规划和重大政策。</w:t>
      </w:r>
    </w:p>
    <w:p>
      <w:pPr>
        <w:pStyle w:val="32"/>
        <w:shd w:val="clear" w:color="auto" w:fill="FFFFFF"/>
        <w:spacing w:before="93" w:beforeAutospacing="0" w:after="0" w:afterAutospacing="0" w:line="600" w:lineRule="exact"/>
        <w:ind w:firstLine="720"/>
        <w:rPr>
          <w:rFonts w:ascii="仿宋" w:hAnsi="仿宋" w:eastAsia="仿宋" w:cs="仿宋"/>
          <w:color w:val="000000"/>
          <w:sz w:val="21"/>
          <w:szCs w:val="21"/>
        </w:rPr>
      </w:pPr>
      <w:r>
        <w:rPr>
          <w:rStyle w:val="31"/>
          <w:rFonts w:hint="eastAsia" w:ascii="仿宋" w:hAnsi="仿宋" w:eastAsia="仿宋" w:cs="仿宋"/>
          <w:color w:val="000000"/>
          <w:sz w:val="32"/>
          <w:szCs w:val="32"/>
        </w:rPr>
        <w:t>8、促进城乡区域协调发展。组织拟订区域协调发展战略、规划和重大政策，研究提出城镇化发展战略和统筹城乡发展的重大政策，负责区域经济协作的统筹协调。</w:t>
      </w:r>
    </w:p>
    <w:p>
      <w:pPr>
        <w:pStyle w:val="32"/>
        <w:shd w:val="clear" w:color="auto" w:fill="FFFFFF"/>
        <w:spacing w:before="93" w:beforeAutospacing="0" w:after="0" w:afterAutospacing="0" w:line="600" w:lineRule="exact"/>
        <w:ind w:firstLine="720"/>
        <w:rPr>
          <w:rFonts w:ascii="仿宋" w:hAnsi="仿宋" w:eastAsia="仿宋" w:cs="仿宋"/>
          <w:color w:val="000000"/>
          <w:sz w:val="21"/>
          <w:szCs w:val="21"/>
        </w:rPr>
      </w:pPr>
      <w:r>
        <w:rPr>
          <w:rStyle w:val="31"/>
          <w:rFonts w:hint="eastAsia" w:ascii="仿宋" w:hAnsi="仿宋" w:eastAsia="仿宋" w:cs="仿宋"/>
          <w:color w:val="000000"/>
          <w:sz w:val="32"/>
          <w:szCs w:val="32"/>
        </w:rPr>
        <w:t>9、负责组织拟订并实施科技攻关、成果转化、软科学研究等计划。推进科技体制改革工作，优化科研机构布局，会同有关部门拟订全市科技人才队伍建设规划和提出相关政策建议,</w:t>
      </w:r>
      <w:r>
        <w:rPr>
          <w:rStyle w:val="31"/>
          <w:rFonts w:hint="eastAsia" w:ascii="仿宋" w:hAnsi="仿宋" w:eastAsia="仿宋" w:cs="仿宋"/>
          <w:sz w:val="32"/>
          <w:szCs w:val="32"/>
        </w:rPr>
        <w:t>引进管理国（境）外人才，并承担智力工作职责。</w:t>
      </w:r>
      <w:r>
        <w:rPr>
          <w:rStyle w:val="31"/>
          <w:rFonts w:hint="eastAsia" w:ascii="仿宋" w:hAnsi="仿宋" w:eastAsia="仿宋" w:cs="仿宋"/>
          <w:color w:val="000000"/>
          <w:sz w:val="32"/>
          <w:szCs w:val="32"/>
        </w:rPr>
        <w:t>推进全市科技创新体系建设，会同有关部门拟订促进产学研结合的政策措施，提出科研条件保障规划和政策措施建议。推进科技基础条件平台（基地）建设和科技资源共享。</w:t>
      </w:r>
    </w:p>
    <w:p>
      <w:pPr>
        <w:pStyle w:val="32"/>
        <w:shd w:val="clear" w:color="auto" w:fill="FFFFFF"/>
        <w:spacing w:before="93" w:beforeAutospacing="0" w:after="0" w:afterAutospacing="0" w:line="600" w:lineRule="exact"/>
        <w:ind w:firstLine="800"/>
        <w:rPr>
          <w:rFonts w:ascii="仿宋" w:hAnsi="仿宋" w:eastAsia="仿宋" w:cs="仿宋"/>
          <w:color w:val="000000"/>
          <w:sz w:val="21"/>
          <w:szCs w:val="21"/>
        </w:rPr>
      </w:pPr>
      <w:r>
        <w:rPr>
          <w:rStyle w:val="31"/>
          <w:rFonts w:hint="eastAsia" w:ascii="仿宋" w:hAnsi="仿宋" w:eastAsia="仿宋" w:cs="仿宋"/>
          <w:color w:val="000000"/>
          <w:sz w:val="32"/>
          <w:szCs w:val="32"/>
        </w:rPr>
        <w:t>10、会同有关部门提出强化科技投入及优化科技资源配置的政策措施建议。拟订科技成果推广、科技奖励、促进科技中介组织发展的政策措施，组织相关重大科技成果应用示范。会同有关部门拟订高新技术产业及园区发展的规划和政策措施，负责组织高新技术企业申报，推动企业自主创新能力建设。拟订科技促进农村和社会发展的政策措施，指导农业科技园区建设，促进以改善民生为重点的农村建设和社会事业发展。组织拟订科学技术普及规划和提出政策措施建议。</w:t>
      </w:r>
    </w:p>
    <w:p>
      <w:pPr>
        <w:pStyle w:val="32"/>
        <w:shd w:val="clear" w:color="auto" w:fill="FFFFFF"/>
        <w:spacing w:before="93" w:beforeAutospacing="0" w:after="0" w:afterAutospacing="0" w:line="600" w:lineRule="exact"/>
        <w:ind w:firstLine="640"/>
        <w:rPr>
          <w:rFonts w:ascii="仿宋" w:hAnsi="仿宋" w:eastAsia="仿宋" w:cs="仿宋"/>
          <w:color w:val="000000"/>
          <w:sz w:val="21"/>
          <w:szCs w:val="21"/>
        </w:rPr>
      </w:pPr>
      <w:r>
        <w:rPr>
          <w:rStyle w:val="31"/>
          <w:rFonts w:hint="eastAsia" w:ascii="仿宋" w:hAnsi="仿宋" w:eastAsia="仿宋" w:cs="仿宋"/>
          <w:color w:val="000000"/>
          <w:sz w:val="32"/>
          <w:szCs w:val="32"/>
        </w:rPr>
        <w:t>11、负责科学技术普及工作，指导协调科普活动和科技宣传工作，推进全市科普能力建设。负责全市专利联络，保护知识产权工作，归上管理科技信息、情报工作。</w:t>
      </w:r>
    </w:p>
    <w:p>
      <w:pPr>
        <w:widowControl/>
        <w:shd w:val="clear" w:color="auto" w:fill="FFFFFF"/>
        <w:spacing w:line="600" w:lineRule="exact"/>
        <w:ind w:firstLine="640"/>
        <w:jc w:val="left"/>
        <w:rPr>
          <w:rFonts w:ascii="仿宋" w:hAnsi="仿宋" w:eastAsia="仿宋" w:cs="仿宋"/>
          <w:color w:val="000000"/>
          <w:kern w:val="0"/>
          <w:szCs w:val="21"/>
        </w:rPr>
      </w:pPr>
      <w:r>
        <w:rPr>
          <w:rFonts w:hint="eastAsia" w:ascii="仿宋" w:hAnsi="仿宋" w:eastAsia="仿宋" w:cs="仿宋"/>
          <w:color w:val="000000"/>
          <w:kern w:val="0"/>
          <w:sz w:val="32"/>
          <w:szCs w:val="32"/>
        </w:rPr>
        <w:t>12、负责全市社会发展与国民经济发展的政策衔接，参与拟订人口和计划生育、科学技术、教育、文化、卫生、民政等发展政策，推进社会事业建设。研究提出促进就业、调整收入分配、完善社会保障与经济协调发展的政策建议，协调社会事业发展和政策中的重大问题及政策。</w:t>
      </w:r>
    </w:p>
    <w:p>
      <w:pPr>
        <w:widowControl/>
        <w:shd w:val="clear" w:color="auto" w:fill="FFFFFF"/>
        <w:spacing w:line="600" w:lineRule="exact"/>
        <w:ind w:firstLine="640"/>
        <w:jc w:val="left"/>
        <w:rPr>
          <w:rFonts w:ascii="仿宋" w:hAnsi="仿宋" w:eastAsia="仿宋" w:cs="仿宋"/>
          <w:color w:val="1F497D" w:themeColor="text2"/>
          <w:kern w:val="0"/>
          <w:szCs w:val="21"/>
          <w:highlight w:val="cyan"/>
          <w14:textFill>
            <w14:solidFill>
              <w14:schemeClr w14:val="tx2"/>
            </w14:solidFill>
          </w14:textFill>
        </w:rPr>
      </w:pPr>
      <w:r>
        <w:rPr>
          <w:rFonts w:hint="eastAsia" w:ascii="仿宋" w:hAnsi="仿宋" w:eastAsia="仿宋" w:cs="仿宋"/>
          <w:color w:val="000000"/>
          <w:kern w:val="0"/>
          <w:sz w:val="32"/>
          <w:szCs w:val="32"/>
        </w:rPr>
        <w:t>13、推进可持续发展，负责全市节能的综合协调工作，组织拟订并协调实施全市发展循环经济、能源资源节约和综合利用规划及政策措施，参与编制生态建设、环境保护规划，协调生态建设、能源资源节约和综合利用的重大问题，综合协调环保产业和清洁生产促进有关工作。</w:t>
      </w:r>
    </w:p>
    <w:p>
      <w:pPr>
        <w:widowControl/>
        <w:shd w:val="clear" w:color="auto" w:fill="FFFFFF"/>
        <w:spacing w:line="600" w:lineRule="exact"/>
        <w:ind w:firstLine="640"/>
        <w:jc w:val="left"/>
        <w:rPr>
          <w:rFonts w:ascii="仿宋" w:hAnsi="仿宋" w:eastAsia="仿宋" w:cs="仿宋"/>
          <w:color w:val="000000"/>
          <w:kern w:val="0"/>
          <w:szCs w:val="21"/>
        </w:rPr>
      </w:pPr>
      <w:r>
        <w:rPr>
          <w:rFonts w:hint="eastAsia" w:ascii="仿宋" w:hAnsi="仿宋" w:eastAsia="仿宋" w:cs="仿宋"/>
          <w:color w:val="000000"/>
          <w:kern w:val="0"/>
          <w:sz w:val="32"/>
          <w:szCs w:val="32"/>
        </w:rPr>
        <w:t>14、指导、协调并综合管理全市招标投标工作，会同有关行政主管部门拟订招标投标的地方性规范文件，按照职责分工对建设项目的招标投标活动实施监督检查。</w:t>
      </w:r>
    </w:p>
    <w:p>
      <w:pPr>
        <w:pStyle w:val="32"/>
        <w:shd w:val="clear" w:color="auto" w:fill="FFFFFF"/>
        <w:spacing w:before="93" w:beforeAutospacing="0" w:after="0" w:afterAutospacing="0" w:line="600" w:lineRule="exact"/>
        <w:ind w:firstLine="640"/>
        <w:rPr>
          <w:rFonts w:ascii="仿宋" w:hAnsi="仿宋" w:eastAsia="仿宋" w:cs="仿宋"/>
          <w:color w:val="000000"/>
          <w:sz w:val="21"/>
          <w:szCs w:val="21"/>
        </w:rPr>
      </w:pPr>
      <w:r>
        <w:rPr>
          <w:rFonts w:hint="eastAsia" w:ascii="仿宋" w:hAnsi="仿宋" w:eastAsia="仿宋" w:cs="仿宋"/>
          <w:color w:val="000000"/>
          <w:sz w:val="32"/>
          <w:szCs w:val="32"/>
        </w:rPr>
        <w:t>15、贯彻实施国家和省、市价格法律、法规和方针、政策，编制和执行价格调整改革规划，提出年度价格总水平调控目标及价格调控措施并组织实施，管理国家、省、市列名管理的商品和服务价格，监管实行市场调节价的商品和服务价格，按照批准的定价目录和定价权限，制定我市的政府定价和政府指导价。</w:t>
      </w:r>
      <w:r>
        <w:rPr>
          <w:rFonts w:hint="eastAsia" w:ascii="仿宋" w:hAnsi="仿宋" w:eastAsia="仿宋" w:cs="仿宋"/>
          <w:sz w:val="32"/>
          <w:szCs w:val="32"/>
        </w:rPr>
        <w:t>负责全市</w:t>
      </w:r>
      <w:r>
        <w:rPr>
          <w:rFonts w:hint="eastAsia" w:ascii="仿宋" w:hAnsi="仿宋" w:eastAsia="仿宋" w:cs="仿宋"/>
          <w:color w:val="000000"/>
          <w:sz w:val="32"/>
          <w:szCs w:val="32"/>
        </w:rPr>
        <w:t>价格成本调查监审、价格监测、价格认证等工作。组织实施重要物资和应急储备物资收储、轮换和日常管理。承担粮食管理行政职责。</w:t>
      </w:r>
    </w:p>
    <w:p>
      <w:pPr>
        <w:widowControl/>
        <w:shd w:val="clear" w:color="auto" w:fill="FFFFFF"/>
        <w:spacing w:line="600" w:lineRule="exact"/>
        <w:ind w:firstLine="640"/>
        <w:jc w:val="left"/>
        <w:rPr>
          <w:rFonts w:ascii="仿宋" w:hAnsi="仿宋" w:eastAsia="仿宋" w:cs="仿宋"/>
          <w:color w:val="000000"/>
          <w:kern w:val="0"/>
          <w:szCs w:val="21"/>
        </w:rPr>
      </w:pPr>
      <w:r>
        <w:rPr>
          <w:rFonts w:hint="eastAsia" w:ascii="仿宋" w:hAnsi="仿宋" w:eastAsia="仿宋" w:cs="仿宋"/>
          <w:color w:val="000000"/>
          <w:kern w:val="0"/>
          <w:sz w:val="32"/>
          <w:szCs w:val="32"/>
        </w:rPr>
        <w:t>16、负责组织编制全市国民经济与装备动员规划、计划，研究国民经济动员与装备动员和国民经济、国防建设的关系，协调相关重大问题，组织实施国民经济动员与装备动员有关工作。</w:t>
      </w:r>
    </w:p>
    <w:p>
      <w:pPr>
        <w:widowControl/>
        <w:shd w:val="clear" w:color="auto" w:fill="FFFFFF"/>
        <w:spacing w:line="600" w:lineRule="exact"/>
        <w:ind w:firstLine="640"/>
        <w:jc w:val="left"/>
        <w:rPr>
          <w:rFonts w:ascii="仿宋" w:hAnsi="仿宋" w:eastAsia="仿宋" w:cs="仿宋"/>
          <w:color w:val="000000"/>
          <w:kern w:val="0"/>
          <w:szCs w:val="21"/>
        </w:rPr>
      </w:pPr>
      <w:r>
        <w:rPr>
          <w:rFonts w:hint="eastAsia" w:ascii="仿宋" w:hAnsi="仿宋" w:eastAsia="仿宋" w:cs="仿宋"/>
          <w:color w:val="000000"/>
          <w:kern w:val="0"/>
          <w:sz w:val="32"/>
          <w:szCs w:val="32"/>
        </w:rPr>
        <w:t>17、承担市政府公布的有关行政审批事项。</w:t>
      </w:r>
    </w:p>
    <w:p>
      <w:pPr>
        <w:widowControl/>
        <w:shd w:val="clear" w:color="auto" w:fill="FFFFFF"/>
        <w:spacing w:line="600" w:lineRule="exact"/>
        <w:ind w:firstLine="640"/>
        <w:jc w:val="left"/>
        <w:rPr>
          <w:rFonts w:ascii="仿宋" w:hAnsi="仿宋" w:eastAsia="仿宋" w:cs="仿宋"/>
          <w:color w:val="000000"/>
          <w:kern w:val="0"/>
          <w:szCs w:val="21"/>
        </w:rPr>
      </w:pPr>
      <w:r>
        <w:rPr>
          <w:rFonts w:hint="eastAsia" w:ascii="仿宋" w:hAnsi="仿宋" w:eastAsia="仿宋" w:cs="仿宋"/>
          <w:color w:val="000000"/>
          <w:kern w:val="0"/>
          <w:sz w:val="32"/>
          <w:szCs w:val="32"/>
        </w:rPr>
        <w:t>18、承办市政府交办的其他事项。</w:t>
      </w:r>
    </w:p>
    <w:p>
      <w:pPr>
        <w:widowControl/>
        <w:adjustRightInd w:val="0"/>
        <w:snapToGrid w:val="0"/>
        <w:spacing w:line="580" w:lineRule="exact"/>
        <w:ind w:firstLine="720"/>
        <w:jc w:val="left"/>
        <w:rPr>
          <w:rFonts w:ascii="仿宋_GB2312" w:hAnsi="宋体" w:eastAsia="仿宋_GB2312" w:cs="宋体"/>
          <w:kern w:val="0"/>
          <w:sz w:val="32"/>
          <w:szCs w:val="32"/>
          <w:shd w:val="clear" w:color="auto" w:fill="FFFFFF"/>
          <w:lang w:val="zh-CN"/>
        </w:rPr>
      </w:pPr>
      <w:r>
        <w:rPr>
          <w:rFonts w:hint="eastAsia" w:ascii="仿宋_GB2312" w:hAnsi="仿宋" w:eastAsia="仿宋_GB2312"/>
          <w:sz w:val="32"/>
          <w:szCs w:val="32"/>
        </w:rPr>
        <w:t>截止2019年12月31日，我局在岗职工27人，聘用人员3人。与2018年相比，退休人员35人全部纳入社保管理。</w:t>
      </w:r>
    </w:p>
    <w:p>
      <w:pPr>
        <w:widowControl/>
        <w:adjustRightInd w:val="0"/>
        <w:snapToGrid w:val="0"/>
        <w:spacing w:line="580" w:lineRule="exact"/>
        <w:ind w:firstLine="720"/>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spacing w:line="60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2019年，我单位共收入1740.31万元，其中财政拨款收入1740.31万元。</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仿宋" w:eastAsia="仿宋_GB2312"/>
          <w:sz w:val="32"/>
          <w:szCs w:val="32"/>
        </w:rPr>
        <w:t>2019年，我单位共支出1957.11万元，其中:财政拨款支出1957.11万元（基本支出602.23万元，项目支出1354.88万元）。</w:t>
      </w:r>
    </w:p>
    <w:p>
      <w:pPr>
        <w:widowControl/>
        <w:adjustRightInd w:val="0"/>
        <w:snapToGrid w:val="0"/>
        <w:spacing w:line="580" w:lineRule="exact"/>
        <w:ind w:firstLine="72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三、部门财政支出管理情况</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（一）预决算编制情况。</w:t>
      </w:r>
    </w:p>
    <w:p>
      <w:pPr>
        <w:spacing w:line="60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我单位2019年预算于2018年11月着手编制，在充分考虑年度工作计划和相应支出需求、以前年度预算执行情况、以前年度结转和结余情况、资产占有和使用情况等因素的基础上，做到预算编制科学化、精细化。经财政审核、市政府同意，报峨眉山市第十七届人民代表大会会议批准。2019年市财政局下发关于批复2019年部门预算的通知，2月30日前我单位在峨眉山市人民政府政务公开网上将2019年预算和三公经费预算进行公开。</w:t>
      </w:r>
    </w:p>
    <w:p>
      <w:pPr>
        <w:spacing w:line="60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2019年决算于2020年1月认真按时按要求完成。年末项目支出按规定结转结余。</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（二）执行管理情况。</w:t>
      </w:r>
    </w:p>
    <w:p>
      <w:pPr>
        <w:spacing w:line="60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2019年，我单位共收入1740.31万元，其中财政拨款收入1740.31万元。我单位在财政拨款制度上严格按照本单位执行进度进行，预算执行进度均达到本单位应达到的执行进度。我单位严格执行《党政机关厉行节约反对浪费条例》，厉行节约，压缩行政成本性支出、严控一般性支出，做到“先有预算、后有支出”。</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（三）支出绩效情况。</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1．部门支出绩效。</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（1）行政运转保障。</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仿宋" w:eastAsia="仿宋_GB2312"/>
          <w:sz w:val="32"/>
          <w:szCs w:val="32"/>
        </w:rPr>
        <w:t>严格报账制度，严格控制一般性行政支出，保障了机关正常运转、正确履行峨眉山市发改局的职能职责，保障了市委、市政府交办任务的顺利及时完成。</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（2）机关厉行节约。</w:t>
      </w:r>
    </w:p>
    <w:p>
      <w:pPr>
        <w:spacing w:line="60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严格执行《党政机关厉行节约反对浪费条例》，严格派车制度，加强车辆管理，严格控制接待陪同人数和接待标准。2019年，我单位无因公出国出境及公务用车购置费用产生。全年公务用车运行维护费用为17742.3元，公务接待费用为0万元。</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（3）机关节能降耗。</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仿宋" w:eastAsia="仿宋_GB2312"/>
          <w:sz w:val="32"/>
          <w:szCs w:val="32"/>
        </w:rPr>
        <w:t>我单位节约用水、用电、用气，并加强车辆管理，严禁公车私用，节能减排。</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（四）财务管理情况。</w:t>
      </w:r>
    </w:p>
    <w:p>
      <w:pPr>
        <w:spacing w:line="60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我单位认真贯彻执行《会计法》及相关财经法规、制度，依法、依规组织实施本单位的会计核算和监督工作，做好日常财务核算、监督管理工作，确保了机关正常运转、正确履职及顺利及时完成市委、市政府交办的工作任务。严格执行政府采购制度，确保采购工作依法、依规、有序进行。</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（五）绩效管理工作开展情况。</w:t>
      </w:r>
    </w:p>
    <w:p>
      <w:pPr>
        <w:widowControl/>
        <w:adjustRightInd w:val="0"/>
        <w:snapToGrid w:val="0"/>
        <w:spacing w:line="580" w:lineRule="exact"/>
        <w:ind w:firstLine="720"/>
        <w:jc w:val="left"/>
        <w:rPr>
          <w:rFonts w:ascii="仿宋_GB2312" w:hAnsi="仿宋" w:eastAsia="仿宋_GB2312"/>
          <w:sz w:val="32"/>
          <w:szCs w:val="32"/>
        </w:rPr>
      </w:pPr>
      <w:r>
        <w:rPr>
          <w:rFonts w:hint="eastAsia" w:ascii="仿宋_GB2312" w:hAnsi="仿宋" w:eastAsia="仿宋_GB2312"/>
          <w:sz w:val="32"/>
          <w:szCs w:val="32"/>
        </w:rPr>
        <w:t>我单位高度重视部门预算支出绩效评价工作，按照峨眉山市财政局《关于开展2020年财政支出绩效评价工作的通知》要求，严格对照绩效评价指标体系，认真开展自查，实事求是编写了2019年部门预算支出绩效报告。</w:t>
      </w:r>
    </w:p>
    <w:p>
      <w:pPr>
        <w:widowControl/>
        <w:adjustRightInd w:val="0"/>
        <w:snapToGrid w:val="0"/>
        <w:spacing w:line="580" w:lineRule="exact"/>
        <w:ind w:firstLine="72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spacing w:line="60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我单位严格对照绩效评价指标体系，认真开展自查。通过自查我单位将在以后的工作中，进一步完善内部控制制度，加强节能降耗，加强6月、9月、11月及年终预算执行情况监测、审核和分析，有序推进预算支出绩效评价工作。</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rPr>
      </w:pP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rPr>
      </w:pPr>
    </w:p>
    <w:p>
      <w:pPr>
        <w:spacing w:line="600" w:lineRule="exact"/>
        <w:rPr>
          <w:rFonts w:ascii="仿宋_GB2312" w:hAnsi="宋体" w:eastAsia="仿宋_GB2312" w:cs="宋体"/>
          <w:color w:val="000000"/>
          <w:kern w:val="0"/>
          <w:sz w:val="32"/>
          <w:szCs w:val="32"/>
          <w:shd w:val="clear" w:color="auto" w:fill="FFFFFF"/>
        </w:rPr>
      </w:pPr>
    </w:p>
    <w:p>
      <w:pPr>
        <w:spacing w:line="600" w:lineRule="exact"/>
        <w:rPr>
          <w:rFonts w:ascii="仿宋_GB2312" w:hAnsi="宋体" w:eastAsia="仿宋_GB2312" w:cs="宋体"/>
          <w:color w:val="000000"/>
          <w:kern w:val="0"/>
          <w:sz w:val="32"/>
          <w:szCs w:val="32"/>
          <w:shd w:val="clear" w:color="auto" w:fill="FFFFFF"/>
        </w:rPr>
      </w:pPr>
    </w:p>
    <w:p>
      <w:pPr>
        <w:spacing w:line="600" w:lineRule="exact"/>
        <w:rPr>
          <w:rFonts w:ascii="仿宋_GB2312" w:hAnsi="宋体" w:eastAsia="仿宋_GB2312" w:cs="宋体"/>
          <w:color w:val="000000"/>
          <w:kern w:val="0"/>
          <w:sz w:val="32"/>
          <w:szCs w:val="32"/>
          <w:shd w:val="clear" w:color="auto" w:fill="FFFFFF"/>
        </w:rPr>
      </w:pPr>
    </w:p>
    <w:p>
      <w:pPr>
        <w:spacing w:line="600" w:lineRule="exact"/>
        <w:rPr>
          <w:rFonts w:ascii="仿宋_GB2312" w:hAnsi="宋体" w:eastAsia="仿宋_GB2312" w:cs="宋体"/>
          <w:color w:val="000000"/>
          <w:kern w:val="0"/>
          <w:sz w:val="32"/>
          <w:szCs w:val="32"/>
          <w:shd w:val="clear" w:color="auto" w:fill="FFFFFF"/>
        </w:rPr>
      </w:pPr>
    </w:p>
    <w:p>
      <w:pPr>
        <w:spacing w:line="600" w:lineRule="exact"/>
        <w:rPr>
          <w:rFonts w:ascii="仿宋_GB2312" w:hAnsi="宋体" w:eastAsia="仿宋_GB2312" w:cs="宋体"/>
          <w:color w:val="000000"/>
          <w:kern w:val="0"/>
          <w:sz w:val="32"/>
          <w:szCs w:val="32"/>
          <w:shd w:val="clear" w:color="auto" w:fill="FFFFFF"/>
        </w:rPr>
      </w:pPr>
    </w:p>
    <w:p>
      <w:pPr>
        <w:spacing w:line="600" w:lineRule="exact"/>
        <w:rPr>
          <w:rFonts w:ascii="仿宋_GB2312" w:hAnsi="宋体" w:eastAsia="仿宋_GB2312" w:cs="宋体"/>
          <w:color w:val="000000"/>
          <w:kern w:val="0"/>
          <w:sz w:val="32"/>
          <w:szCs w:val="32"/>
          <w:shd w:val="clear" w:color="auto" w:fill="FFFFFF"/>
        </w:rPr>
      </w:pPr>
    </w:p>
    <w:p>
      <w:pPr>
        <w:spacing w:line="600" w:lineRule="exact"/>
        <w:rPr>
          <w:rFonts w:ascii="仿宋_GB2312" w:hAnsi="宋体" w:eastAsia="仿宋_GB2312" w:cs="宋体"/>
          <w:color w:val="000000"/>
          <w:kern w:val="0"/>
          <w:sz w:val="32"/>
          <w:szCs w:val="32"/>
          <w:shd w:val="clear" w:color="auto" w:fill="FFFFFF"/>
        </w:rPr>
      </w:pPr>
    </w:p>
    <w:p>
      <w:pPr>
        <w:spacing w:line="600" w:lineRule="exact"/>
        <w:rPr>
          <w:rFonts w:ascii="仿宋_GB2312" w:hAnsi="宋体" w:eastAsia="仿宋_GB2312" w:cs="宋体"/>
          <w:color w:val="000000"/>
          <w:kern w:val="0"/>
          <w:sz w:val="32"/>
          <w:szCs w:val="32"/>
          <w:shd w:val="clear" w:color="auto" w:fill="FFFFFF"/>
        </w:rPr>
      </w:pPr>
    </w:p>
    <w:p>
      <w:pPr>
        <w:spacing w:line="600" w:lineRule="exact"/>
        <w:rPr>
          <w:rFonts w:ascii="仿宋_GB2312" w:hAnsi="宋体" w:eastAsia="仿宋_GB2312" w:cs="宋体"/>
          <w:color w:val="000000"/>
          <w:kern w:val="0"/>
          <w:sz w:val="32"/>
          <w:szCs w:val="32"/>
          <w:shd w:val="clear" w:color="auto" w:fill="FFFFFF"/>
        </w:rPr>
      </w:pPr>
    </w:p>
    <w:p>
      <w:pPr>
        <w:spacing w:line="600" w:lineRule="exact"/>
        <w:rPr>
          <w:rFonts w:ascii="仿宋_GB2312" w:hAnsi="宋体" w:eastAsia="仿宋_GB2312" w:cs="宋体"/>
          <w:color w:val="000000"/>
          <w:kern w:val="0"/>
          <w:sz w:val="32"/>
          <w:szCs w:val="32"/>
          <w:shd w:val="clear" w:color="auto" w:fill="FFFFFF"/>
        </w:rPr>
      </w:pPr>
    </w:p>
    <w:p>
      <w:pPr>
        <w:spacing w:line="600" w:lineRule="exact"/>
        <w:rPr>
          <w:rFonts w:ascii="仿宋_GB2312" w:hAnsi="宋体" w:eastAsia="仿宋_GB2312" w:cs="宋体"/>
          <w:color w:val="000000"/>
          <w:kern w:val="0"/>
          <w:sz w:val="32"/>
          <w:szCs w:val="32"/>
          <w:shd w:val="clear" w:color="auto" w:fill="FFFFFF"/>
        </w:rPr>
      </w:pPr>
    </w:p>
    <w:p>
      <w:pPr>
        <w:spacing w:line="600" w:lineRule="exact"/>
        <w:rPr>
          <w:rFonts w:ascii="仿宋_GB2312" w:hAnsi="宋体" w:eastAsia="仿宋_GB2312" w:cs="宋体"/>
          <w:color w:val="000000"/>
          <w:kern w:val="0"/>
          <w:sz w:val="32"/>
          <w:szCs w:val="32"/>
          <w:shd w:val="clear" w:color="auto" w:fill="FFFFFF"/>
        </w:rPr>
      </w:pPr>
    </w:p>
    <w:p>
      <w:pPr>
        <w:spacing w:line="600" w:lineRule="exact"/>
        <w:rPr>
          <w:rFonts w:ascii="仿宋_GB2312" w:hAnsi="宋体" w:eastAsia="仿宋_GB2312" w:cs="宋体"/>
          <w:color w:val="000000"/>
          <w:kern w:val="0"/>
          <w:sz w:val="32"/>
          <w:szCs w:val="32"/>
          <w:shd w:val="clear" w:color="auto" w:fill="FFFFFF"/>
        </w:rPr>
      </w:pPr>
    </w:p>
    <w:p>
      <w:pPr>
        <w:spacing w:line="600" w:lineRule="exact"/>
        <w:rPr>
          <w:rFonts w:ascii="仿宋_GB2312" w:hAnsi="宋体" w:eastAsia="仿宋_GB2312" w:cs="宋体"/>
          <w:color w:val="000000"/>
          <w:kern w:val="0"/>
          <w:sz w:val="32"/>
          <w:szCs w:val="32"/>
          <w:shd w:val="clear" w:color="auto" w:fill="FFFFFF"/>
        </w:rPr>
      </w:pPr>
    </w:p>
    <w:p>
      <w:pPr>
        <w:spacing w:line="60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600" w:lineRule="exact"/>
        <w:ind w:firstLine="640" w:firstLineChars="200"/>
        <w:rPr>
          <w:rFonts w:ascii="仿宋_GB2312" w:hAnsi="仿宋_GB2312" w:eastAsia="仿宋_GB2312" w:cs="仿宋_GB2312"/>
          <w:sz w:val="32"/>
          <w:szCs w:val="32"/>
        </w:rPr>
      </w:pPr>
    </w:p>
    <w:p>
      <w:pPr>
        <w:widowControl/>
        <w:spacing w:line="580" w:lineRule="exact"/>
        <w:jc w:val="center"/>
        <w:rPr>
          <w:rFonts w:ascii="方正小标宋_GBK" w:hAnsi="宋体" w:eastAsia="方正小标宋_GBK"/>
          <w:b/>
          <w:sz w:val="44"/>
          <w:szCs w:val="44"/>
          <w:shd w:val="clear" w:color="auto" w:fill="FFFFFF"/>
        </w:rPr>
      </w:pPr>
      <w:r>
        <w:rPr>
          <w:rFonts w:hint="eastAsia" w:ascii="方正小标宋_GBK" w:hAnsi="宋体" w:eastAsia="方正小标宋_GBK"/>
          <w:b/>
          <w:sz w:val="44"/>
          <w:szCs w:val="44"/>
          <w:shd w:val="clear" w:color="auto" w:fill="FFFFFF"/>
        </w:rPr>
        <w:t>峨眉山市发展</w:t>
      </w:r>
      <w:r>
        <w:rPr>
          <w:rFonts w:hint="eastAsia" w:ascii="宋体" w:hAnsi="宋体" w:cs="宋体"/>
          <w:b/>
          <w:sz w:val="44"/>
          <w:szCs w:val="44"/>
          <w:shd w:val="clear" w:color="auto" w:fill="FFFFFF"/>
        </w:rPr>
        <w:t>和</w:t>
      </w:r>
      <w:r>
        <w:rPr>
          <w:rFonts w:hint="eastAsia" w:ascii="方正小标宋_GBK" w:hAnsi="宋体" w:eastAsia="方正小标宋_GBK"/>
          <w:b/>
          <w:sz w:val="44"/>
          <w:szCs w:val="44"/>
          <w:shd w:val="clear" w:color="auto" w:fill="FFFFFF"/>
        </w:rPr>
        <w:t>改革局</w:t>
      </w:r>
    </w:p>
    <w:p>
      <w:pPr>
        <w:widowControl/>
        <w:spacing w:line="580" w:lineRule="exact"/>
        <w:jc w:val="center"/>
        <w:rPr>
          <w:rFonts w:ascii="方正小标宋_GBK" w:hAnsi="宋体" w:eastAsia="方正小标宋_GBK"/>
          <w:b/>
          <w:sz w:val="44"/>
          <w:szCs w:val="44"/>
          <w:shd w:val="clear" w:color="auto" w:fill="FFFFFF"/>
        </w:rPr>
      </w:pPr>
      <w:r>
        <w:rPr>
          <w:rFonts w:hint="eastAsia" w:ascii="方正小标宋_GBK" w:hAnsi="宋体" w:eastAsia="方正小标宋_GBK"/>
          <w:b/>
          <w:sz w:val="44"/>
          <w:szCs w:val="44"/>
          <w:shd w:val="clear" w:color="auto" w:fill="FFFFFF"/>
        </w:rPr>
        <w:t>重点科技项目经费2</w:t>
      </w:r>
      <w:r>
        <w:rPr>
          <w:rFonts w:ascii="方正小标宋_GBK" w:hAnsi="宋体" w:eastAsia="方正小标宋_GBK"/>
          <w:b/>
          <w:sz w:val="44"/>
          <w:szCs w:val="44"/>
          <w:shd w:val="clear" w:color="auto" w:fill="FFFFFF"/>
        </w:rPr>
        <w:t>019</w:t>
      </w:r>
      <w:r>
        <w:rPr>
          <w:rFonts w:hint="eastAsia" w:ascii="方正小标宋_GBK" w:hAnsi="宋体" w:eastAsia="方正小标宋_GBK"/>
          <w:b/>
          <w:sz w:val="44"/>
          <w:szCs w:val="44"/>
          <w:shd w:val="clear" w:color="auto" w:fill="FFFFFF"/>
        </w:rPr>
        <w:t>年绩效评价报告</w:t>
      </w:r>
    </w:p>
    <w:p>
      <w:pPr>
        <w:adjustRightInd w:val="0"/>
        <w:snapToGrid w:val="0"/>
        <w:spacing w:line="580" w:lineRule="exact"/>
        <w:rPr>
          <w:rFonts w:ascii="黑体" w:hAnsi="宋体" w:eastAsia="黑体"/>
          <w:sz w:val="32"/>
          <w:szCs w:val="32"/>
        </w:rPr>
      </w:pPr>
    </w:p>
    <w:p>
      <w:pPr>
        <w:adjustRightInd w:val="0"/>
        <w:snapToGrid w:val="0"/>
        <w:spacing w:line="580"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ind w:firstLine="320" w:firstLineChars="1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2018年10月24日，我局下发《关于申报峨眉山市2019年度重点科技项目的通知》，组织相关企业申报2019年的峨眉山市科技项目，共收到《项目申报书》42项。</w:t>
      </w:r>
      <w:r>
        <w:rPr>
          <w:rFonts w:hint="eastAsia" w:ascii="仿宋_GB2312" w:eastAsia="仿宋_GB2312"/>
          <w:sz w:val="32"/>
          <w:szCs w:val="32"/>
        </w:rPr>
        <w:t>我局严格按照程序，事前制定评审方案，</w:t>
      </w:r>
      <w:r>
        <w:rPr>
          <w:rFonts w:hint="eastAsia" w:ascii="仿宋_GB2312" w:eastAsia="仿宋_GB2312"/>
          <w:color w:val="000000"/>
          <w:sz w:val="32"/>
          <w:szCs w:val="32"/>
        </w:rPr>
        <w:t>设立了工业、农村、社发三个评审专业组（</w:t>
      </w:r>
      <w:r>
        <w:rPr>
          <w:rFonts w:hint="eastAsia" w:ascii="仿宋_GB2312" w:eastAsia="仿宋_GB2312"/>
          <w:sz w:val="32"/>
          <w:szCs w:val="32"/>
        </w:rPr>
        <w:t>双创、成果转化项目根据项目性质分别加入上述</w:t>
      </w:r>
      <w:r>
        <w:rPr>
          <w:rFonts w:hint="eastAsia" w:ascii="仿宋_GB2312" w:eastAsia="仿宋_GB2312"/>
          <w:color w:val="000000"/>
          <w:sz w:val="32"/>
          <w:szCs w:val="32"/>
        </w:rPr>
        <w:t>三个专业组评审</w:t>
      </w:r>
      <w:r>
        <w:rPr>
          <w:rFonts w:hint="eastAsia" w:ascii="仿宋_GB2312" w:eastAsia="仿宋_GB2312"/>
          <w:sz w:val="32"/>
          <w:szCs w:val="32"/>
        </w:rPr>
        <w:t>），每个评审</w:t>
      </w:r>
      <w:r>
        <w:rPr>
          <w:rFonts w:hint="eastAsia" w:ascii="仿宋_GB2312" w:eastAsia="仿宋_GB2312"/>
          <w:color w:val="000000"/>
          <w:sz w:val="32"/>
          <w:szCs w:val="32"/>
        </w:rPr>
        <w:t>专业组由5名专家组成，</w:t>
      </w:r>
      <w:r>
        <w:rPr>
          <w:rFonts w:hint="eastAsia" w:ascii="仿宋_GB2312" w:eastAsia="仿宋_GB2312"/>
          <w:sz w:val="32"/>
          <w:szCs w:val="32"/>
        </w:rPr>
        <w:t>对全部申报项目进行了评审。</w:t>
      </w:r>
      <w:r>
        <w:rPr>
          <w:rFonts w:hint="eastAsia" w:ascii="仿宋_GB2312" w:hAnsi="宋体" w:eastAsia="仿宋_GB2312"/>
          <w:sz w:val="32"/>
          <w:szCs w:val="32"/>
        </w:rPr>
        <w:t>科技项目经费的安排原则为：一是对全部项目原则上按评审得分从高到低安排；二是项目评审得分低于60分（含60分）的一律不予支持；三是同一个单位申报多个项目的只支持一个项目；四是安排经费不高于申请经费。2019年科技项目经费经会商市财政局并报市政府批准于</w:t>
      </w:r>
      <w:r>
        <w:rPr>
          <w:rFonts w:hint="eastAsia" w:ascii="仿宋_GB2312" w:hAnsi="仿宋_GB2312" w:eastAsia="仿宋_GB2312" w:cs="仿宋_GB2312"/>
          <w:sz w:val="32"/>
          <w:szCs w:val="32"/>
        </w:rPr>
        <w:t>2019年11月下达批复，立项支持37个项目，</w:t>
      </w:r>
      <w:r>
        <w:rPr>
          <w:rFonts w:hint="eastAsia" w:ascii="仿宋_GB2312" w:hAnsi="仿宋_GB2312" w:eastAsia="仿宋_GB2312" w:cs="仿宋_GB2312"/>
          <w:bCs/>
          <w:sz w:val="32"/>
          <w:szCs w:val="32"/>
        </w:rPr>
        <w:t>共计360万元。</w:t>
      </w:r>
      <w:r>
        <w:rPr>
          <w:rFonts w:hint="eastAsia" w:ascii="仿宋_GB2312" w:hAnsi="宋体" w:eastAsia="仿宋_GB2312"/>
          <w:sz w:val="32"/>
          <w:szCs w:val="32"/>
        </w:rPr>
        <w:t>其中：工业项目9项98万元,农村项目8项68万元,社发项目11项93万元,</w:t>
      </w:r>
      <w:r>
        <w:rPr>
          <w:rFonts w:hint="eastAsia" w:ascii="仿宋_GB2312" w:eastAsia="仿宋_GB2312"/>
          <w:sz w:val="32"/>
          <w:szCs w:val="32"/>
        </w:rPr>
        <w:t>双创项目4项</w:t>
      </w:r>
      <w:r>
        <w:rPr>
          <w:rFonts w:hint="eastAsia" w:ascii="仿宋_GB2312" w:hAnsi="宋体" w:eastAsia="仿宋_GB2312"/>
          <w:sz w:val="32"/>
          <w:szCs w:val="32"/>
        </w:rPr>
        <w:t>36万元,</w:t>
      </w:r>
      <w:r>
        <w:rPr>
          <w:rFonts w:hint="eastAsia" w:ascii="仿宋_GB2312" w:eastAsia="仿宋_GB2312"/>
          <w:sz w:val="32"/>
          <w:szCs w:val="32"/>
        </w:rPr>
        <w:t>成果转化项目5项65万元。</w:t>
      </w:r>
      <w:r>
        <w:rPr>
          <w:rFonts w:hint="eastAsia" w:ascii="仿宋_GB2312" w:hAnsi="仿宋_GB2312" w:eastAsia="仿宋_GB2312" w:cs="仿宋_GB2312"/>
          <w:bCs/>
          <w:sz w:val="32"/>
          <w:szCs w:val="32"/>
        </w:rPr>
        <w:t>每个项目最低不低于5万元，最高不超过20万元。</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widowControl/>
        <w:shd w:val="clear" w:color="auto" w:fill="FFFFFF"/>
        <w:spacing w:line="375" w:lineRule="atLeast"/>
        <w:ind w:firstLine="320" w:firstLineChars="100"/>
        <w:jc w:val="left"/>
        <w:rPr>
          <w:rFonts w:ascii="仿宋_GB2312" w:hAnsi="仿宋_GB2312" w:eastAsia="仿宋_GB2312" w:cs="仿宋_GB2312"/>
          <w:sz w:val="32"/>
          <w:szCs w:val="32"/>
          <w:lang w:val="zh-CN"/>
        </w:rPr>
      </w:pPr>
      <w:r>
        <w:rPr>
          <w:rFonts w:hint="eastAsia" w:ascii="仿宋_GB2312" w:hAnsi="仿宋_GB2312" w:eastAsia="仿宋_GB2312" w:cs="仿宋_GB2312"/>
          <w:bCs/>
          <w:sz w:val="32"/>
          <w:szCs w:val="32"/>
        </w:rPr>
        <w:t xml:space="preserve"> 2019年度科技项目资金共支持37个项目，每个项目都制定了具体考核目标</w:t>
      </w:r>
      <w:r>
        <w:rPr>
          <w:rFonts w:hint="eastAsia" w:ascii="仿宋_GB2312" w:hAnsi="仿宋_GB2312" w:eastAsia="仿宋_GB2312" w:cs="仿宋_GB2312"/>
          <w:sz w:val="32"/>
          <w:szCs w:val="32"/>
          <w:lang w:val="zh-CN"/>
        </w:rPr>
        <w:t>。</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（三）项目资金申报相符性</w:t>
      </w:r>
    </w:p>
    <w:p>
      <w:pPr>
        <w:widowControl/>
        <w:shd w:val="clear" w:color="auto" w:fill="FFFFFF"/>
        <w:spacing w:line="375" w:lineRule="atLeast"/>
        <w:ind w:firstLine="960" w:firstLineChars="300"/>
        <w:jc w:val="left"/>
        <w:rPr>
          <w:rFonts w:ascii="仿宋_GB2312" w:hAnsi="宋体" w:eastAsia="仿宋_GB2312"/>
          <w:sz w:val="32"/>
          <w:szCs w:val="32"/>
          <w:lang w:val="zh-CN"/>
        </w:rPr>
      </w:pPr>
      <w:r>
        <w:rPr>
          <w:rFonts w:hint="eastAsia" w:ascii="仿宋_GB2312" w:hAnsi="宋体" w:eastAsia="仿宋_GB2312"/>
          <w:sz w:val="32"/>
          <w:szCs w:val="32"/>
          <w:lang w:val="zh-CN"/>
        </w:rPr>
        <w:t>每个项目申报内容与具体实施内容相符、申报目标基本合理可行。</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二、项目实施及管理情况</w:t>
      </w:r>
    </w:p>
    <w:p>
      <w:pPr>
        <w:adjustRightInd w:val="0"/>
        <w:snapToGrid w:val="0"/>
        <w:spacing w:line="600" w:lineRule="exact"/>
        <w:ind w:firstLine="720"/>
        <w:rPr>
          <w:rFonts w:ascii="楷体_GB2312" w:hAnsi="宋体" w:eastAsia="楷体_GB2312"/>
          <w:sz w:val="32"/>
          <w:szCs w:val="32"/>
          <w:lang w:val="zh-CN"/>
        </w:rPr>
      </w:pPr>
      <w:r>
        <w:rPr>
          <w:rFonts w:hint="eastAsia" w:ascii="仿宋_GB2312" w:hAnsi="宋体" w:eastAsia="仿宋_GB2312"/>
          <w:sz w:val="32"/>
          <w:szCs w:val="32"/>
          <w:lang w:val="zh-CN"/>
        </w:rPr>
        <w:tab/>
      </w:r>
      <w:r>
        <w:rPr>
          <w:rFonts w:hint="eastAsia" w:ascii="楷体_GB2312" w:hAnsi="宋体" w:eastAsia="楷体_GB2312"/>
          <w:sz w:val="32"/>
          <w:szCs w:val="32"/>
          <w:lang w:val="zh-CN"/>
        </w:rPr>
        <w:t>（一）资金计划、到位及使用情况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360万元</w:t>
      </w:r>
      <w:r>
        <w:rPr>
          <w:rFonts w:hint="eastAsia" w:ascii="仿宋_GB2312" w:hAnsi="仿宋_GB2312" w:eastAsia="仿宋_GB2312" w:cs="仿宋_GB2312"/>
          <w:sz w:val="32"/>
          <w:szCs w:val="32"/>
          <w:lang w:val="zh-CN"/>
        </w:rPr>
        <w:t>科技项目资金于</w:t>
      </w:r>
      <w:r>
        <w:rPr>
          <w:rFonts w:hint="eastAsia" w:ascii="仿宋_GB2312" w:hAnsi="仿宋_GB2312" w:eastAsia="仿宋_GB2312" w:cs="仿宋_GB2312"/>
          <w:sz w:val="32"/>
          <w:szCs w:val="32"/>
        </w:rPr>
        <w:t>2019年12月下旬拨付</w:t>
      </w:r>
      <w:r>
        <w:rPr>
          <w:rFonts w:hint="eastAsia" w:ascii="仿宋_GB2312" w:hAnsi="仿宋_GB2312" w:eastAsia="仿宋_GB2312" w:cs="仿宋_GB2312"/>
          <w:sz w:val="32"/>
          <w:szCs w:val="32"/>
          <w:lang w:val="zh-CN"/>
        </w:rPr>
        <w:t>到位，具体见下表：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1．资金计划及到位情况</w:t>
      </w:r>
    </w:p>
    <w:p>
      <w:pPr>
        <w:ind w:firstLine="12720" w:firstLineChars="5300"/>
        <w:rPr>
          <w:rFonts w:ascii="宋体" w:hAnsi="宋体" w:eastAsia="仿宋_GB2312"/>
          <w:sz w:val="32"/>
          <w:szCs w:val="32"/>
        </w:rPr>
      </w:pPr>
      <w:r>
        <w:rPr>
          <w:rFonts w:hint="eastAsia" w:ascii="仿宋" w:hAnsi="仿宋" w:eastAsia="仿宋"/>
          <w:sz w:val="24"/>
        </w:rPr>
        <w:t>单</w:t>
      </w:r>
    </w:p>
    <w:tbl>
      <w:tblPr>
        <w:tblStyle w:val="13"/>
        <w:tblW w:w="8805"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72"/>
        <w:gridCol w:w="4153"/>
        <w:gridCol w:w="120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序号</w:t>
            </w:r>
          </w:p>
        </w:tc>
        <w:tc>
          <w:tcPr>
            <w:tcW w:w="1472" w:type="dxa"/>
            <w:tcBorders>
              <w:top w:val="single" w:color="auto" w:sz="4" w:space="0"/>
              <w:left w:val="nil"/>
              <w:bottom w:val="single" w:color="auto" w:sz="4" w:space="0"/>
              <w:right w:val="single" w:color="auto" w:sz="4" w:space="0"/>
            </w:tcBorders>
            <w:noWrap/>
          </w:tcPr>
          <w:p>
            <w:pPr>
              <w:jc w:val="left"/>
              <w:rPr>
                <w:rFonts w:ascii="仿宋_GB2312" w:eastAsia="仿宋_GB2312"/>
                <w:sz w:val="24"/>
              </w:rPr>
            </w:pPr>
            <w:r>
              <w:rPr>
                <w:rFonts w:hint="eastAsia" w:ascii="仿宋_GB2312" w:eastAsia="仿宋_GB2312"/>
                <w:sz w:val="24"/>
              </w:rPr>
              <w:t>类别</w:t>
            </w:r>
          </w:p>
        </w:tc>
        <w:tc>
          <w:tcPr>
            <w:tcW w:w="4153" w:type="dxa"/>
            <w:tcBorders>
              <w:top w:val="single" w:color="auto" w:sz="4" w:space="0"/>
              <w:left w:val="nil"/>
              <w:bottom w:val="single" w:color="auto" w:sz="4" w:space="0"/>
              <w:right w:val="single" w:color="auto" w:sz="4" w:space="0"/>
            </w:tcBorders>
            <w:noWrap/>
          </w:tcPr>
          <w:p>
            <w:pPr>
              <w:ind w:firstLine="480" w:firstLineChars="200"/>
              <w:rPr>
                <w:rFonts w:ascii="仿宋_GB2312" w:eastAsia="仿宋_GB2312"/>
                <w:sz w:val="24"/>
              </w:rPr>
            </w:pPr>
            <w:r>
              <w:rPr>
                <w:rFonts w:hint="eastAsia" w:ascii="仿宋_GB2312" w:eastAsia="仿宋_GB2312"/>
                <w:sz w:val="24"/>
              </w:rPr>
              <w:t>承 担 单 位</w:t>
            </w:r>
          </w:p>
        </w:tc>
        <w:tc>
          <w:tcPr>
            <w:tcW w:w="1200" w:type="dxa"/>
            <w:tcBorders>
              <w:top w:val="single" w:color="auto" w:sz="4" w:space="0"/>
              <w:left w:val="nil"/>
              <w:bottom w:val="single" w:color="auto" w:sz="4" w:space="0"/>
              <w:right w:val="single" w:color="auto" w:sz="4" w:space="0"/>
            </w:tcBorders>
            <w:noWrap/>
          </w:tcPr>
          <w:p>
            <w:pPr>
              <w:rPr>
                <w:rFonts w:eastAsia="仿宋_GB2312"/>
                <w:sz w:val="32"/>
                <w:szCs w:val="32"/>
              </w:rPr>
            </w:pPr>
            <w:r>
              <w:rPr>
                <w:rFonts w:hint="eastAsia" w:ascii="仿宋" w:hAnsi="仿宋" w:eastAsia="仿宋"/>
                <w:sz w:val="24"/>
              </w:rPr>
              <w:t>安排经费</w:t>
            </w:r>
          </w:p>
        </w:tc>
        <w:tc>
          <w:tcPr>
            <w:tcW w:w="1200" w:type="dxa"/>
            <w:tcBorders>
              <w:top w:val="single" w:color="auto" w:sz="4" w:space="0"/>
              <w:left w:val="nil"/>
              <w:bottom w:val="single" w:color="auto" w:sz="4" w:space="0"/>
              <w:right w:val="single" w:color="auto" w:sz="4" w:space="0"/>
            </w:tcBorders>
            <w:noWrap/>
          </w:tcPr>
          <w:p>
            <w:pPr>
              <w:rPr>
                <w:rFonts w:ascii="仿宋" w:hAnsi="仿宋" w:eastAsia="仿宋"/>
                <w:sz w:val="24"/>
              </w:rPr>
            </w:pPr>
            <w:r>
              <w:rPr>
                <w:rFonts w:hint="eastAsia" w:ascii="仿宋" w:hAnsi="仿宋" w:eastAsia="仿宋" w:cs="仿宋"/>
                <w:sz w:val="24"/>
                <w:szCs w:val="32"/>
              </w:rPr>
              <w:t>到位经费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成果转化</w:t>
            </w:r>
          </w:p>
        </w:tc>
        <w:tc>
          <w:tcPr>
            <w:tcW w:w="4153" w:type="dxa"/>
            <w:tcBorders>
              <w:top w:val="single" w:color="auto" w:sz="4" w:space="0"/>
              <w:left w:val="nil"/>
              <w:bottom w:val="single" w:color="auto" w:sz="4" w:space="0"/>
              <w:right w:val="single" w:color="auto" w:sz="4" w:space="0"/>
            </w:tcBorders>
            <w:noWrap/>
          </w:tcPr>
          <w:p>
            <w:pPr>
              <w:tabs>
                <w:tab w:val="left" w:pos="870"/>
              </w:tabs>
              <w:ind w:left="-85"/>
              <w:jc w:val="left"/>
              <w:rPr>
                <w:rFonts w:ascii="仿宋_GB2312" w:hAnsi="仿宋_GB2312" w:eastAsia="仿宋_GB2312" w:cs="仿宋_GB2312"/>
                <w:spacing w:val="40"/>
                <w:sz w:val="24"/>
              </w:rPr>
            </w:pPr>
            <w:r>
              <w:rPr>
                <w:rFonts w:hint="eastAsia" w:ascii="仿宋_GB2312" w:hAnsi="仿宋_GB2312" w:eastAsia="仿宋_GB2312" w:cs="仿宋_GB2312"/>
                <w:sz w:val="24"/>
              </w:rPr>
              <w:t>四川省登尧机械设备有限公司</w:t>
            </w:r>
          </w:p>
        </w:tc>
        <w:tc>
          <w:tcPr>
            <w:tcW w:w="1200" w:type="dxa"/>
            <w:tcBorders>
              <w:top w:val="single" w:color="auto" w:sz="4" w:space="0"/>
              <w:left w:val="nil"/>
              <w:bottom w:val="single" w:color="auto" w:sz="4" w:space="0"/>
              <w:right w:val="single" w:color="auto" w:sz="4" w:space="0"/>
            </w:tcBorders>
            <w:noWrap/>
          </w:tcPr>
          <w:p>
            <w:pPr>
              <w:spacing w:line="320" w:lineRule="exact"/>
              <w:rPr>
                <w:rFonts w:ascii="仿宋_GB2312" w:eastAsia="仿宋_GB2312"/>
                <w:sz w:val="24"/>
              </w:rPr>
            </w:pPr>
            <w:r>
              <w:rPr>
                <w:rFonts w:hint="eastAsia" w:ascii="仿宋_GB2312" w:eastAsia="仿宋_GB2312"/>
                <w:sz w:val="24"/>
              </w:rPr>
              <w:t>20</w:t>
            </w:r>
          </w:p>
        </w:tc>
        <w:tc>
          <w:tcPr>
            <w:tcW w:w="1200" w:type="dxa"/>
            <w:tcBorders>
              <w:top w:val="single" w:color="auto" w:sz="4" w:space="0"/>
              <w:left w:val="nil"/>
              <w:bottom w:val="single" w:color="auto" w:sz="4" w:space="0"/>
              <w:right w:val="single" w:color="auto" w:sz="4" w:space="0"/>
            </w:tcBorders>
            <w:noWrap/>
          </w:tcPr>
          <w:p>
            <w:pPr>
              <w:spacing w:line="320" w:lineRule="exact"/>
              <w:rPr>
                <w:rFonts w:ascii="仿宋_GB2312" w:eastAsia="仿宋_GB2312"/>
                <w:sz w:val="24"/>
              </w:rPr>
            </w:pPr>
            <w:r>
              <w:rPr>
                <w:rFonts w:hint="eastAsia" w:ascii="仿宋_GB2312" w:eastAsia="仿宋_GB2312"/>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2</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成果转化</w:t>
            </w:r>
          </w:p>
        </w:tc>
        <w:tc>
          <w:tcPr>
            <w:tcW w:w="4153" w:type="dxa"/>
            <w:tcBorders>
              <w:top w:val="single" w:color="auto" w:sz="4" w:space="0"/>
              <w:left w:val="nil"/>
              <w:bottom w:val="single" w:color="auto" w:sz="4" w:space="0"/>
              <w:right w:val="single" w:color="auto" w:sz="4" w:space="0"/>
            </w:tcBorders>
            <w:noWrap/>
          </w:tcPr>
          <w:p>
            <w:pPr>
              <w:jc w:val="left"/>
              <w:rPr>
                <w:rFonts w:ascii="仿宋_GB2312" w:hAnsi="仿宋_GB2312" w:eastAsia="仿宋_GB2312" w:cs="仿宋_GB2312"/>
                <w:spacing w:val="40"/>
                <w:sz w:val="24"/>
              </w:rPr>
            </w:pPr>
            <w:r>
              <w:rPr>
                <w:rFonts w:hint="eastAsia" w:ascii="仿宋_GB2312" w:hAnsi="仿宋_GB2312" w:eastAsia="仿宋_GB2312" w:cs="仿宋_GB2312"/>
                <w:sz w:val="24"/>
              </w:rPr>
              <w:t>峨眉山市龙腾生物科技有限公司</w:t>
            </w:r>
          </w:p>
        </w:tc>
        <w:tc>
          <w:tcPr>
            <w:tcW w:w="1200" w:type="dxa"/>
            <w:tcBorders>
              <w:top w:val="single" w:color="auto" w:sz="4" w:space="0"/>
              <w:left w:val="nil"/>
              <w:bottom w:val="single" w:color="auto" w:sz="4" w:space="0"/>
              <w:right w:val="single" w:color="auto" w:sz="4" w:space="0"/>
            </w:tcBorders>
            <w:noWrap/>
          </w:tcPr>
          <w:p>
            <w:pPr>
              <w:spacing w:line="320" w:lineRule="exact"/>
              <w:rPr>
                <w:rFonts w:ascii="仿宋_GB2312" w:eastAsia="仿宋_GB2312"/>
                <w:sz w:val="24"/>
              </w:rPr>
            </w:pPr>
            <w:r>
              <w:rPr>
                <w:rFonts w:hint="eastAsia" w:ascii="仿宋_GB2312" w:eastAsia="仿宋_GB2312"/>
                <w:sz w:val="24"/>
              </w:rPr>
              <w:t>15</w:t>
            </w:r>
          </w:p>
        </w:tc>
        <w:tc>
          <w:tcPr>
            <w:tcW w:w="1200" w:type="dxa"/>
            <w:tcBorders>
              <w:top w:val="single" w:color="auto" w:sz="4" w:space="0"/>
              <w:left w:val="nil"/>
              <w:bottom w:val="single" w:color="auto" w:sz="4" w:space="0"/>
              <w:right w:val="single" w:color="auto" w:sz="4" w:space="0"/>
            </w:tcBorders>
            <w:noWrap/>
          </w:tcPr>
          <w:p>
            <w:pPr>
              <w:spacing w:line="320" w:lineRule="exact"/>
              <w:rPr>
                <w:rFonts w:ascii="仿宋_GB2312" w:eastAsia="仿宋_GB2312"/>
                <w:sz w:val="24"/>
              </w:rPr>
            </w:pPr>
            <w:r>
              <w:rPr>
                <w:rFonts w:hint="eastAsia" w:ascii="仿宋_GB2312" w:eastAsia="仿宋_GB2312"/>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3</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成果转化</w:t>
            </w:r>
          </w:p>
        </w:tc>
        <w:tc>
          <w:tcPr>
            <w:tcW w:w="4153" w:type="dxa"/>
            <w:tcBorders>
              <w:top w:val="single" w:color="auto" w:sz="4" w:space="0"/>
              <w:left w:val="nil"/>
              <w:bottom w:val="single" w:color="auto" w:sz="4" w:space="0"/>
              <w:right w:val="single" w:color="auto" w:sz="4" w:space="0"/>
            </w:tcBorders>
            <w:noWrap/>
          </w:tcPr>
          <w:p>
            <w:pPr>
              <w:jc w:val="left"/>
              <w:rPr>
                <w:rFonts w:ascii="仿宋_GB2312" w:hAnsi="仿宋_GB2312" w:eastAsia="仿宋_GB2312" w:cs="仿宋_GB2312"/>
                <w:spacing w:val="40"/>
                <w:sz w:val="24"/>
              </w:rPr>
            </w:pPr>
            <w:r>
              <w:rPr>
                <w:rFonts w:hint="eastAsia" w:ascii="仿宋_GB2312" w:hAnsi="仿宋_GB2312" w:eastAsia="仿宋_GB2312" w:cs="仿宋_GB2312"/>
                <w:bCs/>
                <w:sz w:val="24"/>
              </w:rPr>
              <w:t>峨眉山宏</w:t>
            </w:r>
            <w:r>
              <w:rPr>
                <w:rFonts w:hint="eastAsia" w:ascii="微软雅黑" w:hAnsi="微软雅黑" w:eastAsia="微软雅黑" w:cs="微软雅黑"/>
                <w:bCs/>
                <w:sz w:val="24"/>
              </w:rPr>
              <w:t>昇</w:t>
            </w:r>
            <w:r>
              <w:rPr>
                <w:rFonts w:hint="eastAsia" w:ascii="仿宋_GB2312" w:hAnsi="仿宋_GB2312" w:eastAsia="仿宋_GB2312" w:cs="仿宋_GB2312"/>
                <w:bCs/>
                <w:sz w:val="24"/>
              </w:rPr>
              <w:t>药业股份有限公司</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10</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4</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成果转化</w:t>
            </w:r>
          </w:p>
        </w:tc>
        <w:tc>
          <w:tcPr>
            <w:tcW w:w="4153" w:type="dxa"/>
            <w:tcBorders>
              <w:top w:val="single" w:color="auto" w:sz="4" w:space="0"/>
              <w:left w:val="nil"/>
              <w:bottom w:val="single" w:color="auto" w:sz="4" w:space="0"/>
              <w:right w:val="single" w:color="auto" w:sz="4" w:space="0"/>
            </w:tcBorders>
            <w:noWrap/>
          </w:tcPr>
          <w:p>
            <w:pPr>
              <w:jc w:val="left"/>
              <w:rPr>
                <w:rFonts w:ascii="仿宋_GB2312" w:hAnsi="仿宋_GB2312" w:eastAsia="仿宋_GB2312" w:cs="仿宋_GB2312"/>
                <w:spacing w:val="40"/>
                <w:sz w:val="24"/>
              </w:rPr>
            </w:pPr>
            <w:r>
              <w:rPr>
                <w:rFonts w:hint="eastAsia" w:ascii="仿宋_GB2312" w:hAnsi="仿宋_GB2312" w:eastAsia="仿宋_GB2312" w:cs="仿宋_GB2312"/>
                <w:kern w:val="0"/>
                <w:sz w:val="24"/>
              </w:rPr>
              <w:t>峨眉山市驰骋机械制造有限公司</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10</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5</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成果转化</w:t>
            </w:r>
          </w:p>
        </w:tc>
        <w:tc>
          <w:tcPr>
            <w:tcW w:w="4153" w:type="dxa"/>
            <w:tcBorders>
              <w:top w:val="single" w:color="auto" w:sz="4" w:space="0"/>
              <w:left w:val="nil"/>
              <w:bottom w:val="single" w:color="auto" w:sz="4" w:space="0"/>
              <w:right w:val="single" w:color="auto" w:sz="4" w:space="0"/>
            </w:tcBorders>
            <w:noWrap/>
          </w:tcPr>
          <w:p>
            <w:pPr>
              <w:ind w:left="-85"/>
              <w:jc w:val="left"/>
              <w:rPr>
                <w:rFonts w:ascii="仿宋_GB2312" w:hAnsi="仿宋_GB2312" w:eastAsia="仿宋_GB2312" w:cs="仿宋_GB2312"/>
                <w:spacing w:val="40"/>
                <w:sz w:val="24"/>
              </w:rPr>
            </w:pPr>
            <w:r>
              <w:rPr>
                <w:rFonts w:hint="eastAsia" w:ascii="仿宋_GB2312" w:hAnsi="仿宋_GB2312" w:eastAsia="仿宋_GB2312" w:cs="仿宋_GB2312"/>
                <w:sz w:val="24"/>
              </w:rPr>
              <w:t>四川省军涛灯业有限公司</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10</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6</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双创孵化</w:t>
            </w:r>
          </w:p>
        </w:tc>
        <w:tc>
          <w:tcPr>
            <w:tcW w:w="4153" w:type="dxa"/>
            <w:tcBorders>
              <w:top w:val="single" w:color="auto" w:sz="4" w:space="0"/>
              <w:left w:val="nil"/>
              <w:bottom w:val="single" w:color="auto" w:sz="4" w:space="0"/>
              <w:right w:val="single" w:color="auto" w:sz="4" w:space="0"/>
            </w:tcBorders>
            <w:noWrap/>
          </w:tcPr>
          <w:p>
            <w:pPr>
              <w:jc w:val="left"/>
              <w:rPr>
                <w:rFonts w:ascii="仿宋_GB2312" w:hAnsi="仿宋_GB2312" w:eastAsia="仿宋_GB2312" w:cs="仿宋_GB2312"/>
                <w:spacing w:val="40"/>
                <w:sz w:val="24"/>
              </w:rPr>
            </w:pPr>
            <w:r>
              <w:rPr>
                <w:rFonts w:hint="eastAsia" w:ascii="仿宋_GB2312" w:hAnsi="仿宋_GB2312" w:eastAsia="仿宋_GB2312" w:cs="仿宋_GB2312"/>
                <w:sz w:val="24"/>
              </w:rPr>
              <w:t>峨眉山市鑫锐新材料有限公司</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15</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7</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双创孵化</w:t>
            </w:r>
          </w:p>
        </w:tc>
        <w:tc>
          <w:tcPr>
            <w:tcW w:w="4153" w:type="dxa"/>
            <w:tcBorders>
              <w:top w:val="single" w:color="auto" w:sz="4" w:space="0"/>
              <w:left w:val="nil"/>
              <w:bottom w:val="single" w:color="auto" w:sz="4" w:space="0"/>
              <w:right w:val="single" w:color="auto" w:sz="4" w:space="0"/>
            </w:tcBorders>
            <w:noWrap/>
          </w:tcPr>
          <w:p>
            <w:pPr>
              <w:jc w:val="left"/>
              <w:rPr>
                <w:rFonts w:ascii="仿宋_GB2312" w:hAnsi="仿宋_GB2312" w:eastAsia="仿宋_GB2312" w:cs="仿宋_GB2312"/>
                <w:spacing w:val="40"/>
                <w:sz w:val="24"/>
              </w:rPr>
            </w:pPr>
            <w:r>
              <w:rPr>
                <w:rFonts w:hint="eastAsia" w:ascii="仿宋_GB2312" w:hAnsi="仿宋_GB2312" w:eastAsia="仿宋_GB2312" w:cs="仿宋_GB2312"/>
                <w:sz w:val="24"/>
              </w:rPr>
              <w:t>峨眉山市思敏创新科技有限公司</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8</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8</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双创孵化</w:t>
            </w:r>
          </w:p>
        </w:tc>
        <w:tc>
          <w:tcPr>
            <w:tcW w:w="4153" w:type="dxa"/>
            <w:tcBorders>
              <w:top w:val="single" w:color="auto" w:sz="4" w:space="0"/>
              <w:left w:val="nil"/>
              <w:bottom w:val="single" w:color="auto" w:sz="4" w:space="0"/>
              <w:right w:val="single" w:color="auto" w:sz="4" w:space="0"/>
            </w:tcBorders>
            <w:noWrap/>
          </w:tcPr>
          <w:p>
            <w:pPr>
              <w:jc w:val="left"/>
              <w:rPr>
                <w:rFonts w:ascii="仿宋_GB2312" w:hAnsi="仿宋_GB2312" w:eastAsia="仿宋_GB2312" w:cs="仿宋_GB2312"/>
                <w:spacing w:val="40"/>
                <w:sz w:val="24"/>
              </w:rPr>
            </w:pPr>
            <w:r>
              <w:rPr>
                <w:rFonts w:hint="eastAsia" w:ascii="仿宋_GB2312" w:hAnsi="仿宋_GB2312" w:eastAsia="仿宋_GB2312" w:cs="仿宋_GB2312"/>
                <w:sz w:val="24"/>
              </w:rPr>
              <w:t>峨眉山市伫力停车科技有限责任公司</w:t>
            </w:r>
          </w:p>
        </w:tc>
        <w:tc>
          <w:tcPr>
            <w:tcW w:w="1200" w:type="dxa"/>
            <w:tcBorders>
              <w:top w:val="single" w:color="auto" w:sz="4" w:space="0"/>
              <w:left w:val="nil"/>
              <w:bottom w:val="single" w:color="auto" w:sz="4" w:space="0"/>
              <w:right w:val="single" w:color="auto" w:sz="4" w:space="0"/>
            </w:tcBorders>
            <w:noWrap/>
          </w:tcPr>
          <w:p>
            <w:pPr>
              <w:spacing w:line="320" w:lineRule="exact"/>
              <w:rPr>
                <w:rFonts w:ascii="仿宋_GB2312" w:eastAsia="仿宋_GB2312"/>
                <w:sz w:val="24"/>
              </w:rPr>
            </w:pPr>
            <w:r>
              <w:rPr>
                <w:rFonts w:hint="eastAsia" w:ascii="仿宋_GB2312" w:eastAsia="仿宋_GB2312"/>
                <w:sz w:val="24"/>
              </w:rPr>
              <w:t>8</w:t>
            </w:r>
          </w:p>
        </w:tc>
        <w:tc>
          <w:tcPr>
            <w:tcW w:w="1200" w:type="dxa"/>
            <w:tcBorders>
              <w:top w:val="single" w:color="auto" w:sz="4" w:space="0"/>
              <w:left w:val="nil"/>
              <w:bottom w:val="single" w:color="auto" w:sz="4" w:space="0"/>
              <w:right w:val="single" w:color="auto" w:sz="4" w:space="0"/>
            </w:tcBorders>
            <w:noWrap/>
          </w:tcPr>
          <w:p>
            <w:pPr>
              <w:spacing w:line="320" w:lineRule="exact"/>
              <w:rPr>
                <w:rFonts w:ascii="仿宋_GB2312" w:eastAsia="仿宋_GB2312"/>
                <w:sz w:val="24"/>
              </w:rPr>
            </w:pPr>
            <w:r>
              <w:rPr>
                <w:rFonts w:hint="eastAsia" w:ascii="仿宋_GB2312" w:eastAsia="仿宋_GB2312"/>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9</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双创孵化</w:t>
            </w:r>
          </w:p>
        </w:tc>
        <w:tc>
          <w:tcPr>
            <w:tcW w:w="4153" w:type="dxa"/>
            <w:tcBorders>
              <w:top w:val="single" w:color="auto" w:sz="4" w:space="0"/>
              <w:left w:val="nil"/>
              <w:bottom w:val="single" w:color="auto" w:sz="4" w:space="0"/>
              <w:right w:val="single" w:color="auto" w:sz="4" w:space="0"/>
            </w:tcBorders>
            <w:noWrap/>
          </w:tcPr>
          <w:p>
            <w:pPr>
              <w:jc w:val="left"/>
              <w:rPr>
                <w:rFonts w:ascii="仿宋_GB2312" w:hAnsi="仿宋_GB2312" w:eastAsia="仿宋_GB2312" w:cs="仿宋_GB2312"/>
                <w:spacing w:val="40"/>
                <w:sz w:val="24"/>
              </w:rPr>
            </w:pPr>
            <w:r>
              <w:rPr>
                <w:rFonts w:hint="eastAsia" w:ascii="仿宋_GB2312" w:hAnsi="仿宋_GB2312" w:eastAsia="仿宋_GB2312" w:cs="仿宋_GB2312"/>
                <w:sz w:val="24"/>
              </w:rPr>
              <w:t>峨眉山市汇智佩德科技有限公司</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5</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10</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工业</w:t>
            </w:r>
          </w:p>
        </w:tc>
        <w:tc>
          <w:tcPr>
            <w:tcW w:w="4153" w:type="dxa"/>
            <w:tcBorders>
              <w:top w:val="single" w:color="auto" w:sz="4" w:space="0"/>
              <w:left w:val="nil"/>
              <w:bottom w:val="single" w:color="auto" w:sz="4" w:space="0"/>
              <w:right w:val="single" w:color="auto" w:sz="4" w:space="0"/>
            </w:tcBorders>
            <w:noWrap/>
          </w:tcPr>
          <w:p>
            <w:pPr>
              <w:jc w:val="left"/>
              <w:rPr>
                <w:rFonts w:ascii="仿宋_GB2312" w:hAnsi="仿宋_GB2312" w:eastAsia="仿宋_GB2312" w:cs="仿宋_GB2312"/>
                <w:spacing w:val="40"/>
                <w:sz w:val="24"/>
              </w:rPr>
            </w:pPr>
            <w:r>
              <w:rPr>
                <w:rFonts w:hint="eastAsia" w:ascii="仿宋_GB2312" w:hAnsi="仿宋_GB2312" w:eastAsia="仿宋_GB2312" w:cs="仿宋_GB2312"/>
                <w:sz w:val="24"/>
              </w:rPr>
              <w:t>峨眉山市中山新材料科技有限公司</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20</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11</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工业</w:t>
            </w:r>
          </w:p>
        </w:tc>
        <w:tc>
          <w:tcPr>
            <w:tcW w:w="4153" w:type="dxa"/>
            <w:tcBorders>
              <w:top w:val="single" w:color="auto" w:sz="4" w:space="0"/>
              <w:left w:val="nil"/>
              <w:bottom w:val="single" w:color="auto" w:sz="4" w:space="0"/>
              <w:right w:val="single" w:color="auto" w:sz="4" w:space="0"/>
            </w:tcBorders>
            <w:noWrap/>
          </w:tcPr>
          <w:p>
            <w:pPr>
              <w:jc w:val="left"/>
              <w:rPr>
                <w:rFonts w:ascii="仿宋_GB2312" w:hAnsi="仿宋_GB2312" w:eastAsia="仿宋_GB2312" w:cs="仿宋_GB2312"/>
                <w:spacing w:val="40"/>
                <w:sz w:val="24"/>
              </w:rPr>
            </w:pPr>
            <w:r>
              <w:rPr>
                <w:rFonts w:hint="eastAsia" w:ascii="仿宋_GB2312" w:hAnsi="仿宋_GB2312" w:eastAsia="仿宋_GB2312" w:cs="仿宋_GB2312"/>
                <w:sz w:val="24"/>
              </w:rPr>
              <w:t>四川乐飞光电科技有限公司</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15</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12</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工业</w:t>
            </w:r>
          </w:p>
        </w:tc>
        <w:tc>
          <w:tcPr>
            <w:tcW w:w="4153" w:type="dxa"/>
            <w:tcBorders>
              <w:top w:val="single" w:color="auto" w:sz="4" w:space="0"/>
              <w:left w:val="nil"/>
              <w:bottom w:val="single" w:color="auto" w:sz="4" w:space="0"/>
              <w:right w:val="single" w:color="auto" w:sz="4" w:space="0"/>
            </w:tcBorders>
            <w:noWrap/>
          </w:tcPr>
          <w:p>
            <w:pPr>
              <w:jc w:val="left"/>
              <w:rPr>
                <w:rFonts w:ascii="仿宋_GB2312" w:hAnsi="仿宋_GB2312" w:eastAsia="仿宋_GB2312" w:cs="仿宋_GB2312"/>
                <w:spacing w:val="40"/>
                <w:sz w:val="24"/>
              </w:rPr>
            </w:pPr>
            <w:r>
              <w:rPr>
                <w:rFonts w:hint="eastAsia" w:ascii="仿宋_GB2312" w:hAnsi="仿宋_GB2312" w:eastAsia="仿宋_GB2312" w:cs="仿宋_GB2312"/>
                <w:sz w:val="24"/>
              </w:rPr>
              <w:t>峨眉山市嘉盛建筑材料有限公司</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15</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13</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工业</w:t>
            </w:r>
          </w:p>
        </w:tc>
        <w:tc>
          <w:tcPr>
            <w:tcW w:w="4153" w:type="dxa"/>
            <w:tcBorders>
              <w:top w:val="single" w:color="auto" w:sz="4" w:space="0"/>
              <w:left w:val="nil"/>
              <w:bottom w:val="single" w:color="auto" w:sz="4" w:space="0"/>
              <w:right w:val="single" w:color="auto" w:sz="4" w:space="0"/>
            </w:tcBorders>
            <w:noWrap/>
          </w:tcPr>
          <w:p>
            <w:pPr>
              <w:jc w:val="left"/>
              <w:rPr>
                <w:rFonts w:ascii="仿宋_GB2312" w:hAnsi="仿宋_GB2312" w:eastAsia="仿宋_GB2312" w:cs="仿宋_GB2312"/>
                <w:spacing w:val="40"/>
                <w:sz w:val="24"/>
              </w:rPr>
            </w:pPr>
            <w:r>
              <w:rPr>
                <w:rFonts w:hint="eastAsia" w:ascii="仿宋_GB2312" w:hAnsi="仿宋_GB2312" w:eastAsia="仿宋_GB2312" w:cs="仿宋_GB2312"/>
                <w:sz w:val="24"/>
              </w:rPr>
              <w:t>峨眉山市伟业金属制品制造有限公司</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10</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14</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color w:val="000000"/>
                <w:sz w:val="24"/>
              </w:rPr>
            </w:pPr>
            <w:r>
              <w:rPr>
                <w:rFonts w:hint="eastAsia" w:ascii="仿宋_GB2312" w:eastAsia="仿宋_GB2312"/>
                <w:sz w:val="24"/>
              </w:rPr>
              <w:t>工业</w:t>
            </w:r>
          </w:p>
        </w:tc>
        <w:tc>
          <w:tcPr>
            <w:tcW w:w="4153" w:type="dxa"/>
            <w:tcBorders>
              <w:top w:val="single" w:color="auto" w:sz="4" w:space="0"/>
              <w:left w:val="nil"/>
              <w:bottom w:val="single" w:color="auto" w:sz="4" w:space="0"/>
              <w:right w:val="single" w:color="auto" w:sz="4" w:space="0"/>
            </w:tcBorders>
            <w:noWrap/>
          </w:tcPr>
          <w:p>
            <w:pPr>
              <w:jc w:val="left"/>
              <w:rPr>
                <w:rFonts w:ascii="仿宋_GB2312" w:hAnsi="仿宋_GB2312" w:eastAsia="仿宋_GB2312" w:cs="仿宋_GB2312"/>
                <w:spacing w:val="40"/>
                <w:sz w:val="24"/>
              </w:rPr>
            </w:pPr>
            <w:r>
              <w:rPr>
                <w:rFonts w:hint="eastAsia" w:ascii="仿宋_GB2312" w:hAnsi="仿宋_GB2312" w:eastAsia="仿宋_GB2312" w:cs="仿宋_GB2312"/>
                <w:sz w:val="24"/>
              </w:rPr>
              <w:t>峨眉山强华特种水泥有限责任公司</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9</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15</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工业</w:t>
            </w:r>
          </w:p>
        </w:tc>
        <w:tc>
          <w:tcPr>
            <w:tcW w:w="4153" w:type="dxa"/>
            <w:tcBorders>
              <w:top w:val="single" w:color="auto" w:sz="4" w:space="0"/>
              <w:left w:val="nil"/>
              <w:bottom w:val="single" w:color="auto" w:sz="4" w:space="0"/>
              <w:right w:val="single" w:color="auto" w:sz="4" w:space="0"/>
            </w:tcBorders>
            <w:noWrap/>
          </w:tcPr>
          <w:p>
            <w:pPr>
              <w:jc w:val="left"/>
              <w:rPr>
                <w:rFonts w:ascii="仿宋_GB2312" w:hAnsi="仿宋_GB2312" w:eastAsia="仿宋_GB2312" w:cs="仿宋_GB2312"/>
                <w:spacing w:val="40"/>
                <w:sz w:val="24"/>
              </w:rPr>
            </w:pPr>
            <w:r>
              <w:rPr>
                <w:rFonts w:hint="eastAsia" w:ascii="仿宋_GB2312" w:hAnsi="仿宋_GB2312" w:eastAsia="仿宋_GB2312" w:cs="仿宋_GB2312"/>
                <w:sz w:val="24"/>
              </w:rPr>
              <w:t>峨眉山市万晟新材料科技有限公司</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8</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16</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工业</w:t>
            </w:r>
          </w:p>
        </w:tc>
        <w:tc>
          <w:tcPr>
            <w:tcW w:w="4153" w:type="dxa"/>
            <w:tcBorders>
              <w:top w:val="single" w:color="auto" w:sz="4" w:space="0"/>
              <w:left w:val="nil"/>
              <w:bottom w:val="single" w:color="auto" w:sz="4" w:space="0"/>
              <w:right w:val="single" w:color="auto" w:sz="4" w:space="0"/>
            </w:tcBorders>
            <w:noWrap/>
          </w:tcPr>
          <w:p>
            <w:pPr>
              <w:ind w:left="-85" w:firstLine="147"/>
              <w:jc w:val="left"/>
              <w:rPr>
                <w:rFonts w:ascii="仿宋_GB2312" w:hAnsi="仿宋_GB2312" w:eastAsia="仿宋_GB2312" w:cs="仿宋_GB2312"/>
                <w:spacing w:val="40"/>
                <w:sz w:val="24"/>
              </w:rPr>
            </w:pPr>
            <w:r>
              <w:rPr>
                <w:rFonts w:hint="eastAsia" w:ascii="仿宋_GB2312" w:hAnsi="仿宋_GB2312" w:eastAsia="仿宋_GB2312" w:cs="仿宋_GB2312"/>
                <w:sz w:val="24"/>
              </w:rPr>
              <w:t>峨眉山长宇电气有限公司</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8</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17</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工业</w:t>
            </w:r>
          </w:p>
        </w:tc>
        <w:tc>
          <w:tcPr>
            <w:tcW w:w="4153" w:type="dxa"/>
            <w:tcBorders>
              <w:top w:val="single" w:color="auto" w:sz="4" w:space="0"/>
              <w:left w:val="nil"/>
              <w:bottom w:val="single" w:color="auto" w:sz="4" w:space="0"/>
              <w:right w:val="single" w:color="auto" w:sz="4" w:space="0"/>
            </w:tcBorders>
            <w:noWrap/>
          </w:tcPr>
          <w:p>
            <w:pPr>
              <w:tabs>
                <w:tab w:val="left" w:pos="627"/>
              </w:tabs>
              <w:ind w:left="-85"/>
              <w:jc w:val="left"/>
              <w:rPr>
                <w:rFonts w:ascii="仿宋_GB2312" w:hAnsi="仿宋_GB2312" w:eastAsia="仿宋_GB2312" w:cs="仿宋_GB2312"/>
                <w:spacing w:val="40"/>
                <w:sz w:val="24"/>
              </w:rPr>
            </w:pPr>
            <w:r>
              <w:rPr>
                <w:rFonts w:hint="eastAsia" w:ascii="仿宋_GB2312" w:hAnsi="仿宋_GB2312" w:eastAsia="仿宋_GB2312" w:cs="仿宋_GB2312"/>
                <w:sz w:val="24"/>
              </w:rPr>
              <w:t>四川乐山亚联机械有限责任公司</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8</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18</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工业</w:t>
            </w:r>
          </w:p>
        </w:tc>
        <w:tc>
          <w:tcPr>
            <w:tcW w:w="4153" w:type="dxa"/>
            <w:tcBorders>
              <w:top w:val="single" w:color="auto" w:sz="4" w:space="0"/>
              <w:left w:val="nil"/>
              <w:bottom w:val="single" w:color="auto" w:sz="4" w:space="0"/>
              <w:right w:val="single" w:color="auto" w:sz="4" w:space="0"/>
            </w:tcBorders>
            <w:noWrap/>
          </w:tcPr>
          <w:p>
            <w:pPr>
              <w:tabs>
                <w:tab w:val="left" w:pos="612"/>
              </w:tabs>
              <w:ind w:left="-85"/>
              <w:jc w:val="left"/>
              <w:rPr>
                <w:rFonts w:ascii="仿宋_GB2312" w:hAnsi="仿宋_GB2312" w:eastAsia="仿宋_GB2312" w:cs="仿宋_GB2312"/>
                <w:spacing w:val="40"/>
                <w:sz w:val="24"/>
              </w:rPr>
            </w:pPr>
            <w:r>
              <w:rPr>
                <w:rFonts w:hint="eastAsia" w:ascii="仿宋_GB2312" w:hAnsi="仿宋_GB2312" w:eastAsia="仿宋_GB2312" w:cs="仿宋_GB2312"/>
                <w:kern w:val="0"/>
                <w:sz w:val="24"/>
              </w:rPr>
              <w:t>四川峨眉山龙马木业有限公司</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5</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19</w:t>
            </w:r>
          </w:p>
        </w:tc>
        <w:tc>
          <w:tcPr>
            <w:tcW w:w="1472" w:type="dxa"/>
            <w:tcBorders>
              <w:top w:val="single" w:color="auto" w:sz="4" w:space="0"/>
              <w:left w:val="nil"/>
              <w:bottom w:val="single" w:color="auto" w:sz="4" w:space="0"/>
              <w:right w:val="single" w:color="auto" w:sz="4" w:space="0"/>
            </w:tcBorders>
            <w:noWrap/>
          </w:tcPr>
          <w:p>
            <w:pPr>
              <w:widowControl/>
              <w:rPr>
                <w:rFonts w:ascii="仿宋_GB2312" w:eastAsia="仿宋_GB2312"/>
                <w:kern w:val="0"/>
                <w:sz w:val="24"/>
              </w:rPr>
            </w:pPr>
            <w:r>
              <w:rPr>
                <w:rFonts w:hint="eastAsia" w:ascii="仿宋_GB2312" w:eastAsia="仿宋_GB2312"/>
                <w:sz w:val="24"/>
              </w:rPr>
              <w:t>农村</w:t>
            </w:r>
          </w:p>
        </w:tc>
        <w:tc>
          <w:tcPr>
            <w:tcW w:w="4153" w:type="dxa"/>
            <w:tcBorders>
              <w:top w:val="single" w:color="auto" w:sz="4" w:space="0"/>
              <w:left w:val="nil"/>
              <w:bottom w:val="single" w:color="auto" w:sz="4" w:space="0"/>
              <w:right w:val="single" w:color="auto" w:sz="4" w:space="0"/>
            </w:tcBorders>
            <w:noWrap/>
          </w:tcPr>
          <w:p>
            <w:pPr>
              <w:jc w:val="left"/>
              <w:rPr>
                <w:rFonts w:ascii="仿宋_GB2312" w:hAnsi="仿宋_GB2312" w:eastAsia="仿宋_GB2312" w:cs="仿宋_GB2312"/>
                <w:spacing w:val="40"/>
                <w:sz w:val="24"/>
              </w:rPr>
            </w:pPr>
            <w:r>
              <w:rPr>
                <w:rFonts w:hint="eastAsia" w:ascii="仿宋_GB2312" w:hAnsi="仿宋_GB2312" w:eastAsia="仿宋_GB2312" w:cs="仿宋_GB2312"/>
                <w:sz w:val="24"/>
              </w:rPr>
              <w:t>峨眉山生物资源实验站</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pacing w:val="-20"/>
                <w:kern w:val="32"/>
                <w:sz w:val="24"/>
              </w:rPr>
            </w:pPr>
            <w:r>
              <w:rPr>
                <w:rFonts w:hint="eastAsia" w:ascii="仿宋_GB2312" w:eastAsia="仿宋_GB2312"/>
                <w:spacing w:val="-20"/>
                <w:kern w:val="32"/>
                <w:sz w:val="24"/>
              </w:rPr>
              <w:t>10</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pacing w:val="-20"/>
                <w:kern w:val="32"/>
                <w:sz w:val="24"/>
              </w:rPr>
            </w:pPr>
            <w:r>
              <w:rPr>
                <w:rFonts w:hint="eastAsia" w:ascii="仿宋_GB2312" w:eastAsia="仿宋_GB2312"/>
                <w:spacing w:val="-20"/>
                <w:kern w:val="32"/>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20</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农村</w:t>
            </w:r>
          </w:p>
        </w:tc>
        <w:tc>
          <w:tcPr>
            <w:tcW w:w="4153" w:type="dxa"/>
            <w:tcBorders>
              <w:top w:val="single" w:color="auto" w:sz="4" w:space="0"/>
              <w:left w:val="nil"/>
              <w:bottom w:val="single" w:color="auto" w:sz="4" w:space="0"/>
              <w:right w:val="single" w:color="auto" w:sz="4" w:space="0"/>
            </w:tcBorders>
            <w:noWrap/>
          </w:tcPr>
          <w:p>
            <w:pPr>
              <w:jc w:val="left"/>
              <w:rPr>
                <w:rFonts w:ascii="仿宋_GB2312" w:hAnsi="仿宋_GB2312" w:eastAsia="仿宋_GB2312" w:cs="仿宋_GB2312"/>
                <w:spacing w:val="40"/>
                <w:sz w:val="24"/>
              </w:rPr>
            </w:pPr>
            <w:r>
              <w:rPr>
                <w:rFonts w:hint="eastAsia" w:ascii="仿宋_GB2312" w:hAnsi="仿宋_GB2312" w:eastAsia="仿宋_GB2312" w:cs="仿宋_GB2312"/>
                <w:spacing w:val="9"/>
                <w:kern w:val="0"/>
                <w:sz w:val="24"/>
              </w:rPr>
              <w:t>峨眉山万佛绿色食品有限公</w:t>
            </w:r>
            <w:r>
              <w:rPr>
                <w:rFonts w:hint="eastAsia" w:ascii="仿宋_GB2312" w:hAnsi="仿宋_GB2312" w:eastAsia="仿宋_GB2312" w:cs="仿宋_GB2312"/>
                <w:spacing w:val="8"/>
                <w:kern w:val="0"/>
                <w:sz w:val="24"/>
              </w:rPr>
              <w:t>司</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15</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21</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农村</w:t>
            </w:r>
          </w:p>
        </w:tc>
        <w:tc>
          <w:tcPr>
            <w:tcW w:w="4153" w:type="dxa"/>
            <w:tcBorders>
              <w:top w:val="single" w:color="auto" w:sz="4" w:space="0"/>
              <w:left w:val="nil"/>
              <w:bottom w:val="single" w:color="auto" w:sz="4" w:space="0"/>
              <w:right w:val="single" w:color="auto" w:sz="4" w:space="0"/>
            </w:tcBorders>
            <w:noWrap/>
          </w:tcPr>
          <w:p>
            <w:pPr>
              <w:jc w:val="left"/>
              <w:rPr>
                <w:rFonts w:ascii="仿宋_GB2312" w:hAnsi="仿宋_GB2312" w:eastAsia="仿宋_GB2312" w:cs="仿宋_GB2312"/>
                <w:spacing w:val="40"/>
                <w:sz w:val="24"/>
              </w:rPr>
            </w:pPr>
            <w:r>
              <w:rPr>
                <w:rFonts w:hint="eastAsia" w:ascii="仿宋_GB2312" w:hAnsi="仿宋_GB2312" w:eastAsia="仿宋_GB2312" w:cs="仿宋_GB2312"/>
                <w:sz w:val="24"/>
              </w:rPr>
              <w:t>峨眉山天然有机茶业有限公司</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10</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22</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农村</w:t>
            </w:r>
          </w:p>
        </w:tc>
        <w:tc>
          <w:tcPr>
            <w:tcW w:w="4153" w:type="dxa"/>
            <w:tcBorders>
              <w:top w:val="single" w:color="auto" w:sz="4" w:space="0"/>
              <w:left w:val="nil"/>
              <w:bottom w:val="single" w:color="auto" w:sz="4" w:space="0"/>
              <w:right w:val="single" w:color="auto" w:sz="4" w:space="0"/>
            </w:tcBorders>
            <w:noWrap/>
          </w:tcPr>
          <w:p>
            <w:pPr>
              <w:jc w:val="left"/>
              <w:rPr>
                <w:rFonts w:ascii="仿宋_GB2312" w:hAnsi="仿宋_GB2312" w:eastAsia="仿宋_GB2312" w:cs="仿宋_GB2312"/>
                <w:spacing w:val="40"/>
                <w:sz w:val="24"/>
              </w:rPr>
            </w:pPr>
            <w:r>
              <w:rPr>
                <w:rFonts w:hint="eastAsia" w:ascii="仿宋_GB2312" w:hAnsi="仿宋_GB2312" w:eastAsia="仿宋_GB2312" w:cs="仿宋_GB2312"/>
                <w:sz w:val="24"/>
              </w:rPr>
              <w:t>峨眉山农博士蔬菜专业合作社</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10</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23</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农村</w:t>
            </w:r>
          </w:p>
        </w:tc>
        <w:tc>
          <w:tcPr>
            <w:tcW w:w="4153" w:type="dxa"/>
            <w:tcBorders>
              <w:top w:val="single" w:color="auto" w:sz="4" w:space="0"/>
              <w:left w:val="nil"/>
              <w:bottom w:val="single" w:color="auto" w:sz="4" w:space="0"/>
              <w:right w:val="single" w:color="auto" w:sz="4" w:space="0"/>
            </w:tcBorders>
            <w:noWrap/>
          </w:tcPr>
          <w:p>
            <w:pPr>
              <w:jc w:val="left"/>
              <w:rPr>
                <w:rFonts w:ascii="仿宋_GB2312" w:hAnsi="仿宋_GB2312" w:eastAsia="仿宋_GB2312" w:cs="仿宋_GB2312"/>
                <w:spacing w:val="40"/>
                <w:sz w:val="24"/>
              </w:rPr>
            </w:pPr>
            <w:r>
              <w:rPr>
                <w:rFonts w:hint="eastAsia" w:ascii="仿宋_GB2312" w:hAnsi="仿宋_GB2312" w:eastAsia="仿宋_GB2312" w:cs="仿宋_GB2312"/>
                <w:sz w:val="24"/>
              </w:rPr>
              <w:t>峨眉山千代农业种植专业合作社</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8</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24</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农村</w:t>
            </w:r>
          </w:p>
        </w:tc>
        <w:tc>
          <w:tcPr>
            <w:tcW w:w="4153" w:type="dxa"/>
            <w:tcBorders>
              <w:top w:val="single" w:color="auto" w:sz="4" w:space="0"/>
              <w:left w:val="nil"/>
              <w:bottom w:val="single" w:color="auto" w:sz="4" w:space="0"/>
              <w:right w:val="single" w:color="auto" w:sz="4" w:space="0"/>
            </w:tcBorders>
            <w:noWrap/>
          </w:tcPr>
          <w:p>
            <w:pPr>
              <w:jc w:val="left"/>
              <w:rPr>
                <w:rFonts w:ascii="仿宋_GB2312" w:hAnsi="仿宋_GB2312" w:eastAsia="仿宋_GB2312" w:cs="仿宋_GB2312"/>
                <w:spacing w:val="40"/>
                <w:sz w:val="24"/>
              </w:rPr>
            </w:pPr>
            <w:r>
              <w:rPr>
                <w:rFonts w:hint="eastAsia" w:ascii="仿宋_GB2312" w:hAnsi="仿宋_GB2312" w:eastAsia="仿宋_GB2312" w:cs="仿宋_GB2312"/>
                <w:sz w:val="24"/>
              </w:rPr>
              <w:t>峨眉山圣果农林科技有限公司</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5</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25</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农村</w:t>
            </w:r>
          </w:p>
        </w:tc>
        <w:tc>
          <w:tcPr>
            <w:tcW w:w="4153" w:type="dxa"/>
            <w:tcBorders>
              <w:top w:val="single" w:color="auto" w:sz="4" w:space="0"/>
              <w:left w:val="nil"/>
              <w:bottom w:val="single" w:color="auto" w:sz="4" w:space="0"/>
              <w:right w:val="single" w:color="auto" w:sz="4" w:space="0"/>
            </w:tcBorders>
            <w:noWrap/>
          </w:tcPr>
          <w:p>
            <w:pPr>
              <w:jc w:val="left"/>
              <w:rPr>
                <w:rFonts w:ascii="仿宋_GB2312" w:hAnsi="仿宋_GB2312" w:eastAsia="仿宋_GB2312" w:cs="仿宋_GB2312"/>
                <w:spacing w:val="40"/>
                <w:sz w:val="24"/>
              </w:rPr>
            </w:pPr>
            <w:r>
              <w:rPr>
                <w:rFonts w:hint="eastAsia" w:ascii="仿宋_GB2312" w:hAnsi="仿宋_GB2312" w:eastAsia="仿宋_GB2312" w:cs="仿宋_GB2312"/>
                <w:sz w:val="24"/>
              </w:rPr>
              <w:t>峨眉山市敬业种植贸易有限公司</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5</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26</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农村</w:t>
            </w:r>
          </w:p>
        </w:tc>
        <w:tc>
          <w:tcPr>
            <w:tcW w:w="4153" w:type="dxa"/>
            <w:tcBorders>
              <w:top w:val="single" w:color="auto" w:sz="4" w:space="0"/>
              <w:left w:val="nil"/>
              <w:bottom w:val="single" w:color="auto" w:sz="4" w:space="0"/>
              <w:right w:val="single" w:color="auto" w:sz="4" w:space="0"/>
            </w:tcBorders>
            <w:noWrap/>
          </w:tcPr>
          <w:p>
            <w:pPr>
              <w:ind w:left="-85" w:firstLine="147"/>
              <w:jc w:val="left"/>
              <w:rPr>
                <w:rFonts w:ascii="仿宋_GB2312" w:hAnsi="仿宋_GB2312" w:eastAsia="仿宋_GB2312" w:cs="仿宋_GB2312"/>
                <w:spacing w:val="40"/>
                <w:sz w:val="24"/>
              </w:rPr>
            </w:pPr>
            <w:r>
              <w:rPr>
                <w:rFonts w:hint="eastAsia" w:ascii="仿宋_GB2312" w:hAnsi="仿宋_GB2312" w:eastAsia="仿宋_GB2312" w:cs="仿宋_GB2312"/>
                <w:sz w:val="24"/>
              </w:rPr>
              <w:t>峨眉山翔美园林绿化有限公司</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5</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27</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社发</w:t>
            </w:r>
          </w:p>
        </w:tc>
        <w:tc>
          <w:tcPr>
            <w:tcW w:w="4153" w:type="dxa"/>
            <w:tcBorders>
              <w:top w:val="single" w:color="auto" w:sz="4" w:space="0"/>
              <w:left w:val="nil"/>
              <w:bottom w:val="single" w:color="auto" w:sz="4" w:space="0"/>
              <w:right w:val="single" w:color="auto" w:sz="4" w:space="0"/>
            </w:tcBorders>
            <w:noWrap/>
          </w:tcPr>
          <w:p>
            <w:pPr>
              <w:jc w:val="left"/>
              <w:rPr>
                <w:rFonts w:ascii="仿宋_GB2312" w:hAnsi="仿宋_GB2312" w:eastAsia="仿宋_GB2312" w:cs="仿宋_GB2312"/>
                <w:spacing w:val="40"/>
                <w:sz w:val="24"/>
              </w:rPr>
            </w:pPr>
            <w:r>
              <w:rPr>
                <w:rFonts w:hint="eastAsia" w:ascii="仿宋_GB2312" w:hAnsi="仿宋_GB2312" w:eastAsia="仿宋_GB2312" w:cs="仿宋_GB2312"/>
                <w:sz w:val="24"/>
              </w:rPr>
              <w:t>西南交通大学峨眉校区</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pacing w:val="9"/>
                <w:kern w:val="0"/>
                <w:sz w:val="24"/>
              </w:rPr>
            </w:pPr>
            <w:r>
              <w:rPr>
                <w:rFonts w:hint="eastAsia" w:ascii="仿宋_GB2312" w:eastAsia="仿宋_GB2312"/>
                <w:spacing w:val="9"/>
                <w:kern w:val="0"/>
                <w:sz w:val="24"/>
              </w:rPr>
              <w:t>10</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pacing w:val="9"/>
                <w:kern w:val="0"/>
                <w:sz w:val="24"/>
              </w:rPr>
            </w:pPr>
            <w:r>
              <w:rPr>
                <w:rFonts w:hint="eastAsia" w:ascii="仿宋_GB2312" w:eastAsia="仿宋_GB2312"/>
                <w:spacing w:val="9"/>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28</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社发</w:t>
            </w:r>
          </w:p>
        </w:tc>
        <w:tc>
          <w:tcPr>
            <w:tcW w:w="4153" w:type="dxa"/>
            <w:tcBorders>
              <w:top w:val="single" w:color="auto" w:sz="4" w:space="0"/>
              <w:left w:val="nil"/>
              <w:bottom w:val="single" w:color="auto" w:sz="4" w:space="0"/>
              <w:right w:val="single" w:color="auto" w:sz="4" w:space="0"/>
            </w:tcBorders>
            <w:noWrap/>
          </w:tcPr>
          <w:p>
            <w:pPr>
              <w:jc w:val="left"/>
              <w:rPr>
                <w:rFonts w:ascii="仿宋_GB2312" w:hAnsi="仿宋_GB2312" w:eastAsia="仿宋_GB2312" w:cs="仿宋_GB2312"/>
                <w:spacing w:val="40"/>
                <w:sz w:val="24"/>
              </w:rPr>
            </w:pPr>
            <w:r>
              <w:rPr>
                <w:rFonts w:hint="eastAsia" w:ascii="仿宋_GB2312" w:hAnsi="仿宋_GB2312" w:eastAsia="仿宋_GB2312" w:cs="仿宋_GB2312"/>
                <w:sz w:val="24"/>
              </w:rPr>
              <w:t>峨眉山市老年科技工作者协会</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10</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29</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社发</w:t>
            </w:r>
          </w:p>
        </w:tc>
        <w:tc>
          <w:tcPr>
            <w:tcW w:w="4153" w:type="dxa"/>
            <w:tcBorders>
              <w:top w:val="single" w:color="auto" w:sz="4" w:space="0"/>
              <w:left w:val="nil"/>
              <w:bottom w:val="single" w:color="auto" w:sz="4" w:space="0"/>
              <w:right w:val="single" w:color="auto" w:sz="4" w:space="0"/>
            </w:tcBorders>
            <w:noWrap/>
          </w:tcPr>
          <w:p>
            <w:pPr>
              <w:jc w:val="left"/>
              <w:rPr>
                <w:rFonts w:ascii="仿宋_GB2312" w:hAnsi="仿宋_GB2312" w:eastAsia="仿宋_GB2312" w:cs="仿宋_GB2312"/>
                <w:spacing w:val="40"/>
                <w:sz w:val="24"/>
              </w:rPr>
            </w:pPr>
            <w:r>
              <w:rPr>
                <w:rFonts w:hint="eastAsia" w:ascii="仿宋_GB2312" w:hAnsi="仿宋_GB2312" w:eastAsia="仿宋_GB2312" w:cs="仿宋_GB2312"/>
                <w:sz w:val="24"/>
              </w:rPr>
              <w:t>四川峨胜水泥集团股份有限公司</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12</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30</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社发</w:t>
            </w:r>
          </w:p>
        </w:tc>
        <w:tc>
          <w:tcPr>
            <w:tcW w:w="4153" w:type="dxa"/>
            <w:tcBorders>
              <w:top w:val="single" w:color="auto" w:sz="4" w:space="0"/>
              <w:left w:val="nil"/>
              <w:bottom w:val="single" w:color="auto" w:sz="4" w:space="0"/>
              <w:right w:val="single" w:color="auto" w:sz="4" w:space="0"/>
            </w:tcBorders>
            <w:noWrap/>
          </w:tcPr>
          <w:p>
            <w:pPr>
              <w:jc w:val="left"/>
              <w:rPr>
                <w:rFonts w:ascii="仿宋_GB2312" w:hAnsi="仿宋_GB2312" w:eastAsia="仿宋_GB2312" w:cs="仿宋_GB2312"/>
                <w:spacing w:val="40"/>
                <w:sz w:val="24"/>
              </w:rPr>
            </w:pPr>
            <w:r>
              <w:rPr>
                <w:rFonts w:hint="eastAsia" w:ascii="仿宋_GB2312" w:hAnsi="仿宋_GB2312" w:eastAsia="仿宋_GB2312" w:cs="仿宋_GB2312"/>
                <w:sz w:val="24"/>
              </w:rPr>
              <w:t>四川峨眉山佛光医院有限公司</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10</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31</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社发</w:t>
            </w:r>
          </w:p>
        </w:tc>
        <w:tc>
          <w:tcPr>
            <w:tcW w:w="4153" w:type="dxa"/>
            <w:tcBorders>
              <w:top w:val="single" w:color="auto" w:sz="4" w:space="0"/>
              <w:left w:val="nil"/>
              <w:bottom w:val="single" w:color="auto" w:sz="4" w:space="0"/>
              <w:right w:val="single" w:color="auto" w:sz="4" w:space="0"/>
            </w:tcBorders>
            <w:noWrap/>
          </w:tcPr>
          <w:p>
            <w:pPr>
              <w:jc w:val="left"/>
              <w:rPr>
                <w:rFonts w:ascii="仿宋_GB2312" w:hAnsi="仿宋_GB2312" w:eastAsia="仿宋_GB2312" w:cs="仿宋_GB2312"/>
                <w:spacing w:val="40"/>
                <w:sz w:val="24"/>
              </w:rPr>
            </w:pPr>
            <w:r>
              <w:rPr>
                <w:rFonts w:hint="eastAsia" w:ascii="仿宋_GB2312" w:hAnsi="仿宋_GB2312" w:eastAsia="仿宋_GB2312" w:cs="仿宋_GB2312"/>
                <w:sz w:val="24"/>
              </w:rPr>
              <w:t>中科乐美环保科技有限公司</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10</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32</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社发</w:t>
            </w:r>
          </w:p>
        </w:tc>
        <w:tc>
          <w:tcPr>
            <w:tcW w:w="4153" w:type="dxa"/>
            <w:tcBorders>
              <w:top w:val="single" w:color="auto" w:sz="4" w:space="0"/>
              <w:left w:val="nil"/>
              <w:bottom w:val="single" w:color="auto" w:sz="4" w:space="0"/>
              <w:right w:val="single" w:color="auto" w:sz="4" w:space="0"/>
            </w:tcBorders>
            <w:noWrap/>
          </w:tcPr>
          <w:p>
            <w:pPr>
              <w:jc w:val="left"/>
              <w:rPr>
                <w:rFonts w:ascii="仿宋_GB2312" w:hAnsi="仿宋_GB2312" w:eastAsia="仿宋_GB2312" w:cs="仿宋_GB2312"/>
                <w:spacing w:val="40"/>
                <w:sz w:val="24"/>
              </w:rPr>
            </w:pPr>
            <w:r>
              <w:rPr>
                <w:rFonts w:hint="eastAsia" w:ascii="仿宋_GB2312" w:hAnsi="仿宋_GB2312" w:eastAsia="仿宋_GB2312" w:cs="仿宋_GB2312"/>
                <w:sz w:val="24"/>
              </w:rPr>
              <w:t>峨眉山市人民医院</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10</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33</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社发</w:t>
            </w:r>
          </w:p>
        </w:tc>
        <w:tc>
          <w:tcPr>
            <w:tcW w:w="4153" w:type="dxa"/>
            <w:tcBorders>
              <w:top w:val="single" w:color="auto" w:sz="4" w:space="0"/>
              <w:left w:val="nil"/>
              <w:bottom w:val="single" w:color="auto" w:sz="4" w:space="0"/>
              <w:right w:val="single" w:color="auto" w:sz="4" w:space="0"/>
            </w:tcBorders>
            <w:noWrap/>
          </w:tcPr>
          <w:p>
            <w:pPr>
              <w:jc w:val="left"/>
              <w:rPr>
                <w:rFonts w:ascii="仿宋_GB2312" w:hAnsi="仿宋_GB2312" w:eastAsia="仿宋_GB2312" w:cs="仿宋_GB2312"/>
                <w:spacing w:val="40"/>
                <w:sz w:val="24"/>
              </w:rPr>
            </w:pPr>
            <w:r>
              <w:rPr>
                <w:rFonts w:hint="eastAsia" w:ascii="仿宋_GB2312" w:hAnsi="仿宋_GB2312" w:eastAsia="仿宋_GB2312" w:cs="仿宋_GB2312"/>
                <w:sz w:val="24"/>
              </w:rPr>
              <w:t>四川金林药业有限公司</w:t>
            </w:r>
          </w:p>
        </w:tc>
        <w:tc>
          <w:tcPr>
            <w:tcW w:w="1200" w:type="dxa"/>
            <w:tcBorders>
              <w:top w:val="single" w:color="auto" w:sz="4" w:space="0"/>
              <w:left w:val="nil"/>
              <w:bottom w:val="single" w:color="auto" w:sz="4" w:space="0"/>
              <w:right w:val="single" w:color="auto" w:sz="4" w:space="0"/>
            </w:tcBorders>
            <w:noWrap/>
          </w:tcPr>
          <w:p>
            <w:pPr>
              <w:rPr>
                <w:rFonts w:ascii="仿宋_GB2312" w:hAnsi="宋体" w:eastAsia="仿宋_GB2312"/>
                <w:spacing w:val="15"/>
                <w:sz w:val="24"/>
              </w:rPr>
            </w:pPr>
            <w:r>
              <w:rPr>
                <w:rFonts w:ascii="仿宋_GB2312" w:hAnsi="宋体" w:eastAsia="仿宋_GB2312"/>
                <w:spacing w:val="15"/>
                <w:sz w:val="24"/>
              </w:rPr>
              <w:t>8</w:t>
            </w:r>
          </w:p>
        </w:tc>
        <w:tc>
          <w:tcPr>
            <w:tcW w:w="1200" w:type="dxa"/>
            <w:tcBorders>
              <w:top w:val="single" w:color="auto" w:sz="4" w:space="0"/>
              <w:left w:val="nil"/>
              <w:bottom w:val="single" w:color="auto" w:sz="4" w:space="0"/>
              <w:right w:val="single" w:color="auto" w:sz="4" w:space="0"/>
            </w:tcBorders>
            <w:noWrap/>
          </w:tcPr>
          <w:p>
            <w:pPr>
              <w:rPr>
                <w:rFonts w:ascii="仿宋_GB2312" w:hAnsi="宋体" w:eastAsia="仿宋_GB2312"/>
                <w:spacing w:val="15"/>
                <w:sz w:val="24"/>
              </w:rPr>
            </w:pPr>
            <w:r>
              <w:rPr>
                <w:rFonts w:ascii="仿宋_GB2312" w:hAnsi="宋体" w:eastAsia="仿宋_GB2312"/>
                <w:spacing w:val="15"/>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34</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社发</w:t>
            </w:r>
          </w:p>
        </w:tc>
        <w:tc>
          <w:tcPr>
            <w:tcW w:w="4153" w:type="dxa"/>
            <w:tcBorders>
              <w:top w:val="single" w:color="auto" w:sz="4" w:space="0"/>
              <w:left w:val="nil"/>
              <w:bottom w:val="single" w:color="auto" w:sz="4" w:space="0"/>
              <w:right w:val="single" w:color="auto" w:sz="4" w:space="0"/>
            </w:tcBorders>
            <w:noWrap/>
          </w:tcPr>
          <w:p>
            <w:pPr>
              <w:ind w:left="-85" w:firstLine="147"/>
              <w:jc w:val="left"/>
              <w:rPr>
                <w:rFonts w:ascii="仿宋_GB2312" w:hAnsi="仿宋_GB2312" w:eastAsia="仿宋_GB2312" w:cs="仿宋_GB2312"/>
                <w:spacing w:val="40"/>
                <w:sz w:val="24"/>
              </w:rPr>
            </w:pPr>
            <w:r>
              <w:rPr>
                <w:rFonts w:hint="eastAsia" w:ascii="仿宋_GB2312" w:hAnsi="仿宋_GB2312" w:eastAsia="仿宋_GB2312" w:cs="仿宋_GB2312"/>
                <w:sz w:val="24"/>
              </w:rPr>
              <w:t>峨眉山市中医医院</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5</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35</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社发</w:t>
            </w:r>
          </w:p>
        </w:tc>
        <w:tc>
          <w:tcPr>
            <w:tcW w:w="4153" w:type="dxa"/>
            <w:tcBorders>
              <w:top w:val="single" w:color="auto" w:sz="4" w:space="0"/>
              <w:left w:val="nil"/>
              <w:bottom w:val="single" w:color="auto" w:sz="4" w:space="0"/>
              <w:right w:val="single" w:color="auto" w:sz="4" w:space="0"/>
            </w:tcBorders>
            <w:noWrap/>
          </w:tcPr>
          <w:p>
            <w:pPr>
              <w:tabs>
                <w:tab w:val="left" w:pos="582"/>
              </w:tabs>
              <w:ind w:left="-85"/>
              <w:jc w:val="left"/>
              <w:rPr>
                <w:rFonts w:ascii="仿宋_GB2312" w:hAnsi="仿宋_GB2312" w:eastAsia="仿宋_GB2312" w:cs="仿宋_GB2312"/>
                <w:spacing w:val="40"/>
                <w:sz w:val="24"/>
              </w:rPr>
            </w:pPr>
            <w:r>
              <w:rPr>
                <w:rFonts w:hint="eastAsia" w:ascii="仿宋_GB2312" w:hAnsi="仿宋_GB2312" w:eastAsia="仿宋_GB2312" w:cs="仿宋_GB2312"/>
                <w:sz w:val="24"/>
              </w:rPr>
              <w:t>峨眉山通惠制药有限公司</w:t>
            </w:r>
          </w:p>
        </w:tc>
        <w:tc>
          <w:tcPr>
            <w:tcW w:w="1200" w:type="dxa"/>
            <w:tcBorders>
              <w:top w:val="single" w:color="auto" w:sz="4" w:space="0"/>
              <w:left w:val="nil"/>
              <w:bottom w:val="single" w:color="auto" w:sz="4" w:space="0"/>
              <w:right w:val="single" w:color="auto" w:sz="4" w:space="0"/>
            </w:tcBorders>
            <w:noWrap/>
          </w:tcPr>
          <w:p>
            <w:pPr>
              <w:rPr>
                <w:rFonts w:ascii="仿宋_GB2312" w:hAnsi="宋体" w:eastAsia="仿宋_GB2312"/>
                <w:spacing w:val="15"/>
                <w:sz w:val="24"/>
              </w:rPr>
            </w:pPr>
            <w:r>
              <w:rPr>
                <w:rFonts w:ascii="仿宋_GB2312" w:hAnsi="宋体" w:eastAsia="仿宋_GB2312"/>
                <w:spacing w:val="15"/>
                <w:sz w:val="24"/>
              </w:rPr>
              <w:t>8</w:t>
            </w:r>
          </w:p>
        </w:tc>
        <w:tc>
          <w:tcPr>
            <w:tcW w:w="1200" w:type="dxa"/>
            <w:tcBorders>
              <w:top w:val="single" w:color="auto" w:sz="4" w:space="0"/>
              <w:left w:val="nil"/>
              <w:bottom w:val="single" w:color="auto" w:sz="4" w:space="0"/>
              <w:right w:val="single" w:color="auto" w:sz="4" w:space="0"/>
            </w:tcBorders>
            <w:noWrap/>
          </w:tcPr>
          <w:p>
            <w:pPr>
              <w:rPr>
                <w:rFonts w:ascii="仿宋_GB2312" w:hAnsi="宋体" w:eastAsia="仿宋_GB2312"/>
                <w:spacing w:val="15"/>
                <w:sz w:val="24"/>
              </w:rPr>
            </w:pPr>
            <w:r>
              <w:rPr>
                <w:rFonts w:ascii="仿宋_GB2312" w:hAnsi="宋体" w:eastAsia="仿宋_GB2312"/>
                <w:spacing w:val="15"/>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36</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社发</w:t>
            </w:r>
          </w:p>
        </w:tc>
        <w:tc>
          <w:tcPr>
            <w:tcW w:w="4153" w:type="dxa"/>
            <w:tcBorders>
              <w:top w:val="single" w:color="auto" w:sz="4" w:space="0"/>
              <w:left w:val="nil"/>
              <w:bottom w:val="single" w:color="auto" w:sz="4" w:space="0"/>
              <w:right w:val="single" w:color="auto" w:sz="4" w:space="0"/>
            </w:tcBorders>
            <w:noWrap/>
          </w:tcPr>
          <w:p>
            <w:pPr>
              <w:jc w:val="left"/>
              <w:rPr>
                <w:rFonts w:ascii="仿宋_GB2312" w:hAnsi="仿宋_GB2312" w:eastAsia="仿宋_GB2312" w:cs="仿宋_GB2312"/>
                <w:spacing w:val="40"/>
                <w:sz w:val="24"/>
              </w:rPr>
            </w:pPr>
            <w:r>
              <w:rPr>
                <w:rFonts w:hint="eastAsia" w:ascii="仿宋_GB2312" w:hAnsi="仿宋_GB2312" w:eastAsia="仿宋_GB2312" w:cs="仿宋_GB2312"/>
                <w:sz w:val="24"/>
              </w:rPr>
              <w:t>峨眉山宏宇中药材种植有限公司</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5</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37</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社发</w:t>
            </w:r>
          </w:p>
        </w:tc>
        <w:tc>
          <w:tcPr>
            <w:tcW w:w="4153" w:type="dxa"/>
            <w:tcBorders>
              <w:top w:val="single" w:color="auto" w:sz="4" w:space="0"/>
              <w:left w:val="nil"/>
              <w:bottom w:val="single" w:color="auto" w:sz="4" w:space="0"/>
              <w:right w:val="single" w:color="auto" w:sz="4" w:space="0"/>
            </w:tcBorders>
            <w:noWrap/>
          </w:tcPr>
          <w:p>
            <w:pPr>
              <w:tabs>
                <w:tab w:val="left" w:pos="1242"/>
              </w:tabs>
              <w:ind w:left="-85"/>
              <w:jc w:val="left"/>
              <w:rPr>
                <w:rFonts w:ascii="仿宋_GB2312" w:hAnsi="仿宋_GB2312" w:eastAsia="仿宋_GB2312" w:cs="仿宋_GB2312"/>
                <w:spacing w:val="40"/>
                <w:sz w:val="24"/>
              </w:rPr>
            </w:pPr>
            <w:r>
              <w:rPr>
                <w:rFonts w:hint="eastAsia" w:ascii="仿宋_GB2312" w:hAnsi="仿宋_GB2312" w:eastAsia="仿宋_GB2312" w:cs="仿宋_GB2312"/>
                <w:sz w:val="24"/>
              </w:rPr>
              <w:t>峨眉山市景秀园林景观工程有限公司</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5</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合计</w:t>
            </w:r>
          </w:p>
        </w:tc>
        <w:tc>
          <w:tcPr>
            <w:tcW w:w="1472" w:type="dxa"/>
            <w:tcBorders>
              <w:top w:val="single" w:color="auto" w:sz="4" w:space="0"/>
              <w:left w:val="nil"/>
              <w:bottom w:val="single" w:color="auto" w:sz="4" w:space="0"/>
              <w:right w:val="single" w:color="auto" w:sz="4" w:space="0"/>
            </w:tcBorders>
            <w:noWrap/>
          </w:tcPr>
          <w:p>
            <w:pPr>
              <w:rPr>
                <w:rFonts w:ascii="仿宋_GB2312" w:eastAsia="仿宋_GB2312"/>
                <w:sz w:val="24"/>
              </w:rPr>
            </w:pPr>
          </w:p>
        </w:tc>
        <w:tc>
          <w:tcPr>
            <w:tcW w:w="4153" w:type="dxa"/>
            <w:tcBorders>
              <w:top w:val="single" w:color="auto" w:sz="4" w:space="0"/>
              <w:left w:val="nil"/>
              <w:bottom w:val="single" w:color="auto" w:sz="4" w:space="0"/>
              <w:right w:val="single" w:color="auto" w:sz="4" w:space="0"/>
            </w:tcBorders>
            <w:noWrap/>
          </w:tcPr>
          <w:p>
            <w:pPr>
              <w:rPr>
                <w:rFonts w:ascii="仿宋_GB2312" w:eastAsia="仿宋_GB2312"/>
                <w:sz w:val="24"/>
              </w:rPr>
            </w:pP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360</w:t>
            </w:r>
          </w:p>
        </w:tc>
        <w:tc>
          <w:tcPr>
            <w:tcW w:w="1200" w:type="dxa"/>
            <w:tcBorders>
              <w:top w:val="single" w:color="auto" w:sz="4" w:space="0"/>
              <w:left w:val="nil"/>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360</w:t>
            </w:r>
          </w:p>
        </w:tc>
      </w:tr>
    </w:tbl>
    <w:p>
      <w:pPr>
        <w:spacing w:line="560" w:lineRule="exact"/>
        <w:ind w:firstLine="640" w:firstLineChars="200"/>
        <w:rPr>
          <w:rFonts w:ascii="仿宋_GB2312" w:hAnsi="仿宋_GB2312" w:eastAsia="仿宋_GB2312" w:cs="仿宋_GB2312"/>
          <w:bCs/>
          <w:sz w:val="32"/>
          <w:szCs w:val="32"/>
        </w:rPr>
      </w:pPr>
    </w:p>
    <w:p>
      <w:pPr>
        <w:ind w:firstLine="640" w:firstLineChars="200"/>
        <w:rPr>
          <w:rFonts w:eastAsia="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资金使用。科技经费支出分为</w:t>
      </w:r>
      <w:r>
        <w:rPr>
          <w:rFonts w:eastAsia="仿宋_GB2312"/>
          <w:sz w:val="32"/>
          <w:szCs w:val="32"/>
        </w:rPr>
        <w:t>直接费用</w:t>
      </w:r>
      <w:r>
        <w:rPr>
          <w:rFonts w:hint="eastAsia" w:eastAsia="仿宋_GB2312"/>
          <w:sz w:val="32"/>
          <w:szCs w:val="32"/>
        </w:rPr>
        <w:t>和</w:t>
      </w:r>
      <w:r>
        <w:rPr>
          <w:rFonts w:eastAsia="仿宋_GB2312"/>
          <w:sz w:val="32"/>
          <w:szCs w:val="32"/>
        </w:rPr>
        <w:t>间接费用</w:t>
      </w:r>
      <w:r>
        <w:rPr>
          <w:rFonts w:hint="eastAsia" w:eastAsia="仿宋_GB2312"/>
          <w:sz w:val="32"/>
          <w:szCs w:val="32"/>
        </w:rPr>
        <w:t>，</w:t>
      </w:r>
      <w:r>
        <w:rPr>
          <w:rFonts w:eastAsia="仿宋_GB2312"/>
          <w:sz w:val="32"/>
          <w:szCs w:val="32"/>
        </w:rPr>
        <w:t>直接费用</w:t>
      </w:r>
      <w:r>
        <w:rPr>
          <w:rFonts w:hint="eastAsia" w:eastAsia="仿宋_GB2312"/>
          <w:sz w:val="32"/>
          <w:szCs w:val="32"/>
        </w:rPr>
        <w:t>包括</w:t>
      </w:r>
      <w:r>
        <w:rPr>
          <w:rFonts w:eastAsia="仿宋_GB2312"/>
          <w:sz w:val="32"/>
          <w:szCs w:val="32"/>
        </w:rPr>
        <w:t>设备费</w:t>
      </w:r>
      <w:r>
        <w:rPr>
          <w:rFonts w:hint="eastAsia" w:eastAsia="仿宋_GB2312"/>
          <w:sz w:val="32"/>
          <w:szCs w:val="32"/>
        </w:rPr>
        <w:t>、</w:t>
      </w:r>
      <w:r>
        <w:rPr>
          <w:rFonts w:eastAsia="仿宋_GB2312"/>
          <w:sz w:val="32"/>
          <w:szCs w:val="32"/>
        </w:rPr>
        <w:t>材料费</w:t>
      </w:r>
      <w:r>
        <w:rPr>
          <w:rFonts w:hint="eastAsia" w:eastAsia="仿宋_GB2312"/>
          <w:sz w:val="32"/>
          <w:szCs w:val="32"/>
        </w:rPr>
        <w:t>、</w:t>
      </w:r>
      <w:r>
        <w:rPr>
          <w:rFonts w:eastAsia="仿宋_GB2312"/>
          <w:sz w:val="32"/>
          <w:szCs w:val="32"/>
        </w:rPr>
        <w:t>测试化验加工费</w:t>
      </w:r>
      <w:r>
        <w:rPr>
          <w:rFonts w:hint="eastAsia" w:eastAsia="仿宋_GB2312"/>
          <w:sz w:val="32"/>
          <w:szCs w:val="32"/>
        </w:rPr>
        <w:t>、</w:t>
      </w:r>
      <w:r>
        <w:rPr>
          <w:rFonts w:eastAsia="仿宋_GB2312"/>
          <w:sz w:val="32"/>
          <w:szCs w:val="32"/>
        </w:rPr>
        <w:t>燃料动力费</w:t>
      </w:r>
      <w:r>
        <w:rPr>
          <w:rFonts w:hint="eastAsia" w:eastAsia="仿宋_GB2312"/>
          <w:sz w:val="32"/>
          <w:szCs w:val="32"/>
        </w:rPr>
        <w:t>、</w:t>
      </w:r>
      <w:r>
        <w:rPr>
          <w:rFonts w:eastAsia="仿宋_GB2312"/>
          <w:sz w:val="32"/>
          <w:szCs w:val="32"/>
        </w:rPr>
        <w:t>差旅费</w:t>
      </w:r>
      <w:r>
        <w:rPr>
          <w:rFonts w:hint="eastAsia" w:eastAsia="仿宋_GB2312"/>
          <w:sz w:val="32"/>
          <w:szCs w:val="32"/>
        </w:rPr>
        <w:t>、</w:t>
      </w:r>
      <w:r>
        <w:rPr>
          <w:rFonts w:eastAsia="仿宋_GB2312"/>
          <w:sz w:val="32"/>
          <w:szCs w:val="32"/>
        </w:rPr>
        <w:t>会议费</w:t>
      </w:r>
      <w:r>
        <w:rPr>
          <w:rFonts w:hint="eastAsia" w:eastAsia="仿宋_GB2312"/>
          <w:sz w:val="32"/>
          <w:szCs w:val="32"/>
        </w:rPr>
        <w:t>、</w:t>
      </w:r>
      <w:r>
        <w:rPr>
          <w:rFonts w:eastAsia="仿宋_GB2312"/>
          <w:sz w:val="32"/>
          <w:szCs w:val="32"/>
        </w:rPr>
        <w:t>国际合作与交流费</w:t>
      </w:r>
      <w:r>
        <w:rPr>
          <w:rFonts w:hint="eastAsia" w:eastAsia="仿宋_GB2312"/>
          <w:sz w:val="32"/>
          <w:szCs w:val="32"/>
        </w:rPr>
        <w:t>、</w:t>
      </w:r>
      <w:r>
        <w:rPr>
          <w:rFonts w:eastAsia="仿宋_GB2312"/>
          <w:sz w:val="32"/>
          <w:szCs w:val="32"/>
        </w:rPr>
        <w:t>出版/文献/信息传播/知识产权事务费</w:t>
      </w:r>
      <w:r>
        <w:rPr>
          <w:rFonts w:hint="eastAsia" w:eastAsia="仿宋_GB2312"/>
          <w:sz w:val="32"/>
          <w:szCs w:val="32"/>
        </w:rPr>
        <w:t>、</w:t>
      </w:r>
      <w:r>
        <w:rPr>
          <w:rFonts w:eastAsia="仿宋_GB2312"/>
          <w:sz w:val="32"/>
          <w:szCs w:val="32"/>
        </w:rPr>
        <w:t>劳务费</w:t>
      </w:r>
      <w:r>
        <w:rPr>
          <w:rFonts w:hint="eastAsia" w:eastAsia="仿宋_GB2312"/>
          <w:sz w:val="32"/>
          <w:szCs w:val="32"/>
        </w:rPr>
        <w:t>、</w:t>
      </w:r>
      <w:r>
        <w:rPr>
          <w:rFonts w:eastAsia="仿宋_GB2312"/>
          <w:sz w:val="32"/>
          <w:szCs w:val="32"/>
        </w:rPr>
        <w:t>专家咨询费</w:t>
      </w:r>
      <w:r>
        <w:rPr>
          <w:rFonts w:hint="eastAsia" w:eastAsia="仿宋_GB2312"/>
          <w:sz w:val="32"/>
          <w:szCs w:val="32"/>
        </w:rPr>
        <w:t>、</w:t>
      </w:r>
      <w:r>
        <w:rPr>
          <w:rFonts w:eastAsia="仿宋_GB2312"/>
          <w:sz w:val="32"/>
          <w:szCs w:val="32"/>
        </w:rPr>
        <w:t>其他费用</w:t>
      </w:r>
      <w:r>
        <w:rPr>
          <w:rFonts w:hint="eastAsia" w:eastAsia="仿宋_GB2312"/>
          <w:sz w:val="32"/>
          <w:szCs w:val="32"/>
        </w:rPr>
        <w:t>，</w:t>
      </w:r>
      <w:r>
        <w:rPr>
          <w:rFonts w:eastAsia="仿宋_GB2312"/>
          <w:sz w:val="32"/>
          <w:szCs w:val="32"/>
        </w:rPr>
        <w:t>间接费用</w:t>
      </w:r>
      <w:r>
        <w:rPr>
          <w:rFonts w:hint="eastAsia" w:eastAsia="仿宋_GB2312"/>
          <w:sz w:val="32"/>
          <w:szCs w:val="32"/>
        </w:rPr>
        <w:t>包括</w:t>
      </w:r>
      <w:r>
        <w:rPr>
          <w:rFonts w:eastAsia="仿宋_GB2312"/>
          <w:sz w:val="32"/>
          <w:szCs w:val="32"/>
        </w:rPr>
        <w:t>绩效支出</w:t>
      </w:r>
      <w:r>
        <w:rPr>
          <w:rFonts w:hint="eastAsia" w:eastAsia="仿宋_GB2312"/>
          <w:sz w:val="32"/>
          <w:szCs w:val="32"/>
        </w:rPr>
        <w:t>。每个项目实施年限不一，正按规定使用经费。</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（二）项目财务管理情况</w:t>
      </w: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各项目实施单位总体上建立了财务管理制度，但有些单位会计核算不规范。</w:t>
      </w:r>
    </w:p>
    <w:p>
      <w:pPr>
        <w:numPr>
          <w:ilvl w:val="0"/>
          <w:numId w:val="4"/>
        </w:numPr>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项目组织实施情况</w:t>
      </w:r>
    </w:p>
    <w:p>
      <w:pPr>
        <w:adjustRightInd w:val="0"/>
        <w:snapToGrid w:val="0"/>
        <w:spacing w:line="560" w:lineRule="exact"/>
        <w:ind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每个科技项目立项后我局与实施单位</w:t>
      </w:r>
      <w:r>
        <w:rPr>
          <w:rFonts w:hint="eastAsia" w:ascii="仿宋_GB2312" w:hAnsi="宋体" w:eastAsia="仿宋_GB2312"/>
          <w:sz w:val="32"/>
          <w:szCs w:val="32"/>
          <w:lang w:val="zh-CN"/>
        </w:rPr>
        <w:t>签订项目计划任务书，明确任务目标。</w:t>
      </w:r>
      <w:r>
        <w:rPr>
          <w:rFonts w:hint="eastAsia" w:ascii="仿宋_GB2312" w:hAnsi="仿宋_GB2312" w:eastAsia="仿宋_GB2312" w:cs="仿宋_GB2312"/>
          <w:sz w:val="32"/>
          <w:szCs w:val="32"/>
        </w:rPr>
        <w:t>项目都能</w:t>
      </w:r>
      <w:r>
        <w:rPr>
          <w:rFonts w:hint="eastAsia" w:ascii="仿宋_GB2312" w:hAnsi="仿宋_GB2312" w:eastAsia="仿宋_GB2312" w:cs="仿宋_GB2312"/>
          <w:sz w:val="32"/>
          <w:szCs w:val="32"/>
          <w:lang w:val="zh-CN"/>
        </w:rPr>
        <w:t>执行相关法律法规及项目管理制度，</w:t>
      </w:r>
      <w:r>
        <w:rPr>
          <w:rFonts w:hint="eastAsia" w:ascii="仿宋_GB2312" w:hAnsi="仿宋_GB2312" w:eastAsia="仿宋_GB2312" w:cs="仿宋_GB2312"/>
          <w:sz w:val="32"/>
          <w:szCs w:val="32"/>
        </w:rPr>
        <w:t>我们主要采取实地查看、电话问询、到期验收等方法开展</w:t>
      </w:r>
      <w:r>
        <w:rPr>
          <w:rFonts w:hint="eastAsia" w:ascii="仿宋_GB2312" w:hAnsi="仿宋_GB2312" w:eastAsia="仿宋_GB2312" w:cs="仿宋_GB2312"/>
          <w:sz w:val="32"/>
          <w:szCs w:val="32"/>
          <w:lang w:val="zh-CN"/>
        </w:rPr>
        <w:t>监管。</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三、项目绩效情况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（一）项目完成情况</w:t>
      </w:r>
    </w:p>
    <w:p>
      <w:p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37个科技项目总体上实施顺利，4个项目已完成，其余项目按计划实施。</w:t>
      </w:r>
    </w:p>
    <w:p>
      <w:pPr>
        <w:adjustRightInd w:val="0"/>
        <w:snapToGrid w:val="0"/>
        <w:spacing w:line="600" w:lineRule="exact"/>
        <w:ind w:firstLine="720"/>
        <w:rPr>
          <w:rFonts w:ascii="仿宋_GB2312" w:hAnsi="仿宋_GB2312" w:eastAsia="仿宋_GB2312" w:cs="仿宋_GB2312"/>
          <w:sz w:val="32"/>
          <w:szCs w:val="32"/>
        </w:rPr>
      </w:pPr>
      <w:r>
        <w:rPr>
          <w:rFonts w:hint="eastAsia" w:ascii="楷体_GB2312" w:hAnsi="宋体" w:eastAsia="楷体_GB2312"/>
          <w:sz w:val="32"/>
          <w:szCs w:val="32"/>
          <w:lang w:val="zh-CN"/>
        </w:rPr>
        <w:t>（二）项目效益情况</w:t>
      </w:r>
    </w:p>
    <w:p>
      <w:pPr>
        <w:spacing w:line="600" w:lineRule="exact"/>
        <w:ind w:firstLine="960" w:firstLineChars="300"/>
        <w:jc w:val="left"/>
        <w:rPr>
          <w:rFonts w:ascii="仿宋_GB2312" w:hAnsi="宋体" w:eastAsia="仿宋_GB2312"/>
          <w:sz w:val="32"/>
          <w:szCs w:val="32"/>
          <w:lang w:val="zh-CN"/>
        </w:rPr>
      </w:pPr>
      <w:r>
        <w:rPr>
          <w:rFonts w:hint="eastAsia" w:ascii="仿宋_GB2312" w:hAnsi="仿宋_GB2312" w:eastAsia="仿宋_GB2312" w:cs="仿宋_GB2312"/>
          <w:sz w:val="32"/>
          <w:szCs w:val="32"/>
        </w:rPr>
        <w:t>4个已完成项目基本实现了预期目标，33个正在实施的科技项目也已取得了一定的</w:t>
      </w:r>
      <w:r>
        <w:rPr>
          <w:rFonts w:hint="eastAsia" w:ascii="仿宋_GB2312" w:hAnsi="宋体" w:eastAsia="仿宋_GB2312"/>
          <w:sz w:val="32"/>
          <w:szCs w:val="32"/>
          <w:lang w:val="zh-CN"/>
        </w:rPr>
        <w:t>经济效益、社会效益</w:t>
      </w:r>
      <w:r>
        <w:rPr>
          <w:rFonts w:hint="eastAsia" w:ascii="仿宋_GB2312" w:hAnsi="仿宋_GB2312" w:eastAsia="仿宋_GB2312" w:cs="仿宋_GB2312"/>
          <w:sz w:val="32"/>
          <w:szCs w:val="32"/>
          <w:lang w:val="zh-CN"/>
        </w:rPr>
        <w:t>。如</w:t>
      </w:r>
      <w:r>
        <w:rPr>
          <w:rFonts w:hint="eastAsia" w:ascii="仿宋_GB2312" w:hAnsi="仿宋_GB2312" w:eastAsia="仿宋_GB2312" w:cs="仿宋_GB2312"/>
          <w:bCs/>
          <w:kern w:val="0"/>
          <w:sz w:val="32"/>
          <w:szCs w:val="32"/>
        </w:rPr>
        <w:t>峨胜水泥集团股份有限公司</w:t>
      </w:r>
      <w:r>
        <w:rPr>
          <w:rFonts w:hint="eastAsia" w:ascii="仿宋_GB2312" w:hAnsi="仿宋_GB2312" w:eastAsia="仿宋_GB2312" w:cs="仿宋_GB2312"/>
          <w:sz w:val="32"/>
          <w:szCs w:val="32"/>
        </w:rPr>
        <w:t>实施的《</w:t>
      </w:r>
      <w:r>
        <w:rPr>
          <w:rFonts w:hint="eastAsia" w:ascii="仿宋_GB2312" w:hAnsi="宋体" w:eastAsia="仿宋_GB2312"/>
          <w:sz w:val="32"/>
          <w:szCs w:val="32"/>
        </w:rPr>
        <w:t>水泥生产中氮氧化物低排放技术研究</w:t>
      </w:r>
      <w:r>
        <w:rPr>
          <w:rFonts w:hint="eastAsia" w:ascii="仿宋_GB2312" w:hAnsi="仿宋_GB2312" w:eastAsia="仿宋_GB2312" w:cs="仿宋_GB2312"/>
          <w:sz w:val="32"/>
          <w:szCs w:val="32"/>
        </w:rPr>
        <w:t>》项目，完成该项目进度100%，</w:t>
      </w:r>
      <w:r>
        <w:rPr>
          <w:rFonts w:hint="eastAsia" w:ascii="仿宋_GB2312" w:hAnsi="宋体" w:eastAsia="仿宋_GB2312"/>
          <w:sz w:val="32"/>
          <w:szCs w:val="32"/>
          <w:lang w:val="zh-CN"/>
        </w:rPr>
        <w:t>实现了水泥生产氮氧化物超低排放的目标，年可节约运行成本641万元，年可减排氮氧化物1640吨。</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四、问题及建议</w:t>
      </w:r>
    </w:p>
    <w:p>
      <w:pPr>
        <w:spacing w:line="600" w:lineRule="exact"/>
        <w:ind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（一）存在的问题</w:t>
      </w:r>
    </w:p>
    <w:p>
      <w:pPr>
        <w:spacing w:line="600" w:lineRule="exact"/>
        <w:ind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有的项目实施单位存在技术资料归档不全，财务不规范问题。</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（二）相关建议</w:t>
      </w:r>
    </w:p>
    <w:p>
      <w:pPr>
        <w:spacing w:line="600" w:lineRule="exact"/>
        <w:ind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希望能早一点拨付资金到项目实施单位。</w:t>
      </w:r>
    </w:p>
    <w:p>
      <w:pPr>
        <w:widowControl/>
        <w:shd w:val="clear" w:color="auto" w:fill="FFFFFF"/>
        <w:spacing w:line="375" w:lineRule="atLeast"/>
        <w:ind w:firstLine="640" w:firstLineChars="200"/>
        <w:jc w:val="left"/>
        <w:rPr>
          <w:rFonts w:ascii="仿宋_GB2312" w:hAnsi="仿宋_GB2312" w:eastAsia="仿宋_GB2312" w:cs="仿宋_GB2312"/>
          <w:sz w:val="32"/>
          <w:szCs w:val="32"/>
        </w:rPr>
      </w:pPr>
    </w:p>
    <w:p>
      <w:pPr>
        <w:rPr>
          <w:rFonts w:ascii="楷体_GB2312" w:hAnsi="宋体" w:eastAsia="楷体_GB2312"/>
          <w:sz w:val="32"/>
          <w:szCs w:val="32"/>
          <w:lang w:val="zh-CN"/>
        </w:rPr>
      </w:pPr>
    </w:p>
    <w:p>
      <w:pPr>
        <w:spacing w:line="600" w:lineRule="exact"/>
        <w:ind w:firstLine="640"/>
        <w:rPr>
          <w:rFonts w:ascii="仿宋_GB2312" w:hAnsi="仿宋_GB2312" w:eastAsia="仿宋_GB2312" w:cs="仿宋_GB2312"/>
          <w:sz w:val="32"/>
          <w:szCs w:val="32"/>
        </w:rPr>
      </w:pPr>
    </w:p>
    <w:p>
      <w:pPr>
        <w:widowControl/>
        <w:spacing w:line="600" w:lineRule="exact"/>
        <w:jc w:val="left"/>
        <w:rPr>
          <w:rStyle w:val="25"/>
          <w:rFonts w:ascii="黑体" w:hAnsi="黑体" w:eastAsia="黑体"/>
          <w:b w:val="0"/>
        </w:rPr>
      </w:pP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bookmarkStart w:id="62"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60"/>
      <w:bookmarkEnd w:id="62"/>
    </w:p>
    <w:p>
      <w:pPr>
        <w:spacing w:line="600" w:lineRule="exact"/>
        <w:jc w:val="center"/>
        <w:outlineLvl w:val="0"/>
        <w:rPr>
          <w:rFonts w:ascii="仿宋" w:hAnsi="仿宋" w:eastAsia="仿宋"/>
          <w:b/>
          <w:color w:val="000000"/>
          <w:sz w:val="44"/>
          <w:szCs w:val="44"/>
        </w:rPr>
      </w:pPr>
    </w:p>
    <w:p>
      <w:pPr>
        <w:pStyle w:val="3"/>
        <w:spacing w:line="600" w:lineRule="exact"/>
        <w:rPr>
          <w:rFonts w:ascii="仿宋" w:hAnsi="仿宋" w:eastAsia="仿宋"/>
          <w:color w:val="000000"/>
        </w:rPr>
      </w:pPr>
      <w:bookmarkStart w:id="63"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63"/>
    </w:p>
    <w:p>
      <w:pPr>
        <w:pStyle w:val="3"/>
        <w:spacing w:line="600" w:lineRule="exact"/>
        <w:rPr>
          <w:rFonts w:ascii="仿宋" w:hAnsi="仿宋" w:eastAsia="仿宋"/>
          <w:color w:val="000000"/>
        </w:rPr>
      </w:pPr>
      <w:bookmarkStart w:id="64"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64"/>
    </w:p>
    <w:p>
      <w:pPr>
        <w:pStyle w:val="3"/>
        <w:spacing w:line="600" w:lineRule="exact"/>
        <w:rPr>
          <w:rFonts w:ascii="仿宋" w:hAnsi="仿宋" w:eastAsia="仿宋"/>
          <w:color w:val="000000"/>
        </w:rPr>
      </w:pPr>
      <w:bookmarkStart w:id="65"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65"/>
    </w:p>
    <w:p>
      <w:pPr>
        <w:pStyle w:val="3"/>
        <w:spacing w:line="600" w:lineRule="exact"/>
        <w:rPr>
          <w:rFonts w:ascii="仿宋" w:hAnsi="仿宋" w:eastAsia="仿宋"/>
          <w:b w:val="0"/>
          <w:color w:val="000000"/>
        </w:rPr>
      </w:pPr>
      <w:bookmarkStart w:id="66"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6"/>
    </w:p>
    <w:p>
      <w:pPr>
        <w:pStyle w:val="3"/>
        <w:spacing w:line="600" w:lineRule="exact"/>
        <w:rPr>
          <w:rStyle w:val="26"/>
          <w:rFonts w:ascii="仿宋" w:hAnsi="仿宋" w:eastAsia="仿宋"/>
          <w:b w:val="0"/>
          <w:bCs w:val="0"/>
        </w:rPr>
      </w:pPr>
      <w:bookmarkStart w:id="67"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67"/>
      <w:bookmarkStart w:id="68" w:name="_Toc15396624"/>
    </w:p>
    <w:p>
      <w:pPr>
        <w:pStyle w:val="3"/>
        <w:spacing w:line="600" w:lineRule="exact"/>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8"/>
    </w:p>
    <w:p>
      <w:pPr>
        <w:pStyle w:val="3"/>
        <w:spacing w:line="600" w:lineRule="exact"/>
        <w:rPr>
          <w:rFonts w:ascii="仿宋" w:hAnsi="仿宋" w:eastAsia="仿宋"/>
          <w:color w:val="000000"/>
        </w:rPr>
      </w:pPr>
      <w:bookmarkStart w:id="69"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9"/>
    </w:p>
    <w:p>
      <w:pPr>
        <w:pStyle w:val="3"/>
        <w:spacing w:line="600" w:lineRule="exact"/>
        <w:rPr>
          <w:rFonts w:ascii="仿宋" w:hAnsi="仿宋" w:eastAsia="仿宋"/>
          <w:color w:val="000000"/>
        </w:rPr>
      </w:pPr>
      <w:bookmarkStart w:id="70"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70"/>
    </w:p>
    <w:p>
      <w:pPr>
        <w:pStyle w:val="3"/>
        <w:spacing w:line="600" w:lineRule="exact"/>
        <w:rPr>
          <w:rFonts w:ascii="仿宋" w:hAnsi="仿宋" w:eastAsia="仿宋"/>
          <w:color w:val="000000"/>
        </w:rPr>
      </w:pPr>
      <w:bookmarkStart w:id="71"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71"/>
    </w:p>
    <w:p>
      <w:pPr>
        <w:pStyle w:val="3"/>
        <w:spacing w:line="600" w:lineRule="exact"/>
        <w:rPr>
          <w:rFonts w:ascii="仿宋" w:hAnsi="仿宋" w:eastAsia="仿宋"/>
          <w:color w:val="000000"/>
        </w:rPr>
      </w:pPr>
      <w:bookmarkStart w:id="72"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72"/>
    </w:p>
    <w:p>
      <w:pPr>
        <w:pStyle w:val="3"/>
        <w:spacing w:line="600" w:lineRule="exact"/>
        <w:rPr>
          <w:rFonts w:ascii="仿宋" w:hAnsi="仿宋" w:eastAsia="仿宋"/>
          <w:color w:val="000000"/>
        </w:rPr>
      </w:pPr>
      <w:bookmarkStart w:id="73"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73"/>
    </w:p>
    <w:p>
      <w:pPr>
        <w:pStyle w:val="3"/>
        <w:spacing w:line="600" w:lineRule="exact"/>
        <w:rPr>
          <w:rFonts w:ascii="仿宋" w:hAnsi="仿宋" w:eastAsia="仿宋"/>
          <w:color w:val="000000"/>
        </w:rPr>
      </w:pPr>
      <w:bookmarkStart w:id="74"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4"/>
    </w:p>
    <w:p>
      <w:pPr>
        <w:pStyle w:val="3"/>
        <w:spacing w:line="600" w:lineRule="exact"/>
        <w:rPr>
          <w:rFonts w:ascii="仿宋" w:hAnsi="仿宋" w:eastAsia="仿宋"/>
          <w:color w:val="000000" w:themeColor="text1"/>
          <w14:textFill>
            <w14:solidFill>
              <w14:schemeClr w14:val="tx1"/>
            </w14:solidFill>
          </w14:textFill>
        </w:rPr>
      </w:pPr>
      <w:bookmarkStart w:id="75"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FDB43558"/>
    <w:multiLevelType w:val="singleLevel"/>
    <w:tmpl w:val="FDB43558"/>
    <w:lvl w:ilvl="0" w:tentative="0">
      <w:start w:val="3"/>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222C6"/>
    <w:rsid w:val="00022A66"/>
    <w:rsid w:val="0002549F"/>
    <w:rsid w:val="00041791"/>
    <w:rsid w:val="000468DB"/>
    <w:rsid w:val="00050123"/>
    <w:rsid w:val="0006487A"/>
    <w:rsid w:val="00065F8F"/>
    <w:rsid w:val="00070A43"/>
    <w:rsid w:val="000768F2"/>
    <w:rsid w:val="0009184B"/>
    <w:rsid w:val="00093FB9"/>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58F0"/>
    <w:rsid w:val="0014729F"/>
    <w:rsid w:val="00157BAB"/>
    <w:rsid w:val="001654D1"/>
    <w:rsid w:val="00174518"/>
    <w:rsid w:val="0018106D"/>
    <w:rsid w:val="001877A7"/>
    <w:rsid w:val="00191536"/>
    <w:rsid w:val="00196687"/>
    <w:rsid w:val="001C0962"/>
    <w:rsid w:val="001D1AD4"/>
    <w:rsid w:val="001D6BFE"/>
    <w:rsid w:val="001D7531"/>
    <w:rsid w:val="001E737D"/>
    <w:rsid w:val="001F0592"/>
    <w:rsid w:val="001F7506"/>
    <w:rsid w:val="002006CD"/>
    <w:rsid w:val="002021FA"/>
    <w:rsid w:val="00202B36"/>
    <w:rsid w:val="00204B7A"/>
    <w:rsid w:val="00204CDE"/>
    <w:rsid w:val="002073EC"/>
    <w:rsid w:val="0021101A"/>
    <w:rsid w:val="00220536"/>
    <w:rsid w:val="00233533"/>
    <w:rsid w:val="00235629"/>
    <w:rsid w:val="00252A77"/>
    <w:rsid w:val="00260C38"/>
    <w:rsid w:val="002616C0"/>
    <w:rsid w:val="00265372"/>
    <w:rsid w:val="002662AA"/>
    <w:rsid w:val="00277FDF"/>
    <w:rsid w:val="00280496"/>
    <w:rsid w:val="002841B7"/>
    <w:rsid w:val="002842AF"/>
    <w:rsid w:val="00294DC9"/>
    <w:rsid w:val="00295495"/>
    <w:rsid w:val="002A31DE"/>
    <w:rsid w:val="002B2613"/>
    <w:rsid w:val="002C450C"/>
    <w:rsid w:val="002D19B0"/>
    <w:rsid w:val="002D6D05"/>
    <w:rsid w:val="002F1818"/>
    <w:rsid w:val="002F567B"/>
    <w:rsid w:val="003216A9"/>
    <w:rsid w:val="00332B96"/>
    <w:rsid w:val="00335A74"/>
    <w:rsid w:val="0036561B"/>
    <w:rsid w:val="0037013F"/>
    <w:rsid w:val="00380C92"/>
    <w:rsid w:val="003A484F"/>
    <w:rsid w:val="003A4883"/>
    <w:rsid w:val="003B0BE0"/>
    <w:rsid w:val="003B0C1B"/>
    <w:rsid w:val="003B688C"/>
    <w:rsid w:val="003C0291"/>
    <w:rsid w:val="003C39AE"/>
    <w:rsid w:val="003C3F2F"/>
    <w:rsid w:val="003C7B60"/>
    <w:rsid w:val="003D0C0F"/>
    <w:rsid w:val="003D1FB2"/>
    <w:rsid w:val="003D66DA"/>
    <w:rsid w:val="003E1310"/>
    <w:rsid w:val="003E6F55"/>
    <w:rsid w:val="00406254"/>
    <w:rsid w:val="00414493"/>
    <w:rsid w:val="00416CD4"/>
    <w:rsid w:val="004223DE"/>
    <w:rsid w:val="00434489"/>
    <w:rsid w:val="00437085"/>
    <w:rsid w:val="00443880"/>
    <w:rsid w:val="004464F4"/>
    <w:rsid w:val="00471401"/>
    <w:rsid w:val="00473F31"/>
    <w:rsid w:val="0048263A"/>
    <w:rsid w:val="00485D6A"/>
    <w:rsid w:val="00487E5D"/>
    <w:rsid w:val="004A711F"/>
    <w:rsid w:val="004B199D"/>
    <w:rsid w:val="004B4690"/>
    <w:rsid w:val="004C107B"/>
    <w:rsid w:val="004E0A2D"/>
    <w:rsid w:val="004E206B"/>
    <w:rsid w:val="004E6DF7"/>
    <w:rsid w:val="004F0FBD"/>
    <w:rsid w:val="004F403E"/>
    <w:rsid w:val="004F7F42"/>
    <w:rsid w:val="00505A47"/>
    <w:rsid w:val="00512FDA"/>
    <w:rsid w:val="00520DA0"/>
    <w:rsid w:val="00547C43"/>
    <w:rsid w:val="005522F8"/>
    <w:rsid w:val="005664BB"/>
    <w:rsid w:val="00566FFA"/>
    <w:rsid w:val="0057481D"/>
    <w:rsid w:val="00575F0B"/>
    <w:rsid w:val="00577DF8"/>
    <w:rsid w:val="0058486E"/>
    <w:rsid w:val="00585B33"/>
    <w:rsid w:val="0059014D"/>
    <w:rsid w:val="005B5C64"/>
    <w:rsid w:val="005C6BD0"/>
    <w:rsid w:val="005C6C4C"/>
    <w:rsid w:val="005D1C8B"/>
    <w:rsid w:val="005D468D"/>
    <w:rsid w:val="005D5CED"/>
    <w:rsid w:val="005D67E2"/>
    <w:rsid w:val="005E460B"/>
    <w:rsid w:val="005F1A4C"/>
    <w:rsid w:val="00605688"/>
    <w:rsid w:val="006070AF"/>
    <w:rsid w:val="006074AF"/>
    <w:rsid w:val="006077F9"/>
    <w:rsid w:val="00607E6C"/>
    <w:rsid w:val="006101B1"/>
    <w:rsid w:val="00614E44"/>
    <w:rsid w:val="0062270A"/>
    <w:rsid w:val="00622830"/>
    <w:rsid w:val="00623DA0"/>
    <w:rsid w:val="00630AEF"/>
    <w:rsid w:val="006325F8"/>
    <w:rsid w:val="00633463"/>
    <w:rsid w:val="00634C9A"/>
    <w:rsid w:val="006440E4"/>
    <w:rsid w:val="0065276C"/>
    <w:rsid w:val="0066343B"/>
    <w:rsid w:val="00664777"/>
    <w:rsid w:val="00666416"/>
    <w:rsid w:val="00666A16"/>
    <w:rsid w:val="00670BC8"/>
    <w:rsid w:val="006748A4"/>
    <w:rsid w:val="00681A31"/>
    <w:rsid w:val="00683E73"/>
    <w:rsid w:val="00693040"/>
    <w:rsid w:val="006947D5"/>
    <w:rsid w:val="006A3141"/>
    <w:rsid w:val="006A380E"/>
    <w:rsid w:val="006A5E34"/>
    <w:rsid w:val="006A7505"/>
    <w:rsid w:val="006B2422"/>
    <w:rsid w:val="006B2B9A"/>
    <w:rsid w:val="006B2BB3"/>
    <w:rsid w:val="006B7720"/>
    <w:rsid w:val="006C1937"/>
    <w:rsid w:val="006F020C"/>
    <w:rsid w:val="00700A0C"/>
    <w:rsid w:val="00701889"/>
    <w:rsid w:val="007127B7"/>
    <w:rsid w:val="0071798E"/>
    <w:rsid w:val="00727533"/>
    <w:rsid w:val="007416B6"/>
    <w:rsid w:val="00746F48"/>
    <w:rsid w:val="0075404D"/>
    <w:rsid w:val="00754DFC"/>
    <w:rsid w:val="0076182A"/>
    <w:rsid w:val="00767B7E"/>
    <w:rsid w:val="007770C3"/>
    <w:rsid w:val="00784D24"/>
    <w:rsid w:val="00785FBA"/>
    <w:rsid w:val="00786E4A"/>
    <w:rsid w:val="007875EB"/>
    <w:rsid w:val="0079426B"/>
    <w:rsid w:val="007D1682"/>
    <w:rsid w:val="007D312A"/>
    <w:rsid w:val="007D3F19"/>
    <w:rsid w:val="007E23B0"/>
    <w:rsid w:val="007E2CC6"/>
    <w:rsid w:val="007F1991"/>
    <w:rsid w:val="007F2C2F"/>
    <w:rsid w:val="007F55FC"/>
    <w:rsid w:val="007F5665"/>
    <w:rsid w:val="00800112"/>
    <w:rsid w:val="00813348"/>
    <w:rsid w:val="008253BB"/>
    <w:rsid w:val="00833962"/>
    <w:rsid w:val="0083706E"/>
    <w:rsid w:val="008408F6"/>
    <w:rsid w:val="008423A5"/>
    <w:rsid w:val="00843344"/>
    <w:rsid w:val="00850625"/>
    <w:rsid w:val="00853718"/>
    <w:rsid w:val="00855221"/>
    <w:rsid w:val="00860645"/>
    <w:rsid w:val="00871F71"/>
    <w:rsid w:val="00872FD8"/>
    <w:rsid w:val="00885AF4"/>
    <w:rsid w:val="00886CDA"/>
    <w:rsid w:val="008939CD"/>
    <w:rsid w:val="00897B60"/>
    <w:rsid w:val="008B768C"/>
    <w:rsid w:val="008C4DB1"/>
    <w:rsid w:val="008C4EAF"/>
    <w:rsid w:val="008C5176"/>
    <w:rsid w:val="008C7FD0"/>
    <w:rsid w:val="008E1DE7"/>
    <w:rsid w:val="008E707C"/>
    <w:rsid w:val="008F42EE"/>
    <w:rsid w:val="00900B08"/>
    <w:rsid w:val="00902155"/>
    <w:rsid w:val="00902FA3"/>
    <w:rsid w:val="00923564"/>
    <w:rsid w:val="0092392E"/>
    <w:rsid w:val="00926D2F"/>
    <w:rsid w:val="009315F9"/>
    <w:rsid w:val="00933499"/>
    <w:rsid w:val="00935C98"/>
    <w:rsid w:val="00946945"/>
    <w:rsid w:val="00951248"/>
    <w:rsid w:val="0095152F"/>
    <w:rsid w:val="00954C49"/>
    <w:rsid w:val="00955E37"/>
    <w:rsid w:val="0097099F"/>
    <w:rsid w:val="00971997"/>
    <w:rsid w:val="00971FFC"/>
    <w:rsid w:val="0098660A"/>
    <w:rsid w:val="00992D8C"/>
    <w:rsid w:val="009931C3"/>
    <w:rsid w:val="009B2C43"/>
    <w:rsid w:val="009B4EAE"/>
    <w:rsid w:val="009B7573"/>
    <w:rsid w:val="009C22F4"/>
    <w:rsid w:val="009C2E98"/>
    <w:rsid w:val="009C37FB"/>
    <w:rsid w:val="009D3447"/>
    <w:rsid w:val="009D4711"/>
    <w:rsid w:val="009D771F"/>
    <w:rsid w:val="009F1185"/>
    <w:rsid w:val="009F18CD"/>
    <w:rsid w:val="009F2A13"/>
    <w:rsid w:val="009F6189"/>
    <w:rsid w:val="009F7527"/>
    <w:rsid w:val="00A039ED"/>
    <w:rsid w:val="00A04EB0"/>
    <w:rsid w:val="00A13CC1"/>
    <w:rsid w:val="00A16847"/>
    <w:rsid w:val="00A237D8"/>
    <w:rsid w:val="00A268C4"/>
    <w:rsid w:val="00A307CD"/>
    <w:rsid w:val="00A331C8"/>
    <w:rsid w:val="00A34CD0"/>
    <w:rsid w:val="00A35117"/>
    <w:rsid w:val="00A40A00"/>
    <w:rsid w:val="00A4142F"/>
    <w:rsid w:val="00A422EB"/>
    <w:rsid w:val="00A45BB7"/>
    <w:rsid w:val="00A54441"/>
    <w:rsid w:val="00A56DF2"/>
    <w:rsid w:val="00A56E6E"/>
    <w:rsid w:val="00A66AFA"/>
    <w:rsid w:val="00A67AB5"/>
    <w:rsid w:val="00A733B2"/>
    <w:rsid w:val="00A741C2"/>
    <w:rsid w:val="00A91760"/>
    <w:rsid w:val="00A93B00"/>
    <w:rsid w:val="00A93C21"/>
    <w:rsid w:val="00AB64C9"/>
    <w:rsid w:val="00AC3460"/>
    <w:rsid w:val="00AC3C6A"/>
    <w:rsid w:val="00AD0F83"/>
    <w:rsid w:val="00AD5620"/>
    <w:rsid w:val="00AD656B"/>
    <w:rsid w:val="00AD7C1B"/>
    <w:rsid w:val="00AE16BA"/>
    <w:rsid w:val="00AE1EBE"/>
    <w:rsid w:val="00AE43DB"/>
    <w:rsid w:val="00B03C9D"/>
    <w:rsid w:val="00B060AE"/>
    <w:rsid w:val="00B10517"/>
    <w:rsid w:val="00B14E76"/>
    <w:rsid w:val="00B161B8"/>
    <w:rsid w:val="00B2048C"/>
    <w:rsid w:val="00B3106D"/>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11BBC"/>
    <w:rsid w:val="00C30E69"/>
    <w:rsid w:val="00C33E72"/>
    <w:rsid w:val="00C354B2"/>
    <w:rsid w:val="00C35554"/>
    <w:rsid w:val="00C42709"/>
    <w:rsid w:val="00C533CC"/>
    <w:rsid w:val="00C5751C"/>
    <w:rsid w:val="00C61BFC"/>
    <w:rsid w:val="00C62B85"/>
    <w:rsid w:val="00C65438"/>
    <w:rsid w:val="00C8030E"/>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3745"/>
    <w:rsid w:val="00DC410D"/>
    <w:rsid w:val="00DC5A81"/>
    <w:rsid w:val="00DC68CA"/>
    <w:rsid w:val="00DC7CBA"/>
    <w:rsid w:val="00DD73B7"/>
    <w:rsid w:val="00DF28BC"/>
    <w:rsid w:val="00DF34B9"/>
    <w:rsid w:val="00E01053"/>
    <w:rsid w:val="00E07ACF"/>
    <w:rsid w:val="00E240F1"/>
    <w:rsid w:val="00E331A1"/>
    <w:rsid w:val="00E33202"/>
    <w:rsid w:val="00E336A9"/>
    <w:rsid w:val="00E35032"/>
    <w:rsid w:val="00E44243"/>
    <w:rsid w:val="00E472B1"/>
    <w:rsid w:val="00E50624"/>
    <w:rsid w:val="00E568DF"/>
    <w:rsid w:val="00E64269"/>
    <w:rsid w:val="00E66797"/>
    <w:rsid w:val="00E82267"/>
    <w:rsid w:val="00E853CE"/>
    <w:rsid w:val="00E867B6"/>
    <w:rsid w:val="00E87F08"/>
    <w:rsid w:val="00E90CB7"/>
    <w:rsid w:val="00EA010F"/>
    <w:rsid w:val="00ED1B63"/>
    <w:rsid w:val="00ED3C1F"/>
    <w:rsid w:val="00ED4085"/>
    <w:rsid w:val="00ED420E"/>
    <w:rsid w:val="00ED6FBE"/>
    <w:rsid w:val="00EE2F57"/>
    <w:rsid w:val="00EE79B4"/>
    <w:rsid w:val="00EF4C34"/>
    <w:rsid w:val="00EF77C6"/>
    <w:rsid w:val="00EF7FD0"/>
    <w:rsid w:val="00F05438"/>
    <w:rsid w:val="00F068A6"/>
    <w:rsid w:val="00F1361C"/>
    <w:rsid w:val="00F156F0"/>
    <w:rsid w:val="00F160C7"/>
    <w:rsid w:val="00F2408F"/>
    <w:rsid w:val="00F240E9"/>
    <w:rsid w:val="00F36D8F"/>
    <w:rsid w:val="00F417B1"/>
    <w:rsid w:val="00F45853"/>
    <w:rsid w:val="00F47558"/>
    <w:rsid w:val="00F602DF"/>
    <w:rsid w:val="00F611EA"/>
    <w:rsid w:val="00F754A1"/>
    <w:rsid w:val="00F81FD9"/>
    <w:rsid w:val="00F841AA"/>
    <w:rsid w:val="00F84A94"/>
    <w:rsid w:val="00F87E96"/>
    <w:rsid w:val="00FA23E8"/>
    <w:rsid w:val="00FA7B2D"/>
    <w:rsid w:val="00FD3CC1"/>
    <w:rsid w:val="00FF1E02"/>
    <w:rsid w:val="00FF30B4"/>
    <w:rsid w:val="10C055FF"/>
    <w:rsid w:val="16BB723D"/>
    <w:rsid w:val="18F61043"/>
    <w:rsid w:val="240371BF"/>
    <w:rsid w:val="29FD04D3"/>
    <w:rsid w:val="2C8F1AB4"/>
    <w:rsid w:val="306E18B0"/>
    <w:rsid w:val="319F7F4E"/>
    <w:rsid w:val="4ECE2238"/>
    <w:rsid w:val="50F77663"/>
    <w:rsid w:val="550F04B8"/>
    <w:rsid w:val="5F1C490C"/>
    <w:rsid w:val="72734D90"/>
    <w:rsid w:val="784E6FD1"/>
    <w:rsid w:val="7B1F63A3"/>
    <w:rsid w:val="7E1F234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字符"/>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字符"/>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字符"/>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字符"/>
    <w:basedOn w:val="14"/>
    <w:link w:val="2"/>
    <w:qFormat/>
    <w:uiPriority w:val="9"/>
    <w:rPr>
      <w:rFonts w:ascii="Times New Roman" w:hAnsi="Times New Roman"/>
      <w:b/>
      <w:bCs/>
      <w:kern w:val="44"/>
      <w:sz w:val="44"/>
      <w:szCs w:val="44"/>
    </w:rPr>
  </w:style>
  <w:style w:type="character" w:customStyle="1" w:styleId="26">
    <w:name w:val="标题 2 字符"/>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字符"/>
    <w:basedOn w:val="14"/>
    <w:link w:val="7"/>
    <w:semiHidden/>
    <w:qFormat/>
    <w:uiPriority w:val="99"/>
    <w:rPr>
      <w:rFonts w:ascii="Times New Roman" w:hAnsi="Times New Roman"/>
      <w:kern w:val="2"/>
      <w:sz w:val="18"/>
      <w:szCs w:val="18"/>
    </w:rPr>
  </w:style>
  <w:style w:type="character" w:customStyle="1" w:styleId="29">
    <w:name w:val="标题 3 字符"/>
    <w:basedOn w:val="14"/>
    <w:link w:val="4"/>
    <w:qFormat/>
    <w:uiPriority w:val="9"/>
    <w:rPr>
      <w:rFonts w:ascii="Times New Roman" w:hAnsi="Times New Roman"/>
      <w:b/>
      <w:bCs/>
      <w:kern w:val="2"/>
      <w:sz w:val="32"/>
      <w:szCs w:val="32"/>
    </w:rPr>
  </w:style>
  <w:style w:type="paragraph" w:customStyle="1" w:styleId="30">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qowt-font7-gb2312"/>
    <w:basedOn w:val="14"/>
    <w:qFormat/>
    <w:uiPriority w:val="0"/>
  </w:style>
  <w:style w:type="paragraph" w:customStyle="1" w:styleId="32">
    <w:name w:val="qowt-stl-正文"/>
    <w:basedOn w:val="1"/>
    <w:qFormat/>
    <w:uiPriority w:val="0"/>
    <w:pPr>
      <w:widowControl/>
      <w:spacing w:before="100" w:beforeAutospacing="1" w:after="100" w:afterAutospacing="1"/>
      <w:jc w:val="left"/>
    </w:pPr>
    <w:rPr>
      <w:rFonts w:ascii="宋体" w:hAnsi="宋体" w:cs="宋体"/>
      <w:kern w:val="0"/>
      <w:sz w:val="24"/>
    </w:rPr>
  </w:style>
  <w:style w:type="paragraph" w:customStyle="1" w:styleId="33">
    <w:name w:val="qowt-stl-17附件"/>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收、支决算总计变动情况图（单位：万元</a:t>
            </a:r>
            <a:r>
              <a:rPr lang="zh-CN" altLang="en-US" sz="1400" b="0" i="0" u="none" strike="noStrike" baseline="0">
                <a:effectLst/>
              </a:rPr>
              <a:t>）</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2018年度</c:v>
                </c:pt>
              </c:strCache>
            </c:strRef>
          </c:tx>
          <c:spPr>
            <a:solidFill>
              <a:schemeClr val="accent1"/>
            </a:solidFill>
            <a:ln>
              <a:noFill/>
            </a:ln>
            <a:effectLst/>
          </c:spPr>
          <c:invertIfNegative val="0"/>
          <c:dLbls>
            <c:dLbl>
              <c:idx val="1"/>
              <c:layout/>
              <c:dLblPos val="outEnd"/>
              <c:showLegendKey val="0"/>
              <c:showVal val="1"/>
              <c:showCatName val="0"/>
              <c:showSerName val="1"/>
              <c:showPercent val="0"/>
              <c:showBubbleSize val="0"/>
              <c:separator>
</c:separator>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1"/>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1955.27</c:v>
                </c:pt>
                <c:pt idx="1">
                  <c:v>1771.36</c:v>
                </c:pt>
              </c:numCache>
            </c:numRef>
          </c:val>
        </c:ser>
        <c:ser>
          <c:idx val="1"/>
          <c:order val="1"/>
          <c:tx>
            <c:strRef>
              <c:f>Sheet1!$C$1</c:f>
              <c:strCache>
                <c:ptCount val="1"/>
                <c:pt idx="0">
                  <c:v>2019年度</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1740.31</c:v>
                </c:pt>
                <c:pt idx="1">
                  <c:v>1957.11</c:v>
                </c:pt>
              </c:numCache>
            </c:numRef>
          </c:val>
        </c:ser>
        <c:dLbls>
          <c:showLegendKey val="0"/>
          <c:showVal val="0"/>
          <c:showCatName val="0"/>
          <c:showSerName val="0"/>
          <c:showPercent val="0"/>
          <c:showBubbleSize val="0"/>
        </c:dLbls>
        <c:gapWidth val="219"/>
        <c:overlap val="-27"/>
        <c:axId val="564577504"/>
        <c:axId val="564577832"/>
      </c:barChart>
      <c:catAx>
        <c:axId val="564577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4577832"/>
        <c:crosses val="autoZero"/>
        <c:auto val="1"/>
        <c:lblAlgn val="ctr"/>
        <c:lblOffset val="100"/>
        <c:noMultiLvlLbl val="0"/>
      </c:catAx>
      <c:valAx>
        <c:axId val="564577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45775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收入决算结构图</a:t>
            </a:r>
            <a:r>
              <a:rPr lang="zh-CN" altLang="en-US" sz="1400" b="0" i="0" u="none" strike="noStrike" baseline="0">
                <a:effectLst/>
              </a:rPr>
              <a:t>（单位：万元）</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预算收入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numFmt formatCode="General" sourceLinked="1"/>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1"/>
              <c:showVal val="1"/>
              <c:showCatName val="1"/>
              <c:showSerName val="0"/>
              <c:showPercent val="0"/>
              <c:showBubbleSize val="0"/>
              <c:extLs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1"/>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Sheet1!$A$2:$A$8</c:f>
              <c:strCache>
                <c:ptCount val="7"/>
                <c:pt idx="0">
                  <c:v>一般公共预算</c:v>
                </c:pt>
                <c:pt idx="1">
                  <c:v>政府基金预算</c:v>
                </c:pt>
                <c:pt idx="2">
                  <c:v>上级补助收入</c:v>
                </c:pt>
                <c:pt idx="3">
                  <c:v>事业收入</c:v>
                </c:pt>
                <c:pt idx="4">
                  <c:v>经营收入</c:v>
                </c:pt>
                <c:pt idx="5">
                  <c:v>附属单位上缴收入</c:v>
                </c:pt>
                <c:pt idx="6">
                  <c:v>其他收入</c:v>
                </c:pt>
              </c:strCache>
            </c:strRef>
          </c:cat>
          <c:val>
            <c:numRef>
              <c:f>Sheet1!$B$2:$B$8</c:f>
              <c:numCache>
                <c:formatCode>General</c:formatCode>
                <c:ptCount val="7"/>
                <c:pt idx="0">
                  <c:v>1455.51</c:v>
                </c:pt>
                <c:pt idx="1">
                  <c:v>284.8</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支出决算结构图</a:t>
            </a:r>
            <a:r>
              <a:rPr lang="zh-CN" altLang="en-US" sz="1400" b="0" i="0" u="none" strike="noStrike" baseline="0">
                <a:effectLst/>
              </a:rPr>
              <a:t>（单位：万元）</a:t>
            </a:r>
            <a:endParaRPr lang="zh-CN" altLang="en-US"/>
          </a:p>
        </c:rich>
      </c:tx>
      <c:layout>
        <c:manualLayout>
          <c:xMode val="edge"/>
          <c:yMode val="edge"/>
          <c:x val="0.266433903202504"/>
          <c:y val="0.0412796697626419"/>
        </c:manualLayout>
      </c:layout>
      <c:overlay val="0"/>
      <c:spPr>
        <a:noFill/>
        <a:ln>
          <a:noFill/>
        </a:ln>
        <a:effectLst/>
      </c:spPr>
    </c:title>
    <c:autoTitleDeleted val="0"/>
    <c:plotArea>
      <c:layout/>
      <c:pieChart>
        <c:varyColors val="1"/>
        <c:ser>
          <c:idx val="0"/>
          <c:order val="0"/>
          <c:tx>
            <c:strRef>
              <c:f>Sheet1!$B$1</c:f>
              <c:strCache>
                <c:ptCount val="1"/>
                <c:pt idx="0">
                  <c:v>预算支出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dLblPos val="outEnd"/>
              <c:showLegendKey val="1"/>
              <c:showVal val="1"/>
              <c:showCatName val="1"/>
              <c:showSerName val="0"/>
              <c:showPercent val="0"/>
              <c:showBubbleSize val="0"/>
              <c:extLst>
                <c:ext xmlns:c15="http://schemas.microsoft.com/office/drawing/2012/chart" uri="{CE6537A1-D6FC-4f65-9D91-7224C49458BB}"/>
              </c:extLst>
            </c:dLbl>
            <c:dLbl>
              <c:idx val="1"/>
              <c:layout>
                <c:manualLayout>
                  <c:x val="-0.0288947748615459"/>
                  <c:y val="0.0247678018575851"/>
                </c:manualLayout>
              </c:layout>
              <c:dLblPos val="bestFit"/>
              <c:showLegendKey val="1"/>
              <c:showVal val="1"/>
              <c:showCatName val="1"/>
              <c:showSerName val="0"/>
              <c:showPercent val="0"/>
              <c:showBubbleSize val="0"/>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1"/>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602.24</c:v>
                </c:pt>
                <c:pt idx="1">
                  <c:v>1354.88</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财政拨款收、支决算总计变动情况</a:t>
            </a:r>
            <a:r>
              <a:rPr lang="zh-CN" altLang="en-US" sz="1400" b="0" i="0" u="none" strike="noStrike" baseline="0">
                <a:effectLst/>
              </a:rPr>
              <a:t>（单位：万元）</a:t>
            </a:r>
            <a:endParaRPr lang="zh-CN" altLang="en-US"/>
          </a:p>
        </c:rich>
      </c:tx>
      <c:layout/>
      <c:overlay val="0"/>
      <c:spPr>
        <a:noFill/>
        <a:ln>
          <a:noFill/>
        </a:ln>
        <a:effectLst/>
      </c:spPr>
    </c:title>
    <c:autoTitleDeleted val="0"/>
    <c:plotArea>
      <c:layout>
        <c:manualLayout>
          <c:layoutTarget val="inner"/>
          <c:xMode val="edge"/>
          <c:yMode val="edge"/>
          <c:x val="0.0772673581947212"/>
          <c:y val="0.141176470588235"/>
          <c:w val="0.893837866943733"/>
          <c:h val="0.690450582222114"/>
        </c:manualLayout>
      </c:layout>
      <c:barChart>
        <c:barDir val="col"/>
        <c:grouping val="clustered"/>
        <c:varyColors val="0"/>
        <c:ser>
          <c:idx val="0"/>
          <c:order val="0"/>
          <c:tx>
            <c:strRef>
              <c:f>Sheet1!$B$1</c:f>
              <c:strCache>
                <c:ptCount val="1"/>
                <c:pt idx="0">
                  <c:v>2018年度</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支出</c:v>
                </c:pt>
                <c:pt idx="1">
                  <c:v>收入</c:v>
                </c:pt>
              </c:strCache>
            </c:strRef>
          </c:cat>
          <c:val>
            <c:numRef>
              <c:f>Sheet1!$B$2:$B$3</c:f>
              <c:numCache>
                <c:formatCode>General</c:formatCode>
                <c:ptCount val="2"/>
                <c:pt idx="0">
                  <c:v>2009.81</c:v>
                </c:pt>
                <c:pt idx="1">
                  <c:v>2009.81</c:v>
                </c:pt>
              </c:numCache>
            </c:numRef>
          </c:val>
        </c:ser>
        <c:ser>
          <c:idx val="1"/>
          <c:order val="1"/>
          <c:tx>
            <c:strRef>
              <c:f>Sheet1!$C$1</c:f>
              <c:strCache>
                <c:ptCount val="1"/>
                <c:pt idx="0">
                  <c:v>2019年度</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支出</c:v>
                </c:pt>
                <c:pt idx="1">
                  <c:v>收入</c:v>
                </c:pt>
              </c:strCache>
            </c:strRef>
          </c:cat>
          <c:val>
            <c:numRef>
              <c:f>Sheet1!$C$2:$C$3</c:f>
              <c:numCache>
                <c:formatCode>General</c:formatCode>
                <c:ptCount val="2"/>
                <c:pt idx="0">
                  <c:v>1740.31</c:v>
                </c:pt>
                <c:pt idx="1">
                  <c:v>1957.1</c:v>
                </c:pt>
              </c:numCache>
            </c:numRef>
          </c:val>
        </c:ser>
        <c:dLbls>
          <c:showLegendKey val="0"/>
          <c:showVal val="0"/>
          <c:showCatName val="0"/>
          <c:showSerName val="0"/>
          <c:showPercent val="0"/>
          <c:showBubbleSize val="0"/>
        </c:dLbls>
        <c:gapWidth val="219"/>
        <c:overlap val="-27"/>
        <c:axId val="564586688"/>
        <c:axId val="564582424"/>
      </c:barChart>
      <c:catAx>
        <c:axId val="564586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4582424"/>
        <c:crosses val="autoZero"/>
        <c:auto val="1"/>
        <c:lblAlgn val="ctr"/>
        <c:lblOffset val="100"/>
        <c:noMultiLvlLbl val="0"/>
      </c:catAx>
      <c:valAx>
        <c:axId val="564582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45866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一般公共预算财政拨款支出决算变动情况</a:t>
            </a:r>
            <a:r>
              <a:rPr lang="zh-CN" altLang="en-US" sz="1400" b="0" i="0" u="none" strike="noStrike" baseline="0">
                <a:effectLst/>
              </a:rPr>
              <a:t>（单位：万元）</a:t>
            </a:r>
            <a:endParaRPr lang="zh-CN" altLang="en-US"/>
          </a:p>
        </c:rich>
      </c:tx>
      <c:layout>
        <c:manualLayout>
          <c:xMode val="edge"/>
          <c:yMode val="edge"/>
          <c:x val="0.0810257645075849"/>
          <c:y val="0.0288957688338493"/>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2018年度</c:v>
                </c:pt>
                <c:pt idx="1">
                  <c:v>2019年度</c:v>
                </c:pt>
              </c:strCache>
            </c:strRef>
          </c:cat>
          <c:val>
            <c:numRef>
              <c:f>Sheet1!$B$2:$B$3</c:f>
              <c:numCache>
                <c:formatCode>General</c:formatCode>
                <c:ptCount val="2"/>
                <c:pt idx="0">
                  <c:v>1402.75</c:v>
                </c:pt>
                <c:pt idx="1">
                  <c:v>3234.26</c:v>
                </c:pt>
              </c:numCache>
            </c:numRef>
          </c:val>
        </c:ser>
        <c:dLbls>
          <c:showLegendKey val="0"/>
          <c:showVal val="0"/>
          <c:showCatName val="0"/>
          <c:showSerName val="0"/>
          <c:showPercent val="0"/>
          <c:showBubbleSize val="0"/>
        </c:dLbls>
        <c:gapWidth val="219"/>
        <c:overlap val="-27"/>
        <c:axId val="562430120"/>
        <c:axId val="562429464"/>
      </c:barChart>
      <c:catAx>
        <c:axId val="562430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2429464"/>
        <c:crosses val="autoZero"/>
        <c:auto val="1"/>
        <c:lblAlgn val="ctr"/>
        <c:lblOffset val="100"/>
        <c:noMultiLvlLbl val="0"/>
      </c:catAx>
      <c:valAx>
        <c:axId val="562429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24301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一般公共预算财政拨款支出决算结构</a:t>
            </a:r>
            <a:r>
              <a:rPr lang="zh-CN" altLang="en-US" sz="1400" b="0" i="0" u="none" strike="noStrike" baseline="0">
                <a:effectLst/>
              </a:rPr>
              <a:t>（单位：万元）</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支出数</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numFmt formatCode="0.00%" sourceLinked="0"/>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一般公共服务支出</c:v>
                </c:pt>
                <c:pt idx="1">
                  <c:v>科学技术支出</c:v>
                </c:pt>
                <c:pt idx="2">
                  <c:v>社会保障和就业支出</c:v>
                </c:pt>
                <c:pt idx="3">
                  <c:v>卫生健康支出</c:v>
                </c:pt>
                <c:pt idx="4">
                  <c:v>农林水支出</c:v>
                </c:pt>
                <c:pt idx="5">
                  <c:v>资源勘探信息等支出</c:v>
                </c:pt>
                <c:pt idx="6">
                  <c:v>住房保障支出</c:v>
                </c:pt>
                <c:pt idx="7">
                  <c:v>其他支出</c:v>
                </c:pt>
              </c:strCache>
            </c:strRef>
          </c:cat>
          <c:val>
            <c:numRef>
              <c:f>Sheet1!$B$2:$B$9</c:f>
              <c:numCache>
                <c:formatCode>#,##0.00_ </c:formatCode>
                <c:ptCount val="8"/>
                <c:pt idx="0">
                  <c:v>380.61</c:v>
                </c:pt>
                <c:pt idx="1">
                  <c:v>845.63</c:v>
                </c:pt>
                <c:pt idx="2">
                  <c:v>58.17</c:v>
                </c:pt>
                <c:pt idx="3">
                  <c:v>11.87</c:v>
                </c:pt>
                <c:pt idx="4">
                  <c:v>116.8</c:v>
                </c:pt>
                <c:pt idx="5">
                  <c:v>100</c:v>
                </c:pt>
                <c:pt idx="6">
                  <c:v>47.22</c:v>
                </c:pt>
                <c:pt idx="7">
                  <c:v>112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“三公”经费财政拨款支出结构</a:t>
            </a:r>
            <a:r>
              <a:rPr lang="zh-CN" altLang="en-US" sz="1400" b="0" i="0" u="none" strike="noStrike" baseline="0">
                <a:effectLst/>
              </a:rPr>
              <a:t>（单位：万元）</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三公经费</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267276667469299"/>
                  <c:y val="0.173374613003096"/>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262460871659042"/>
                  <c:y val="-0.123839009287926"/>
                </c:manualLayout>
              </c:layout>
              <c:numFmt formatCode="#,##0.00_);[Red]\(#,##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26486876956417"/>
                  <c:y val="-0.0412796697626419"/>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borderCallout1">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1e-7</c:v>
                </c:pt>
                <c:pt idx="2">
                  <c:v>0</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54</Pages>
  <Words>3130</Words>
  <Characters>17843</Characters>
  <Lines>148</Lines>
  <Paragraphs>41</Paragraphs>
  <TotalTime>46</TotalTime>
  <ScaleCrop>false</ScaleCrop>
  <LinksUpToDate>false</LinksUpToDate>
  <CharactersWithSpaces>20932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2020-10-27T08:35:00Z</dcterms:created>
  <dc:creator>曹颖</dc:creator>
  <cp:lastModifiedBy>Administrator</cp:lastModifiedBy>
  <cp:lastPrinted>2020-07-23T02:58:00Z</cp:lastPrinted>
  <dcterms:modified xsi:type="dcterms:W3CDTF">2025-07-10T06:46:25Z</dcterms:modified>
  <dc:title>四川省***</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E1C0AB29D7E040B28F06C40DCD1AC223</vt:lpwstr>
  </property>
</Properties>
</file>