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77425"/>
      <w:bookmarkStart w:id="4" w:name="_Toc1539647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6" w:name="_Toc15377426"/>
      <w:bookmarkStart w:id="7" w:name="_Toc15396598"/>
      <w:bookmarkStart w:id="8" w:name="_Toc15396476"/>
      <w:bookmarkStart w:id="9" w:name="_Toc15377194"/>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峨眉山市委组织部</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hint="eastAsia" w:ascii="黑体" w:hAnsi="黑体" w:eastAsia="黑体"/>
          <w:color w:val="000000"/>
          <w:sz w:val="48"/>
          <w:szCs w:val="48"/>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公开时间：2020年10月23日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ind w:firstLine="640" w:firstLineChars="200"/>
        <w:rPr>
          <w:rFonts w:hint="eastAsia" w:ascii="黑体" w:hAnsi="黑体" w:eastAsia="黑体" w:cs="黑体"/>
          <w:bCs/>
          <w:snapToGrid w:val="0"/>
          <w:kern w:val="0"/>
          <w:sz w:val="32"/>
          <w:szCs w:val="32"/>
        </w:rPr>
      </w:pPr>
      <w:bookmarkStart w:id="14" w:name="_Toc15396600"/>
      <w:bookmarkStart w:id="15" w:name="_Toc15377197"/>
      <w:r>
        <w:rPr>
          <w:rFonts w:hint="eastAsia" w:ascii="黑体" w:hAnsi="黑体" w:eastAsia="黑体" w:cs="黑体"/>
          <w:bCs/>
          <w:snapToGrid w:val="0"/>
          <w:kern w:val="0"/>
          <w:sz w:val="32"/>
          <w:szCs w:val="32"/>
        </w:rPr>
        <w:t>一、基本职能及主要工作</w:t>
      </w:r>
      <w:bookmarkEnd w:id="14"/>
      <w:bookmarkEnd w:id="15"/>
    </w:p>
    <w:p>
      <w:pPr>
        <w:ind w:firstLine="640" w:firstLineChars="200"/>
        <w:rPr>
          <w:rFonts w:hint="eastAsia" w:ascii="楷体" w:hAnsi="楷体" w:eastAsia="楷体" w:cs="楷体"/>
          <w:bCs/>
          <w:snapToGrid w:val="0"/>
          <w:kern w:val="0"/>
          <w:sz w:val="32"/>
          <w:szCs w:val="32"/>
        </w:rPr>
      </w:pPr>
      <w:bookmarkStart w:id="16" w:name="_Toc15378445"/>
      <w:bookmarkStart w:id="17" w:name="_Toc15377198"/>
      <w:r>
        <w:rPr>
          <w:rFonts w:hint="eastAsia" w:ascii="楷体" w:hAnsi="楷体" w:eastAsia="楷体" w:cs="楷体"/>
          <w:bCs/>
          <w:snapToGrid w:val="0"/>
          <w:kern w:val="0"/>
          <w:sz w:val="32"/>
          <w:szCs w:val="32"/>
        </w:rPr>
        <w:t>（一）主要职能。</w:t>
      </w:r>
      <w:bookmarkEnd w:id="16"/>
      <w:bookmarkEnd w:id="17"/>
      <w:bookmarkStart w:id="18" w:name="_Toc15377199"/>
      <w:bookmarkStart w:id="19" w:name="_Toc15378446"/>
    </w:p>
    <w:p>
      <w:pPr>
        <w:ind w:firstLine="640" w:firstLineChars="20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贯彻新时代党的建设总要求和新时代党的组织路线，落实党中央、省委的方针政策和乐山市委、峨眉山市委的决策部署。（一）负责全市党的组织体系、组织制度建设，负责基层党组织建设规划指导和党员队伍宏观管理，指导开展党员教育工作。（二）负责全市领导班子和干部队伍建设的总体规划和宏观管理。负责市委管理领导班子和领导干部的考察考核、日常管理，提出调整配备建议，审核办理任免、工资、退休、兼职、待遇等有关事项。负责全市优秀年轻干部队伍建设工作。（三）负责管理全市公务员工作。牵头拟订和组织实施公务员管理政策，承担公务员录用、调配、考核、奖惩、培训、监督等工作，指导公务员绩效管理工作。（四）负责全市人才工作的宏观指导、组织协调和督促检查，牵头推进人才发展体制机制改革和政策创新，牵头推进市校（院、企）战略合作、人才对外开放、党委联系服务专家工作，统筹组织实施重大人才工程和人才表彰表扬奖励。（五）负责全市干部教育培训工作的宏观指导、政策规划、组织协调和督促检查，负责市重点培训项目的策划、实施和管理，指导全市干部教育培训基地建设管理、师资队伍建设等工作。（六）负责全市组织系统干部监督工作的宏观指导和综合协调，制定和落实干部监督工作制度，组织开展对选人用人工作情况的监督检查，受理和办理有关问题举报，组织实施领导干部报告个人有关事项及抽查核实工作。（七）负责贯彻落实老干部工作制度，做好全市老干部服务管理工作，加强</w:t>
      </w:r>
      <w:r>
        <w:rPr>
          <w:rFonts w:hint="eastAsia" w:ascii="仿宋" w:hAnsi="仿宋" w:eastAsia="仿宋"/>
          <w:sz w:val="32"/>
          <w:szCs w:val="32"/>
        </w:rPr>
        <w:t>老干部政治建设、思想建设，落实老干部政治待遇、生活待遇，负责协调处理老干部相关事宜，组织开展正能量系列主题活动，发挥老干部余热。</w:t>
      </w:r>
      <w:r>
        <w:rPr>
          <w:rFonts w:hint="eastAsia" w:ascii="仿宋_GB2312" w:hAnsi="仿宋_GB2312" w:eastAsia="仿宋_GB2312" w:cs="仿宋_GB2312"/>
          <w:bCs/>
          <w:snapToGrid w:val="0"/>
          <w:kern w:val="0"/>
          <w:sz w:val="32"/>
          <w:szCs w:val="32"/>
        </w:rPr>
        <w:t>（八）统一管理市委机构编制委员会办公室和公务员工作。（</w:t>
      </w:r>
      <w:r>
        <w:rPr>
          <w:rFonts w:hint="eastAsia" w:ascii="仿宋_GB2312" w:hAnsi="黑体" w:eastAsia="仿宋_GB2312"/>
          <w:sz w:val="32"/>
          <w:szCs w:val="32"/>
        </w:rPr>
        <w:t>九</w:t>
      </w:r>
      <w:r>
        <w:rPr>
          <w:rFonts w:hint="eastAsia" w:ascii="仿宋_GB2312" w:hAnsi="仿宋_GB2312" w:eastAsia="仿宋_GB2312" w:cs="仿宋_GB2312"/>
          <w:bCs/>
          <w:snapToGrid w:val="0"/>
          <w:kern w:val="0"/>
          <w:sz w:val="32"/>
          <w:szCs w:val="32"/>
        </w:rPr>
        <w:t>）承担市委党建工作领导小组、市人才工作领导小组的日常工作。</w:t>
      </w:r>
      <w:r>
        <w:rPr>
          <w:rFonts w:hint="eastAsia" w:ascii="仿宋_GB2312" w:hAnsi="黑体" w:eastAsia="仿宋_GB2312"/>
          <w:sz w:val="32"/>
          <w:szCs w:val="32"/>
        </w:rPr>
        <w:t>（十）负责职责范围内的安全生产和职业健康、生态环境保护等工作。</w:t>
      </w:r>
      <w:r>
        <w:rPr>
          <w:rFonts w:hint="eastAsia" w:ascii="仿宋_GB2312" w:hAnsi="仿宋_GB2312" w:eastAsia="仿宋_GB2312" w:cs="仿宋_GB2312"/>
          <w:bCs/>
          <w:snapToGrid w:val="0"/>
          <w:kern w:val="0"/>
          <w:sz w:val="32"/>
          <w:szCs w:val="32"/>
        </w:rPr>
        <w:t>（十一）完成市委交办的其他任务。</w:t>
      </w:r>
    </w:p>
    <w:p>
      <w:pPr>
        <w:pStyle w:val="5"/>
        <w:adjustRightInd w:val="0"/>
        <w:snapToGrid w:val="0"/>
        <w:spacing w:before="93" w:line="600" w:lineRule="exact"/>
        <w:ind w:firstLine="672" w:firstLineChars="210"/>
        <w:outlineLvl w:val="2"/>
        <w:rPr>
          <w:rFonts w:hint="eastAsia" w:ascii="楷体" w:hAnsi="楷体" w:eastAsia="楷体" w:cs="楷体"/>
          <w:bCs/>
          <w:color w:val="000000"/>
          <w:sz w:val="32"/>
          <w:szCs w:val="32"/>
        </w:rPr>
      </w:pPr>
      <w:r>
        <w:rPr>
          <w:rFonts w:hint="eastAsia" w:ascii="楷体" w:hAnsi="楷体" w:eastAsia="楷体" w:cs="楷体"/>
          <w:bCs/>
          <w:color w:val="000000"/>
          <w:sz w:val="32"/>
          <w:szCs w:val="32"/>
        </w:rPr>
        <w:t>（二）2019年重点工作完成情况。</w:t>
      </w:r>
      <w:bookmarkEnd w:id="18"/>
      <w:bookmarkEnd w:id="19"/>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1.突出政治引领，抓好主题教育。2.突出标准化规范化，完善组织系统建设。3.突出高素质专业化，抓好班子队伍建设。4.突出业务精作风好，持续打造模范部门。5.用心用情做好老干部服务工作。</w:t>
      </w:r>
    </w:p>
    <w:p>
      <w:pPr>
        <w:ind w:firstLine="640" w:firstLineChars="200"/>
        <w:rPr>
          <w:rFonts w:hint="eastAsia" w:ascii="黑体" w:hAnsi="黑体" w:eastAsia="黑体" w:cs="黑体"/>
          <w:sz w:val="32"/>
          <w:szCs w:val="32"/>
        </w:rPr>
      </w:pPr>
      <w:bookmarkStart w:id="20" w:name="_Toc15377200"/>
      <w:bookmarkStart w:id="21" w:name="_Toc15396601"/>
      <w:r>
        <w:rPr>
          <w:rFonts w:hint="eastAsia" w:ascii="黑体" w:hAnsi="黑体" w:eastAsia="黑体" w:cs="黑体"/>
          <w:sz w:val="32"/>
          <w:szCs w:val="32"/>
        </w:rPr>
        <w:t>二、机构设置</w:t>
      </w:r>
      <w:bookmarkEnd w:id="20"/>
      <w:bookmarkEnd w:id="21"/>
    </w:p>
    <w:p>
      <w:pPr>
        <w:ind w:firstLine="800" w:firstLineChars="250"/>
        <w:rPr>
          <w:rFonts w:hint="eastAsia" w:ascii="仿宋" w:hAnsi="仿宋" w:eastAsia="仿宋"/>
          <w:sz w:val="32"/>
          <w:szCs w:val="32"/>
        </w:rPr>
      </w:pPr>
      <w:r>
        <w:rPr>
          <w:rFonts w:hint="eastAsia" w:ascii="仿宋" w:hAnsi="仿宋" w:eastAsia="仿宋"/>
          <w:sz w:val="32"/>
          <w:szCs w:val="32"/>
        </w:rPr>
        <w:t>组织部下属二级单位2个，其中行政单位0个，参照公务员法管理的事业单位</w:t>
      </w:r>
      <w:r>
        <w:rPr>
          <w:rFonts w:hint="eastAsia" w:ascii="仿宋" w:hAnsi="仿宋" w:eastAsia="仿宋"/>
          <w:bCs/>
          <w:sz w:val="32"/>
          <w:szCs w:val="32"/>
        </w:rPr>
        <w:t>2</w:t>
      </w:r>
      <w:r>
        <w:rPr>
          <w:rFonts w:hint="eastAsia" w:ascii="仿宋" w:hAnsi="仿宋" w:eastAsia="仿宋"/>
          <w:sz w:val="32"/>
          <w:szCs w:val="32"/>
        </w:rPr>
        <w:t>个，其他事业单位0个。</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2019年3月，经中共峨眉山市委机构编制委员会（峨编发〔2019〕7号）批准（存办公室秘密10年），</w:t>
      </w:r>
      <w:r>
        <w:rPr>
          <w:rFonts w:hint="eastAsia" w:ascii="仿宋_GB2312" w:hAnsi="仿宋_GB2312" w:eastAsia="仿宋_GB2312" w:cs="仿宋_GB2312"/>
          <w:bCs/>
          <w:sz w:val="32"/>
          <w:szCs w:val="32"/>
        </w:rPr>
        <w:t>市委组织部机关行政编制25名，其中，部长由市委常委兼任，常务副部长1名，副部长2名，机关党委书记1名。中层职数11名（含机关党委专职副书记1名）。</w:t>
      </w:r>
      <w:r>
        <w:rPr>
          <w:rFonts w:hint="eastAsia" w:ascii="仿宋_GB2312" w:hAnsi="仿宋_GB2312" w:eastAsia="仿宋_GB2312" w:cs="仿宋_GB2312"/>
          <w:sz w:val="32"/>
          <w:szCs w:val="32"/>
        </w:rPr>
        <w:t>保留工勤编制4名。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市委组织部设9个职能股室，分别是办公室、组织一股、组织二股、组织三股（“两新”工委办）、干部管理股、公务员股（干部档案管理股）、人才工作股、干部监督股、老干部工作股。下设2个直属参公事业单位，分别是市委党员教育中心（2017年8月峨编发〔2017〕32号核参公编制5名）和市委老干部活动中心（2012年7月峨编发〔2012〕26号更名，2017年4月峨编发〔2017〕19号核参公编制3个），</w:t>
      </w:r>
      <w:r>
        <w:rPr>
          <w:rFonts w:hint="eastAsia" w:ascii="仿宋_GB2312" w:hAnsi="仿宋_GB2312" w:eastAsia="仿宋_GB2312" w:cs="仿宋_GB2312"/>
          <w:bCs/>
          <w:snapToGrid w:val="0"/>
          <w:kern w:val="0"/>
          <w:sz w:val="32"/>
          <w:szCs w:val="32"/>
        </w:rPr>
        <w:t>市委党员教育中心设置综合股，</w:t>
      </w:r>
      <w:r>
        <w:rPr>
          <w:rFonts w:hint="eastAsia" w:ascii="仿宋_GB2312" w:hAnsi="仿宋_GB2312" w:eastAsia="仿宋_GB2312" w:cs="仿宋_GB2312"/>
          <w:sz w:val="32"/>
          <w:szCs w:val="32"/>
        </w:rPr>
        <w:t>核定中层职数1名。</w:t>
      </w:r>
    </w:p>
    <w:p>
      <w:pPr>
        <w:adjustRightInd w:val="0"/>
        <w:snapToGrid w:val="0"/>
        <w:spacing w:line="600" w:lineRule="exact"/>
        <w:ind w:firstLine="640" w:firstLineChars="200"/>
        <w:rPr>
          <w:rFonts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中共峨眉山市委组织部是市委主管组织工作、干部工作、人才工作、公务员工作、老干部工作的职能部门，为正科级，列市委工作机关序列。加挂市委非公有制经济组织和社会组织工作委员会、市委直属机关工作委员会、市委老干部局、市公务员局牌子。</w:t>
      </w:r>
    </w:p>
    <w:p>
      <w:pPr>
        <w:ind w:firstLine="800" w:firstLineChars="250"/>
        <w:rPr>
          <w:rFonts w:hint="eastAsia" w:ascii="仿宋" w:hAnsi="仿宋" w:eastAsia="仿宋"/>
          <w:sz w:val="32"/>
          <w:szCs w:val="32"/>
        </w:rPr>
      </w:pPr>
    </w:p>
    <w:p>
      <w:pPr>
        <w:ind w:firstLine="800" w:firstLineChars="250"/>
        <w:rPr>
          <w:rFonts w:hint="eastAsia" w:ascii="仿宋" w:hAnsi="仿宋" w:eastAsia="仿宋"/>
          <w:sz w:val="32"/>
          <w:szCs w:val="32"/>
        </w:rPr>
      </w:pPr>
    </w:p>
    <w:p>
      <w:pPr>
        <w:ind w:firstLine="800" w:firstLineChars="250"/>
        <w:rPr>
          <w:rFonts w:hint="eastAsia" w:ascii="仿宋" w:hAnsi="仿宋" w:eastAsia="仿宋"/>
          <w:sz w:val="32"/>
          <w:szCs w:val="32"/>
        </w:rPr>
      </w:pPr>
    </w:p>
    <w:p>
      <w:pPr>
        <w:ind w:firstLine="800" w:firstLineChars="250"/>
        <w:rPr>
          <w:rFonts w:hint="eastAsia" w:ascii="仿宋" w:hAnsi="仿宋" w:eastAsia="仿宋"/>
          <w:sz w:val="32"/>
          <w:szCs w:val="32"/>
        </w:rPr>
      </w:pPr>
    </w:p>
    <w:p>
      <w:pPr>
        <w:ind w:firstLine="800" w:firstLineChars="250"/>
        <w:rPr>
          <w:rFonts w:ascii="仿宋" w:hAnsi="仿宋" w:eastAsia="仿宋"/>
          <w:sz w:val="32"/>
          <w:szCs w:val="32"/>
        </w:rPr>
      </w:pPr>
    </w:p>
    <w:p>
      <w:pPr>
        <w:pStyle w:val="2"/>
        <w:ind w:right="440"/>
        <w:jc w:val="center"/>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Pr>
        <w:pStyle w:val="2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2019年度收入总计1462.70万元，与2018年收入总计1313.45万元相比，增加了149.25万元，增长了11.36%，原因为增加了主题教育、远程教育等内容；2019年度支出总计1434.70万元，与2018年支出总计1307.02万元相比，增加了127.68万元，增长了9.77%，原因为增加了主题教育、远程教育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1" locked="0" layoutInCell="1" allowOverlap="1">
            <wp:simplePos x="0" y="0"/>
            <wp:positionH relativeFrom="column">
              <wp:posOffset>426085</wp:posOffset>
            </wp:positionH>
            <wp:positionV relativeFrom="paragraph">
              <wp:posOffset>41910</wp:posOffset>
            </wp:positionV>
            <wp:extent cx="4107815" cy="3029585"/>
            <wp:effectExtent l="4445" t="4445" r="21590" b="1397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pStyle w:val="2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9年本年收入合计1462.70万元，其中：一般公共预算财政拨款收入1416.37万元，占总收入的96.83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 21.61万元，占总收入的1.48</w:t>
      </w:r>
      <w:r>
        <w:rPr>
          <w:rFonts w:ascii="仿宋" w:hAnsi="仿宋" w:eastAsia="仿宋"/>
          <w:color w:val="000000"/>
          <w:sz w:val="32"/>
          <w:szCs w:val="32"/>
        </w:rPr>
        <w:t>%</w:t>
      </w:r>
      <w:r>
        <w:rPr>
          <w:rFonts w:hint="eastAsia" w:ascii="仿宋" w:hAnsi="仿宋" w:eastAsia="仿宋"/>
          <w:color w:val="000000"/>
          <w:sz w:val="32"/>
          <w:szCs w:val="32"/>
        </w:rPr>
        <w:t>；其他收入24.72万元，占总收入的1.69</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0288" behindDoc="1" locked="0" layoutInCell="1" allowOverlap="1">
            <wp:simplePos x="0" y="0"/>
            <wp:positionH relativeFrom="column">
              <wp:posOffset>378460</wp:posOffset>
            </wp:positionH>
            <wp:positionV relativeFrom="paragraph">
              <wp:posOffset>78740</wp:posOffset>
            </wp:positionV>
            <wp:extent cx="4731385" cy="2590800"/>
            <wp:effectExtent l="4445" t="4445" r="7620"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pStyle w:val="2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9年本年支出合计1434.70万元，其中：基本支出590.23万元，占总支出的41.14</w:t>
      </w:r>
      <w:r>
        <w:rPr>
          <w:rFonts w:ascii="仿宋" w:hAnsi="仿宋" w:eastAsia="仿宋"/>
          <w:color w:val="000000"/>
          <w:sz w:val="32"/>
          <w:szCs w:val="32"/>
        </w:rPr>
        <w:t>%</w:t>
      </w:r>
      <w:r>
        <w:rPr>
          <w:rFonts w:hint="eastAsia" w:ascii="仿宋" w:hAnsi="仿宋" w:eastAsia="仿宋"/>
          <w:color w:val="000000"/>
          <w:sz w:val="32"/>
          <w:szCs w:val="32"/>
        </w:rPr>
        <w:t>；项目支出844.47万元，占总支出的58.86</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sz w:val="32"/>
          <w:szCs w:val="32"/>
        </w:rPr>
        <w:drawing>
          <wp:anchor distT="0" distB="0" distL="114300" distR="114300" simplePos="0" relativeHeight="251661312" behindDoc="1" locked="0" layoutInCell="1" allowOverlap="1">
            <wp:simplePos x="0" y="0"/>
            <wp:positionH relativeFrom="column">
              <wp:posOffset>391795</wp:posOffset>
            </wp:positionH>
            <wp:positionV relativeFrom="paragraph">
              <wp:posOffset>97790</wp:posOffset>
            </wp:positionV>
            <wp:extent cx="4731385" cy="2590800"/>
            <wp:effectExtent l="4445" t="4445" r="7620" b="1460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FF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9年财政拨款收入总计1437.98万元，与2018年财政拨款收入总计1313.45万元相比，增加了124.53万元，增长了9.48%，原因为增加了主题教育、远程教育等内容；</w:t>
      </w:r>
      <w:r>
        <w:rPr>
          <w:rFonts w:ascii="仿宋" w:hAnsi="仿宋" w:eastAsia="仿宋"/>
          <w:color w:val="000000"/>
          <w:sz w:val="32"/>
          <w:szCs w:val="32"/>
        </w:rPr>
        <w:t>201</w:t>
      </w:r>
      <w:r>
        <w:rPr>
          <w:rFonts w:hint="eastAsia" w:ascii="仿宋" w:hAnsi="仿宋" w:eastAsia="仿宋"/>
          <w:color w:val="000000"/>
          <w:sz w:val="32"/>
          <w:szCs w:val="32"/>
        </w:rPr>
        <w:t>9年财政拨款支出总计1427.02万元，与</w:t>
      </w:r>
      <w:r>
        <w:rPr>
          <w:rFonts w:ascii="仿宋" w:hAnsi="仿宋" w:eastAsia="仿宋"/>
          <w:color w:val="000000"/>
          <w:sz w:val="32"/>
          <w:szCs w:val="32"/>
        </w:rPr>
        <w:t>201</w:t>
      </w:r>
      <w:r>
        <w:rPr>
          <w:rFonts w:hint="eastAsia" w:ascii="仿宋" w:hAnsi="仿宋" w:eastAsia="仿宋"/>
          <w:color w:val="000000"/>
          <w:sz w:val="32"/>
          <w:szCs w:val="32"/>
        </w:rPr>
        <w:t>8年财政拨款支出总计1307.02万元相比，增加了120.00万元，增长了9.18%，原因为增加了主题教育、远程教育等内容。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lang w:eastAsia="zh-CN"/>
        </w:rPr>
        <w:drawing>
          <wp:anchor distT="0" distB="0" distL="114300" distR="114300" simplePos="0" relativeHeight="251662336" behindDoc="0" locked="0" layoutInCell="1" allowOverlap="1">
            <wp:simplePos x="0" y="0"/>
            <wp:positionH relativeFrom="column">
              <wp:posOffset>401320</wp:posOffset>
            </wp:positionH>
            <wp:positionV relativeFrom="paragraph">
              <wp:posOffset>128270</wp:posOffset>
            </wp:positionV>
            <wp:extent cx="4699000" cy="2820035"/>
            <wp:effectExtent l="4445" t="4445" r="20955" b="1397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9年一般公共预算财政拨款支出1403.83万元，占本年支出合计的97.85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8年一般公共预算财政拨款支出1266.82万元相比，增了137.01万元，增长了10.82%，原因为增加了主题教育、远程教育等内容。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410845</wp:posOffset>
            </wp:positionH>
            <wp:positionV relativeFrom="paragraph">
              <wp:posOffset>184150</wp:posOffset>
            </wp:positionV>
            <wp:extent cx="5194300" cy="3858260"/>
            <wp:effectExtent l="5080" t="4445" r="20320" b="2349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rPr>
        <w:t>1403.83</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一般公共服务（201）</w:t>
      </w:r>
      <w:r>
        <w:rPr>
          <w:rFonts w:hint="eastAsia" w:ascii="仿宋" w:hAnsi="仿宋" w:eastAsia="仿宋"/>
          <w:color w:val="000000" w:themeColor="text1"/>
          <w:sz w:val="32"/>
          <w:szCs w:val="32"/>
          <w14:textFill>
            <w14:solidFill>
              <w14:schemeClr w14:val="tx1"/>
            </w14:solidFill>
          </w14:textFill>
        </w:rPr>
        <w:t>支出1265.10万元，占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14:textFill>
            <w14:solidFill>
              <w14:schemeClr w14:val="tx1"/>
            </w14:solidFill>
          </w14:textFill>
        </w:rPr>
        <w:t>政拨款支出的90.12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社会保障和就业（208）</w:t>
      </w:r>
      <w:r>
        <w:rPr>
          <w:rFonts w:hint="eastAsia" w:ascii="仿宋" w:hAnsi="仿宋" w:eastAsia="仿宋"/>
          <w:color w:val="000000" w:themeColor="text1"/>
          <w:sz w:val="32"/>
          <w:szCs w:val="32"/>
          <w14:textFill>
            <w14:solidFill>
              <w14:schemeClr w14:val="tx1"/>
            </w14:solidFill>
          </w14:textFill>
        </w:rPr>
        <w:t>支出82.82万元，占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14:textFill>
            <w14:solidFill>
              <w14:schemeClr w14:val="tx1"/>
            </w14:solidFill>
          </w14:textFill>
        </w:rPr>
        <w:t>政拨款支出的5.90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卫生健康（210）支出</w:t>
      </w:r>
      <w:r>
        <w:rPr>
          <w:rFonts w:hint="eastAsia" w:ascii="仿宋" w:hAnsi="仿宋" w:eastAsia="仿宋"/>
          <w:color w:val="000000" w:themeColor="text1"/>
          <w:sz w:val="32"/>
          <w:szCs w:val="32"/>
          <w14:textFill>
            <w14:solidFill>
              <w14:schemeClr w14:val="tx1"/>
            </w14:solidFill>
          </w14:textFill>
        </w:rPr>
        <w:t>11.99万元，占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14:textFill>
            <w14:solidFill>
              <w14:schemeClr w14:val="tx1"/>
            </w14:solidFill>
          </w14:textFill>
        </w:rPr>
        <w:t>政拨款支出的0.85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农林水（213）</w:t>
      </w:r>
      <w:r>
        <w:rPr>
          <w:rFonts w:hint="eastAsia" w:ascii="仿宋" w:hAnsi="仿宋" w:eastAsia="仿宋"/>
          <w:color w:val="000000" w:themeColor="text1"/>
          <w:sz w:val="32"/>
          <w:szCs w:val="32"/>
          <w14:textFill>
            <w14:solidFill>
              <w14:schemeClr w14:val="tx1"/>
            </w14:solidFill>
          </w14:textFill>
        </w:rPr>
        <w:t>支出2.59万元，占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14:textFill>
            <w14:solidFill>
              <w14:schemeClr w14:val="tx1"/>
            </w14:solidFill>
          </w14:textFill>
        </w:rPr>
        <w:t>政拨款支出的0.18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住房保障（221）</w:t>
      </w:r>
      <w:r>
        <w:rPr>
          <w:rFonts w:hint="eastAsia" w:ascii="仿宋" w:hAnsi="仿宋" w:eastAsia="仿宋"/>
          <w:color w:val="000000" w:themeColor="text1"/>
          <w:sz w:val="32"/>
          <w:szCs w:val="32"/>
          <w14:textFill>
            <w14:solidFill>
              <w14:schemeClr w14:val="tx1"/>
            </w14:solidFill>
          </w14:textFill>
        </w:rPr>
        <w:t>支出41.33万元，占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14:textFill>
            <w14:solidFill>
              <w14:schemeClr w14:val="tx1"/>
            </w14:solidFill>
          </w14:textFill>
        </w:rPr>
        <w:t>政拨款支出的2.95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（罗列全部功能分类科目，至类级。）</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4384" behindDoc="0" locked="0" layoutInCell="1" allowOverlap="1">
            <wp:simplePos x="0" y="0"/>
            <wp:positionH relativeFrom="column">
              <wp:posOffset>80645</wp:posOffset>
            </wp:positionH>
            <wp:positionV relativeFrom="paragraph">
              <wp:posOffset>3810</wp:posOffset>
            </wp:positionV>
            <wp:extent cx="5022850" cy="3020060"/>
            <wp:effectExtent l="4445" t="4445" r="20955" b="2349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sz w:val="32"/>
          <w:szCs w:val="32"/>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14:textFill>
            <w14:solidFill>
              <w14:schemeClr w14:val="tx1"/>
            </w14:solidFill>
          </w14:textFill>
        </w:rPr>
        <w:t>2019年一般公共预算支出决算数为1403.83万元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Fonts w:hint="eastAsia" w:ascii="仿宋" w:hAnsi="仿宋" w:eastAsia="仿宋"/>
          <w:b/>
          <w:color w:val="000000" w:themeColor="text1"/>
          <w:sz w:val="32"/>
          <w:szCs w:val="32"/>
          <w14:textFill>
            <w14:solidFill>
              <w14:schemeClr w14:val="tx1"/>
            </w14:solidFill>
          </w14:textFill>
        </w:rPr>
        <w:t>一般公共</w:t>
      </w:r>
      <w:r>
        <w:rPr>
          <w:rStyle w:val="14"/>
          <w:rFonts w:hint="eastAsia" w:ascii="仿宋" w:hAnsi="仿宋" w:eastAsia="仿宋"/>
          <w:bCs/>
          <w:color w:val="000000"/>
          <w:sz w:val="32"/>
          <w:szCs w:val="32"/>
        </w:rPr>
        <w:t>预算收入的99.11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一般公共服务（类）201（款）32（项）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支出决算为1265.10万元，完成预算99.11</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color w:val="000000"/>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社会保障和就业（类）208（款）05、08（项）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支出决算为82.82万元，完成预算100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rPr>
        <w:t>（类）210（款）11（项）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支出决算为11.99万元，完成预算100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b/>
          <w:color w:val="000000"/>
          <w:sz w:val="32"/>
          <w:szCs w:val="32"/>
        </w:rPr>
      </w:pPr>
      <w:r>
        <w:rPr>
          <w:rFonts w:hint="eastAsia" w:ascii="仿宋" w:hAnsi="仿宋" w:eastAsia="仿宋"/>
          <w:color w:val="000000"/>
          <w:sz w:val="32"/>
          <w:szCs w:val="32"/>
        </w:rPr>
        <w:t>4.</w:t>
      </w:r>
      <w:r>
        <w:rPr>
          <w:rFonts w:hint="eastAsia" w:ascii="仿宋" w:hAnsi="仿宋" w:eastAsia="仿宋"/>
          <w:b/>
          <w:color w:val="000000"/>
          <w:sz w:val="32"/>
          <w:szCs w:val="32"/>
        </w:rPr>
        <w:t>农林水支出</w:t>
      </w:r>
      <w:r>
        <w:rPr>
          <w:rStyle w:val="14"/>
          <w:rFonts w:hint="eastAsia" w:ascii="仿宋" w:hAnsi="仿宋" w:eastAsia="仿宋"/>
          <w:bCs/>
          <w:color w:val="000000"/>
          <w:sz w:val="32"/>
          <w:szCs w:val="32"/>
        </w:rPr>
        <w:t>（类）213（款）05（项）:</w:t>
      </w:r>
      <w:r>
        <w:rPr>
          <w:rStyle w:val="14"/>
          <w:rFonts w:hint="eastAsia" w:ascii="仿宋" w:hAnsi="仿宋" w:eastAsia="仿宋"/>
          <w:b w:val="0"/>
          <w:bCs/>
          <w:color w:val="000000"/>
          <w:sz w:val="32"/>
          <w:szCs w:val="32"/>
        </w:rPr>
        <w:t xml:space="preserve"> 支出决算为2.59万元，完成预算100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b/>
          <w:color w:val="000000"/>
          <w:sz w:val="32"/>
          <w:szCs w:val="32"/>
        </w:rPr>
      </w:pPr>
      <w:r>
        <w:rPr>
          <w:rFonts w:hint="eastAsia" w:ascii="仿宋" w:hAnsi="仿宋" w:eastAsia="仿宋"/>
          <w:color w:val="000000"/>
          <w:sz w:val="32"/>
          <w:szCs w:val="32"/>
        </w:rPr>
        <w:t>5.</w:t>
      </w:r>
      <w:r>
        <w:rPr>
          <w:rFonts w:hint="eastAsia" w:ascii="仿宋" w:hAnsi="仿宋" w:eastAsia="仿宋"/>
          <w:b/>
          <w:color w:val="000000"/>
          <w:sz w:val="32"/>
          <w:szCs w:val="32"/>
        </w:rPr>
        <w:t>住房保障</w:t>
      </w:r>
      <w:r>
        <w:rPr>
          <w:rStyle w:val="14"/>
          <w:rFonts w:hint="eastAsia" w:ascii="仿宋" w:hAnsi="仿宋" w:eastAsia="仿宋"/>
          <w:bCs/>
          <w:color w:val="000000"/>
          <w:sz w:val="32"/>
          <w:szCs w:val="32"/>
        </w:rPr>
        <w:t>（类）221（款）02项）:</w:t>
      </w:r>
      <w:r>
        <w:rPr>
          <w:rStyle w:val="14"/>
          <w:rFonts w:hint="eastAsia" w:ascii="仿宋" w:hAnsi="仿宋" w:eastAsia="仿宋"/>
          <w:b w:val="0"/>
          <w:bCs/>
          <w:color w:val="000000"/>
          <w:sz w:val="32"/>
          <w:szCs w:val="32"/>
        </w:rPr>
        <w:t xml:space="preserve"> 支出决算为41.33万元，完成预算100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textAlignment w:val="auto"/>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9年一般公共预算财政拨款基本支出582.55万元，其中：</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rPr>
        <w:t>人员经费495.73万元，主要包括：基本工资101.81万元、津贴补贴235.64万元、奖金8.56万元、机关事业单位基本养老保险缴费31.06万元、职业年金缴费16.94万元、其他社会保障缴费1.50万元、奖励金0.59万元、抚恤金15.47万元、生活补助29.49万元、医疗保险缴费11.99万元、救济费1.35万元、住房公积金41.33万元。</w:t>
      </w:r>
      <w:r>
        <w:rPr>
          <w:rFonts w:ascii="仿宋" w:hAnsi="仿宋" w:eastAsia="仿宋"/>
          <w:color w:val="000000"/>
          <w:sz w:val="32"/>
          <w:szCs w:val="32"/>
        </w:rPr>
        <w:br w:type="textWrapping"/>
      </w:r>
      <w:r>
        <w:rPr>
          <w:rFonts w:hint="eastAsia" w:ascii="仿宋" w:hAnsi="仿宋" w:eastAsia="仿宋"/>
          <w:color w:val="000000"/>
          <w:sz w:val="32"/>
          <w:szCs w:val="32"/>
        </w:rPr>
        <w:t>　　日常公用经费86.82万元，主要包括：办公费9.27万元、印刷费0.09万元、手续费0.02万元、水费0.33万元、电费1.99万元、邮电费2.20万元、差旅费9.63万元、维修（护）费0.61万元、培训费0.09万元、公务接待费1.20万元、劳务费21.59万元、委托业务费3.13万元、工会经费7.26万元、福利费0.90万元、公务用车运行维护费4.21万元、其他交通费19.82万元、其他商品和服务支出4.48万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9年“三公”经费财政拨款支出决算为26.79万元，完成预算46.19</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r>
        <w:rPr>
          <w:rFonts w:hint="eastAsia" w:ascii="仿宋" w:hAnsi="仿宋" w:eastAsia="仿宋"/>
          <w:color w:val="000000"/>
          <w:sz w:val="32"/>
          <w:szCs w:val="32"/>
          <w:lang w:val="en-US" w:eastAsia="zh-CN"/>
        </w:rPr>
        <w:t>厉行</w:t>
      </w:r>
      <w:r>
        <w:rPr>
          <w:rFonts w:hint="eastAsia" w:ascii="仿宋" w:hAnsi="仿宋" w:eastAsia="仿宋"/>
          <w:color w:val="000000"/>
          <w:sz w:val="32"/>
          <w:szCs w:val="32"/>
        </w:rPr>
        <w:t>节约。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9年“三公”经费财政拨款支出决算中，公务用车购置及运行维护费支出决算23.70万元，占预算数74.06</w:t>
      </w:r>
      <w:r>
        <w:rPr>
          <w:rFonts w:ascii="仿宋" w:hAnsi="仿宋" w:eastAsia="仿宋"/>
          <w:color w:val="000000"/>
          <w:sz w:val="32"/>
          <w:szCs w:val="32"/>
        </w:rPr>
        <w:t>%</w:t>
      </w:r>
      <w:r>
        <w:rPr>
          <w:rFonts w:hint="eastAsia" w:ascii="仿宋" w:hAnsi="仿宋" w:eastAsia="仿宋"/>
          <w:color w:val="000000"/>
          <w:sz w:val="32"/>
          <w:szCs w:val="32"/>
        </w:rPr>
        <w:t>；公务接待费支出决算3.09万元，占预算数11.88</w:t>
      </w:r>
      <w:r>
        <w:rPr>
          <w:rFonts w:ascii="仿宋" w:hAnsi="仿宋" w:eastAsia="仿宋"/>
          <w:color w:val="000000"/>
          <w:sz w:val="32"/>
          <w:szCs w:val="32"/>
        </w:rPr>
        <w:t>%</w:t>
      </w:r>
      <w:r>
        <w:rPr>
          <w:rFonts w:hint="eastAsia" w:ascii="仿宋" w:hAnsi="仿宋" w:eastAsia="仿宋"/>
          <w:color w:val="000000"/>
          <w:sz w:val="32"/>
          <w:szCs w:val="32"/>
        </w:rPr>
        <w:t>。具体情况如下：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5408" behindDoc="0" locked="0" layoutInCell="1" allowOverlap="1">
            <wp:simplePos x="0" y="0"/>
            <wp:positionH relativeFrom="column">
              <wp:posOffset>658495</wp:posOffset>
            </wp:positionH>
            <wp:positionV relativeFrom="paragraph">
              <wp:posOffset>32385</wp:posOffset>
            </wp:positionV>
            <wp:extent cx="4423410" cy="2390775"/>
            <wp:effectExtent l="4445" t="5080" r="10795" b="44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sz w:val="32"/>
          <w:szCs w:val="32"/>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b/>
          <w:color w:val="000000"/>
          <w:sz w:val="32"/>
          <w:szCs w:val="32"/>
        </w:rPr>
      </w:pPr>
      <w:r>
        <w:rPr>
          <w:rFonts w:hint="eastAsia" w:ascii="仿宋_GB2312" w:eastAsia="仿宋_GB2312"/>
          <w:b/>
          <w:color w:val="000000"/>
          <w:sz w:val="32"/>
          <w:szCs w:val="32"/>
        </w:rPr>
        <w:t>1</w:t>
      </w:r>
      <w:r>
        <w:rPr>
          <w:rFonts w:ascii="仿宋_GB2312" w:eastAsia="仿宋_GB2312"/>
          <w:b/>
          <w:color w:val="000000"/>
          <w:sz w:val="32"/>
          <w:szCs w:val="32"/>
        </w:rPr>
        <w:t>.</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23.70万元,</w:t>
      </w:r>
      <w:r>
        <w:rPr>
          <w:rStyle w:val="14"/>
          <w:rFonts w:hint="eastAsia" w:ascii="仿宋" w:hAnsi="仿宋" w:eastAsia="仿宋"/>
          <w:b w:val="0"/>
          <w:bCs/>
          <w:color w:val="000000"/>
          <w:sz w:val="32"/>
          <w:szCs w:val="32"/>
        </w:rPr>
        <w:t>完成预算74.06</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8年减少2.94万元，下降11.04</w:t>
      </w:r>
      <w:r>
        <w:rPr>
          <w:rFonts w:ascii="仿宋_GB2312" w:eastAsia="仿宋_GB2312"/>
          <w:color w:val="000000"/>
          <w:sz w:val="32"/>
          <w:szCs w:val="32"/>
        </w:rPr>
        <w:t>%</w:t>
      </w:r>
      <w:r>
        <w:rPr>
          <w:rFonts w:hint="eastAsia" w:ascii="仿宋_GB2312" w:eastAsia="仿宋_GB2312"/>
          <w:color w:val="000000"/>
          <w:sz w:val="32"/>
          <w:szCs w:val="32"/>
        </w:rPr>
        <w:t>。主要原因是公务车改革</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厉行节约</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b/>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23.70万元。主要用于</w:t>
      </w:r>
      <w:r>
        <w:rPr>
          <w:rFonts w:hint="eastAsia" w:ascii="仿宋_GB2312" w:eastAsia="仿宋_GB2312"/>
          <w:color w:val="000000"/>
          <w:sz w:val="32"/>
          <w:szCs w:val="32"/>
          <w:lang w:val="en-US" w:eastAsia="zh-CN"/>
        </w:rPr>
        <w:t>主题教育、干部、人才、党的建设</w:t>
      </w:r>
      <w:r>
        <w:rPr>
          <w:rFonts w:hint="eastAsia" w:ascii="仿宋_GB2312" w:eastAsia="仿宋_GB2312"/>
          <w:color w:val="000000"/>
          <w:sz w:val="32"/>
          <w:szCs w:val="32"/>
        </w:rPr>
        <w:t>等所需的公务用车燃料费、维修费、过路过桥费、保险费等支出。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3.09万元，</w:t>
      </w:r>
      <w:r>
        <w:rPr>
          <w:rStyle w:val="14"/>
          <w:rFonts w:hint="eastAsia" w:ascii="仿宋" w:hAnsi="仿宋" w:eastAsia="仿宋"/>
          <w:b w:val="0"/>
          <w:bCs/>
          <w:color w:val="000000"/>
          <w:sz w:val="32"/>
          <w:szCs w:val="32"/>
        </w:rPr>
        <w:t>完成预算11.88</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8年增加1.24万元，增长67.02</w:t>
      </w:r>
      <w:r>
        <w:rPr>
          <w:rFonts w:ascii="仿宋_GB2312" w:eastAsia="仿宋_GB2312"/>
          <w:color w:val="000000"/>
          <w:sz w:val="32"/>
          <w:szCs w:val="32"/>
        </w:rPr>
        <w:t>%</w:t>
      </w:r>
      <w:r>
        <w:rPr>
          <w:rFonts w:hint="eastAsia" w:ascii="仿宋_GB2312" w:eastAsia="仿宋_GB2312"/>
          <w:color w:val="000000"/>
          <w:sz w:val="32"/>
          <w:szCs w:val="32"/>
        </w:rPr>
        <w:t>。主要原因是上级来人检查指导工作其中：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000000"/>
          <w:sz w:val="32"/>
          <w:szCs w:val="32"/>
        </w:rPr>
      </w:pPr>
      <w:r>
        <w:rPr>
          <w:rFonts w:hint="eastAsia" w:ascii="仿宋_GB2312" w:eastAsia="仿宋_GB2312"/>
          <w:color w:val="000000"/>
          <w:sz w:val="32"/>
          <w:szCs w:val="32"/>
        </w:rPr>
        <w:t>国内公务接待支出3.09万元，主要用于</w:t>
      </w:r>
      <w:r>
        <w:rPr>
          <w:rFonts w:hint="eastAsia" w:ascii="仿宋_GB2312" w:eastAsia="仿宋_GB2312"/>
          <w:color w:val="000000"/>
          <w:sz w:val="32"/>
          <w:szCs w:val="32"/>
          <w:lang w:val="en-US" w:eastAsia="zh-CN"/>
        </w:rPr>
        <w:t>基层党建、干部考察、来峨参观学习</w:t>
      </w:r>
      <w:r>
        <w:rPr>
          <w:rFonts w:hint="eastAsia" w:ascii="仿宋_GB2312" w:eastAsia="仿宋_GB2312"/>
          <w:color w:val="000000"/>
          <w:sz w:val="32"/>
          <w:szCs w:val="32"/>
        </w:rPr>
        <w:t>用餐费等。国内公务接待</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人次，共计支出</w:t>
      </w:r>
      <w:r>
        <w:rPr>
          <w:rFonts w:hint="eastAsia" w:ascii="仿宋_GB2312" w:eastAsia="仿宋_GB2312"/>
          <w:color w:val="000000"/>
          <w:sz w:val="32"/>
          <w:szCs w:val="32"/>
          <w:lang w:val="en-US" w:eastAsia="zh-CN"/>
        </w:rPr>
        <w:t>3.09</w:t>
      </w:r>
      <w:r>
        <w:rPr>
          <w:rFonts w:hint="eastAsia" w:ascii="仿宋_GB2312" w:eastAsia="仿宋_GB2312"/>
          <w:color w:val="000000"/>
          <w:sz w:val="32"/>
          <w:szCs w:val="32"/>
        </w:rPr>
        <w:t>万元。</w:t>
      </w:r>
    </w:p>
    <w:p>
      <w:pPr>
        <w:keepNext w:val="0"/>
        <w:keepLines w:val="0"/>
        <w:pageBreakBefore w:val="0"/>
        <w:kinsoku/>
        <w:wordWrap/>
        <w:overflowPunct/>
        <w:topLinePunct w:val="0"/>
        <w:bidi w:val="0"/>
        <w:spacing w:line="560" w:lineRule="exact"/>
        <w:ind w:firstLine="640"/>
        <w:textAlignment w:val="auto"/>
        <w:outlineLvl w:val="1"/>
        <w:rPr>
          <w:rStyle w:val="25"/>
          <w:rFonts w:ascii="黑体" w:hAnsi="黑体" w:eastAsia="黑体"/>
        </w:rPr>
      </w:pPr>
      <w:bookmarkStart w:id="46" w:name="_Toc15396610"/>
      <w:bookmarkStart w:id="47"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keepNext w:val="0"/>
        <w:keepLines w:val="0"/>
        <w:pageBreakBefore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9年政府性基金预算拨款支出23.19万元。</w:t>
      </w:r>
    </w:p>
    <w:p>
      <w:pPr>
        <w:keepNext w:val="0"/>
        <w:keepLines w:val="0"/>
        <w:pageBreakBefore w:val="0"/>
        <w:numPr>
          <w:ilvl w:val="0"/>
          <w:numId w:val="2"/>
        </w:numPr>
        <w:kinsoku/>
        <w:wordWrap/>
        <w:overflowPunct/>
        <w:topLinePunct w:val="0"/>
        <w:bidi w:val="0"/>
        <w:spacing w:line="560" w:lineRule="exact"/>
        <w:ind w:firstLine="640"/>
        <w:textAlignment w:val="auto"/>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r>
        <w:rPr>
          <w:rStyle w:val="25"/>
          <w:rFonts w:hint="eastAsia" w:ascii="黑体" w:hAnsi="黑体" w:eastAsia="黑体"/>
          <w:b w:val="0"/>
        </w:rPr>
        <w:t>(无）</w:t>
      </w:r>
    </w:p>
    <w:p>
      <w:pPr>
        <w:keepNext w:val="0"/>
        <w:keepLines w:val="0"/>
        <w:pageBreakBefore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keepNext w:val="0"/>
        <w:keepLines w:val="0"/>
        <w:pageBreakBefore w:val="0"/>
        <w:kinsoku/>
        <w:wordWrap/>
        <w:overflowPunct/>
        <w:topLinePunct w:val="0"/>
        <w:bidi w:val="0"/>
        <w:spacing w:line="560" w:lineRule="exact"/>
        <w:ind w:firstLine="800" w:firstLineChars="250"/>
        <w:textAlignment w:val="auto"/>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keepNext w:val="0"/>
        <w:keepLines w:val="0"/>
        <w:pageBreakBefore w:val="0"/>
        <w:kinsoku/>
        <w:wordWrap/>
        <w:overflowPunct/>
        <w:topLinePunct w:val="0"/>
        <w:bidi w:val="0"/>
        <w:spacing w:line="560" w:lineRule="exact"/>
        <w:ind w:firstLine="643" w:firstLineChars="200"/>
        <w:textAlignment w:val="auto"/>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keepNext w:val="0"/>
        <w:keepLines w:val="0"/>
        <w:pageBreakBefore w:val="0"/>
        <w:kinsoku/>
        <w:wordWrap/>
        <w:overflowPunct/>
        <w:topLinePunct w:val="0"/>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组织部</w:t>
      </w:r>
      <w:r>
        <w:rPr>
          <w:rFonts w:hint="eastAsia" w:ascii="仿宋_GB2312" w:eastAsia="仿宋_GB2312"/>
          <w:color w:val="000000"/>
          <w:sz w:val="32"/>
          <w:szCs w:val="32"/>
        </w:rPr>
        <w:t>机关运行经费支出86.82万元，比</w:t>
      </w:r>
      <w:r>
        <w:rPr>
          <w:rFonts w:ascii="仿宋_GB2312" w:eastAsia="仿宋_GB2312"/>
          <w:color w:val="000000"/>
          <w:sz w:val="32"/>
          <w:szCs w:val="32"/>
        </w:rPr>
        <w:t>201</w:t>
      </w:r>
      <w:r>
        <w:rPr>
          <w:rFonts w:hint="eastAsia" w:ascii="仿宋_GB2312" w:eastAsia="仿宋_GB2312"/>
          <w:color w:val="000000"/>
          <w:sz w:val="32"/>
          <w:szCs w:val="32"/>
        </w:rPr>
        <w:t>8年增加15.93万元，增长22.47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val="en-US" w:eastAsia="zh-CN"/>
          <w14:textFill>
            <w14:solidFill>
              <w14:schemeClr w14:val="tx1"/>
            </w14:solidFill>
          </w14:textFill>
        </w:rPr>
        <w:t>机关</w:t>
      </w:r>
      <w:r>
        <w:rPr>
          <w:rFonts w:hint="eastAsia" w:ascii="仿宋_GB2312" w:eastAsia="仿宋_GB2312"/>
          <w:color w:val="000000" w:themeColor="text1"/>
          <w:sz w:val="32"/>
          <w:szCs w:val="32"/>
          <w14:textFill>
            <w14:solidFill>
              <w14:schemeClr w14:val="tx1"/>
            </w14:solidFill>
          </w14:textFill>
        </w:rPr>
        <w:t>人员增加。</w:t>
      </w:r>
    </w:p>
    <w:p>
      <w:pPr>
        <w:keepNext w:val="0"/>
        <w:keepLines w:val="0"/>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r>
        <w:rPr>
          <w:rFonts w:hint="eastAsia" w:ascii="仿宋" w:hAnsi="仿宋" w:eastAsia="仿宋"/>
          <w:b/>
          <w:color w:val="000000"/>
          <w:sz w:val="32"/>
          <w:szCs w:val="32"/>
        </w:rPr>
        <w:t>（无）</w:t>
      </w:r>
    </w:p>
    <w:p>
      <w:pPr>
        <w:keepNext w:val="0"/>
        <w:keepLines w:val="0"/>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日，共有车辆3辆，其中：均为公务用车。</w:t>
      </w:r>
    </w:p>
    <w:p>
      <w:pPr>
        <w:keepNext w:val="0"/>
        <w:keepLines w:val="0"/>
        <w:pageBreakBefore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根据预算绩效管理要求，本部门（单位）在年初预算编制阶段，组织对党的主题教育活动工作经费开展了预算事前绩效评估，对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color w:val="000000"/>
          <w:kern w:val="0"/>
          <w:sz w:val="32"/>
          <w:szCs w:val="32"/>
          <w:shd w:val="clear" w:color="auto" w:fill="FFFFFF"/>
          <w:lang w:val="zh-CN"/>
        </w:rPr>
        <w:t>财政经费使用良好，能正常支撑开展工作，以后</w:t>
      </w:r>
      <w:r>
        <w:rPr>
          <w:rFonts w:hint="eastAsia" w:ascii="仿宋_GB2312" w:hAnsi="仿宋_GB2312" w:eastAsia="仿宋_GB2312" w:cs="仿宋_GB2312"/>
          <w:color w:val="000000"/>
          <w:kern w:val="0"/>
          <w:sz w:val="32"/>
          <w:szCs w:val="32"/>
          <w:shd w:val="clear" w:color="auto" w:fill="FFFFFF"/>
          <w:lang w:val="en-US" w:eastAsia="zh-CN"/>
        </w:rPr>
        <w:t>还需</w:t>
      </w:r>
      <w:r>
        <w:rPr>
          <w:rFonts w:hint="eastAsia" w:ascii="仿宋_GB2312" w:hAnsi="仿宋_GB2312" w:eastAsia="仿宋_GB2312" w:cs="仿宋_GB2312"/>
          <w:color w:val="000000"/>
          <w:kern w:val="0"/>
          <w:sz w:val="32"/>
          <w:szCs w:val="32"/>
          <w:shd w:val="clear" w:color="auto" w:fill="FFFFFF"/>
          <w:lang w:val="zh-CN"/>
        </w:rPr>
        <w:t>加强预算编制的精准率，不断提高绩效评价工作水平，使财政资金更好地用到刀刃上。</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val="en-US" w:eastAsia="zh-CN"/>
        </w:rPr>
        <w:t>项目经费使用进度达标、使用精准</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本部门在2019年度部门决算中反映智慧组工办公系统二期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国有企业和律师行业党建工作经费（组织部）</w:t>
      </w:r>
      <w:r>
        <w:rPr>
          <w:rFonts w:hint="eastAsia" w:ascii="仿宋_GB2312" w:hAnsi="仿宋_GB2312" w:eastAsia="仿宋_GB2312" w:cs="仿宋_GB2312"/>
          <w:sz w:val="32"/>
          <w:szCs w:val="32"/>
          <w:lang w:eastAsia="zh-CN"/>
        </w:rPr>
        <w:t>、党内帮扶基金、6名遗孀补贴（老干局）、老干部活动费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智慧组工办公系统二期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val="en-US" w:eastAsia="zh-CN"/>
        </w:rPr>
        <w:t>机关党委网上办公、干部数据分析</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预算不够精准</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加强预算前的测算。</w:t>
      </w:r>
    </w:p>
    <w:p>
      <w:pPr>
        <w:keepNext w:val="0"/>
        <w:keepLines w:val="0"/>
        <w:pageBreakBefore w:val="0"/>
        <w:numPr>
          <w:ilvl w:val="0"/>
          <w:numId w:val="3"/>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国有企业和律师行业党建工作经费（组织部）绩效目标完成情况综述。项目全年预算数</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val="en-US" w:eastAsia="zh-CN"/>
        </w:rPr>
        <w:t>两新和律师行业党组织正常运转</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党内帮扶基金</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val="en-US" w:eastAsia="zh-CN"/>
        </w:rPr>
        <w:t>财政资金充实峨眉山市党内帮扶基金，确保各项党内帮扶足额、及时拨付到位</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6名遗孀补贴（老干局）</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7.17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7.17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确保市委市政府对遗孀的关心关怀，及时兑现经费</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老干部活动费</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确保市委市政府对全市离退休干部的关心关怀，顺利组织完成老干部的各项活动</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kern w:val="2"/>
          <w:sz w:val="21"/>
          <w:szCs w:val="24"/>
          <w:lang w:val="en-US" w:eastAsia="zh-CN" w:bidi="ar-SA"/>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 xml:space="preserve">    党的主题教育活动工作经费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中共峨眉山市委组织部</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73.57万元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30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rPr>
            </w:pPr>
            <w:r>
              <w:rPr>
                <w:rFonts w:hint="eastAsia" w:ascii="宋体" w:hAnsi="宋体" w:cs="宋体"/>
                <w:color w:val="000000"/>
                <w:sz w:val="24"/>
                <w:lang w:val="en-US" w:eastAsia="zh-CN"/>
              </w:rPr>
              <w:t xml:space="preserve">    </w:t>
            </w:r>
            <w:r>
              <w:rPr>
                <w:rFonts w:hint="eastAsia" w:ascii="宋体" w:hAnsi="宋体" w:cs="宋体"/>
                <w:color w:val="000000"/>
                <w:sz w:val="24"/>
              </w:rPr>
              <w:t>实施进度：按照主题教育总体部署，部办公室分阶段、分类型申请经费和使用经费，并严格按照主题教育进度完成经费支出。</w:t>
            </w:r>
          </w:p>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实施目标：教育引导党员干部深入学习贯彻习近平新时代中国特色社会主义思想，坚持读原著、学原文、悟原理，做到系统全面、融会贯通，使之内化于心、外化于行。把《习近平新时代中国特色社会主义思想学习纲要》《习近平关于“不忘初心、牢记使命”重要论述选编》纳入学习计划，开展多形式、分层次、全覆盖的学习培训。善始善终，善作善成，排出时间表，制定路线图，认真、系统、全面学，做到多思多想、学深悟透。采取灵活多样、喜闻乐见的方式，利用好身边的先进典型、红色资源等丰富内容，增强学习的针对性、实效性和感染力。紧密联系实际，带着问题思考，把思想认识上的收获转化为指导实践、推动发展的行动，做到知行合一、学以致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学习贯彻习近平总书记重要指示批示精神，贯彻落实中央、省委、乐山市委和峨眉山市委部署要求，把深入学习贯彻习近平新时代中国特色社会主义思想作为根本任务，全面把握守初心、担使命，找差距、抓落实的总要求，坚持抓思想认识到位、抓检视问题到位、抓整改落实到位、抓组织领导到位，统筹推进学习教育、调查研究、检视问题、整改落实四项重点措施，以彻底的自我革命精神解决违背初心和使命的各种问题，努力实现理论学习有收获、思想政治受洗礼、干事创业敢担当、为民服务解难题、清正廉洁作表率的目标。主题教育从2019年9月开始，11月底基本结束，开展集中教育时间不少于3个月。</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0"/>
                <w:sz w:val="24"/>
                <w:lang w:val="en-US" w:eastAsia="zh-CN"/>
              </w:rPr>
              <w:t>完成根本任务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rPr>
              <w:t>深入学习贯彻习近平新时代中国特色社会主义思想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从9月起启动学习教育，并将学习教育贯穿主题教育。分别召开了主题教育工作会议，班子成员自学、集中学习研讨等</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0"/>
                <w:sz w:val="24"/>
                <w:lang w:val="en-US" w:eastAsia="zh-CN"/>
              </w:rPr>
              <w:t>完成四项重点工作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统筹推进学习教育、调查研究、检视问题、整改落实四项重点措施，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rPr>
            </w:pPr>
            <w:r>
              <w:rPr>
                <w:rFonts w:hint="eastAsia" w:ascii="宋体" w:hAnsi="宋体" w:cs="宋体"/>
                <w:color w:val="000000"/>
                <w:sz w:val="24"/>
              </w:rPr>
              <w:t>1.从9月起启动学习教育，并将学习教育贯穿主题教育。分别召开了主题教育工作会议，班子成员自学、集中学习研讨等</w:t>
            </w:r>
          </w:p>
          <w:p>
            <w:pPr>
              <w:widowControl/>
              <w:jc w:val="left"/>
              <w:textAlignment w:val="center"/>
              <w:rPr>
                <w:rFonts w:hint="eastAsia" w:ascii="宋体" w:hAnsi="宋体" w:cs="宋体"/>
                <w:color w:val="000000"/>
                <w:sz w:val="24"/>
              </w:rPr>
            </w:pPr>
            <w:r>
              <w:rPr>
                <w:rFonts w:hint="eastAsia" w:ascii="宋体" w:hAnsi="宋体" w:cs="宋体"/>
                <w:color w:val="000000"/>
                <w:sz w:val="24"/>
              </w:rPr>
              <w:t>2.从10月起启动调查研究，先后开展了聚焦主责主业开展课题调研、课题调研阶段性成果交流会、讲一次专题党课。</w:t>
            </w:r>
          </w:p>
          <w:p>
            <w:pPr>
              <w:widowControl/>
              <w:jc w:val="left"/>
              <w:textAlignment w:val="center"/>
              <w:rPr>
                <w:rFonts w:hint="eastAsia" w:ascii="宋体" w:hAnsi="宋体" w:cs="宋体"/>
                <w:color w:val="000000"/>
                <w:sz w:val="24"/>
              </w:rPr>
            </w:pPr>
            <w:r>
              <w:rPr>
                <w:rFonts w:hint="eastAsia" w:ascii="宋体" w:hAnsi="宋体" w:cs="宋体"/>
                <w:color w:val="000000"/>
                <w:sz w:val="24"/>
              </w:rPr>
              <w:t>3.从11月起开展检视反思，先后开展了广泛听取意见建议、谈心谈话、对表对标找实问题、进行剖析反思</w:t>
            </w:r>
          </w:p>
          <w:p>
            <w:pPr>
              <w:widowControl/>
              <w:jc w:val="left"/>
              <w:textAlignment w:val="center"/>
              <w:rPr>
                <w:rFonts w:ascii="宋体" w:hAnsi="宋体" w:cs="宋体"/>
                <w:color w:val="000000"/>
                <w:sz w:val="24"/>
              </w:rPr>
            </w:pPr>
            <w:r>
              <w:rPr>
                <w:rFonts w:hint="eastAsia" w:ascii="宋体" w:hAnsi="宋体" w:cs="宋体"/>
                <w:color w:val="000000"/>
                <w:sz w:val="24"/>
              </w:rPr>
              <w:t>4.从11月中旬起整改落实，先后开展了8+8+3+3专项整治、落实整改要求、专题民主生活会。</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0"/>
                <w:sz w:val="24"/>
                <w:lang w:val="en-US" w:eastAsia="zh-CN"/>
              </w:rPr>
              <w:t>完成时限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主题教育从2019年9月开始，11月底基本结束，开展集中教育时间不少于3个月。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峨眉山市从2019年9月-11月底完成了所有主题教育任务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全市党员学习情况</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努力实现理论学习有收获、思想政治受洗礼、干事创业敢担当、为民服务解难题、清正廉洁作表率的目标。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第二批主题教育参加范围主要包括：市领导班子、市级部门及下属单位，乡镇和村、社区，国有企业，非公有制经济组织、社会组织和其他基层组织，有市领导班子4个、市领导29人，科级单位80个、科级领导434名，基层党组织978个、党员22000余人。</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主题教育评估效果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现按照总体安排和上级要求，总结评估优秀。</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4"/>
              </w:numPr>
              <w:jc w:val="center"/>
              <w:textAlignment w:val="center"/>
              <w:rPr>
                <w:rFonts w:hint="eastAsia" w:ascii="宋体" w:hAnsi="宋体" w:cs="宋体"/>
                <w:color w:val="000000"/>
                <w:sz w:val="24"/>
              </w:rPr>
            </w:pPr>
            <w:r>
              <w:rPr>
                <w:rFonts w:hint="eastAsia" w:ascii="宋体" w:hAnsi="宋体" w:cs="宋体"/>
                <w:color w:val="000000"/>
                <w:sz w:val="24"/>
              </w:rPr>
              <w:t>聚焦主题教育的主体，坚持把抓领导这个关键少数贯穿始终。</w:t>
            </w:r>
          </w:p>
          <w:p>
            <w:pPr>
              <w:widowControl/>
              <w:numPr>
                <w:ilvl w:val="0"/>
                <w:numId w:val="4"/>
              </w:numPr>
              <w:ind w:left="0" w:leftChars="0" w:firstLine="0" w:firstLineChars="0"/>
              <w:jc w:val="both"/>
              <w:textAlignment w:val="center"/>
              <w:rPr>
                <w:rFonts w:hint="eastAsia" w:ascii="宋体" w:hAnsi="宋体" w:cs="宋体"/>
                <w:color w:val="000000"/>
                <w:sz w:val="24"/>
              </w:rPr>
            </w:pPr>
            <w:r>
              <w:rPr>
                <w:rFonts w:hint="eastAsia" w:ascii="宋体" w:hAnsi="宋体" w:cs="宋体"/>
                <w:color w:val="000000"/>
                <w:sz w:val="24"/>
              </w:rPr>
              <w:t>聚焦主题教育的本质，坚持把服务群众办难事贯穿始终。</w:t>
            </w:r>
          </w:p>
          <w:p>
            <w:pPr>
              <w:widowControl/>
              <w:numPr>
                <w:ilvl w:val="0"/>
                <w:numId w:val="0"/>
              </w:numPr>
              <w:jc w:val="both"/>
              <w:textAlignment w:val="center"/>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三</w:t>
            </w:r>
            <w:r>
              <w:rPr>
                <w:rFonts w:hint="eastAsia" w:ascii="宋体" w:hAnsi="宋体" w:cs="宋体"/>
                <w:color w:val="000000"/>
                <w:sz w:val="24"/>
                <w:lang w:eastAsia="zh-CN"/>
              </w:rPr>
              <w:t>）</w:t>
            </w:r>
            <w:r>
              <w:rPr>
                <w:rFonts w:hint="eastAsia" w:ascii="宋体" w:hAnsi="宋体" w:cs="宋体"/>
                <w:color w:val="000000"/>
                <w:sz w:val="24"/>
              </w:rPr>
              <w:t>聚焦主题教育的难点，坚持把以学促改破解难题贯穿始终。</w:t>
            </w:r>
          </w:p>
          <w:p>
            <w:pPr>
              <w:widowControl/>
              <w:numPr>
                <w:ilvl w:val="0"/>
                <w:numId w:val="0"/>
              </w:numPr>
              <w:ind w:leftChars="0"/>
              <w:jc w:val="both"/>
              <w:textAlignment w:val="center"/>
              <w:rPr>
                <w:rFonts w:hint="eastAsia" w:ascii="宋体" w:hAnsi="宋体" w:cs="宋体"/>
                <w:color w:val="000000"/>
                <w:sz w:val="24"/>
              </w:rPr>
            </w:pPr>
            <w:r>
              <w:rPr>
                <w:rFonts w:hint="eastAsia" w:ascii="宋体" w:hAnsi="宋体" w:cs="宋体"/>
                <w:color w:val="000000"/>
                <w:sz w:val="24"/>
              </w:rPr>
              <w:t>（四）聚焦主题教育的目标，坚持把加力推动“137”发展总体思路贯穿始终。</w:t>
            </w: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widowControl/>
        <w:spacing w:line="700" w:lineRule="exact"/>
        <w:jc w:val="left"/>
        <w:rPr>
          <w:rFonts w:ascii="仿宋_GB2312" w:eastAsia="仿宋_GB2312"/>
          <w:b/>
          <w:color w:val="000000"/>
          <w:sz w:val="32"/>
          <w:szCs w:val="32"/>
        </w:rPr>
      </w:pPr>
      <w:r>
        <w:rPr>
          <w:rFonts w:hint="eastAsia" w:ascii="仿宋_GB2312" w:hAnsi="仿宋_GB2312" w:eastAsia="仿宋_GB2312" w:cs="仿宋_GB2312"/>
          <w:sz w:val="32"/>
          <w:szCs w:val="32"/>
        </w:rPr>
        <w:t>本部门按要求对2019年部门整体支出绩效评价情况开展自评，《中共峨眉山市委组织部2019年部门整体支出绩效评价报告》见附件（附件1）。本部门自行组织对党的主题教育活动工作经费项目开展了绩效评价，《党的主题教育活动工作经费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1.财政拨款收入：指省级财政当年拨付的资金。 </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3.经营收入：指事业单位在专业业务活动及其辅助活动之外开展非独立核算经营活动取得的收入。如…（二级预算单位经营收入情况）等。</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4.其他收入：指除上述“财政拨款收入”、“事业收入”、“经营收入”等以外的收入。主要是…（收入类型）等。 </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Style w:val="22"/>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7.一般公共服务（类）组织事务（款）行政运行（项）:</w:t>
      </w:r>
      <w:r>
        <w:rPr>
          <w:rFonts w:hint="eastAsia" w:ascii="仿宋_GB2312" w:eastAsia="仿宋_GB2312"/>
          <w:sz w:val="32"/>
          <w:szCs w:val="32"/>
          <w:lang w:eastAsia="zh-CN"/>
        </w:rPr>
        <w:t>指反映行政单位（包括实行公务员管理的事业单位）的基本支出。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一般公共服务（类）组织事务（款）一般行政管理事务（项）:</w:t>
      </w:r>
      <w:r>
        <w:rPr>
          <w:rFonts w:hint="eastAsia" w:ascii="仿宋_GB2312" w:eastAsia="仿宋_GB2312"/>
          <w:sz w:val="32"/>
          <w:szCs w:val="32"/>
          <w:lang w:eastAsia="zh-CN"/>
        </w:rPr>
        <w:t>指反映行政单位（包括实行公务员管理的事业单位）未单独设置项级科目的其他项目支出。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一般公共服务（类）组织事务（款）事业运行（项）指</w:t>
      </w:r>
      <w:r>
        <w:rPr>
          <w:rFonts w:hint="eastAsia" w:ascii="仿宋_GB2312" w:eastAsia="仿宋_GB2312"/>
          <w:sz w:val="32"/>
          <w:szCs w:val="32"/>
          <w:lang w:eastAsia="zh-CN"/>
        </w:rPr>
        <w:t>反映事业单位的基本支出，不包括行政单位（包括实行公务员管理的事业单位）后勤服务中心、医务室等附属事业单位</w:t>
      </w:r>
      <w:r>
        <w:rPr>
          <w:rFonts w:hint="eastAsia" w:ascii="仿宋_GB2312" w:eastAsia="仿宋_GB2312"/>
          <w:sz w:val="32"/>
          <w:szCs w:val="32"/>
        </w:rPr>
        <w:t>。</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.社会保障和就业（类）行政事业单位离退休（款）未归口管理的行政单位离退休（项）：指</w:t>
      </w:r>
      <w:r>
        <w:rPr>
          <w:rFonts w:hint="eastAsia" w:ascii="仿宋_GB2312" w:eastAsia="仿宋_GB2312"/>
          <w:sz w:val="32"/>
          <w:szCs w:val="32"/>
          <w:lang w:eastAsia="zh-CN"/>
        </w:rPr>
        <w:t>反映未实行归口管理的行政单位（包括实行公务员管理的事业单位）开支的离退休支出</w:t>
      </w:r>
      <w:r>
        <w:rPr>
          <w:rFonts w:hint="eastAsia" w:ascii="仿宋_GB2312" w:eastAsia="仿宋_GB2312"/>
          <w:sz w:val="32"/>
          <w:szCs w:val="32"/>
        </w:rPr>
        <w:t>。</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医疗卫生与计划生育（类）医疗保障（款）行政单位医疗（项）:</w:t>
      </w:r>
      <w:r>
        <w:rPr>
          <w:rFonts w:hint="eastAsia" w:ascii="仿宋_GB2312" w:eastAsia="仿宋_GB2312"/>
          <w:sz w:val="32"/>
          <w:szCs w:val="32"/>
          <w:lang w:eastAsia="zh-CN"/>
        </w:rPr>
        <w:t>指反映财政部门集中安排的行政单位基本医疗保险缴费经费，未参加医疗保险的行政单位的公费医疗经费，按国家规定享受离休人员、红军老战士待遇人员的医疗经费</w:t>
      </w:r>
      <w:r>
        <w:rPr>
          <w:rFonts w:hint="eastAsia" w:ascii="仿宋_GB2312" w:eastAsia="仿宋_GB2312"/>
          <w:sz w:val="32"/>
          <w:szCs w:val="32"/>
        </w:rPr>
        <w:t>。</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医疗卫生与计划生育（类）医疗保障（款）其他医疗保障支出（项）:</w:t>
      </w:r>
      <w:r>
        <w:rPr>
          <w:rFonts w:hint="eastAsia" w:ascii="仿宋_GB2312" w:eastAsia="仿宋_GB2312"/>
          <w:sz w:val="32"/>
          <w:szCs w:val="32"/>
          <w:lang w:eastAsia="zh-CN"/>
        </w:rPr>
        <w:t>指反映除上述项目以外的其他用于行政事业单位医疗方面的支出</w:t>
      </w:r>
      <w:r>
        <w:rPr>
          <w:rFonts w:hint="eastAsia" w:ascii="仿宋_GB2312" w:eastAsia="仿宋_GB2312"/>
          <w:sz w:val="32"/>
          <w:szCs w:val="32"/>
        </w:rPr>
        <w:t>。</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 xml:space="preserve"> 住房保障支出（类）住房改革支出（款）住房公积金（项）:</w:t>
      </w:r>
      <w:r>
        <w:rPr>
          <w:rFonts w:hint="eastAsia" w:ascii="仿宋_GB2312" w:eastAsia="仿宋_GB2312"/>
          <w:sz w:val="32"/>
          <w:szCs w:val="32"/>
          <w:lang w:eastAsia="zh-CN"/>
        </w:rPr>
        <w:t>指反映行政事业单位按人力资源和社会保障部、财政部规定的基本工资和津贴补贴以及规定比例为职工缴纳的住房公积金</w:t>
      </w:r>
      <w:r>
        <w:rPr>
          <w:rFonts w:hint="eastAsia" w:ascii="仿宋_GB2312" w:eastAsia="仿宋_GB2312"/>
          <w:sz w:val="32"/>
          <w:szCs w:val="32"/>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14.</w:t>
      </w:r>
      <w:r>
        <w:rPr>
          <w:rFonts w:hint="eastAsia" w:ascii="仿宋_GB2312" w:eastAsia="仿宋_GB2312"/>
          <w:sz w:val="32"/>
          <w:szCs w:val="32"/>
        </w:rPr>
        <w:t>结余分配：指事业单位按规定提取的职工福利基金、事业基金和缴纳的所得税，以及建设单位按规定应交回的基本建设竣工项目结余资金。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 xml:space="preserve">项目支出：指在基本支出之外为完成特定行政任务和事业发展目标所发生的支出。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bookmarkStart w:id="57" w:name="_Toc15396614"/>
      <w:bookmarkStart w:id="58"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b w:val="0"/>
          <w:bCs w:val="0"/>
          <w:sz w:val="44"/>
          <w:szCs w:val="44"/>
        </w:rPr>
      </w:pPr>
    </w:p>
    <w:p>
      <w:pPr>
        <w:widowControl/>
        <w:spacing w:line="700" w:lineRule="exact"/>
        <w:jc w:val="center"/>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中共峨眉山市委组织部</w:t>
      </w:r>
    </w:p>
    <w:p>
      <w:pPr>
        <w:widowControl/>
        <w:spacing w:line="700" w:lineRule="exact"/>
        <w:jc w:val="center"/>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lang w:val="en-US" w:eastAsia="zh-CN"/>
        </w:rPr>
        <w:t>2019</w:t>
      </w:r>
      <w:r>
        <w:rPr>
          <w:rFonts w:hint="eastAsia" w:ascii="方正小标宋简体" w:hAnsi="方正小标宋简体" w:eastAsia="方正小标宋简体" w:cs="方正小标宋简体"/>
          <w:b w:val="0"/>
          <w:bCs w:val="0"/>
          <w:sz w:val="44"/>
          <w:szCs w:val="44"/>
          <w:shd w:val="clear" w:color="auto" w:fill="FFFFFF"/>
        </w:rPr>
        <w:t>年部门预算支出绩效报告</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黑体" w:hAnsi="宋体" w:eastAsia="黑体" w:cs="宋体"/>
          <w:b w:val="0"/>
          <w:bCs w:val="0"/>
          <w:color w:val="000000"/>
          <w:kern w:val="0"/>
          <w:sz w:val="44"/>
          <w:szCs w:val="44"/>
          <w:shd w:val="clear" w:color="auto" w:fill="FFFFFF"/>
        </w:rPr>
      </w:pP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部门概况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楷体" w:hAnsi="楷体" w:eastAsia="楷体" w:cs="楷体"/>
          <w:bCs/>
          <w:snapToGrid w:val="0"/>
          <w:kern w:val="0"/>
          <w:sz w:val="32"/>
          <w:szCs w:val="32"/>
          <w:lang w:val="zh-CN"/>
        </w:rPr>
      </w:pPr>
      <w:r>
        <w:rPr>
          <w:rFonts w:hint="eastAsia" w:ascii="楷体" w:hAnsi="楷体" w:eastAsia="楷体" w:cs="楷体"/>
          <w:bCs/>
          <w:snapToGrid w:val="0"/>
          <w:kern w:val="0"/>
          <w:sz w:val="32"/>
          <w:szCs w:val="32"/>
          <w:lang w:val="zh-CN"/>
        </w:rPr>
        <w:t>（一）机构组成。</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中共峨眉山市委组织部是市委主管组织工作、干部工作、人才工作、公务员工作、老干部工作的职能部门。加挂市委非公有制经济组织和社会组织工作委员会、市委直属机关工作委员会、市委老干部局、市公务员局牌子。</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napToGrid w:val="0"/>
          <w:kern w:val="0"/>
          <w:sz w:val="32"/>
          <w:szCs w:val="32"/>
        </w:rPr>
        <w:t>2019年4月起，市委组织部设9个职能股室，分别是办公室、组织一股、组织二股、组织三股（“两新”党建股）、干部管理股、公务员股（干部档案管理股）、干部监督股、人才工作股、老干部工作股。下设2个直属参公事业单位，分别是市委老干部活动中心和市委党员教育中心，市委党员教育中心设置综合股。</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（二）机构职能。</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贯彻新时代党的建设总要求和新时代党的组织路线，落实党中央、省委的方针政策和乐山市委、峨眉山市委的决策部署。</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1.负责全市党的组织体系、组织制度建设，负责基层党</w:t>
      </w:r>
      <w:r>
        <w:rPr>
          <w:rFonts w:hint="eastAsia" w:ascii="仿宋_GB2312" w:hAnsi="仿宋_GB2312" w:eastAsia="仿宋_GB2312" w:cs="仿宋_GB2312"/>
          <w:bCs/>
          <w:snapToGrid w:val="0"/>
          <w:w w:val="95"/>
          <w:kern w:val="0"/>
          <w:sz w:val="32"/>
          <w:szCs w:val="32"/>
        </w:rPr>
        <w:t>组织建设规划指导和党员队伍宏观管理，指导开展党员教育工作。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2.负责全市领导班子和干部队伍建设的总体规划和宏观管理。负责市委管理领导班子和领导干部的考察考核、日常管理，提出调整配备建议，审核办理任免、工资、退休、兼职、待遇等有关事项。负责全市优秀年轻干部队伍建设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3.负责管理全市公务员工作。牵头拟订和组织实施公务员管理政策，承担公务员录用、调配、考核、奖惩、培训、监督等工作，指导公务员绩效管理工作。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4.负责全市人才工作的宏观指导、组织协调和督促检查，牵头推进人才发展体制机制改革和政策创新，牵头推进市校（院、企）战略合作、人才对外开放、党委联系服务专家工作，统筹组织实施重大人才工程和人才表彰表扬奖励。</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5.负责全市干部教育培训工作的宏观指导、政策规划、组织协调和督促检查，负责市重点培训项目的策划、实施和管理，指导全市干部教育培训基地建设管理、师资队伍建设等工作。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6.负责全市组织系统干部监督工作的宏观指导和综合协调，制定和落实干部监督工作制度，组织开展对选人用人工作情况的监督检查，受理和办理有关问题举报，组织实施领导干部报告个人有关事项及抽查核实工作。</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napToGrid w:val="0"/>
          <w:kern w:val="0"/>
          <w:sz w:val="32"/>
          <w:szCs w:val="32"/>
        </w:rPr>
        <w:t>7.负责贯彻落实老干部工作制度，做好全市老干部服务管理工作，加强</w:t>
      </w:r>
      <w:r>
        <w:rPr>
          <w:rFonts w:hint="eastAsia" w:ascii="仿宋_GB2312" w:hAnsi="仿宋_GB2312" w:eastAsia="仿宋_GB2312" w:cs="仿宋_GB2312"/>
          <w:sz w:val="32"/>
          <w:szCs w:val="32"/>
        </w:rPr>
        <w:t>老干部政治建设、思想建设，落实老干部政治待遇、生活待遇，负责协调处理老干部相关事宜，组织开展正能量系列主题活动，发挥老干部余热。</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8.统一管理市委机构编制委员会办公室和公务员工作。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9.承担市委党建工作领导小组、市人才工作领导小组的日常工作。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sz w:val="32"/>
          <w:szCs w:val="32"/>
        </w:rPr>
        <w:t>10.负责职责范围内的安全生产和职业健康、生态环境保护等工作。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（十一）完成市委交办的其他任务。</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（三）人员概况。</w:t>
      </w:r>
    </w:p>
    <w:tbl>
      <w:tblPr>
        <w:tblStyle w:val="12"/>
        <w:tblW w:w="0" w:type="auto"/>
        <w:tblInd w:w="0" w:type="dxa"/>
        <w:tblLayout w:type="fixed"/>
        <w:tblCellMar>
          <w:top w:w="15" w:type="dxa"/>
          <w:left w:w="15" w:type="dxa"/>
          <w:bottom w:w="15" w:type="dxa"/>
          <w:right w:w="15" w:type="dxa"/>
        </w:tblCellMar>
      </w:tblPr>
      <w:tblGrid>
        <w:gridCol w:w="2454"/>
        <w:gridCol w:w="2766"/>
        <w:gridCol w:w="3284"/>
      </w:tblGrid>
      <w:tr>
        <w:tblPrEx>
          <w:tblCellMar>
            <w:top w:w="15" w:type="dxa"/>
            <w:left w:w="15" w:type="dxa"/>
            <w:bottom w:w="15" w:type="dxa"/>
            <w:right w:w="15" w:type="dxa"/>
          </w:tblCellMar>
        </w:tblPrEx>
        <w:trPr>
          <w:trHeight w:val="720" w:hRule="atLeast"/>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kern w:val="0"/>
                <w:sz w:val="32"/>
                <w:szCs w:val="32"/>
                <w:lang w:bidi="ar"/>
              </w:rPr>
              <w:t>部门</w:t>
            </w:r>
          </w:p>
        </w:tc>
        <w:tc>
          <w:tcPr>
            <w:tcW w:w="2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kern w:val="0"/>
                <w:sz w:val="32"/>
                <w:szCs w:val="32"/>
                <w:lang w:bidi="ar"/>
              </w:rPr>
              <w:t>编制数</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kern w:val="0"/>
                <w:sz w:val="32"/>
                <w:szCs w:val="32"/>
                <w:lang w:bidi="ar"/>
              </w:rPr>
              <w:t>在职人员情况</w:t>
            </w:r>
          </w:p>
        </w:tc>
      </w:tr>
      <w:tr>
        <w:tblPrEx>
          <w:tblCellMar>
            <w:top w:w="15" w:type="dxa"/>
            <w:left w:w="15" w:type="dxa"/>
            <w:bottom w:w="15" w:type="dxa"/>
            <w:right w:w="15" w:type="dxa"/>
          </w:tblCellMar>
        </w:tblPrEx>
        <w:trPr>
          <w:trHeight w:val="790" w:hRule="atLeast"/>
        </w:trPr>
        <w:tc>
          <w:tcPr>
            <w:tcW w:w="24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组织部</w:t>
            </w:r>
          </w:p>
        </w:tc>
        <w:tc>
          <w:tcPr>
            <w:tcW w:w="2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行政25人</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在职人员18人</w:t>
            </w:r>
          </w:p>
        </w:tc>
      </w:tr>
      <w:tr>
        <w:tblPrEx>
          <w:tblCellMar>
            <w:top w:w="15" w:type="dxa"/>
            <w:left w:w="15" w:type="dxa"/>
            <w:bottom w:w="15" w:type="dxa"/>
            <w:right w:w="15" w:type="dxa"/>
          </w:tblCellMar>
        </w:tblPrEx>
        <w:trPr>
          <w:trHeight w:val="995" w:hRule="atLeast"/>
        </w:trPr>
        <w:tc>
          <w:tcPr>
            <w:tcW w:w="245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color w:val="000000"/>
                <w:sz w:val="32"/>
                <w:szCs w:val="32"/>
              </w:rPr>
            </w:pPr>
          </w:p>
        </w:tc>
        <w:tc>
          <w:tcPr>
            <w:tcW w:w="2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行政工勤4人</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在职人员4人</w:t>
            </w:r>
          </w:p>
        </w:tc>
      </w:tr>
      <w:tr>
        <w:tblPrEx>
          <w:tblCellMar>
            <w:top w:w="15" w:type="dxa"/>
            <w:left w:w="15" w:type="dxa"/>
            <w:bottom w:w="15" w:type="dxa"/>
            <w:right w:w="15" w:type="dxa"/>
          </w:tblCellMar>
        </w:tblPrEx>
        <w:trPr>
          <w:trHeight w:val="1080" w:hRule="atLeast"/>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党员教育中心</w:t>
            </w:r>
          </w:p>
        </w:tc>
        <w:tc>
          <w:tcPr>
            <w:tcW w:w="2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参公1人</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在职人员1人</w:t>
            </w:r>
          </w:p>
        </w:tc>
      </w:tr>
      <w:tr>
        <w:tblPrEx>
          <w:tblCellMar>
            <w:top w:w="15" w:type="dxa"/>
            <w:left w:w="15" w:type="dxa"/>
            <w:bottom w:w="15" w:type="dxa"/>
            <w:right w:w="15" w:type="dxa"/>
          </w:tblCellMar>
        </w:tblPrEx>
        <w:trPr>
          <w:trHeight w:val="1080" w:hRule="atLeast"/>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老干部活动中心</w:t>
            </w:r>
          </w:p>
        </w:tc>
        <w:tc>
          <w:tcPr>
            <w:tcW w:w="2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参公5人</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在职人员3人</w:t>
            </w:r>
          </w:p>
        </w:tc>
      </w:tr>
      <w:tr>
        <w:tblPrEx>
          <w:tblCellMar>
            <w:top w:w="15" w:type="dxa"/>
            <w:left w:w="15" w:type="dxa"/>
            <w:bottom w:w="15" w:type="dxa"/>
            <w:right w:w="15" w:type="dxa"/>
          </w:tblCellMar>
        </w:tblPrEx>
        <w:trPr>
          <w:trHeight w:val="987" w:hRule="atLeast"/>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合计</w:t>
            </w:r>
          </w:p>
        </w:tc>
        <w:tc>
          <w:tcPr>
            <w:tcW w:w="2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35人</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在职26人</w:t>
            </w:r>
            <w:r>
              <w:rPr>
                <w:rFonts w:hint="eastAsia" w:ascii="仿宋_GB2312" w:hAnsi="仿宋_GB2312" w:eastAsia="仿宋_GB2312" w:cs="仿宋_GB2312"/>
                <w:color w:val="000000"/>
                <w:kern w:val="0"/>
                <w:sz w:val="32"/>
                <w:szCs w:val="32"/>
                <w:lang w:bidi="ar"/>
              </w:rPr>
              <w:br w:type="textWrapping"/>
            </w:r>
          </w:p>
        </w:tc>
      </w:tr>
    </w:tbl>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（一）部门财政资金收入情况。</w:t>
      </w:r>
      <w:r>
        <w:rPr>
          <w:rFonts w:hint="eastAsia" w:ascii="仿宋_GB2312" w:hAnsi="仿宋_GB2312" w:eastAsia="仿宋_GB2312" w:cs="仿宋_GB2312"/>
          <w:color w:val="000000"/>
          <w:kern w:val="0"/>
          <w:sz w:val="32"/>
          <w:szCs w:val="32"/>
          <w:shd w:val="clear" w:color="auto" w:fill="FFFFFF"/>
        </w:rPr>
        <w:t>2019</w:t>
      </w:r>
      <w:r>
        <w:rPr>
          <w:rFonts w:hint="eastAsia" w:ascii="仿宋_GB2312" w:hAnsi="仿宋_GB2312" w:eastAsia="仿宋_GB2312" w:cs="仿宋_GB2312"/>
          <w:color w:val="000000"/>
          <w:kern w:val="0"/>
          <w:sz w:val="32"/>
          <w:szCs w:val="32"/>
          <w:shd w:val="clear" w:color="auto" w:fill="FFFFFF"/>
          <w:lang w:val="zh-CN"/>
        </w:rPr>
        <w:t>年收入经费</w:t>
      </w:r>
      <w:r>
        <w:rPr>
          <w:rFonts w:hint="eastAsia" w:ascii="仿宋_GB2312" w:hAnsi="仿宋_GB2312" w:eastAsia="仿宋_GB2312" w:cs="仿宋_GB2312"/>
          <w:color w:val="000000"/>
          <w:kern w:val="0"/>
          <w:sz w:val="32"/>
          <w:szCs w:val="32"/>
          <w:shd w:val="clear" w:color="auto" w:fill="FFFFFF"/>
        </w:rPr>
        <w:t>1416.37万</w:t>
      </w:r>
      <w:r>
        <w:rPr>
          <w:rFonts w:hint="eastAsia" w:ascii="仿宋_GB2312" w:hAnsi="仿宋_GB2312" w:eastAsia="仿宋_GB2312" w:cs="仿宋_GB2312"/>
          <w:color w:val="000000"/>
          <w:kern w:val="0"/>
          <w:sz w:val="32"/>
          <w:szCs w:val="32"/>
          <w:shd w:val="clear" w:color="auto" w:fill="FFFFFF"/>
          <w:lang w:val="zh-CN"/>
        </w:rPr>
        <w:t>元，其中项目经费</w:t>
      </w:r>
      <w:bookmarkStart w:id="59" w:name="OLE_LINK1"/>
      <w:r>
        <w:rPr>
          <w:rFonts w:hint="eastAsia" w:ascii="仿宋_GB2312" w:hAnsi="仿宋_GB2312" w:eastAsia="仿宋_GB2312" w:cs="仿宋_GB2312"/>
          <w:color w:val="000000"/>
          <w:kern w:val="0"/>
          <w:sz w:val="32"/>
          <w:szCs w:val="32"/>
          <w:shd w:val="clear" w:color="auto" w:fill="FFFFFF"/>
          <w:lang w:val="zh-CN"/>
        </w:rPr>
        <w:t>收入</w:t>
      </w:r>
      <w:bookmarkEnd w:id="59"/>
      <w:bookmarkStart w:id="60" w:name="OLE_LINK2"/>
      <w:r>
        <w:rPr>
          <w:rFonts w:hint="eastAsia" w:ascii="仿宋_GB2312" w:hAnsi="仿宋_GB2312" w:eastAsia="仿宋_GB2312" w:cs="仿宋_GB2312"/>
          <w:color w:val="000000"/>
          <w:kern w:val="0"/>
          <w:sz w:val="32"/>
          <w:szCs w:val="32"/>
          <w:shd w:val="clear" w:color="auto" w:fill="FFFFFF"/>
        </w:rPr>
        <w:t xml:space="preserve"> 833.82万</w:t>
      </w:r>
      <w:r>
        <w:rPr>
          <w:rFonts w:hint="eastAsia" w:ascii="仿宋_GB2312" w:hAnsi="仿宋_GB2312" w:eastAsia="仿宋_GB2312" w:cs="仿宋_GB2312"/>
          <w:color w:val="000000"/>
          <w:kern w:val="0"/>
          <w:sz w:val="32"/>
          <w:szCs w:val="32"/>
          <w:shd w:val="clear" w:color="auto" w:fill="FFFFFF"/>
          <w:lang w:val="zh-CN"/>
        </w:rPr>
        <w:t>元</w:t>
      </w:r>
      <w:bookmarkEnd w:id="60"/>
      <w:r>
        <w:rPr>
          <w:rFonts w:hint="eastAsia" w:ascii="仿宋_GB2312" w:hAnsi="仿宋_GB2312" w:eastAsia="仿宋_GB2312" w:cs="仿宋_GB2312"/>
          <w:color w:val="000000"/>
          <w:kern w:val="0"/>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（二）部门财政资金支出情况。201</w:t>
      </w:r>
      <w:r>
        <w:rPr>
          <w:rFonts w:hint="eastAsia" w:ascii="仿宋_GB2312" w:hAnsi="仿宋_GB2312" w:eastAsia="仿宋_GB2312" w:cs="仿宋_GB2312"/>
          <w:color w:val="000000"/>
          <w:kern w:val="0"/>
          <w:sz w:val="32"/>
          <w:szCs w:val="32"/>
          <w:shd w:val="clear" w:color="auto" w:fill="FFFFFF"/>
        </w:rPr>
        <w:t>9</w:t>
      </w:r>
      <w:r>
        <w:rPr>
          <w:rFonts w:hint="eastAsia" w:ascii="仿宋_GB2312" w:hAnsi="仿宋_GB2312" w:eastAsia="仿宋_GB2312" w:cs="仿宋_GB2312"/>
          <w:color w:val="000000"/>
          <w:kern w:val="0"/>
          <w:sz w:val="32"/>
          <w:szCs w:val="32"/>
          <w:shd w:val="clear" w:color="auto" w:fill="FFFFFF"/>
          <w:lang w:val="zh-CN"/>
        </w:rPr>
        <w:t>年支出经费</w:t>
      </w:r>
      <w:r>
        <w:rPr>
          <w:rFonts w:hint="eastAsia" w:ascii="仿宋_GB2312" w:hAnsi="仿宋_GB2312" w:eastAsia="仿宋_GB2312" w:cs="仿宋_GB2312"/>
          <w:color w:val="000000"/>
          <w:kern w:val="0"/>
          <w:sz w:val="32"/>
          <w:szCs w:val="32"/>
          <w:shd w:val="clear" w:color="auto" w:fill="FFFFFF"/>
        </w:rPr>
        <w:t>1403.83万</w:t>
      </w:r>
      <w:r>
        <w:rPr>
          <w:rFonts w:hint="eastAsia" w:ascii="仿宋_GB2312" w:hAnsi="仿宋_GB2312" w:eastAsia="仿宋_GB2312" w:cs="仿宋_GB2312"/>
          <w:color w:val="000000"/>
          <w:kern w:val="0"/>
          <w:sz w:val="32"/>
          <w:szCs w:val="32"/>
          <w:shd w:val="clear" w:color="auto" w:fill="FFFFFF"/>
          <w:lang w:val="zh-CN"/>
        </w:rPr>
        <w:t>元，其中项目经费支出</w:t>
      </w:r>
      <w:r>
        <w:rPr>
          <w:rFonts w:hint="eastAsia" w:ascii="仿宋_GB2312" w:hAnsi="仿宋_GB2312" w:eastAsia="仿宋_GB2312" w:cs="仿宋_GB2312"/>
          <w:color w:val="000000"/>
          <w:kern w:val="0"/>
          <w:sz w:val="32"/>
          <w:szCs w:val="32"/>
          <w:shd w:val="clear" w:color="auto" w:fill="FFFFFF"/>
        </w:rPr>
        <w:t>821.29万</w:t>
      </w:r>
      <w:r>
        <w:rPr>
          <w:rFonts w:hint="eastAsia" w:ascii="仿宋_GB2312" w:hAnsi="仿宋_GB2312" w:eastAsia="仿宋_GB2312" w:cs="仿宋_GB2312"/>
          <w:color w:val="000000"/>
          <w:kern w:val="0"/>
          <w:sz w:val="32"/>
          <w:szCs w:val="32"/>
          <w:shd w:val="clear" w:color="auto" w:fill="FFFFFF"/>
          <w:lang w:val="zh-CN"/>
        </w:rPr>
        <w:t>元。</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三、部门财政支出管理情况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（一）预决算编制情况。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预算按照财政部门布置提前安排下年工作，做到有安排，按工作安排做好预算；决算按实编制，严格按预算执行，无超预算执行情况；项目经费为专项工作经费，预算提前细化。</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（二）执行管理情况。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经费 1-6月支出</w:t>
      </w:r>
      <w:r>
        <w:rPr>
          <w:rFonts w:hint="eastAsia" w:ascii="仿宋_GB2312" w:hAnsi="仿宋_GB2312" w:eastAsia="仿宋_GB2312" w:cs="仿宋_GB2312"/>
          <w:color w:val="000000"/>
          <w:kern w:val="0"/>
          <w:sz w:val="32"/>
          <w:szCs w:val="32"/>
          <w:shd w:val="clear" w:color="auto" w:fill="FFFFFF"/>
        </w:rPr>
        <w:t xml:space="preserve">50 </w:t>
      </w:r>
      <w:r>
        <w:rPr>
          <w:rFonts w:hint="eastAsia" w:ascii="仿宋_GB2312" w:hAnsi="仿宋_GB2312" w:eastAsia="仿宋_GB2312" w:cs="仿宋_GB2312"/>
          <w:color w:val="000000"/>
          <w:kern w:val="0"/>
          <w:sz w:val="32"/>
          <w:szCs w:val="32"/>
          <w:shd w:val="clear" w:color="auto" w:fill="FFFFFF"/>
          <w:lang w:val="zh-CN"/>
        </w:rPr>
        <w:t>%，1-9月支出</w:t>
      </w:r>
      <w:r>
        <w:rPr>
          <w:rFonts w:hint="eastAsia" w:ascii="仿宋_GB2312" w:hAnsi="仿宋_GB2312" w:eastAsia="仿宋_GB2312" w:cs="仿宋_GB2312"/>
          <w:color w:val="000000"/>
          <w:kern w:val="0"/>
          <w:sz w:val="32"/>
          <w:szCs w:val="32"/>
          <w:shd w:val="clear" w:color="auto" w:fill="FFFFFF"/>
        </w:rPr>
        <w:t>75</w:t>
      </w:r>
      <w:r>
        <w:rPr>
          <w:rFonts w:hint="eastAsia" w:ascii="仿宋_GB2312" w:hAnsi="仿宋_GB2312" w:eastAsia="仿宋_GB2312" w:cs="仿宋_GB2312"/>
          <w:color w:val="000000"/>
          <w:kern w:val="0"/>
          <w:sz w:val="32"/>
          <w:szCs w:val="32"/>
          <w:shd w:val="clear" w:color="auto" w:fill="FFFFFF"/>
          <w:lang w:val="zh-CN"/>
        </w:rPr>
        <w:t>%， 1-12月支出</w:t>
      </w:r>
      <w:r>
        <w:rPr>
          <w:rFonts w:hint="eastAsia" w:ascii="仿宋_GB2312" w:hAnsi="仿宋_GB2312" w:eastAsia="仿宋_GB2312" w:cs="仿宋_GB2312"/>
          <w:color w:val="000000"/>
          <w:kern w:val="0"/>
          <w:sz w:val="32"/>
          <w:szCs w:val="32"/>
          <w:shd w:val="clear" w:color="auto" w:fill="FFFFFF"/>
        </w:rPr>
        <w:t>100</w:t>
      </w:r>
      <w:r>
        <w:rPr>
          <w:rFonts w:hint="eastAsia" w:ascii="仿宋_GB2312" w:hAnsi="仿宋_GB2312" w:eastAsia="仿宋_GB2312" w:cs="仿宋_GB2312"/>
          <w:color w:val="000000"/>
          <w:kern w:val="0"/>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（三）支出绩效情况。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lang w:val="zh-CN"/>
        </w:rPr>
        <w:t>部门支出绩效。</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（1）行政运转保障。</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基本满足机关运转需要，保证了部门工作正常化。</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（2）机关厉行节约。</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我部无因公出国（境）费用；201</w:t>
      </w:r>
      <w:r>
        <w:rPr>
          <w:rFonts w:hint="eastAsia" w:ascii="仿宋_GB2312" w:hAnsi="仿宋_GB2312" w:eastAsia="仿宋_GB2312" w:cs="仿宋_GB2312"/>
          <w:color w:val="000000"/>
          <w:kern w:val="0"/>
          <w:sz w:val="32"/>
          <w:szCs w:val="32"/>
          <w:shd w:val="clear" w:color="auto" w:fill="FFFFFF"/>
        </w:rPr>
        <w:t>9年</w:t>
      </w:r>
      <w:r>
        <w:rPr>
          <w:rFonts w:hint="eastAsia" w:ascii="仿宋_GB2312" w:hAnsi="仿宋_GB2312" w:eastAsia="仿宋_GB2312" w:cs="仿宋_GB2312"/>
          <w:color w:val="000000"/>
          <w:kern w:val="0"/>
          <w:sz w:val="32"/>
          <w:szCs w:val="32"/>
          <w:shd w:val="clear" w:color="auto" w:fill="FFFFFF"/>
          <w:lang w:val="zh-CN"/>
        </w:rPr>
        <w:t>车辆运行费用</w:t>
      </w:r>
      <w:r>
        <w:rPr>
          <w:rFonts w:hint="eastAsia" w:ascii="仿宋_GB2312" w:hAnsi="仿宋_GB2312" w:eastAsia="仿宋_GB2312" w:cs="仿宋_GB2312"/>
          <w:color w:val="000000"/>
          <w:kern w:val="0"/>
          <w:sz w:val="32"/>
          <w:szCs w:val="32"/>
          <w:shd w:val="clear" w:color="auto" w:fill="FFFFFF"/>
          <w:lang w:val="en-US" w:eastAsia="zh-CN"/>
        </w:rPr>
        <w:t>23.70</w:t>
      </w:r>
      <w:r>
        <w:rPr>
          <w:rFonts w:hint="eastAsia" w:ascii="仿宋_GB2312" w:hAnsi="仿宋_GB2312" w:eastAsia="仿宋_GB2312" w:cs="仿宋_GB2312"/>
          <w:color w:val="000000"/>
          <w:kern w:val="0"/>
          <w:sz w:val="32"/>
          <w:szCs w:val="32"/>
          <w:shd w:val="clear" w:color="auto" w:fill="FFFFFF"/>
        </w:rPr>
        <w:t>万元</w:t>
      </w:r>
      <w:r>
        <w:rPr>
          <w:rFonts w:hint="eastAsia" w:ascii="仿宋_GB2312" w:hAnsi="仿宋_GB2312" w:eastAsia="仿宋_GB2312" w:cs="仿宋_GB2312"/>
          <w:color w:val="000000"/>
          <w:kern w:val="0"/>
          <w:sz w:val="32"/>
          <w:szCs w:val="32"/>
          <w:shd w:val="clear" w:color="auto" w:fill="FFFFFF"/>
          <w:lang w:val="zh-CN"/>
        </w:rPr>
        <w:t>；公务接待经费</w:t>
      </w:r>
      <w:r>
        <w:rPr>
          <w:rFonts w:hint="eastAsia" w:ascii="仿宋_GB2312" w:hAnsi="仿宋_GB2312" w:eastAsia="仿宋_GB2312" w:cs="仿宋_GB2312"/>
          <w:color w:val="000000"/>
          <w:kern w:val="0"/>
          <w:sz w:val="32"/>
          <w:szCs w:val="32"/>
          <w:shd w:val="clear" w:color="auto" w:fill="FFFFFF"/>
        </w:rPr>
        <w:t>2019年为</w:t>
      </w:r>
      <w:r>
        <w:rPr>
          <w:rFonts w:hint="eastAsia" w:ascii="仿宋_GB2312" w:hAnsi="仿宋_GB2312" w:eastAsia="仿宋_GB2312" w:cs="仿宋_GB2312"/>
          <w:color w:val="000000"/>
          <w:kern w:val="0"/>
          <w:sz w:val="32"/>
          <w:szCs w:val="32"/>
          <w:shd w:val="clear" w:color="auto" w:fill="FFFFFF"/>
          <w:lang w:val="en-US" w:eastAsia="zh-CN"/>
        </w:rPr>
        <w:t>3.09</w:t>
      </w:r>
      <w:r>
        <w:rPr>
          <w:rFonts w:hint="eastAsia" w:ascii="仿宋_GB2312" w:hAnsi="仿宋_GB2312" w:eastAsia="仿宋_GB2312" w:cs="仿宋_GB2312"/>
          <w:color w:val="000000"/>
          <w:kern w:val="0"/>
          <w:sz w:val="32"/>
          <w:szCs w:val="32"/>
          <w:shd w:val="clear" w:color="auto" w:fill="FFFFFF"/>
        </w:rPr>
        <w:t>万元</w:t>
      </w:r>
      <w:r>
        <w:rPr>
          <w:rFonts w:hint="eastAsia" w:ascii="仿宋_GB2312" w:hAnsi="仿宋_GB2312" w:eastAsia="仿宋_GB2312" w:cs="仿宋_GB2312"/>
          <w:color w:val="000000"/>
          <w:kern w:val="0"/>
          <w:sz w:val="32"/>
          <w:szCs w:val="32"/>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（3）机关节能降耗。</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本着尽量节约能源的原则，无浪费情况发生。</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（四）财务管理情况。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制定了部机关规范运行八项制度，实行财会分家，做到账账相符、账实相符，严格执行政府采购制度，严格遵守采购程序办理。</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（五）绩效管理工作开展情况。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按照财政要求安排部门自评工作，严格自查自纠，对于发现的问题及时纠正，指导工作的正常有序开展。</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tbl>
      <w:tblPr>
        <w:tblStyle w:val="12"/>
        <w:tblW w:w="0" w:type="auto"/>
        <w:tblInd w:w="0" w:type="dxa"/>
        <w:tblLayout w:type="fixed"/>
        <w:tblCellMar>
          <w:top w:w="15" w:type="dxa"/>
          <w:left w:w="15" w:type="dxa"/>
          <w:bottom w:w="15" w:type="dxa"/>
          <w:right w:w="15" w:type="dxa"/>
        </w:tblCellMar>
      </w:tblPr>
      <w:tblGrid>
        <w:gridCol w:w="969"/>
        <w:gridCol w:w="3108"/>
        <w:gridCol w:w="3196"/>
        <w:gridCol w:w="1684"/>
      </w:tblGrid>
      <w:tr>
        <w:tblPrEx>
          <w:tblCellMar>
            <w:top w:w="15" w:type="dxa"/>
            <w:left w:w="15" w:type="dxa"/>
            <w:bottom w:w="15" w:type="dxa"/>
            <w:right w:w="15" w:type="dxa"/>
          </w:tblCellMar>
        </w:tblPrEx>
        <w:trPr>
          <w:trHeight w:val="454" w:hRule="exac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一级指标</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二级指标</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rPr>
              <w:t>三级指标</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b/>
                <w:color w:val="000000"/>
                <w:sz w:val="24"/>
              </w:rPr>
            </w:pPr>
            <w:r>
              <w:rPr>
                <w:rFonts w:hint="eastAsia" w:ascii="宋体" w:hAnsi="宋体" w:eastAsia="宋体" w:cs="宋体"/>
                <w:b/>
                <w:color w:val="000000"/>
                <w:sz w:val="24"/>
              </w:rPr>
              <w:t>得分</w:t>
            </w:r>
          </w:p>
        </w:tc>
      </w:tr>
      <w:tr>
        <w:tblPrEx>
          <w:tblCellMar>
            <w:top w:w="15" w:type="dxa"/>
            <w:left w:w="15" w:type="dxa"/>
            <w:bottom w:w="15" w:type="dxa"/>
            <w:right w:w="15" w:type="dxa"/>
          </w:tblCellMar>
        </w:tblPrEx>
        <w:trPr>
          <w:trHeight w:val="454" w:hRule="exact"/>
        </w:trPr>
        <w:tc>
          <w:tcPr>
            <w:tcW w:w="9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预算编制（2</w:t>
            </w:r>
            <w:r>
              <w:rPr>
                <w:rStyle w:val="30"/>
                <w:rFonts w:hint="default"/>
                <w:sz w:val="21"/>
                <w:szCs w:val="21"/>
              </w:rPr>
              <w:t>5分）</w:t>
            </w:r>
          </w:p>
        </w:tc>
        <w:tc>
          <w:tcPr>
            <w:tcW w:w="310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报送时效（3分）</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基础信息更新（2分）</w:t>
            </w:r>
          </w:p>
        </w:tc>
        <w:tc>
          <w:tcPr>
            <w:tcW w:w="168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r>
      <w:tr>
        <w:tblPrEx>
          <w:tblCellMar>
            <w:top w:w="15" w:type="dxa"/>
            <w:left w:w="15" w:type="dxa"/>
            <w:bottom w:w="15" w:type="dxa"/>
            <w:right w:w="15" w:type="dxa"/>
          </w:tblCellMar>
        </w:tblPrEx>
        <w:trPr>
          <w:trHeight w:val="454" w:hRule="exact"/>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08"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预算草案报送（1分）</w:t>
            </w:r>
          </w:p>
        </w:tc>
        <w:tc>
          <w:tcPr>
            <w:tcW w:w="168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tblPrEx>
          <w:tblCellMar>
            <w:top w:w="15" w:type="dxa"/>
            <w:left w:w="15" w:type="dxa"/>
            <w:bottom w:w="15" w:type="dxa"/>
            <w:right w:w="15" w:type="dxa"/>
          </w:tblCellMar>
        </w:tblPrEx>
        <w:trPr>
          <w:trHeight w:val="454" w:hRule="exact"/>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编制质量（8分）</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预算编制准确（3分）</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r>
      <w:tr>
        <w:tblPrEx>
          <w:tblCellMar>
            <w:top w:w="15" w:type="dxa"/>
            <w:left w:w="15" w:type="dxa"/>
            <w:bottom w:w="15" w:type="dxa"/>
            <w:right w:w="15" w:type="dxa"/>
          </w:tblCellMar>
        </w:tblPrEx>
        <w:trPr>
          <w:trHeight w:val="454" w:hRule="exact"/>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预算执行调整（3分）</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r>
      <w:tr>
        <w:tblPrEx>
          <w:tblCellMar>
            <w:top w:w="15" w:type="dxa"/>
            <w:left w:w="15" w:type="dxa"/>
            <w:bottom w:w="15" w:type="dxa"/>
            <w:right w:w="15" w:type="dxa"/>
          </w:tblCellMar>
        </w:tblPrEx>
        <w:trPr>
          <w:trHeight w:val="454" w:hRule="exact"/>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部门预算审查（2分）</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r>
      <w:tr>
        <w:tblPrEx>
          <w:tblCellMar>
            <w:top w:w="15" w:type="dxa"/>
            <w:left w:w="15" w:type="dxa"/>
            <w:bottom w:w="15" w:type="dxa"/>
            <w:right w:w="15" w:type="dxa"/>
          </w:tblCellMar>
        </w:tblPrEx>
        <w:trPr>
          <w:trHeight w:val="454" w:hRule="exact"/>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绩效目标（5分）</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绩效目标编制（5分）</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r>
      <w:tr>
        <w:tblPrEx>
          <w:tblCellMar>
            <w:top w:w="15" w:type="dxa"/>
            <w:left w:w="15" w:type="dxa"/>
            <w:bottom w:w="15" w:type="dxa"/>
            <w:right w:w="15" w:type="dxa"/>
          </w:tblCellMar>
        </w:tblPrEx>
        <w:trPr>
          <w:trHeight w:val="454" w:hRule="exact"/>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08"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专项预算提前细化（5分）</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★预控指标细化（5分）</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r>
      <w:tr>
        <w:tblPrEx>
          <w:tblCellMar>
            <w:top w:w="15" w:type="dxa"/>
            <w:left w:w="15" w:type="dxa"/>
            <w:bottom w:w="15" w:type="dxa"/>
            <w:right w:w="15" w:type="dxa"/>
          </w:tblCellMar>
        </w:tblPrEx>
        <w:trPr>
          <w:trHeight w:val="454" w:hRule="exact"/>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预算公开（4分）</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公开内容（4分）</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r>
      <w:tr>
        <w:tblPrEx>
          <w:tblCellMar>
            <w:top w:w="15" w:type="dxa"/>
            <w:left w:w="15" w:type="dxa"/>
            <w:bottom w:w="15" w:type="dxa"/>
            <w:right w:w="15" w:type="dxa"/>
          </w:tblCellMar>
        </w:tblPrEx>
        <w:trPr>
          <w:trHeight w:val="454" w:hRule="exact"/>
        </w:trPr>
        <w:tc>
          <w:tcPr>
            <w:tcW w:w="96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预算执行（</w:t>
            </w:r>
            <w:r>
              <w:rPr>
                <w:rStyle w:val="30"/>
                <w:rFonts w:hint="default"/>
                <w:sz w:val="21"/>
                <w:szCs w:val="21"/>
              </w:rPr>
              <w:t>35分）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绩效分配（10分）</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★项目绩效分配（1</w:t>
            </w:r>
            <w:r>
              <w:rPr>
                <w:rStyle w:val="30"/>
                <w:rFonts w:hint="default"/>
                <w:sz w:val="21"/>
                <w:szCs w:val="21"/>
              </w:rPr>
              <w:t>0分）</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r>
      <w:tr>
        <w:tblPrEx>
          <w:tblCellMar>
            <w:top w:w="15" w:type="dxa"/>
            <w:left w:w="15" w:type="dxa"/>
            <w:bottom w:w="15" w:type="dxa"/>
            <w:right w:w="15" w:type="dxa"/>
          </w:tblCellMar>
        </w:tblPrEx>
        <w:trPr>
          <w:trHeight w:val="454" w:hRule="exact"/>
        </w:trPr>
        <w:tc>
          <w:tcPr>
            <w:tcW w:w="96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执行进度（1</w:t>
            </w:r>
            <w:r>
              <w:rPr>
                <w:rStyle w:val="30"/>
                <w:rFonts w:hint="default"/>
                <w:sz w:val="21"/>
                <w:szCs w:val="21"/>
              </w:rPr>
              <w:t>0分）</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6月执行进度（</w:t>
            </w:r>
            <w:r>
              <w:rPr>
                <w:rStyle w:val="30"/>
                <w:rFonts w:hint="default"/>
                <w:sz w:val="21"/>
                <w:szCs w:val="21"/>
              </w:rPr>
              <w:t>3分）</w:t>
            </w:r>
          </w:p>
        </w:tc>
        <w:tc>
          <w:tcPr>
            <w:tcW w:w="168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r>
      <w:tr>
        <w:tblPrEx>
          <w:tblCellMar>
            <w:top w:w="15" w:type="dxa"/>
            <w:left w:w="15" w:type="dxa"/>
            <w:bottom w:w="15" w:type="dxa"/>
            <w:right w:w="15" w:type="dxa"/>
          </w:tblCellMar>
        </w:tblPrEx>
        <w:trPr>
          <w:trHeight w:val="454" w:hRule="exact"/>
        </w:trPr>
        <w:tc>
          <w:tcPr>
            <w:tcW w:w="96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9月执行进度（4分）</w:t>
            </w:r>
          </w:p>
        </w:tc>
        <w:tc>
          <w:tcPr>
            <w:tcW w:w="168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r>
      <w:tr>
        <w:tblPrEx>
          <w:tblCellMar>
            <w:top w:w="15" w:type="dxa"/>
            <w:left w:w="15" w:type="dxa"/>
            <w:bottom w:w="15" w:type="dxa"/>
            <w:right w:w="15" w:type="dxa"/>
          </w:tblCellMar>
        </w:tblPrEx>
        <w:trPr>
          <w:trHeight w:val="454" w:hRule="exact"/>
        </w:trPr>
        <w:tc>
          <w:tcPr>
            <w:tcW w:w="96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r>
              <w:rPr>
                <w:rStyle w:val="30"/>
                <w:rFonts w:hint="default"/>
                <w:sz w:val="21"/>
                <w:szCs w:val="21"/>
              </w:rPr>
              <w:t>2月执行进度（3分）</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r>
      <w:tr>
        <w:tblPrEx>
          <w:tblCellMar>
            <w:top w:w="15" w:type="dxa"/>
            <w:left w:w="15" w:type="dxa"/>
            <w:bottom w:w="15" w:type="dxa"/>
            <w:right w:w="15" w:type="dxa"/>
          </w:tblCellMar>
        </w:tblPrEx>
        <w:trPr>
          <w:trHeight w:val="454" w:hRule="exact"/>
        </w:trPr>
        <w:tc>
          <w:tcPr>
            <w:tcW w:w="96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p>
        </w:tc>
        <w:tc>
          <w:tcPr>
            <w:tcW w:w="3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预算调整（9分）</w:t>
            </w:r>
          </w:p>
        </w:tc>
        <w:tc>
          <w:tcPr>
            <w:tcW w:w="3196"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560" w:lineRule="exact"/>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rPr>
              <w:t>执行中期评估（9分）</w:t>
            </w:r>
          </w:p>
        </w:tc>
        <w:tc>
          <w:tcPr>
            <w:tcW w:w="168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r>
      <w:tr>
        <w:tblPrEx>
          <w:tblCellMar>
            <w:top w:w="15" w:type="dxa"/>
            <w:left w:w="15" w:type="dxa"/>
            <w:bottom w:w="15" w:type="dxa"/>
            <w:right w:w="15" w:type="dxa"/>
          </w:tblCellMar>
        </w:tblPrEx>
        <w:trPr>
          <w:trHeight w:val="454" w:hRule="exact"/>
        </w:trPr>
        <w:tc>
          <w:tcPr>
            <w:tcW w:w="96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p>
        </w:tc>
        <w:tc>
          <w:tcPr>
            <w:tcW w:w="310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行政成本（6分）</w:t>
            </w:r>
          </w:p>
        </w:tc>
        <w:tc>
          <w:tcPr>
            <w:tcW w:w="31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rPr>
                <w:rFonts w:hint="eastAsia" w:ascii="宋体" w:hAnsi="宋体" w:eastAsia="宋体" w:cs="宋体"/>
                <w:color w:val="000000"/>
                <w:sz w:val="21"/>
                <w:szCs w:val="21"/>
              </w:rPr>
            </w:pPr>
            <w:r>
              <w:rPr>
                <w:rFonts w:hint="eastAsia" w:ascii="宋体" w:hAnsi="宋体" w:eastAsia="宋体" w:cs="宋体"/>
                <w:color w:val="000000"/>
                <w:kern w:val="0"/>
                <w:sz w:val="21"/>
                <w:szCs w:val="21"/>
              </w:rPr>
              <w:t>节能降耗（3分）</w:t>
            </w:r>
          </w:p>
        </w:tc>
        <w:tc>
          <w:tcPr>
            <w:tcW w:w="168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r>
      <w:tr>
        <w:tblPrEx>
          <w:tblCellMar>
            <w:top w:w="15" w:type="dxa"/>
            <w:left w:w="15" w:type="dxa"/>
            <w:bottom w:w="15" w:type="dxa"/>
            <w:right w:w="15" w:type="dxa"/>
          </w:tblCellMar>
        </w:tblPrEx>
        <w:trPr>
          <w:trHeight w:val="454" w:hRule="exact"/>
        </w:trPr>
        <w:tc>
          <w:tcPr>
            <w:tcW w:w="96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0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p>
        </w:tc>
        <w:tc>
          <w:tcPr>
            <w:tcW w:w="31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廉洁行政（3分）</w:t>
            </w:r>
          </w:p>
        </w:tc>
        <w:tc>
          <w:tcPr>
            <w:tcW w:w="168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r>
      <w:tr>
        <w:tblPrEx>
          <w:tblCellMar>
            <w:top w:w="15" w:type="dxa"/>
            <w:left w:w="15" w:type="dxa"/>
            <w:bottom w:w="15" w:type="dxa"/>
            <w:right w:w="15" w:type="dxa"/>
          </w:tblCellMar>
        </w:tblPrEx>
        <w:trPr>
          <w:trHeight w:val="454" w:hRule="exact"/>
        </w:trPr>
        <w:tc>
          <w:tcPr>
            <w:tcW w:w="96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支出绩效（</w:t>
            </w:r>
            <w:r>
              <w:rPr>
                <w:rStyle w:val="30"/>
                <w:rFonts w:hint="default"/>
                <w:sz w:val="21"/>
                <w:szCs w:val="21"/>
              </w:rPr>
              <w:t>40分）</w:t>
            </w:r>
          </w:p>
        </w:tc>
        <w:tc>
          <w:tcPr>
            <w:tcW w:w="310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绩效评价（2</w:t>
            </w:r>
            <w:r>
              <w:rPr>
                <w:rStyle w:val="30"/>
                <w:rFonts w:hint="default"/>
                <w:sz w:val="21"/>
                <w:szCs w:val="21"/>
              </w:rPr>
              <w:t>8分）</w:t>
            </w:r>
          </w:p>
        </w:tc>
        <w:tc>
          <w:tcPr>
            <w:tcW w:w="31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部门预算绩效评价（1</w:t>
            </w:r>
            <w:r>
              <w:rPr>
                <w:rStyle w:val="30"/>
                <w:rFonts w:hint="default"/>
                <w:sz w:val="21"/>
                <w:szCs w:val="21"/>
              </w:rPr>
              <w:t>4分）</w:t>
            </w:r>
          </w:p>
        </w:tc>
        <w:tc>
          <w:tcPr>
            <w:tcW w:w="168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r>
      <w:tr>
        <w:tblPrEx>
          <w:tblCellMar>
            <w:top w:w="15" w:type="dxa"/>
            <w:left w:w="15" w:type="dxa"/>
            <w:bottom w:w="15" w:type="dxa"/>
            <w:right w:w="15" w:type="dxa"/>
          </w:tblCellMar>
        </w:tblPrEx>
        <w:trPr>
          <w:trHeight w:val="454" w:hRule="exact"/>
        </w:trPr>
        <w:tc>
          <w:tcPr>
            <w:tcW w:w="96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p>
        </w:tc>
        <w:tc>
          <w:tcPr>
            <w:tcW w:w="310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p>
        </w:tc>
        <w:tc>
          <w:tcPr>
            <w:tcW w:w="31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★专项预算项目绩效评价（1</w:t>
            </w:r>
            <w:r>
              <w:rPr>
                <w:rStyle w:val="30"/>
                <w:rFonts w:hint="default"/>
                <w:sz w:val="21"/>
                <w:szCs w:val="21"/>
              </w:rPr>
              <w:t>4分）</w:t>
            </w:r>
          </w:p>
        </w:tc>
        <w:tc>
          <w:tcPr>
            <w:tcW w:w="168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r>
      <w:tr>
        <w:tblPrEx>
          <w:tblCellMar>
            <w:top w:w="15" w:type="dxa"/>
            <w:left w:w="15" w:type="dxa"/>
            <w:bottom w:w="15" w:type="dxa"/>
            <w:right w:w="15" w:type="dxa"/>
          </w:tblCellMar>
        </w:tblPrEx>
        <w:trPr>
          <w:trHeight w:val="454" w:hRule="exact"/>
        </w:trPr>
        <w:tc>
          <w:tcPr>
            <w:tcW w:w="96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p>
        </w:tc>
        <w:tc>
          <w:tcPr>
            <w:tcW w:w="310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决算审查（2</w:t>
            </w:r>
            <w:r>
              <w:rPr>
                <w:rStyle w:val="30"/>
                <w:rFonts w:hint="default"/>
                <w:sz w:val="21"/>
                <w:szCs w:val="21"/>
              </w:rPr>
              <w:t>分）</w:t>
            </w:r>
          </w:p>
        </w:tc>
        <w:tc>
          <w:tcPr>
            <w:tcW w:w="3196" w:type="dxa"/>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部门决算差错率（2分）</w:t>
            </w:r>
          </w:p>
        </w:tc>
        <w:tc>
          <w:tcPr>
            <w:tcW w:w="1684" w:type="dxa"/>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r>
      <w:tr>
        <w:tblPrEx>
          <w:tblCellMar>
            <w:top w:w="15" w:type="dxa"/>
            <w:left w:w="15" w:type="dxa"/>
            <w:bottom w:w="15" w:type="dxa"/>
            <w:right w:w="15" w:type="dxa"/>
          </w:tblCellMar>
        </w:tblPrEx>
        <w:trPr>
          <w:trHeight w:val="454" w:hRule="exact"/>
        </w:trPr>
        <w:tc>
          <w:tcPr>
            <w:tcW w:w="96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p>
        </w:tc>
        <w:tc>
          <w:tcPr>
            <w:tcW w:w="3108"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决算公开（3分）</w:t>
            </w:r>
          </w:p>
        </w:tc>
        <w:tc>
          <w:tcPr>
            <w:tcW w:w="3196" w:type="dxa"/>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公开内容（3分）</w:t>
            </w:r>
          </w:p>
        </w:tc>
        <w:tc>
          <w:tcPr>
            <w:tcW w:w="1684" w:type="dxa"/>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r>
      <w:tr>
        <w:tblPrEx>
          <w:tblCellMar>
            <w:top w:w="15" w:type="dxa"/>
            <w:left w:w="15" w:type="dxa"/>
            <w:bottom w:w="15" w:type="dxa"/>
            <w:right w:w="15" w:type="dxa"/>
          </w:tblCellMar>
        </w:tblPrEx>
        <w:trPr>
          <w:trHeight w:val="454" w:hRule="exact"/>
        </w:trPr>
        <w:tc>
          <w:tcPr>
            <w:tcW w:w="96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p>
        </w:tc>
        <w:tc>
          <w:tcPr>
            <w:tcW w:w="3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结余注销（3分）</w:t>
            </w:r>
          </w:p>
        </w:tc>
        <w:tc>
          <w:tcPr>
            <w:tcW w:w="31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结余注销率（3分）</w:t>
            </w:r>
          </w:p>
        </w:tc>
        <w:tc>
          <w:tcPr>
            <w:tcW w:w="168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r>
      <w:tr>
        <w:tblPrEx>
          <w:tblCellMar>
            <w:top w:w="15" w:type="dxa"/>
            <w:left w:w="15" w:type="dxa"/>
            <w:bottom w:w="15" w:type="dxa"/>
            <w:right w:w="15" w:type="dxa"/>
          </w:tblCellMar>
        </w:tblPrEx>
        <w:trPr>
          <w:trHeight w:val="454" w:hRule="exact"/>
        </w:trPr>
        <w:tc>
          <w:tcPr>
            <w:tcW w:w="969"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p>
        </w:tc>
        <w:tc>
          <w:tcPr>
            <w:tcW w:w="310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绩效管理（4分）</w:t>
            </w:r>
          </w:p>
        </w:tc>
        <w:tc>
          <w:tcPr>
            <w:tcW w:w="31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工作开展（4分）</w:t>
            </w:r>
          </w:p>
        </w:tc>
        <w:tc>
          <w:tcPr>
            <w:tcW w:w="168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r>
      <w:tr>
        <w:tblPrEx>
          <w:tblCellMar>
            <w:top w:w="15" w:type="dxa"/>
            <w:left w:w="15" w:type="dxa"/>
            <w:bottom w:w="15" w:type="dxa"/>
            <w:right w:w="15" w:type="dxa"/>
          </w:tblCellMar>
        </w:tblPrEx>
        <w:trPr>
          <w:trHeight w:val="454" w:hRule="exact"/>
        </w:trPr>
        <w:tc>
          <w:tcPr>
            <w:tcW w:w="96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合计</w:t>
            </w:r>
          </w:p>
        </w:tc>
        <w:tc>
          <w:tcPr>
            <w:tcW w:w="310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p>
        </w:tc>
        <w:tc>
          <w:tcPr>
            <w:tcW w:w="319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textAlignment w:val="center"/>
              <w:rPr>
                <w:rFonts w:hint="eastAsia" w:ascii="宋体" w:hAnsi="宋体" w:eastAsia="宋体" w:cs="宋体"/>
                <w:color w:val="000000"/>
                <w:kern w:val="0"/>
                <w:sz w:val="21"/>
                <w:szCs w:val="21"/>
              </w:rPr>
            </w:pPr>
          </w:p>
        </w:tc>
        <w:tc>
          <w:tcPr>
            <w:tcW w:w="168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92</w:t>
            </w:r>
          </w:p>
        </w:tc>
      </w:tr>
    </w:tbl>
    <w:p>
      <w:pPr>
        <w:keepNext w:val="0"/>
        <w:keepLines w:val="0"/>
        <w:pageBreakBefore w:val="0"/>
        <w:widowControl/>
        <w:kinsoku/>
        <w:wordWrap/>
        <w:overflowPunct/>
        <w:topLinePunct w:val="0"/>
        <w:autoSpaceDE/>
        <w:autoSpaceDN/>
        <w:bidi w:val="0"/>
        <w:adjustRightInd w:val="0"/>
        <w:snapToGrid w:val="0"/>
        <w:spacing w:line="560" w:lineRule="exact"/>
        <w:ind w:firstLine="720"/>
        <w:jc w:val="left"/>
        <w:rPr>
          <w:rFonts w:hint="eastAsia" w:ascii="黑体" w:hAnsi="黑体" w:eastAsia="黑体" w:cs="黑体"/>
          <w:sz w:val="32"/>
          <w:szCs w:val="32"/>
        </w:rPr>
      </w:pPr>
      <w:r>
        <w:rPr>
          <w:rFonts w:hint="eastAsia" w:ascii="仿宋_GB2312" w:hAnsi="仿宋_GB2312" w:eastAsia="仿宋_GB2312" w:cs="仿宋_GB2312"/>
          <w:color w:val="000000"/>
          <w:kern w:val="0"/>
          <w:sz w:val="32"/>
          <w:szCs w:val="32"/>
          <w:shd w:val="clear" w:color="auto" w:fill="FFFFFF"/>
          <w:lang w:val="zh-CN"/>
        </w:rPr>
        <w:t>财政经费使用良好，能正常支撑开展工作。以后加强预算编制的精准率，不断提高绩效评价工作水平，使财政资金更好地用到刀刃上。</w:t>
      </w: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2019</w:t>
      </w:r>
      <w:r>
        <w:rPr>
          <w:rFonts w:hint="eastAsia" w:ascii="方正小标宋简体" w:hAnsi="方正小标宋简体" w:eastAsia="方正小标宋简体" w:cs="方正小标宋简体"/>
          <w:sz w:val="44"/>
          <w:szCs w:val="44"/>
        </w:rPr>
        <w:t>年度财政项目支出绩效自评报告</w:t>
      </w:r>
    </w:p>
    <w:p>
      <w:pPr>
        <w:spacing w:line="600" w:lineRule="exact"/>
        <w:jc w:val="center"/>
        <w:rPr>
          <w:rFonts w:ascii="楷体" w:hAnsi="楷体" w:eastAsia="楷体" w:cs="楷体"/>
          <w:sz w:val="32"/>
          <w:szCs w:val="32"/>
        </w:rPr>
      </w:pPr>
      <w:r>
        <w:rPr>
          <w:rFonts w:hint="eastAsia" w:ascii="楷体" w:hAnsi="楷体" w:eastAsia="楷体" w:cs="楷体"/>
          <w:sz w:val="32"/>
          <w:szCs w:val="32"/>
        </w:rPr>
        <w:t>（党的主题教育活动工作经费）</w:t>
      </w:r>
    </w:p>
    <w:p>
      <w:pPr>
        <w:spacing w:line="576" w:lineRule="exact"/>
        <w:rPr>
          <w:rFonts w:ascii="仿宋" w:hAnsi="仿宋" w:eastAsia="仿宋" w:cs="仿宋"/>
          <w:sz w:val="32"/>
          <w:szCs w:val="32"/>
        </w:rPr>
      </w:pPr>
    </w:p>
    <w:p>
      <w:pPr>
        <w:spacing w:line="576" w:lineRule="exact"/>
        <w:rPr>
          <w:rFonts w:ascii="仿宋" w:hAnsi="仿宋" w:eastAsia="仿宋" w:cs="仿宋"/>
          <w:sz w:val="32"/>
          <w:szCs w:val="32"/>
        </w:rPr>
      </w:pPr>
      <w:r>
        <w:rPr>
          <w:rFonts w:hint="eastAsia" w:ascii="仿宋" w:hAnsi="仿宋" w:eastAsia="仿宋" w:cs="仿宋"/>
          <w:sz w:val="32"/>
          <w:szCs w:val="32"/>
        </w:rPr>
        <w:t>项目单位：中共峨眉山市委组织部</w:t>
      </w:r>
    </w:p>
    <w:p>
      <w:pPr>
        <w:spacing w:line="576" w:lineRule="exact"/>
        <w:rPr>
          <w:rFonts w:ascii="仿宋" w:hAnsi="仿宋" w:eastAsia="仿宋" w:cs="仿宋"/>
          <w:sz w:val="32"/>
          <w:szCs w:val="32"/>
        </w:rPr>
      </w:pPr>
      <w:r>
        <w:rPr>
          <w:rFonts w:hint="eastAsia" w:ascii="仿宋" w:hAnsi="仿宋" w:eastAsia="仿宋" w:cs="仿宋"/>
          <w:sz w:val="32"/>
          <w:szCs w:val="32"/>
        </w:rPr>
        <w:t>主管部门：中共峨眉山市委组织部</w:t>
      </w:r>
    </w:p>
    <w:p>
      <w:pPr>
        <w:spacing w:line="576" w:lineRule="exact"/>
        <w:ind w:firstLine="640" w:firstLineChars="200"/>
        <w:rPr>
          <w:rFonts w:ascii="黑体" w:hAnsi="宋体" w:eastAsia="黑体" w:cs="黑体"/>
          <w:sz w:val="32"/>
          <w:szCs w:val="32"/>
        </w:rPr>
      </w:pPr>
      <w:r>
        <w:rPr>
          <w:rFonts w:hint="eastAsia" w:ascii="黑体" w:hAnsi="宋体" w:eastAsia="黑体" w:cs="黑体"/>
          <w:sz w:val="32"/>
          <w:szCs w:val="32"/>
        </w:rPr>
        <w:t>一、 项目概况</w:t>
      </w:r>
    </w:p>
    <w:p>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（一）项目基本情况。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不忘初心、牢记使命”主题教育是在全党范围内开展的主题教育活动，是推动全党更加自觉地为实现新时代党的历史使命不懈奋斗的重要内容。2017年10月18日，习近平总书记在十九大报告中指出，在全党开展“不忘初心、牢记使命”主题教育，用党的创新理论武装头脑，推动全党更加自觉地为实现新时代党的历史使命不懈奋斗。2019年5月13日， 中共中央政治局召开会议，决定从2019年6月开始，在全党自上而下分两批开展“不忘初心、牢记使命”主题教育。</w:t>
      </w:r>
    </w:p>
    <w:p>
      <w:pPr>
        <w:spacing w:line="576"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从2019年1月以来，市委组织部在市委的指导下有序开展主题教育筹备工作，积极对接乐山市委部组建了工作小组，安排办公地点，增配办公设施，为正式启动主题教育打下了基础。</w:t>
      </w:r>
    </w:p>
    <w:p>
      <w:pPr>
        <w:spacing w:line="576"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1.项目立项背景。</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按照上级组织部门要求，组织部门承担开展“</w:t>
      </w:r>
      <w:r>
        <w:rPr>
          <w:rFonts w:ascii="仿宋" w:hAnsi="仿宋" w:eastAsia="仿宋" w:cs="仿宋"/>
          <w:sz w:val="32"/>
          <w:szCs w:val="32"/>
        </w:rPr>
        <w:t>不忘初心、牢记使命”主题教育</w:t>
      </w:r>
      <w:r>
        <w:rPr>
          <w:rFonts w:hint="eastAsia" w:ascii="仿宋" w:hAnsi="仿宋" w:eastAsia="仿宋" w:cs="仿宋"/>
          <w:sz w:val="32"/>
          <w:szCs w:val="32"/>
        </w:rPr>
        <w:t>牵头抓总工作，市委成立了主题教育领导小组办公室，组织部按市委统一部署成立了主题教育办公室。由组织部门负责主题教育期间的各类经费保障、人员调配等工作。</w:t>
      </w:r>
    </w:p>
    <w:p>
      <w:pPr>
        <w:spacing w:line="576"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2.项目资金情况。</w:t>
      </w:r>
    </w:p>
    <w:p>
      <w:pPr>
        <w:adjustRightInd w:val="0"/>
        <w:snapToGrid w:val="0"/>
        <w:spacing w:line="576" w:lineRule="exact"/>
        <w:ind w:firstLine="720"/>
        <w:rPr>
          <w:rFonts w:ascii="仿宋_GB2312" w:hAnsi="宋体" w:eastAsia="仿宋_GB2312" w:cs="仿宋_GB2312"/>
          <w:sz w:val="32"/>
          <w:szCs w:val="32"/>
        </w:rPr>
      </w:pPr>
      <w:r>
        <w:rPr>
          <w:rFonts w:hint="eastAsia" w:ascii="仿宋_GB2312" w:hAnsi="宋体" w:eastAsia="仿宋_GB2312" w:cs="仿宋_GB2312"/>
          <w:sz w:val="32"/>
          <w:szCs w:val="32"/>
          <w:lang w:val="zh-CN"/>
        </w:rPr>
        <w:t>该项目由市委组织部纳入了</w:t>
      </w:r>
      <w:r>
        <w:rPr>
          <w:rFonts w:hint="eastAsia" w:ascii="仿宋_GB2312" w:hAnsi="宋体" w:eastAsia="仿宋_GB2312" w:cs="仿宋_GB2312"/>
          <w:sz w:val="32"/>
          <w:szCs w:val="32"/>
        </w:rPr>
        <w:t>2019年财政预算，预算经费75万元，用于主题教育办公室筹建、办公用品、文印资料、上级来峨调研费用等方面的支出。市财政局批复了该笔预算后，部机关办公室严格按照预算安排，保障了主题教育的各项支出，确保了主题教育顺利开展。</w:t>
      </w:r>
    </w:p>
    <w:p>
      <w:pPr>
        <w:spacing w:line="576"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2.绩效目标。</w:t>
      </w:r>
    </w:p>
    <w:p>
      <w:pPr>
        <w:spacing w:line="576" w:lineRule="exact"/>
        <w:ind w:firstLine="640"/>
        <w:rPr>
          <w:rFonts w:ascii="仿宋" w:hAnsi="仿宋" w:eastAsia="仿宋" w:cs="仿宋"/>
          <w:sz w:val="32"/>
          <w:szCs w:val="32"/>
        </w:rPr>
      </w:pPr>
      <w:r>
        <w:rPr>
          <w:rFonts w:hint="eastAsia" w:ascii="仿宋" w:hAnsi="仿宋" w:eastAsia="仿宋" w:cs="仿宋"/>
          <w:b/>
          <w:bCs/>
          <w:sz w:val="32"/>
          <w:szCs w:val="32"/>
        </w:rPr>
        <w:t>实施进度：</w:t>
      </w:r>
      <w:r>
        <w:rPr>
          <w:rFonts w:hint="eastAsia" w:ascii="仿宋" w:hAnsi="仿宋" w:eastAsia="仿宋" w:cs="仿宋"/>
          <w:sz w:val="32"/>
          <w:szCs w:val="32"/>
        </w:rPr>
        <w:t>按照主题教育总体部署，部办公室分阶段、分类型申请经费和使用经费，并严格按照主题教育进度完成经费支出。</w:t>
      </w:r>
    </w:p>
    <w:p>
      <w:pPr>
        <w:spacing w:line="576" w:lineRule="exact"/>
        <w:ind w:firstLine="640"/>
        <w:rPr>
          <w:rFonts w:ascii="仿宋" w:hAnsi="仿宋" w:eastAsia="仿宋" w:cs="仿宋"/>
          <w:sz w:val="32"/>
          <w:szCs w:val="32"/>
        </w:rPr>
      </w:pPr>
      <w:r>
        <w:rPr>
          <w:rFonts w:hint="eastAsia" w:ascii="仿宋" w:hAnsi="仿宋" w:eastAsia="仿宋" w:cs="仿宋"/>
          <w:b/>
          <w:bCs/>
          <w:sz w:val="32"/>
          <w:szCs w:val="32"/>
        </w:rPr>
        <w:t>实施目标</w:t>
      </w:r>
      <w:r>
        <w:rPr>
          <w:rFonts w:hint="eastAsia" w:ascii="仿宋" w:hAnsi="仿宋" w:eastAsia="仿宋" w:cs="仿宋"/>
          <w:sz w:val="32"/>
          <w:szCs w:val="32"/>
        </w:rPr>
        <w:t>：教育引导党员干部深入学习贯彻习近平新时代中国特色社会主义思想，坚持读原著、学原文、悟原理，做到系统全面、融会贯通，使之内化于心、外化于行。把《习近平新时代中国特色社会主义思想学习纲要》《习近平关于“不忘初心、牢记使命”重要论述选编》纳入学习计划，开展多形式、分层次、全覆盖的学习培训。善始善终，善作善成，排出时间表，制定路线图，认真、系统、全面学，做到多思多想、学深悟透。采取灵活多样、喜闻乐见的方式，利用好身边的先进典型、红色资源等丰富内容，增强学习的针对性、实效性和感染力。紧密联系实际，带着问题思考，把思想认识上的收获转化为指导实践、推动发展的行动，做到知行合一、学以致用。</w:t>
      </w:r>
    </w:p>
    <w:p>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（三）项目自评步骤及方法。</w:t>
      </w:r>
    </w:p>
    <w:p>
      <w:pPr>
        <w:spacing w:line="576" w:lineRule="exact"/>
        <w:ind w:firstLine="640"/>
        <w:rPr>
          <w:rFonts w:ascii="仿宋" w:hAnsi="仿宋" w:eastAsia="仿宋" w:cs="仿宋"/>
          <w:sz w:val="32"/>
          <w:szCs w:val="32"/>
        </w:rPr>
      </w:pPr>
      <w:r>
        <w:rPr>
          <w:rFonts w:hint="eastAsia" w:ascii="仿宋" w:hAnsi="仿宋" w:eastAsia="仿宋" w:cs="仿宋"/>
          <w:sz w:val="32"/>
          <w:szCs w:val="32"/>
        </w:rPr>
        <w:t>项目自评步骤及方法。由部办公室牵头，组织相关科室组成评价小组，根据考核规范程序，按照财政支出绩效目标申报表上的指标逐一进行实地检验，确保各项绩效指标达到要求才给予审核验收通过。</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（一）项目资金申报及批复情况。</w:t>
      </w:r>
    </w:p>
    <w:p>
      <w:pPr>
        <w:spacing w:line="576" w:lineRule="exact"/>
        <w:ind w:firstLine="640"/>
        <w:rPr>
          <w:rFonts w:ascii="仿宋" w:hAnsi="仿宋" w:eastAsia="仿宋" w:cs="仿宋"/>
          <w:sz w:val="32"/>
          <w:szCs w:val="32"/>
        </w:rPr>
      </w:pPr>
      <w:r>
        <w:rPr>
          <w:rFonts w:hint="eastAsia" w:ascii="仿宋" w:hAnsi="仿宋" w:eastAsia="仿宋" w:cs="仿宋"/>
          <w:sz w:val="32"/>
          <w:szCs w:val="32"/>
        </w:rPr>
        <w:t>项目资金来自于2019年度部门预算，总投资预算为75万元。该项目未进行预算调整。</w:t>
      </w:r>
    </w:p>
    <w:p>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（二）资金计划、到位及使用情况</w:t>
      </w:r>
    </w:p>
    <w:p>
      <w:pPr>
        <w:spacing w:line="576" w:lineRule="exact"/>
        <w:ind w:firstLine="640"/>
        <w:rPr>
          <w:rFonts w:ascii="仿宋" w:hAnsi="仿宋" w:eastAsia="仿宋" w:cs="仿宋"/>
          <w:sz w:val="32"/>
          <w:szCs w:val="32"/>
        </w:rPr>
      </w:pPr>
      <w:r>
        <w:rPr>
          <w:rFonts w:hint="eastAsia" w:ascii="仿宋" w:hAnsi="仿宋" w:eastAsia="仿宋" w:cs="仿宋"/>
          <w:sz w:val="32"/>
          <w:szCs w:val="32"/>
        </w:rPr>
        <w:t>2019年，部办公室分5次申请了项目经费指标75万元，市财政局及时批复下达了指标。全年共使用该项目经费共计735668.99元。</w:t>
      </w:r>
    </w:p>
    <w:p>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（三）项目财务管理情况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我部于2016年制发了《财务管理制度》（峨组办〔2016〕6号），为了完善机关内控制度，于2017年制发了《关于印发部机关规范运行八项制度的通知》（峨组办〔2017〕2号），各项财务事务制度健全。项目执行过程中严格执行财务管理制度，财务处理及时，会计核实规范。</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pPr>
        <w:spacing w:line="576" w:lineRule="exact"/>
        <w:ind w:firstLine="643" w:firstLineChars="200"/>
        <w:rPr>
          <w:rFonts w:ascii="仿宋" w:hAnsi="仿宋" w:eastAsia="仿宋" w:cs="仿宋"/>
          <w:sz w:val="32"/>
          <w:szCs w:val="32"/>
        </w:rPr>
      </w:pPr>
      <w:r>
        <w:rPr>
          <w:rFonts w:hint="eastAsia" w:ascii="仿宋" w:hAnsi="仿宋" w:eastAsia="仿宋" w:cs="仿宋"/>
          <w:b/>
          <w:bCs/>
          <w:sz w:val="32"/>
          <w:szCs w:val="32"/>
        </w:rPr>
        <w:t>1.项目组织架构及实施流程。</w:t>
      </w:r>
      <w:r>
        <w:rPr>
          <w:rFonts w:hint="eastAsia" w:ascii="仿宋" w:hAnsi="仿宋" w:eastAsia="仿宋" w:cs="仿宋"/>
          <w:sz w:val="32"/>
          <w:szCs w:val="32"/>
        </w:rPr>
        <w:t>以主题教育办公室为核心，部办公及组织业务科室全力配合，按照峨眉山市主题教育总体部署，对相应主题教育支出进行及时审核、及时申请、及时拨付，所有支出均按照阶段性支出及时拨付到位。</w:t>
      </w:r>
    </w:p>
    <w:p>
      <w:pPr>
        <w:spacing w:line="576" w:lineRule="exact"/>
        <w:ind w:firstLine="643" w:firstLineChars="200"/>
        <w:rPr>
          <w:rFonts w:ascii="仿宋" w:hAnsi="仿宋" w:eastAsia="仿宋" w:cs="仿宋"/>
          <w:sz w:val="32"/>
          <w:szCs w:val="32"/>
        </w:rPr>
      </w:pPr>
      <w:r>
        <w:rPr>
          <w:rFonts w:hint="eastAsia" w:ascii="仿宋" w:hAnsi="仿宋" w:eastAsia="仿宋" w:cs="仿宋"/>
          <w:b/>
          <w:bCs/>
          <w:sz w:val="32"/>
          <w:szCs w:val="32"/>
        </w:rPr>
        <w:t>2.项目管理情况。</w:t>
      </w:r>
      <w:r>
        <w:rPr>
          <w:rFonts w:hint="eastAsia" w:ascii="仿宋" w:hAnsi="仿宋" w:eastAsia="仿宋" w:cs="仿宋"/>
          <w:sz w:val="32"/>
          <w:szCs w:val="32"/>
        </w:rPr>
        <w:t>项目资金的使用严格按照预算执行，设备购置及服务类业务的采购严格按照政府采购相关规定执行。包括《峨眉山市人民政府办公室关于进一步规范政府采购工作的通知》（峨府发〔2017〕2号）、《研究峨眉山市政府采购相关事宜的纪要》（峨府议〔2017〕12号）。</w:t>
      </w:r>
    </w:p>
    <w:p>
      <w:pPr>
        <w:spacing w:line="576" w:lineRule="exact"/>
        <w:ind w:firstLine="643" w:firstLineChars="200"/>
        <w:rPr>
          <w:rFonts w:ascii="仿宋" w:hAnsi="仿宋" w:eastAsia="仿宋" w:cs="仿宋"/>
          <w:sz w:val="32"/>
          <w:szCs w:val="32"/>
        </w:rPr>
      </w:pPr>
      <w:r>
        <w:rPr>
          <w:rFonts w:hint="eastAsia" w:ascii="仿宋" w:hAnsi="仿宋" w:eastAsia="仿宋" w:cs="仿宋"/>
          <w:b/>
          <w:bCs/>
          <w:sz w:val="32"/>
          <w:szCs w:val="32"/>
        </w:rPr>
        <w:t>3.项目监管情况。</w:t>
      </w:r>
      <w:r>
        <w:rPr>
          <w:rFonts w:hint="eastAsia" w:ascii="仿宋" w:hAnsi="仿宋" w:eastAsia="仿宋" w:cs="仿宋"/>
          <w:sz w:val="32"/>
          <w:szCs w:val="32"/>
        </w:rPr>
        <w:t>由部办公室牵头，相关股室配合，制定了实施方案，完成组织架构，由主题教育办公室负责业务安排和支出安排，部办公室按照财经制度要求对每笔支出进行严格审核，坚决执行“三重一大”决策制度和峨眉山市采购要求。</w:t>
      </w:r>
    </w:p>
    <w:p>
      <w:pPr>
        <w:spacing w:line="576"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4. 项目实施情况。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根据项目实施计划，现我部</w:t>
      </w:r>
      <w:r>
        <w:rPr>
          <w:rFonts w:hint="eastAsia" w:ascii="仿宋" w:hAnsi="仿宋" w:eastAsia="仿宋" w:cs="仿宋"/>
          <w:sz w:val="32"/>
          <w:szCs w:val="32"/>
          <w:lang w:val="en-US" w:eastAsia="zh-CN"/>
        </w:rPr>
        <w:t>于2019年1月启动主题教育筹备工作，于</w:t>
      </w:r>
      <w:r>
        <w:rPr>
          <w:rFonts w:hint="eastAsia" w:ascii="仿宋" w:hAnsi="仿宋" w:eastAsia="仿宋" w:cs="仿宋"/>
          <w:sz w:val="32"/>
          <w:szCs w:val="32"/>
        </w:rPr>
        <w:t>2019年9月</w:t>
      </w:r>
      <w:r>
        <w:rPr>
          <w:rFonts w:hint="eastAsia" w:ascii="仿宋" w:hAnsi="仿宋" w:eastAsia="仿宋" w:cs="仿宋"/>
          <w:sz w:val="32"/>
          <w:szCs w:val="32"/>
          <w:lang w:val="en-US" w:eastAsia="zh-CN"/>
        </w:rPr>
        <w:t>正式</w:t>
      </w:r>
      <w:r>
        <w:rPr>
          <w:rFonts w:hint="eastAsia" w:ascii="仿宋" w:hAnsi="仿宋" w:eastAsia="仿宋" w:cs="仿宋"/>
          <w:sz w:val="32"/>
          <w:szCs w:val="32"/>
        </w:rPr>
        <w:t>启动了全市县级干部和部门（乡镇）主题教育，年底完成了所有主题教育工作部署。</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四、目标完成情况</w:t>
      </w:r>
    </w:p>
    <w:p>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（一）目标完成任务量。</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习贯彻习近平总书记重要指示批示精神，贯彻落实中央、省委、乐山市委和峨眉山市委部署要求，把深入学习贯彻习近平新时代中国特色社会主义思想作为根本任务，全面把握守初心、担使命，找差距、抓落实的总要求，坚持抓思想认识到位、抓检视问题到位、抓整改落实到位、抓组织领导到位，统筹推进学习教育、调查研究、检视问题、整改落实四项重点措施，以彻底的自我革命精神解决违背初心和使命的各种问题，努力实现理论学习有收获、思想政治受洗礼、干事创业敢担当、为民服务解难题、清正廉洁作表率的目标。主题教育从2019年9月开始，11月底基本结束，开展集中教育时间不少于3个月。</w:t>
      </w:r>
    </w:p>
    <w:p>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（二）目标完成质量。</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主题教育需开展学习教育、调查研究、检视问题、整改落实四项重点工作。市委主题教育领导小组办公室下发了1个总方案、7个专项整治方案，并安排督导组对口指导部门或乡镇。全市县级干部和部门（乡镇）均按照每月主题教育工作清单开展机关主题教育阶段性工作。全市主题教育开展情况受到乐山市委主要领导一致好评，部门或乡镇主题教育均按主题教育领导小组要求开展了重点工作，落实了整改任务。</w:t>
      </w:r>
    </w:p>
    <w:p>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（三）目标完成进度。</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1.从9月起启动学习教育，并将学习教育贯穿主题教育。分别召开了主题教育工作会议，</w:t>
      </w:r>
      <w:bookmarkStart w:id="61" w:name="bookmark10"/>
      <w:bookmarkEnd w:id="61"/>
      <w:r>
        <w:rPr>
          <w:rFonts w:hint="eastAsia" w:ascii="仿宋" w:hAnsi="仿宋" w:eastAsia="仿宋" w:cs="仿宋"/>
          <w:sz w:val="32"/>
          <w:szCs w:val="32"/>
        </w:rPr>
        <w:t>班子成员自学、集中学习研讨等</w:t>
      </w:r>
    </w:p>
    <w:p>
      <w:pPr>
        <w:spacing w:line="576" w:lineRule="exact"/>
        <w:ind w:firstLine="640" w:firstLineChars="200"/>
        <w:rPr>
          <w:rFonts w:hint="eastAsia" w:ascii="仿宋" w:hAnsi="仿宋" w:eastAsia="仿宋" w:cs="仿宋"/>
          <w:sz w:val="32"/>
          <w:szCs w:val="32"/>
        </w:rPr>
      </w:pPr>
      <w:bookmarkStart w:id="62" w:name="bookmark13"/>
      <w:bookmarkEnd w:id="62"/>
      <w:r>
        <w:rPr>
          <w:rFonts w:hint="eastAsia" w:ascii="仿宋" w:hAnsi="仿宋" w:eastAsia="仿宋" w:cs="仿宋"/>
          <w:sz w:val="32"/>
          <w:szCs w:val="32"/>
        </w:rPr>
        <w:t>2.从10月起启动调查研究，先后开展了</w:t>
      </w:r>
      <w:bookmarkStart w:id="63" w:name="bookmark15"/>
      <w:bookmarkEnd w:id="63"/>
      <w:r>
        <w:rPr>
          <w:rFonts w:hint="eastAsia" w:ascii="仿宋" w:hAnsi="仿宋" w:eastAsia="仿宋" w:cs="仿宋"/>
          <w:sz w:val="32"/>
          <w:szCs w:val="32"/>
        </w:rPr>
        <w:t>聚焦主责主业开展课题调研</w:t>
      </w:r>
      <w:bookmarkStart w:id="64" w:name="bookmark18"/>
      <w:bookmarkEnd w:id="64"/>
      <w:r>
        <w:rPr>
          <w:rFonts w:hint="eastAsia" w:ascii="仿宋" w:hAnsi="仿宋" w:eastAsia="仿宋" w:cs="仿宋"/>
          <w:sz w:val="32"/>
          <w:szCs w:val="32"/>
        </w:rPr>
        <w:t>、课题调研阶段性成果交流会、讲一次专题党课。</w:t>
      </w:r>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3.从11月起开展检视</w:t>
      </w:r>
      <w:bookmarkStart w:id="65" w:name="bookmark21"/>
      <w:bookmarkEnd w:id="65"/>
      <w:r>
        <w:rPr>
          <w:rFonts w:hint="eastAsia" w:ascii="仿宋" w:hAnsi="仿宋" w:eastAsia="仿宋" w:cs="仿宋"/>
          <w:sz w:val="32"/>
          <w:szCs w:val="32"/>
        </w:rPr>
        <w:t>反思，先后开展了广泛听取意见建议、谈心谈话、对表对标找实问题、进行剖析反思</w:t>
      </w:r>
      <w:bookmarkStart w:id="66" w:name="bookmark24"/>
    </w:p>
    <w:bookmarkEnd w:id="66"/>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4.从11月中旬起整改落实，先后开展了</w:t>
      </w:r>
      <w:bookmarkStart w:id="67" w:name="bookmark25"/>
      <w:bookmarkEnd w:id="67"/>
      <w:r>
        <w:rPr>
          <w:rFonts w:hint="eastAsia" w:ascii="仿宋" w:hAnsi="仿宋" w:eastAsia="仿宋" w:cs="仿宋"/>
          <w:sz w:val="32"/>
          <w:szCs w:val="32"/>
        </w:rPr>
        <w:t>8+8+3+3专项整治、落实整改要求、专题民主生活会。</w:t>
      </w:r>
    </w:p>
    <w:p>
      <w:pPr>
        <w:keepNext w:val="0"/>
        <w:keepLines w:val="0"/>
        <w:pageBreakBefore w:val="0"/>
        <w:widowControl w:val="0"/>
        <w:kinsoku/>
        <w:wordWrap/>
        <w:topLinePunct w:val="0"/>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五、项目效果情况</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eastAsia="仿宋_GB2312"/>
          <w:color w:val="000000"/>
          <w:sz w:val="32"/>
          <w:szCs w:val="32"/>
        </w:rPr>
      </w:pPr>
      <w:r>
        <w:rPr>
          <w:rFonts w:hint="eastAsia" w:ascii="仿宋_GB2312" w:hAnsi="仿宋_GB2312" w:eastAsia="仿宋_GB2312" w:cs="仿宋_GB2312"/>
          <w:color w:val="000000"/>
          <w:sz w:val="32"/>
          <w:szCs w:val="32"/>
        </w:rPr>
        <w:t>在全党开展“不忘初心、牢记使命”主题教育，是以习近平同志为核心的党中央统揽伟大斗争、伟大工程、伟大事业、伟大梦想作出的重大部署。市委坚定以习近平新时代中国特色社会主义思想为指导，认真学习贯彻习近平总书记关于主题教育的重要讲话精神，全面落实党中央、省委和乐山市委部署要求，紧紧围绕主题教育的根本任务、总要求、工作安排和主要目标，切实抓好主题教育各项工作，团结带领全市各级党组织和党员干部干在实处，走在前列，推动党中央、省委和乐山市委决策部署在峨眉山市不折不扣落地落实，为奋力推进市委“137”发展总体思路提供坚强的政治保障和组织保障。峨眉山市第二批主题教育参加范围主要包括：市领导班子、市级部门及下属单位，乡镇和村、社区，国有企业，非公有制经济组织、社会组织和其他基层组织，有市领导班子4个、市领导29人，科级单位</w:t>
      </w:r>
      <w:r>
        <w:rPr>
          <w:rFonts w:hint="eastAsia" w:ascii="仿宋_GB2312" w:eastAsia="仿宋_GB2312"/>
          <w:color w:val="000000"/>
          <w:sz w:val="32"/>
          <w:szCs w:val="32"/>
        </w:rPr>
        <w:t>80个、科级领导434名，基层党组织978个、党员22000余人。</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12月6日，市委召开主题教育专题民主生活会，市级各部门和乡镇在12月10日前已基本召开完成民主生活会，主题教育取得了阶段性成果。现按照总体安排和上级要求，开始进行总结评估。</w:t>
      </w:r>
    </w:p>
    <w:p>
      <w:pPr>
        <w:keepNext w:val="0"/>
        <w:keepLines w:val="0"/>
        <w:pageBreakBefore w:val="0"/>
        <w:widowControl w:val="0"/>
        <w:pBdr>
          <w:bottom w:val="single" w:color="FFFFFF" w:sz="4" w:space="0"/>
        </w:pBdr>
        <w:kinsoku/>
        <w:wordWrap/>
        <w:overflowPunct w:val="0"/>
        <w:topLinePunct w:val="0"/>
        <w:autoSpaceDE w:val="0"/>
        <w:autoSpaceDN w:val="0"/>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eastAsia" w:ascii="楷体_GB2312" w:hAnsi="黑体" w:eastAsia="楷体_GB2312" w:cs="楷体_GB2312"/>
          <w:color w:val="000000"/>
          <w:sz w:val="32"/>
          <w:szCs w:val="32"/>
        </w:rPr>
        <w:t>（一）</w:t>
      </w:r>
      <w:r>
        <w:rPr>
          <w:rFonts w:hint="eastAsia" w:ascii="楷体_GB2312" w:hAnsi="黑体" w:eastAsia="楷体_GB2312" w:cs="楷体_GB2312"/>
          <w:bCs/>
          <w:color w:val="000000"/>
          <w:sz w:val="32"/>
          <w:szCs w:val="32"/>
        </w:rPr>
        <w:t>领导当主角，带头打头阵</w:t>
      </w:r>
      <w:r>
        <w:rPr>
          <w:rFonts w:hint="eastAsia" w:ascii="楷体_GB2312" w:hAnsi="黑体" w:eastAsia="楷体_GB2312" w:cs="楷体_GB2312"/>
          <w:color w:val="000000"/>
          <w:sz w:val="32"/>
          <w:szCs w:val="32"/>
        </w:rPr>
        <w:t>。</w:t>
      </w:r>
      <w:r>
        <w:rPr>
          <w:rFonts w:hint="eastAsia" w:ascii="仿宋_GB2312" w:hAnsi="仿宋_GB2312" w:eastAsia="仿宋_GB2312" w:cs="仿宋_GB2312"/>
          <w:color w:val="000000"/>
          <w:sz w:val="32"/>
          <w:szCs w:val="32"/>
        </w:rPr>
        <w:t>市委扛起主责，全面加强对主题教育的组织领导、工作指导、思想引导、压力传导，市委书记履行第一责任人职责，四大家领导班子成员落实“一岗双责”，当好主角，带头打头阵</w:t>
      </w:r>
      <w:r>
        <w:rPr>
          <w:rFonts w:hint="eastAsia" w:ascii="仿宋_GB2312" w:eastAsia="仿宋_GB2312"/>
          <w:color w:val="000000"/>
          <w:sz w:val="32"/>
          <w:szCs w:val="32"/>
        </w:rPr>
        <w:t>。</w:t>
      </w:r>
      <w:r>
        <w:rPr>
          <w:rFonts w:hint="eastAsia" w:ascii="仿宋_GB2312" w:hAnsi="黑体" w:eastAsia="仿宋_GB2312" w:cs="楷体_GB2312"/>
          <w:b/>
          <w:bCs/>
          <w:color w:val="000000"/>
          <w:sz w:val="32"/>
          <w:szCs w:val="32"/>
        </w:rPr>
        <w:t>一是</w:t>
      </w:r>
      <w:r>
        <w:rPr>
          <w:rFonts w:hint="eastAsia" w:ascii="仿宋_GB2312" w:hAnsi="黑体" w:eastAsia="仿宋_GB2312" w:cs="楷体_GB2312"/>
          <w:b/>
          <w:color w:val="000000"/>
          <w:sz w:val="32"/>
          <w:szCs w:val="32"/>
        </w:rPr>
        <w:t>带头学习教育。</w:t>
      </w:r>
      <w:r>
        <w:rPr>
          <w:rFonts w:hint="eastAsia" w:ascii="仿宋_GB2312" w:hAnsi="仿宋_GB2312" w:eastAsia="仿宋_GB2312" w:cs="仿宋_GB2312"/>
          <w:color w:val="000000"/>
          <w:sz w:val="32"/>
          <w:szCs w:val="32"/>
        </w:rPr>
        <w:t>高鹏凌书记带领四大家领导参加了领导干部读书班、雷马屏监狱警示教育、烈士陵园重温入党誓词、升国旗仪式等各种形式的现场体验教育，29名市领导集中开展了学习研讨、讲党课，开展革命传统思想教育，践诺初心使命</w:t>
      </w:r>
      <w:r>
        <w:rPr>
          <w:rFonts w:hint="eastAsia" w:ascii="仿宋_GB2312" w:eastAsia="仿宋_GB2312"/>
          <w:color w:val="000000"/>
          <w:sz w:val="32"/>
          <w:szCs w:val="32"/>
        </w:rPr>
        <w:t>。</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b/>
          <w:color w:val="000000"/>
          <w:sz w:val="32"/>
          <w:szCs w:val="32"/>
        </w:rPr>
        <w:t>带头深入调研。</w:t>
      </w:r>
      <w:r>
        <w:rPr>
          <w:rFonts w:hint="eastAsia" w:ascii="仿宋_GB2312" w:eastAsia="仿宋_GB2312"/>
          <w:color w:val="000000"/>
          <w:sz w:val="32"/>
          <w:szCs w:val="32"/>
        </w:rPr>
        <w:t>四大家领导班子成员带头开展调查研究，确定了29个调研课题，深入基层开展调研。内容涉及基层党建、县域经济发展、全域旅游、文旅兴市、招商引资、乡村振兴、基层治理、城市旅游品牌、中小学教育质量、生态环境保护、党风廉政社会评价等方面，提出高质量的对策建议80条。</w:t>
      </w:r>
      <w:r>
        <w:rPr>
          <w:rFonts w:hint="eastAsia" w:ascii="仿宋_GB2312" w:eastAsia="仿宋_GB2312"/>
          <w:b/>
          <w:color w:val="000000"/>
          <w:sz w:val="32"/>
          <w:szCs w:val="32"/>
        </w:rPr>
        <w:t>三是带头检视问题。</w:t>
      </w:r>
      <w:r>
        <w:rPr>
          <w:rFonts w:hint="eastAsia" w:ascii="仿宋_GB2312" w:eastAsia="仿宋_GB2312"/>
          <w:color w:val="000000"/>
          <w:sz w:val="32"/>
          <w:szCs w:val="32"/>
        </w:rPr>
        <w:t>通过自己找、上级点、群众提、集体议，共形成问题清单84个，其中四大家领导班子形成清单4个，共收集梳理班子问题46个，班子成员个人问题362个。</w:t>
      </w:r>
      <w:r>
        <w:rPr>
          <w:rFonts w:hint="eastAsia" w:ascii="仿宋_GB2312" w:eastAsia="仿宋_GB2312"/>
          <w:b/>
          <w:bCs/>
          <w:color w:val="000000"/>
          <w:sz w:val="32"/>
          <w:szCs w:val="32"/>
        </w:rPr>
        <w:t>四是</w:t>
      </w:r>
      <w:r>
        <w:rPr>
          <w:rFonts w:hint="eastAsia" w:ascii="仿宋_GB2312" w:eastAsia="仿宋_GB2312"/>
          <w:b/>
          <w:color w:val="000000"/>
          <w:sz w:val="32"/>
          <w:szCs w:val="32"/>
        </w:rPr>
        <w:t>带头整改落实。</w:t>
      </w:r>
      <w:r>
        <w:rPr>
          <w:rFonts w:hint="eastAsia" w:ascii="仿宋_GB2312" w:eastAsia="仿宋_GB2312"/>
          <w:color w:val="000000"/>
          <w:sz w:val="32"/>
          <w:szCs w:val="32"/>
        </w:rPr>
        <w:t>针对存在的问题，市领导带头撰写检视材料，分析问题原因，提出切实可行的整改措施。四大家领导班子召开高质量的民主生活会，对标主题主线，联系工作实际，“红了脸，出了汗”。公开整改措施，接受群众监督，建立整改台账，明确整改项目、责任、时限、标准等具体内容。</w:t>
      </w:r>
      <w:r>
        <w:rPr>
          <w:rFonts w:hint="eastAsia" w:ascii="仿宋_GB2312" w:eastAsia="仿宋_GB2312"/>
          <w:b/>
          <w:bCs/>
          <w:color w:val="000000"/>
          <w:sz w:val="32"/>
          <w:szCs w:val="32"/>
        </w:rPr>
        <w:t>五是</w:t>
      </w:r>
      <w:r>
        <w:rPr>
          <w:rFonts w:hint="eastAsia" w:ascii="仿宋_GB2312" w:eastAsia="仿宋_GB2312"/>
          <w:b/>
          <w:color w:val="000000"/>
          <w:sz w:val="32"/>
          <w:szCs w:val="32"/>
        </w:rPr>
        <w:t>带头抓好长效。</w:t>
      </w:r>
      <w:r>
        <w:rPr>
          <w:rFonts w:hint="eastAsia" w:ascii="仿宋_GB2312" w:eastAsia="仿宋_GB2312"/>
          <w:color w:val="000000"/>
          <w:sz w:val="32"/>
          <w:szCs w:val="32"/>
        </w:rPr>
        <w:t>坚持“当下改”和“长久立”相结合，市委重点将景城综合执法、市领导联系企业制度、干部作风“三项清单”、国有企业管理监督等4个方面建立长效机制。带动全市形成长效机制124个，其中新修订完善、新制定的长效机制69个。</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eastAsia="仿宋_GB2312"/>
          <w:color w:val="000000"/>
          <w:sz w:val="32"/>
          <w:szCs w:val="32"/>
        </w:rPr>
      </w:pPr>
      <w:r>
        <w:rPr>
          <w:rFonts w:hint="eastAsia" w:ascii="楷体_GB2312" w:hAnsi="黑体" w:eastAsia="楷体_GB2312" w:cs="楷体_GB2312"/>
          <w:bCs/>
          <w:color w:val="000000"/>
          <w:sz w:val="32"/>
          <w:szCs w:val="32"/>
        </w:rPr>
        <w:t>（二）压力传到位，落实有保障</w:t>
      </w:r>
      <w:r>
        <w:rPr>
          <w:rFonts w:hint="eastAsia" w:ascii="楷体_GB2312" w:hAnsi="黑体" w:eastAsia="楷体_GB2312" w:cs="楷体_GB2312"/>
          <w:color w:val="000000"/>
          <w:sz w:val="32"/>
          <w:szCs w:val="32"/>
        </w:rPr>
        <w:t>。</w:t>
      </w:r>
      <w:r>
        <w:rPr>
          <w:rFonts w:hint="eastAsia" w:ascii="仿宋_GB2312" w:hAnsi="仿宋_GB2312" w:eastAsia="仿宋_GB2312" w:cs="仿宋_GB2312"/>
          <w:color w:val="000000"/>
          <w:sz w:val="32"/>
          <w:szCs w:val="32"/>
        </w:rPr>
        <w:t>严格按照中央、省委、乐山市委的“规定动作”，坚持组织保障到位、任务分解到位、宣传教育到位，确保主题教育取得实效。</w:t>
      </w:r>
      <w:r>
        <w:rPr>
          <w:rFonts w:hint="eastAsia" w:ascii="仿宋_GB2312" w:hAnsi="楷体_GB2312" w:eastAsia="仿宋_GB2312" w:cs="楷体_GB2312"/>
          <w:b/>
          <w:bCs/>
          <w:color w:val="000000"/>
          <w:sz w:val="32"/>
          <w:szCs w:val="32"/>
        </w:rPr>
        <w:t>一是</w:t>
      </w:r>
      <w:r>
        <w:rPr>
          <w:rFonts w:hint="eastAsia" w:ascii="仿宋_GB2312" w:hAnsi="楷体_GB2312" w:eastAsia="仿宋_GB2312" w:cs="楷体_GB2312"/>
          <w:b/>
          <w:color w:val="000000"/>
          <w:sz w:val="32"/>
          <w:szCs w:val="32"/>
        </w:rPr>
        <w:t>组织到位。</w:t>
      </w:r>
      <w:r>
        <w:rPr>
          <w:rFonts w:hint="eastAsia" w:ascii="仿宋_GB2312" w:eastAsia="仿宋_GB2312"/>
          <w:color w:val="000000"/>
          <w:sz w:val="32"/>
          <w:szCs w:val="32"/>
        </w:rPr>
        <w:t>成立了由市委书记为组长的市委主题教育领导小组，下设办公室，分设综合、宣传、简报、联络、秘书等6个工作组，抽调15名干部负责日常工作，其中有6名干部脱产坐班。</w:t>
      </w:r>
      <w:r>
        <w:rPr>
          <w:rFonts w:hint="eastAsia" w:ascii="仿宋_GB2312" w:hAnsi="楷体_GB2312" w:eastAsia="仿宋_GB2312" w:cs="楷体_GB2312"/>
          <w:b/>
          <w:bCs/>
          <w:color w:val="000000"/>
          <w:sz w:val="32"/>
          <w:szCs w:val="32"/>
        </w:rPr>
        <w:t>二是</w:t>
      </w:r>
      <w:r>
        <w:rPr>
          <w:rFonts w:hint="eastAsia" w:ascii="仿宋_GB2312" w:hAnsi="楷体_GB2312" w:eastAsia="仿宋_GB2312" w:cs="楷体_GB2312"/>
          <w:b/>
          <w:color w:val="000000"/>
          <w:sz w:val="32"/>
          <w:szCs w:val="32"/>
        </w:rPr>
        <w:t>措施到位。</w:t>
      </w:r>
      <w:r>
        <w:rPr>
          <w:rFonts w:hint="eastAsia" w:ascii="仿宋_GB2312" w:eastAsia="仿宋_GB2312"/>
          <w:color w:val="000000"/>
          <w:sz w:val="32"/>
          <w:szCs w:val="32"/>
        </w:rPr>
        <w:t>以《峨眉山市开展“不忘初心、牢记使命”主题教育的实施意见》方案为统揽，同时对市领导班子和基层党支部开展主题教育重点分类制定实施方案。配套制定了违反中央八项规定、集中整治领导干部利用名贵特产类特殊资源谋取私利、软弱涣散基层党组织、干部不担当不作为、无视群众利益、对黑恶势力听之任之等23个专项整治方案。保证全市主题教育有序开展、精准开展、靶向开展。</w:t>
      </w:r>
      <w:r>
        <w:rPr>
          <w:rFonts w:hint="eastAsia" w:ascii="仿宋_GB2312" w:hAnsi="楷体" w:eastAsia="仿宋_GB2312"/>
          <w:b/>
          <w:bCs/>
          <w:color w:val="000000"/>
          <w:sz w:val="32"/>
          <w:szCs w:val="32"/>
        </w:rPr>
        <w:t>三是</w:t>
      </w:r>
      <w:r>
        <w:rPr>
          <w:rFonts w:hint="eastAsia" w:ascii="仿宋_GB2312" w:hAnsi="楷体" w:eastAsia="仿宋_GB2312"/>
          <w:b/>
          <w:color w:val="000000"/>
          <w:sz w:val="32"/>
          <w:szCs w:val="32"/>
        </w:rPr>
        <w:t>培训到位。</w:t>
      </w:r>
      <w:r>
        <w:rPr>
          <w:rFonts w:hint="eastAsia" w:ascii="仿宋_GB2312" w:hAnsi="楷体" w:eastAsia="仿宋_GB2312"/>
          <w:color w:val="000000"/>
          <w:sz w:val="32"/>
          <w:szCs w:val="32"/>
        </w:rPr>
        <w:t>领导小组办公室召开业务工作会16次，举办培训班2 次</w:t>
      </w:r>
      <w:r>
        <w:rPr>
          <w:rFonts w:hint="eastAsia" w:ascii="仿宋_GB2312" w:eastAsia="仿宋_GB2312"/>
          <w:color w:val="000000"/>
          <w:sz w:val="32"/>
          <w:szCs w:val="32"/>
        </w:rPr>
        <w:t>，培训工作人员25人，集中培训基层党组织书记770人。通过培训，提高了业务能力，掌握了工作方法，压实了工作责任，为主题教育开展提供了指导性保障。</w:t>
      </w:r>
      <w:r>
        <w:rPr>
          <w:rFonts w:hint="eastAsia" w:ascii="仿宋_GB2312" w:eastAsia="仿宋_GB2312"/>
          <w:b/>
          <w:bCs/>
          <w:color w:val="000000"/>
          <w:sz w:val="32"/>
          <w:szCs w:val="32"/>
        </w:rPr>
        <w:t>四是</w:t>
      </w:r>
      <w:r>
        <w:rPr>
          <w:rFonts w:hint="eastAsia" w:ascii="仿宋_GB2312" w:eastAsia="仿宋_GB2312"/>
          <w:b/>
          <w:color w:val="000000"/>
          <w:sz w:val="32"/>
          <w:szCs w:val="32"/>
        </w:rPr>
        <w:t>细节到位。</w:t>
      </w:r>
      <w:r>
        <w:rPr>
          <w:rFonts w:hint="eastAsia" w:ascii="仿宋_GB2312" w:eastAsia="仿宋_GB2312"/>
          <w:color w:val="000000"/>
          <w:sz w:val="32"/>
          <w:szCs w:val="32"/>
        </w:rPr>
        <w:t>坚持细节决定成败，注重操作上的细节处理，创新实施“清单提示”工作方法，将市领导和各参学单位的工作内容、规定动作、时间要求等关键事项，分类制定工作清单、每周工作重点等定期发出提示，保障各任务节点、各规定动作、各责任主体按时完成，避免返工“补课”。</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黑体" w:eastAsia="楷体_GB2312" w:cs="楷体_GB2312"/>
          <w:bCs/>
          <w:color w:val="000000"/>
          <w:sz w:val="32"/>
          <w:szCs w:val="32"/>
        </w:rPr>
        <w:t>（三）全程抓督导，纪实促整改</w:t>
      </w:r>
      <w:r>
        <w:rPr>
          <w:rFonts w:hint="eastAsia" w:ascii="楷体_GB2312" w:hAnsi="楷体_GB2312" w:eastAsia="楷体_GB2312" w:cs="楷体_GB2312"/>
          <w:color w:val="000000"/>
          <w:sz w:val="32"/>
          <w:szCs w:val="32"/>
        </w:rPr>
        <w:t>。</w:t>
      </w:r>
      <w:r>
        <w:rPr>
          <w:rFonts w:hint="eastAsia" w:ascii="仿宋_GB2312" w:eastAsia="仿宋_GB2312"/>
          <w:color w:val="000000"/>
          <w:sz w:val="33"/>
          <w:szCs w:val="33"/>
        </w:rPr>
        <w:t>坚持从严督导，全程介入，层层传导压力，既挑刺找茬，更诚心帮助解决问题，推动主题教育协调有序开展。</w:t>
      </w:r>
      <w:r>
        <w:rPr>
          <w:rFonts w:hint="eastAsia" w:ascii="仿宋_GB2312" w:hAnsi="楷体_GB2312" w:eastAsia="仿宋_GB2312" w:cs="楷体_GB2312"/>
          <w:b/>
          <w:color w:val="000000"/>
          <w:sz w:val="32"/>
          <w:szCs w:val="32"/>
        </w:rPr>
        <w:t>一是组建</w:t>
      </w:r>
      <w:r>
        <w:rPr>
          <w:rFonts w:hint="eastAsia" w:ascii="仿宋_GB2312" w:eastAsia="仿宋_GB2312"/>
          <w:b/>
          <w:color w:val="000000"/>
          <w:sz w:val="32"/>
          <w:szCs w:val="32"/>
        </w:rPr>
        <w:t>巡回指导专班。</w:t>
      </w:r>
      <w:r>
        <w:rPr>
          <w:rFonts w:hint="eastAsia" w:ascii="仿宋_GB2312" w:eastAsia="仿宋_GB2312"/>
          <w:color w:val="000000"/>
          <w:sz w:val="32"/>
          <w:szCs w:val="32"/>
        </w:rPr>
        <w:t>组建了10个巡回指导组，抽调10名正科领导干部任组长、10名副科领导为副组长、20名干部为工作人员，召开巡回指导组工作推进会5次，实现参学单位巡回督导全覆盖。</w:t>
      </w:r>
      <w:r>
        <w:rPr>
          <w:rFonts w:hint="eastAsia" w:ascii="仿宋_GB2312" w:eastAsia="仿宋_GB2312"/>
          <w:b/>
          <w:color w:val="000000"/>
          <w:sz w:val="32"/>
          <w:szCs w:val="32"/>
        </w:rPr>
        <w:t>二是建立巡回指导制度</w:t>
      </w:r>
      <w:r>
        <w:rPr>
          <w:rFonts w:hint="eastAsia" w:ascii="仿宋_GB2312" w:hAnsi="楷体_GB2312" w:eastAsia="仿宋_GB2312" w:cs="楷体_GB2312"/>
          <w:b/>
          <w:color w:val="000000"/>
          <w:sz w:val="32"/>
          <w:szCs w:val="32"/>
        </w:rPr>
        <w:t>。</w:t>
      </w:r>
      <w:r>
        <w:rPr>
          <w:rFonts w:hint="eastAsia" w:ascii="仿宋_GB2312" w:eastAsia="仿宋_GB2312"/>
          <w:color w:val="000000"/>
          <w:sz w:val="32"/>
          <w:szCs w:val="32"/>
        </w:rPr>
        <w:t>建立完善巡回督导工作一系列操作规范，印发《巡回指导工作手册》。实行“644”工作法，即6项职责、</w:t>
      </w:r>
      <w:r>
        <w:rPr>
          <w:rFonts w:hint="eastAsia" w:ascii="仿宋_GB2312" w:hAnsi="仿宋_GB2312" w:eastAsia="仿宋_GB2312" w:cs="仿宋_GB2312"/>
          <w:color w:val="000000"/>
          <w:sz w:val="32"/>
          <w:szCs w:val="32"/>
        </w:rPr>
        <w:t>4项要求、4条纪律</w:t>
      </w:r>
      <w:r>
        <w:rPr>
          <w:rFonts w:hint="eastAsia" w:ascii="仿宋_GB2312" w:eastAsia="仿宋_GB2312"/>
          <w:color w:val="000000"/>
          <w:sz w:val="32"/>
          <w:szCs w:val="32"/>
        </w:rPr>
        <w:t>，压实巡回指导工作责任，确保巡回督导思路方向清晰，问题把握实在，原则把关正确，指导意见不跑偏。</w:t>
      </w:r>
      <w:r>
        <w:rPr>
          <w:rFonts w:hint="eastAsia" w:ascii="仿宋_GB2312" w:eastAsia="仿宋_GB2312"/>
          <w:b/>
          <w:bCs/>
          <w:color w:val="000000"/>
          <w:sz w:val="32"/>
          <w:szCs w:val="32"/>
        </w:rPr>
        <w:t>三是</w:t>
      </w:r>
      <w:r>
        <w:rPr>
          <w:rFonts w:hint="eastAsia" w:ascii="仿宋_GB2312" w:eastAsia="仿宋_GB2312"/>
          <w:b/>
          <w:color w:val="000000"/>
          <w:sz w:val="32"/>
          <w:szCs w:val="32"/>
        </w:rPr>
        <w:t>盯住重点边学边改。</w:t>
      </w:r>
      <w:r>
        <w:rPr>
          <w:rFonts w:hint="eastAsia" w:ascii="仿宋_GB2312" w:eastAsia="仿宋_GB2312"/>
          <w:color w:val="000000"/>
          <w:sz w:val="32"/>
          <w:szCs w:val="32"/>
        </w:rPr>
        <w:t>对标中央、省委、乐山市委专项整治，重点围绕深入推进中央和省委巡视反馈意见整改、蒲波严重违纪违法案“回头看”、生态环境保护、全市A级旅游景区秩序、“大走访大服务”走进群众、“领导当甩手、机关打太极、基层耍威风、干部谋私利”、景区违建农房等23个专项整治，深化实化整改措施，推动协同联动，形成整改合力，</w:t>
      </w:r>
      <w:r>
        <w:rPr>
          <w:rFonts w:hint="eastAsia" w:ascii="仿宋_GB2312" w:eastAsia="仿宋_GB2312"/>
          <w:color w:val="000000"/>
          <w:sz w:val="33"/>
          <w:szCs w:val="33"/>
        </w:rPr>
        <w:t>坚持时间服务质量，既抓重点部门，更抓关键环节；既把握难点，更打通堵点；既敢亮“红灯”，敢开“罚单”，</w:t>
      </w:r>
      <w:r>
        <w:rPr>
          <w:rFonts w:hint="eastAsia" w:ascii="仿宋_GB2312" w:eastAsia="仿宋_GB2312"/>
          <w:color w:val="000000"/>
          <w:sz w:val="32"/>
          <w:szCs w:val="32"/>
        </w:rPr>
        <w:t>巡回督导发现问题237个，督促整改224个。</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eastAsia="仿宋_GB2312"/>
          <w:color w:val="000000"/>
          <w:sz w:val="32"/>
          <w:szCs w:val="32"/>
        </w:rPr>
      </w:pPr>
      <w:r>
        <w:rPr>
          <w:rFonts w:hint="eastAsia" w:ascii="楷体_GB2312" w:hAnsi="黑体" w:eastAsia="楷体_GB2312" w:cs="楷体_GB2312"/>
          <w:bCs/>
          <w:color w:val="000000"/>
          <w:sz w:val="32"/>
          <w:szCs w:val="32"/>
        </w:rPr>
        <w:t>（四）内宣加外宣，</w:t>
      </w:r>
      <w:r>
        <w:rPr>
          <w:rFonts w:hint="eastAsia" w:ascii="楷体_GB2312" w:eastAsia="楷体_GB2312"/>
          <w:color w:val="000000"/>
          <w:sz w:val="33"/>
          <w:szCs w:val="33"/>
        </w:rPr>
        <w:t>营造好氛围。</w:t>
      </w:r>
      <w:r>
        <w:rPr>
          <w:rFonts w:hint="eastAsia" w:ascii="仿宋_GB2312" w:eastAsia="仿宋_GB2312" w:cs="仿宋_GB2312"/>
          <w:b/>
          <w:bCs/>
          <w:color w:val="000000"/>
          <w:sz w:val="32"/>
          <w:szCs w:val="32"/>
        </w:rPr>
        <w:t>一是</w:t>
      </w:r>
      <w:r>
        <w:rPr>
          <w:rFonts w:hint="eastAsia" w:ascii="仿宋_GB2312" w:eastAsia="仿宋_GB2312" w:cs="仿宋_GB2312"/>
          <w:b/>
          <w:color w:val="000000"/>
          <w:sz w:val="32"/>
          <w:szCs w:val="32"/>
        </w:rPr>
        <w:t>丰富扩大外宣。</w:t>
      </w:r>
      <w:r>
        <w:rPr>
          <w:rFonts w:hint="eastAsia" w:ascii="仿宋_GB2312" w:eastAsia="仿宋_GB2312" w:cs="仿宋_GB2312"/>
          <w:color w:val="000000"/>
          <w:sz w:val="32"/>
          <w:szCs w:val="32"/>
        </w:rPr>
        <w:t>利用我市特有的对上对外宣传资源优势，广泛宣传我市主题教育作法特色成果，发出峨眉声音，提高我市影响力。发挥峨眉山电视台、峨眉新闻网、峨眉山报道等传统媒体作用，</w:t>
      </w:r>
      <w:r>
        <w:rPr>
          <w:rFonts w:hint="eastAsia" w:ascii="仿宋_GB2312" w:eastAsia="仿宋_GB2312"/>
          <w:color w:val="000000"/>
          <w:sz w:val="32"/>
          <w:szCs w:val="32"/>
        </w:rPr>
        <w:t>刊发主题教育稿件300余条次，上级媒体刊发30余条次。</w:t>
      </w:r>
      <w:r>
        <w:rPr>
          <w:rFonts w:hint="eastAsia" w:ascii="仿宋_GB2312" w:eastAsia="仿宋_GB2312"/>
          <w:b/>
          <w:bCs/>
          <w:color w:val="000000"/>
          <w:sz w:val="32"/>
          <w:szCs w:val="32"/>
        </w:rPr>
        <w:t>二是</w:t>
      </w:r>
      <w:r>
        <w:rPr>
          <w:rFonts w:hint="eastAsia" w:ascii="仿宋_GB2312" w:eastAsia="仿宋_GB2312"/>
          <w:b/>
          <w:color w:val="000000"/>
          <w:sz w:val="32"/>
          <w:szCs w:val="32"/>
        </w:rPr>
        <w:t>创新提质内宣。</w:t>
      </w:r>
      <w:r>
        <w:rPr>
          <w:rFonts w:hint="eastAsia" w:ascii="仿宋_GB2312" w:eastAsia="仿宋_GB2312"/>
          <w:color w:val="000000"/>
          <w:sz w:val="32"/>
          <w:szCs w:val="32"/>
        </w:rPr>
        <w:t>乐山市主题教育简报采用峨眉信息9条，我市编发“主题教育工作动态”17期，定期刊出“上级要情”“工作动态”“工作交流”，及时传达上级精神，编发市领导重要活动、部门特色亮点、基层鲜活经验，加强正面引导，鼓舞干部士气。</w:t>
      </w:r>
      <w:r>
        <w:rPr>
          <w:rFonts w:hint="eastAsia" w:ascii="仿宋_GB2312" w:eastAsia="仿宋_GB2312"/>
          <w:b/>
          <w:bCs/>
          <w:color w:val="000000"/>
          <w:sz w:val="32"/>
          <w:szCs w:val="32"/>
        </w:rPr>
        <w:t>三是</w:t>
      </w:r>
      <w:r>
        <w:rPr>
          <w:rFonts w:hint="eastAsia" w:ascii="仿宋_GB2312" w:eastAsia="仿宋_GB2312"/>
          <w:b/>
          <w:color w:val="000000"/>
          <w:sz w:val="32"/>
          <w:szCs w:val="32"/>
        </w:rPr>
        <w:t>做优网络平台。</w:t>
      </w:r>
      <w:r>
        <w:rPr>
          <w:rFonts w:hint="eastAsia" w:ascii="仿宋_GB2312" w:hAnsi="Calibri" w:eastAsia="仿宋_GB2312"/>
          <w:color w:val="000000"/>
          <w:sz w:val="32"/>
          <w:szCs w:val="32"/>
        </w:rPr>
        <w:t>收集整理峨眉市情党史、峨眉历史文化、峨眉山70年成就、峨眉山名人等为内容的峨眉初心故事，</w:t>
      </w:r>
      <w:r>
        <w:rPr>
          <w:rFonts w:hint="eastAsia" w:ascii="仿宋_GB2312" w:hAnsi="仿宋_GB2312" w:eastAsia="仿宋_GB2312" w:cs="仿宋_GB2312"/>
          <w:color w:val="000000"/>
          <w:sz w:val="32"/>
          <w:szCs w:val="32"/>
        </w:rPr>
        <w:t>运用</w:t>
      </w:r>
      <w:r>
        <w:rPr>
          <w:rFonts w:hint="eastAsia" w:ascii="仿宋_GB2312" w:eastAsia="仿宋_GB2312" w:cs="仿宋_GB2312"/>
          <w:color w:val="000000"/>
          <w:sz w:val="32"/>
          <w:szCs w:val="32"/>
        </w:rPr>
        <w:t>“微峨眉”“峨眉先锋”“微政务”“学习强国”</w:t>
      </w:r>
      <w:r>
        <w:rPr>
          <w:rFonts w:hint="eastAsia" w:ascii="仿宋_GB2312" w:hAnsi="仿宋_GB2312" w:eastAsia="仿宋_GB2312" w:cs="仿宋_GB2312"/>
          <w:color w:val="000000"/>
          <w:sz w:val="32"/>
          <w:szCs w:val="32"/>
        </w:rPr>
        <w:t>等党员教育平台，</w:t>
      </w:r>
      <w:r>
        <w:rPr>
          <w:rFonts w:hint="eastAsia" w:ascii="仿宋_GB2312" w:hAnsi="Calibri" w:eastAsia="仿宋_GB2312"/>
          <w:color w:val="000000"/>
          <w:sz w:val="32"/>
          <w:szCs w:val="32"/>
        </w:rPr>
        <w:t>组织制作“PPT”“抖音”“微视频”等传播方式，广泛宣传讲好峨眉故事，传播峨眉正能量，</w:t>
      </w:r>
      <w:r>
        <w:rPr>
          <w:rFonts w:hint="eastAsia" w:ascii="仿宋_GB2312" w:hAnsi="仿宋_GB2312" w:eastAsia="仿宋_GB2312" w:cs="仿宋_GB2312"/>
          <w:color w:val="000000"/>
          <w:sz w:val="32"/>
          <w:szCs w:val="32"/>
        </w:rPr>
        <w:t>增强主题教育的吸引力和感染力。</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主题教育时间短，任务重，没有明确的阶段划分，时间安排正是参学单位工作最忙的第四季度，在这样的情况下，我们树立“磨刀不误砍柴工”的理念，加强统筹协调，抓住关键求突破，做到了主题教育同业务工作和中心工作的巧结合，互促进，有四条经验值得总结。 </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eastAsia="仿宋_GB2312"/>
          <w:color w:val="000000"/>
          <w:sz w:val="33"/>
          <w:szCs w:val="33"/>
        </w:rPr>
      </w:pPr>
      <w:r>
        <w:rPr>
          <w:rFonts w:hint="eastAsia" w:ascii="楷体_GB2312" w:hAnsi="仿宋_GB2312" w:eastAsia="楷体_GB2312" w:cs="仿宋_GB2312"/>
          <w:bCs/>
          <w:color w:val="000000"/>
          <w:kern w:val="0"/>
          <w:sz w:val="32"/>
          <w:szCs w:val="32"/>
        </w:rPr>
        <w:t>（一）聚焦主题教育的主体，坚持把抓领导这个关键少数贯穿始终</w:t>
      </w:r>
      <w:r>
        <w:rPr>
          <w:rFonts w:hint="eastAsia" w:ascii="楷体_GB2312" w:hAnsi="仿宋_GB2312" w:eastAsia="楷体_GB2312" w:cs="仿宋_GB2312"/>
          <w:color w:val="000000"/>
          <w:kern w:val="0"/>
          <w:sz w:val="32"/>
          <w:szCs w:val="32"/>
        </w:rPr>
        <w:t>。</w:t>
      </w:r>
      <w:r>
        <w:rPr>
          <w:rFonts w:hint="eastAsia" w:ascii="仿宋_GB2312" w:hAnsi="仿宋_GB2312" w:eastAsia="仿宋_GB2312" w:cs="仿宋_GB2312"/>
          <w:color w:val="000000"/>
          <w:kern w:val="0"/>
          <w:sz w:val="32"/>
          <w:szCs w:val="32"/>
        </w:rPr>
        <w:t>中央第二批主题教育把县级领导干部做为重点，抓住了县级领导这个重点，借势把开展主题教育同习近平总书记重要指示批示精神和贯彻党的十九届四中全会结合起来，把开展主题教育作为当前最重大的政治任务来抓。</w:t>
      </w:r>
      <w:r>
        <w:rPr>
          <w:rFonts w:hint="eastAsia" w:ascii="仿宋_GB2312" w:hAnsi="仿宋_GB2312" w:eastAsia="仿宋_GB2312" w:cs="仿宋_GB2312"/>
          <w:b/>
          <w:bCs/>
          <w:color w:val="000000"/>
          <w:kern w:val="0"/>
          <w:sz w:val="32"/>
          <w:szCs w:val="32"/>
        </w:rPr>
        <w:t>领导重视是基础</w:t>
      </w:r>
      <w:r>
        <w:rPr>
          <w:rFonts w:hint="eastAsia" w:ascii="仿宋_GB2312" w:hAnsi="仿宋_GB2312" w:eastAsia="仿宋_GB2312" w:cs="仿宋_GB2312"/>
          <w:b/>
          <w:color w:val="000000"/>
          <w:kern w:val="0"/>
          <w:sz w:val="32"/>
          <w:szCs w:val="32"/>
        </w:rPr>
        <w:t>。</w:t>
      </w:r>
      <w:r>
        <w:rPr>
          <w:rFonts w:hint="eastAsia" w:ascii="仿宋_GB2312" w:eastAsia="仿宋_GB2312"/>
          <w:color w:val="000000"/>
          <w:sz w:val="32"/>
          <w:szCs w:val="32"/>
        </w:rPr>
        <w:t>以市委全会的形式高规格召开全市主题教育动员会，</w:t>
      </w:r>
      <w:r>
        <w:rPr>
          <w:rFonts w:hint="eastAsia" w:ascii="仿宋_GB2312" w:hAnsi="仿宋_GB2312" w:eastAsia="仿宋_GB2312" w:cs="仿宋_GB2312"/>
          <w:color w:val="000000"/>
          <w:kern w:val="0"/>
          <w:sz w:val="32"/>
          <w:szCs w:val="32"/>
        </w:rPr>
        <w:t>市委书记高鹏凌主持召开推进主题教育的会议5次，听取主题教育工作汇报8次</w:t>
      </w:r>
      <w:r>
        <w:rPr>
          <w:rFonts w:hint="eastAsia" w:ascii="仿宋_GB2312" w:eastAsia="仿宋_GB2312"/>
          <w:color w:val="000000"/>
          <w:sz w:val="32"/>
          <w:szCs w:val="32"/>
        </w:rPr>
        <w:t>，并从相关单位抽调精兵强将负责主题教育日常工作</w:t>
      </w:r>
      <w:r>
        <w:rPr>
          <w:rFonts w:hint="eastAsia" w:ascii="仿宋_GB2312" w:hAnsi="仿宋_GB2312" w:eastAsia="仿宋_GB2312" w:cs="仿宋_GB2312"/>
          <w:color w:val="000000"/>
          <w:kern w:val="0"/>
          <w:sz w:val="32"/>
          <w:szCs w:val="32"/>
        </w:rPr>
        <w:t>。实践证明，领导重视就是主题教育的最好环境，领导支持是最大的支持，领导参加就是最有效的宣传。</w:t>
      </w:r>
      <w:r>
        <w:rPr>
          <w:rFonts w:hint="eastAsia" w:ascii="仿宋_GB2312" w:hAnsi="仿宋_GB2312" w:eastAsia="仿宋_GB2312" w:cs="仿宋_GB2312"/>
          <w:b/>
          <w:bCs/>
          <w:color w:val="000000"/>
          <w:kern w:val="0"/>
          <w:sz w:val="32"/>
          <w:szCs w:val="32"/>
        </w:rPr>
        <w:t>领导带头是关键。</w:t>
      </w:r>
      <w:r>
        <w:rPr>
          <w:rFonts w:hint="eastAsia" w:ascii="仿宋_GB2312" w:hAnsi="仿宋_GB2312" w:eastAsia="仿宋_GB2312" w:cs="仿宋_GB2312"/>
          <w:color w:val="000000"/>
          <w:kern w:val="0"/>
          <w:sz w:val="32"/>
          <w:szCs w:val="32"/>
        </w:rPr>
        <w:t>四大家领导带头学习、带头走基层调研、带头讲党课、带头检视问题、带头批评和自我批评、带头整改问题。市委书记高鹏凌挂联的软弱涣散村整治中，3次来到桂花桥镇彭桥村，直对群众，直面问题，督促相关部门盯住改，短时间解决了群众反映突出的河道污染、交通设施等问题。</w:t>
      </w:r>
      <w:r>
        <w:rPr>
          <w:rFonts w:hint="eastAsia" w:ascii="仿宋_GB2312" w:eastAsia="仿宋_GB2312"/>
          <w:color w:val="000000"/>
          <w:sz w:val="33"/>
          <w:szCs w:val="33"/>
        </w:rPr>
        <w:t>实践证明，坚持领导带头，以上率下，就能形成一级带着一级干，一级做给一级看，层层跟进抓落实，横向互动齐发力的生动局面。</w:t>
      </w:r>
      <w:r>
        <w:rPr>
          <w:rFonts w:hint="eastAsia" w:ascii="仿宋_GB2312" w:eastAsia="仿宋_GB2312"/>
          <w:b/>
          <w:bCs/>
          <w:color w:val="000000"/>
          <w:sz w:val="33"/>
          <w:szCs w:val="33"/>
        </w:rPr>
        <w:t>关键时候靠领导。</w:t>
      </w:r>
      <w:r>
        <w:rPr>
          <w:rFonts w:hint="eastAsia" w:ascii="仿宋_GB2312" w:eastAsia="仿宋_GB2312"/>
          <w:color w:val="000000"/>
          <w:sz w:val="33"/>
          <w:szCs w:val="33"/>
        </w:rPr>
        <w:t>“大走访大服务”中，我们面对涉及数万群众利益的拆迁安置遗留问题特别是景区违建拆除“天字1号”难题，我们坚持重大难题由市领导挂帅抓落实，发挥领导资源优势，秉持权为民所用，担当作为攻难关，促进一大批问题的解决或打下了解决的基础。实践证明，越是工作面临困难的时候，领导亲临一线，既挂帅又当先锋，既是指挥员又是战斗员，第一时间掌握情况，凝聚了力量，鼓舞了士气，相机作出正确的决策安排，发挥决定性的作用。</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eastAsia="仿宋_GB2312"/>
          <w:color w:val="000000"/>
          <w:sz w:val="32"/>
          <w:szCs w:val="32"/>
        </w:rPr>
      </w:pPr>
      <w:r>
        <w:rPr>
          <w:rFonts w:hint="eastAsia" w:ascii="楷体_GB2312" w:hAnsi="仿宋_GB2312" w:eastAsia="楷体_GB2312" w:cs="仿宋_GB2312"/>
          <w:bCs/>
          <w:color w:val="000000"/>
          <w:kern w:val="0"/>
          <w:sz w:val="32"/>
          <w:szCs w:val="32"/>
        </w:rPr>
        <w:t>（二）聚焦主题教育的本质，坚持把服务群众办难事贯穿始终。</w:t>
      </w:r>
      <w:r>
        <w:rPr>
          <w:rFonts w:hint="eastAsia" w:ascii="仿宋_GB2312" w:eastAsia="仿宋_GB2312"/>
          <w:color w:val="000000"/>
          <w:sz w:val="33"/>
          <w:szCs w:val="33"/>
        </w:rPr>
        <w:t>衡量主题教育成效的标准，最根本的一条就是群众满意，群众是最公正的裁判。只有坚持把群众参与贯穿始终，主题教育才能拥有广泛的群众基础，否则就是闭门造车，自演自说。主题教育一开始，我们通过对群众最关心的热点问题排查，制定了《关于开展“大走访大服务”走进群众专项行动的工作方案》《关于深入开展“领导当甩手、机关打太极、基层耍威风、干部谋私利”专项整治的工作方案》《关于峨眉山景区违建农房专项整治的工作方案》，把这3个群众最关心、涉及最广泛、推进难度最大的专项治理贯穿主题教育的始终，始终坚持真心全覆盖“走进群众”，真情“大走访大服务”。在研学过程中走基层访群众，从基层实践创新中寻找发力的方向，从大量的群众走访中找破解问题的有效办法；在检视问题中我们把“群众点”作为规定动作，确保了问题的针对性、真实性，确保查找的问题是“干货”，得到群众的认可；整改建章立制过程中，我们坚持群众参与评判，建立完善群众测评方法，凡是涉及关系群众利益的事项，群众测评意见不达标的，均实行一票否决，加大群众的话语权和评判权。实践证明，我们坚持让群众参与，确保了整改就有正确的方向，制定的一系列制度就有生命力，落实起来就有底气，整改就有执行力</w:t>
      </w:r>
      <w:r>
        <w:rPr>
          <w:rFonts w:hint="eastAsia" w:ascii="仿宋_GB2312" w:eastAsia="仿宋_GB2312"/>
          <w:color w:val="000000"/>
          <w:sz w:val="32"/>
          <w:szCs w:val="32"/>
        </w:rPr>
        <w:t>。</w:t>
      </w:r>
    </w:p>
    <w:p>
      <w:pPr>
        <w:keepNext w:val="0"/>
        <w:keepLines w:val="0"/>
        <w:pageBreakBefore w:val="0"/>
        <w:widowControl w:val="0"/>
        <w:kinsoku/>
        <w:wordWrap/>
        <w:topLinePunct w:val="0"/>
        <w:bidi w:val="0"/>
        <w:spacing w:line="560" w:lineRule="exact"/>
        <w:ind w:firstLine="640" w:firstLineChars="200"/>
        <w:textAlignment w:val="auto"/>
        <w:rPr>
          <w:rFonts w:hint="eastAsia" w:ascii="仿宋_GB2312" w:eastAsia="仿宋_GB2312"/>
          <w:color w:val="000000"/>
          <w:sz w:val="33"/>
          <w:szCs w:val="33"/>
        </w:rPr>
      </w:pPr>
      <w:r>
        <w:rPr>
          <w:rFonts w:hint="eastAsia" w:ascii="楷体_GB2312" w:hAnsi="仿宋_GB2312" w:eastAsia="楷体_GB2312" w:cs="仿宋_GB2312"/>
          <w:bCs/>
          <w:color w:val="000000"/>
          <w:kern w:val="0"/>
          <w:sz w:val="32"/>
          <w:szCs w:val="32"/>
        </w:rPr>
        <w:t>（三）聚焦主题教育的难点，坚持把以学促改破解难题贯穿始终。</w:t>
      </w:r>
      <w:r>
        <w:rPr>
          <w:rFonts w:hint="eastAsia" w:ascii="仿宋_GB2312" w:eastAsia="仿宋_GB2312"/>
          <w:color w:val="000000"/>
          <w:sz w:val="33"/>
          <w:szCs w:val="33"/>
        </w:rPr>
        <w:t>坚持问题导向，把开展专项整治作为重要抓手，把解决问题作为检验成效的重要标准</w:t>
      </w:r>
      <w:r>
        <w:rPr>
          <w:rFonts w:hint="eastAsia" w:ascii="仿宋_GB2312" w:eastAsia="仿宋_GB2312"/>
          <w:color w:val="000000"/>
          <w:sz w:val="32"/>
          <w:szCs w:val="32"/>
        </w:rPr>
        <w:t>。</w:t>
      </w:r>
      <w:r>
        <w:rPr>
          <w:rFonts w:hint="eastAsia" w:ascii="仿宋_GB2312" w:eastAsia="仿宋_GB2312"/>
          <w:color w:val="000000"/>
          <w:sz w:val="33"/>
          <w:szCs w:val="33"/>
        </w:rPr>
        <w:t>当前我市仍然面临增长动能不足、投资增速放缓的下行压力，部分经济指标低于预期；景区对标整改、违建农房整治等事关全局的工作艰难推进；拆迁安置、环境污染等关系群众切身利益的问题还未根本解决；少数党员干部精神懈怠、厌战怯战，队伍干事创业的精气神还需进一步提振。面对这些难题，主题教育一开始就“改”起来，有什么问题就解决什么问题，共性问题集中解决，个性问题专项研究。实践证明，我们整改紧盯难点不放，实行项目化落实、系统化推进、精准化给力，逐条逐项建立台账，能够当下改的，按期整改到位。一时解决不了的问题，明确标准要求、完成时限，盯住改持续改，不见效不收手，推动一批“老大难”的解决。实践证明，我们坚持建章立制长效改，持续推进系统整治，注重从政策层面、制度层面统筹解决带有普遍性的问题，促进整改措施制度化、整改成果长效化，避免整改时“雨过地皮湿”，整改后“涛声仍依旧”，真正把一张张“问题清单”变为“成效清单”，让群众切实感受到主题教育带来的新变化新成效。</w:t>
      </w:r>
    </w:p>
    <w:p>
      <w:pPr>
        <w:keepNext w:val="0"/>
        <w:keepLines w:val="0"/>
        <w:pageBreakBefore w:val="0"/>
        <w:widowControl w:val="0"/>
        <w:kinsoku/>
        <w:wordWrap/>
        <w:topLinePunct w:val="0"/>
        <w:bidi w:val="0"/>
        <w:spacing w:line="560" w:lineRule="exact"/>
        <w:ind w:firstLine="640"/>
        <w:textAlignment w:val="auto"/>
        <w:rPr>
          <w:rFonts w:hint="eastAsia" w:ascii="仿宋_GB2312" w:hAnsi="仿宋_GB2312" w:eastAsia="仿宋_GB2312" w:cs="仿宋_GB2312"/>
          <w:color w:val="000000"/>
          <w:kern w:val="0"/>
          <w:sz w:val="32"/>
          <w:szCs w:val="32"/>
        </w:rPr>
      </w:pPr>
      <w:r>
        <w:rPr>
          <w:rFonts w:hint="eastAsia" w:ascii="楷体_GB2312" w:hAnsi="仿宋_GB2312" w:eastAsia="楷体_GB2312" w:cs="仿宋_GB2312"/>
          <w:bCs/>
          <w:color w:val="000000"/>
          <w:kern w:val="0"/>
          <w:sz w:val="32"/>
          <w:szCs w:val="32"/>
        </w:rPr>
        <w:t>（四）聚焦主题教育的目标，坚持把加力推动“137”发展总体思路贯穿始终。</w:t>
      </w:r>
      <w:r>
        <w:rPr>
          <w:rFonts w:hint="eastAsia" w:ascii="仿宋_GB2312" w:eastAsia="仿宋_GB2312"/>
          <w:color w:val="000000"/>
          <w:sz w:val="33"/>
          <w:szCs w:val="33"/>
        </w:rPr>
        <w:t>当前，峨眉山正处在发展关键期、改革攻坚期、矛盾凸显期。市委十四届七次全会确定的“137”总体发展思路，是我市今后较长一段时间全市上下放眼全局、齐心协力、击鼓奋进的纲领性文件，也是我们今后长期践行初心的现实选择，更是时代赋予我们的历史使命。主题教育中，我们</w:t>
      </w:r>
      <w:r>
        <w:rPr>
          <w:rFonts w:hint="eastAsia" w:ascii="仿宋_GB2312" w:hAnsi="仿宋_GB2312" w:eastAsia="仿宋_GB2312" w:cs="仿宋_GB2312"/>
          <w:color w:val="000000"/>
          <w:kern w:val="0"/>
          <w:sz w:val="32"/>
          <w:szCs w:val="32"/>
        </w:rPr>
        <w:t>聚焦建设“世界重要旅游目的地”“绿水青山典范城市”定位，制定出台了《峨眉山保护条例》，全力推进“生态立市、文旅兴市、产业强市”三大战略。今年以来，峨眉山成功获评全省天府旅游名县、县域经济发展进步县、国家全域旅游示范区。我们知耻而后勇，背水一战，实施峨眉山景区“保牌升级”，出台被媒体称为“史上最严”的《关于严厉整治峨眉山景区旅游秩序的规定》，研究制定《峨眉山景区全面系统提升方案》，投入资金3.3亿元,推动4大类66个具体问题整改。在景区违建治理中，39名县级领导分片包干、500多名干部驻村，动员一切力量、调度一切资源，用尽一切办法，干部群众合力攻坚。目前已认定公布违建农房160栋3058套、建筑面积15.8万平方米，依法拆除152栋、14.53万平方米，啃下这块“硬骨头”，取得了压倒性胜利态势。</w:t>
      </w:r>
    </w:p>
    <w:p>
      <w:pPr>
        <w:keepNext w:val="0"/>
        <w:keepLines w:val="0"/>
        <w:pageBreakBefore w:val="0"/>
        <w:widowControl w:val="0"/>
        <w:kinsoku/>
        <w:wordWrap/>
        <w:topLinePunct w:val="0"/>
        <w:bidi w:val="0"/>
        <w:spacing w:line="560" w:lineRule="exact"/>
        <w:ind w:firstLine="645"/>
        <w:textAlignment w:val="auto"/>
        <w:rPr>
          <w:rFonts w:hint="eastAsia" w:ascii="黑体" w:hAnsi="黑体" w:eastAsia="黑体"/>
          <w:bCs/>
          <w:color w:val="000000"/>
          <w:sz w:val="32"/>
          <w:szCs w:val="32"/>
        </w:rPr>
      </w:pPr>
      <w:r>
        <w:rPr>
          <w:rFonts w:hint="eastAsia" w:ascii="黑体" w:hAnsi="黑体" w:eastAsia="黑体"/>
          <w:color w:val="000000"/>
          <w:sz w:val="32"/>
          <w:szCs w:val="32"/>
          <w:lang w:val="en-US" w:eastAsia="zh-CN"/>
        </w:rPr>
        <w:t>六</w:t>
      </w:r>
      <w:r>
        <w:rPr>
          <w:rFonts w:hint="eastAsia" w:ascii="黑体" w:hAnsi="黑体" w:eastAsia="黑体"/>
          <w:color w:val="000000"/>
          <w:sz w:val="32"/>
          <w:szCs w:val="32"/>
        </w:rPr>
        <w:t>、下</w:t>
      </w:r>
      <w:r>
        <w:rPr>
          <w:rFonts w:hint="eastAsia" w:ascii="黑体" w:hAnsi="黑体" w:eastAsia="黑体"/>
          <w:color w:val="000000"/>
          <w:sz w:val="32"/>
          <w:szCs w:val="32"/>
          <w:lang w:val="en-US" w:eastAsia="zh-CN"/>
        </w:rPr>
        <w:t>一</w:t>
      </w:r>
      <w:r>
        <w:rPr>
          <w:rFonts w:hint="eastAsia" w:ascii="黑体" w:hAnsi="黑体" w:eastAsia="黑体"/>
          <w:color w:val="000000"/>
          <w:sz w:val="32"/>
          <w:szCs w:val="32"/>
        </w:rPr>
        <w:t>步打算</w:t>
      </w:r>
    </w:p>
    <w:p>
      <w:pPr>
        <w:keepNext w:val="0"/>
        <w:keepLines w:val="0"/>
        <w:pageBreakBefore w:val="0"/>
        <w:widowControl w:val="0"/>
        <w:kinsoku/>
        <w:wordWrap/>
        <w:topLinePunct w:val="0"/>
        <w:bidi w:val="0"/>
        <w:spacing w:line="560" w:lineRule="exact"/>
        <w:ind w:firstLine="660"/>
        <w:textAlignment w:val="auto"/>
        <w:rPr>
          <w:rFonts w:hint="eastAsia" w:ascii="仿宋_GB2312" w:eastAsia="仿宋_GB2312"/>
          <w:color w:val="000000"/>
          <w:sz w:val="32"/>
          <w:szCs w:val="32"/>
        </w:rPr>
      </w:pPr>
      <w:r>
        <w:rPr>
          <w:rFonts w:hint="eastAsia" w:ascii="仿宋_GB2312" w:eastAsia="仿宋_GB2312"/>
          <w:color w:val="000000"/>
          <w:sz w:val="32"/>
          <w:szCs w:val="32"/>
        </w:rPr>
        <w:t>我市教育实践虽然取得了一定的成绩，但仍存在一些问题，主要表现为：个别班子存在过关思想，有的单位在整改措施上，回应问题有一定的选择性，回避深层次矛盾，以个案整改代替面上问题的整改，对问题整改的反复性顽固性认识不够。</w:t>
      </w:r>
    </w:p>
    <w:p>
      <w:pPr>
        <w:keepNext w:val="0"/>
        <w:keepLines w:val="0"/>
        <w:pageBreakBefore w:val="0"/>
        <w:widowControl w:val="0"/>
        <w:kinsoku/>
        <w:wordWrap/>
        <w:topLinePunct w:val="0"/>
        <w:bidi w:val="0"/>
        <w:spacing w:line="560" w:lineRule="exact"/>
        <w:ind w:firstLine="660"/>
        <w:textAlignment w:val="auto"/>
        <w:rPr>
          <w:rFonts w:hint="eastAsia" w:ascii="仿宋_GB2312" w:eastAsia="仿宋_GB2312"/>
          <w:color w:val="000000"/>
          <w:sz w:val="32"/>
          <w:szCs w:val="32"/>
        </w:rPr>
      </w:pPr>
      <w:r>
        <w:rPr>
          <w:rFonts w:hint="eastAsia" w:ascii="楷体_GB2312" w:eastAsia="楷体_GB2312"/>
          <w:bCs/>
          <w:color w:val="000000"/>
          <w:sz w:val="32"/>
          <w:szCs w:val="32"/>
        </w:rPr>
        <w:t>（一）理论学习再加强</w:t>
      </w:r>
      <w:r>
        <w:rPr>
          <w:rFonts w:hint="eastAsia" w:ascii="楷体_GB2312" w:eastAsia="楷体_GB2312"/>
          <w:color w:val="000000"/>
          <w:sz w:val="32"/>
          <w:szCs w:val="32"/>
        </w:rPr>
        <w:t>。</w:t>
      </w:r>
      <w:r>
        <w:rPr>
          <w:rFonts w:hint="eastAsia" w:ascii="仿宋_GB2312" w:eastAsia="仿宋_GB2312"/>
          <w:color w:val="000000"/>
          <w:sz w:val="32"/>
          <w:szCs w:val="32"/>
        </w:rPr>
        <w:t>进一步改进学风、思想作风、工作作风、领导作风，建立健全作风建设的长效机制。继续把学习习近平新时代中国特色社会主义</w:t>
      </w:r>
      <w:r>
        <w:rPr>
          <w:rFonts w:hint="eastAsia" w:ascii="仿宋_GB2312" w:eastAsia="仿宋_GB2312"/>
          <w:color w:val="000000"/>
          <w:sz w:val="32"/>
          <w:szCs w:val="32"/>
          <w:lang w:eastAsia="zh-CN"/>
        </w:rPr>
        <w:t>思想</w:t>
      </w:r>
      <w:r>
        <w:rPr>
          <w:rFonts w:hint="eastAsia" w:ascii="仿宋_GB2312" w:eastAsia="仿宋_GB2312"/>
          <w:color w:val="000000"/>
          <w:sz w:val="32"/>
          <w:szCs w:val="32"/>
        </w:rPr>
        <w:t>作为党员干部的必修课、常修课。把学习党章党规作为经常性任务来抓，精学细研、躬身践行，始终知敬畏、存戒惧、守底线，始终在增强“四个意识”、坚定“四个自信”、做到“两个维护”上当表率，真正让习近平新时代中国特色社会主义思想融入血脉、扎根心田。</w:t>
      </w:r>
    </w:p>
    <w:p>
      <w:pPr>
        <w:keepNext w:val="0"/>
        <w:keepLines w:val="0"/>
        <w:pageBreakBefore w:val="0"/>
        <w:widowControl w:val="0"/>
        <w:kinsoku/>
        <w:wordWrap/>
        <w:topLinePunct w:val="0"/>
        <w:bidi w:val="0"/>
        <w:spacing w:line="560" w:lineRule="exact"/>
        <w:ind w:firstLine="660"/>
        <w:textAlignment w:val="auto"/>
        <w:rPr>
          <w:rFonts w:hint="eastAsia" w:ascii="仿宋_GB2312" w:eastAsia="仿宋_GB2312"/>
          <w:color w:val="000000"/>
          <w:sz w:val="32"/>
          <w:szCs w:val="32"/>
        </w:rPr>
      </w:pPr>
      <w:r>
        <w:rPr>
          <w:rFonts w:hint="eastAsia" w:ascii="楷体_GB2312" w:eastAsia="楷体_GB2312"/>
          <w:bCs/>
          <w:color w:val="000000"/>
          <w:sz w:val="32"/>
          <w:szCs w:val="32"/>
        </w:rPr>
        <w:t>（二）长效机制再完善。</w:t>
      </w:r>
      <w:r>
        <w:rPr>
          <w:rFonts w:hint="eastAsia" w:ascii="仿宋_GB2312" w:eastAsia="仿宋_GB2312"/>
          <w:color w:val="000000"/>
          <w:sz w:val="32"/>
          <w:szCs w:val="32"/>
        </w:rPr>
        <w:t>要充分认识到，检视问题、整改问题的复杂，不少问题具有反复性、长期性，整改要坚持持续用力、久久为功。整改问题不能一改了之，要着眼长远建章立制，确保主题教育有时限，制度建设永远在路上。各乡镇各部门要认真总结可复制可推广的经验，用制度的形式固定下来，强化制度设计、制度创新、制度执行，真正让践初心、担使命成为常态和自觉。</w:t>
      </w:r>
    </w:p>
    <w:p>
      <w:pPr>
        <w:keepNext w:val="0"/>
        <w:keepLines w:val="0"/>
        <w:pageBreakBefore w:val="0"/>
        <w:widowControl w:val="0"/>
        <w:kinsoku/>
        <w:wordWrap/>
        <w:topLinePunct w:val="0"/>
        <w:bidi w:val="0"/>
        <w:spacing w:line="560" w:lineRule="exact"/>
        <w:ind w:firstLine="660"/>
        <w:textAlignment w:val="auto"/>
        <w:rPr>
          <w:rFonts w:hint="eastAsia" w:ascii="仿宋_GB2312" w:eastAsia="仿宋_GB2312"/>
          <w:color w:val="000000"/>
          <w:sz w:val="32"/>
          <w:szCs w:val="32"/>
        </w:rPr>
      </w:pPr>
      <w:r>
        <w:rPr>
          <w:rFonts w:hint="eastAsia" w:ascii="楷体_GB2312" w:eastAsia="楷体_GB2312"/>
          <w:bCs/>
          <w:color w:val="000000"/>
          <w:sz w:val="32"/>
          <w:szCs w:val="32"/>
        </w:rPr>
        <w:t>(三)干事创业再发力</w:t>
      </w:r>
      <w:r>
        <w:rPr>
          <w:rFonts w:hint="eastAsia" w:ascii="楷体_GB2312" w:hAnsi="宋体" w:eastAsia="楷体_GB2312" w:cs="仿宋_GB2312"/>
          <w:bCs/>
          <w:color w:val="000000"/>
          <w:sz w:val="32"/>
          <w:szCs w:val="32"/>
        </w:rPr>
        <w:t>。</w:t>
      </w:r>
      <w:r>
        <w:rPr>
          <w:rFonts w:hint="eastAsia" w:ascii="仿宋_GB2312" w:eastAsia="仿宋_GB2312"/>
          <w:color w:val="000000"/>
          <w:sz w:val="32"/>
          <w:szCs w:val="32"/>
        </w:rPr>
        <w:t>要适时组织开展整改“回头看”工作，审视整改效果、总结客观规律，防止问题“反弹回潮”，要对类似问题举一反三，做到检视一个问题，解决一类隐患，以点带面促进整体提升。要紧紧围绕“137”发展总体思路，谋大局、下真功，以务实的作风、扎实的工作推进目标任务完成。</w:t>
      </w:r>
    </w:p>
    <w:p>
      <w:pPr>
        <w:keepNext w:val="0"/>
        <w:keepLines w:val="0"/>
        <w:pageBreakBefore w:val="0"/>
        <w:widowControl w:val="0"/>
        <w:kinsoku/>
        <w:wordWrap/>
        <w:topLinePunct w:val="0"/>
        <w:bidi w:val="0"/>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、评价结论及建议</w:t>
      </w:r>
    </w:p>
    <w:p>
      <w:pPr>
        <w:keepNext w:val="0"/>
        <w:keepLines w:val="0"/>
        <w:pageBreakBefore w:val="0"/>
        <w:widowControl w:val="0"/>
        <w:kinsoku/>
        <w:wordWrap/>
        <w:topLinePunct w:val="0"/>
        <w:bidi w:val="0"/>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（一）评价结论</w:t>
      </w:r>
    </w:p>
    <w:p>
      <w:pPr>
        <w:keepNext w:val="0"/>
        <w:keepLines w:val="0"/>
        <w:pageBreakBefore w:val="0"/>
        <w:widowControl w:val="0"/>
        <w:kinsoku/>
        <w:wordWrap/>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自全党上下开展“</w:t>
      </w:r>
      <w:r>
        <w:fldChar w:fldCharType="begin"/>
      </w:r>
      <w:r>
        <w:instrText xml:space="preserve"> HYPERLINK "https://www.wm114.cn/0o/65/index.html" </w:instrText>
      </w:r>
      <w:r>
        <w:fldChar w:fldCharType="separate"/>
      </w:r>
      <w:r>
        <w:rPr>
          <w:rFonts w:hint="eastAsia" w:ascii="仿宋" w:hAnsi="仿宋" w:eastAsia="仿宋" w:cs="仿宋"/>
          <w:sz w:val="32"/>
          <w:szCs w:val="32"/>
        </w:rPr>
        <w:t>不忘初心、牢记使命</w:t>
      </w:r>
      <w:r>
        <w:rPr>
          <w:rFonts w:hint="eastAsia" w:ascii="仿宋" w:hAnsi="仿宋" w:eastAsia="仿宋" w:cs="仿宋"/>
          <w:sz w:val="32"/>
          <w:szCs w:val="32"/>
        </w:rPr>
        <w:fldChar w:fldCharType="end"/>
      </w:r>
      <w:r>
        <w:rPr>
          <w:rFonts w:hint="eastAsia" w:ascii="仿宋" w:hAnsi="仿宋" w:eastAsia="仿宋" w:cs="仿宋"/>
          <w:sz w:val="32"/>
          <w:szCs w:val="32"/>
        </w:rPr>
        <w:t>”主题教育以来，全市立足新方位、新起点，以主题教育为抓手，坚持问题导向、责任导向、发展导向，切实通过学习教育，筑牢忠诚根基;通过调查研究，补齐发展短板;通过检视问题，改进</w:t>
      </w:r>
      <w:r>
        <w:fldChar w:fldCharType="begin"/>
      </w:r>
      <w:r>
        <w:instrText xml:space="preserve"> HYPERLINK "http://www.wm114.cn/0v/93/index.html" </w:instrText>
      </w:r>
      <w:r>
        <w:fldChar w:fldCharType="separate"/>
      </w:r>
      <w:r>
        <w:rPr>
          <w:rFonts w:hint="eastAsia" w:ascii="仿宋" w:hAnsi="仿宋" w:eastAsia="仿宋" w:cs="仿宋"/>
          <w:sz w:val="32"/>
          <w:szCs w:val="32"/>
        </w:rPr>
        <w:t>工作作风</w:t>
      </w:r>
      <w:r>
        <w:rPr>
          <w:rFonts w:hint="eastAsia" w:ascii="仿宋" w:hAnsi="仿宋" w:eastAsia="仿宋" w:cs="仿宋"/>
          <w:sz w:val="32"/>
          <w:szCs w:val="32"/>
        </w:rPr>
        <w:fldChar w:fldCharType="end"/>
      </w:r>
      <w:r>
        <w:rPr>
          <w:rFonts w:hint="eastAsia" w:ascii="仿宋" w:hAnsi="仿宋" w:eastAsia="仿宋" w:cs="仿宋"/>
          <w:sz w:val="32"/>
          <w:szCs w:val="32"/>
        </w:rPr>
        <w:t>;通过整改落实，推动组织工作高质量发展。做到了谋实事、出实招、做实功、求实效，取得了阶段性成效。综上，改项目的实施，获得了如期的社会效益、政治洗礼，达到了主题教育的要求，受益群体满意度逐渐提高。</w:t>
      </w:r>
    </w:p>
    <w:p>
      <w:pPr>
        <w:keepNext w:val="0"/>
        <w:keepLines w:val="0"/>
        <w:pageBreakBefore w:val="0"/>
        <w:widowControl w:val="0"/>
        <w:kinsoku/>
        <w:wordWrap/>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经评测，项目各指标均达到指标要求，项目实施达到预期效果，</w:t>
      </w:r>
      <w:r>
        <w:rPr>
          <w:rFonts w:hint="eastAsia" w:ascii="仿宋" w:hAnsi="仿宋" w:eastAsia="仿宋" w:cs="仿宋"/>
          <w:sz w:val="32"/>
          <w:szCs w:val="32"/>
          <w:lang w:val="en-US" w:eastAsia="zh-CN"/>
        </w:rPr>
        <w:t>但在项目年初和年底项目支出时，本该在办公经费中列支的部分项目支出在主题教育经费中列支，使用上还需进一步规范。</w:t>
      </w:r>
      <w:r>
        <w:rPr>
          <w:rFonts w:hint="eastAsia" w:ascii="仿宋" w:hAnsi="仿宋" w:eastAsia="仿宋" w:cs="仿宋"/>
          <w:sz w:val="32"/>
          <w:szCs w:val="32"/>
        </w:rPr>
        <w:t>自我评分</w:t>
      </w:r>
      <w:r>
        <w:rPr>
          <w:rFonts w:hint="eastAsia" w:ascii="仿宋" w:hAnsi="仿宋" w:eastAsia="仿宋" w:cs="仿宋"/>
          <w:sz w:val="32"/>
          <w:szCs w:val="32"/>
          <w:lang w:val="en-US" w:eastAsia="zh-CN"/>
        </w:rPr>
        <w:t>95.2</w:t>
      </w:r>
      <w:r>
        <w:rPr>
          <w:rFonts w:hint="eastAsia" w:ascii="仿宋" w:hAnsi="仿宋" w:eastAsia="仿宋" w:cs="仿宋"/>
          <w:sz w:val="32"/>
          <w:szCs w:val="32"/>
        </w:rPr>
        <w:t>分。</w:t>
      </w:r>
    </w:p>
    <w:p>
      <w:pPr>
        <w:keepNext w:val="0"/>
        <w:keepLines w:val="0"/>
        <w:pageBreakBefore w:val="0"/>
        <w:widowControl w:val="0"/>
        <w:kinsoku/>
        <w:wordWrap/>
        <w:topLinePunct w:val="0"/>
        <w:bidi w:val="0"/>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（二）存在的问题</w:t>
      </w:r>
    </w:p>
    <w:p>
      <w:pPr>
        <w:keepNext w:val="0"/>
        <w:keepLines w:val="0"/>
        <w:pageBreakBefore w:val="0"/>
        <w:widowControl w:val="0"/>
        <w:kinsoku/>
        <w:wordWrap/>
        <w:topLinePunct w:val="0"/>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存在着用力不均的问题。开展主题教育以来，我们狠抓了学习教育，党员的理论水平得到了明显提升，但是调查研究、落实整改等方面，存在着开展推动方法不灵活、支部学习不均衡等问题，需要进一步提升整体、把握水平，做到平均用力、见实见效。</w:t>
      </w:r>
      <w:r>
        <w:rPr>
          <w:rFonts w:hint="eastAsia" w:ascii="仿宋" w:hAnsi="仿宋" w:eastAsia="仿宋" w:cs="仿宋"/>
          <w:sz w:val="32"/>
          <w:szCs w:val="32"/>
        </w:rPr>
        <w:br w:type="textWrapping"/>
      </w:r>
      <w:r>
        <w:rPr>
          <w:rFonts w:hint="eastAsia" w:ascii="仿宋" w:hAnsi="仿宋" w:eastAsia="仿宋"/>
          <w:sz w:val="32"/>
          <w:szCs w:val="32"/>
        </w:rPr>
        <w:t xml:space="preserve">    2.</w:t>
      </w:r>
      <w:r>
        <w:rPr>
          <w:rFonts w:hint="eastAsia" w:ascii="楷体" w:hAnsi="楷体" w:eastAsia="楷体" w:cs="楷体"/>
          <w:sz w:val="32"/>
          <w:szCs w:val="32"/>
        </w:rPr>
        <w:t>改革创新与形势需要还有一定差距。</w:t>
      </w:r>
      <w:r>
        <w:rPr>
          <w:rFonts w:hint="eastAsia" w:ascii="仿宋" w:hAnsi="仿宋" w:eastAsia="仿宋" w:cs="仿宋"/>
          <w:sz w:val="32"/>
          <w:szCs w:val="32"/>
        </w:rPr>
        <w:t>面对新形势下如何夯实工作基础、锻造过硬队伍等关键课题，解题思路和措施还不够精准。需要进一步调研和研判才能做到精准施策。</w:t>
      </w:r>
    </w:p>
    <w:p>
      <w:pPr>
        <w:keepNext w:val="0"/>
        <w:keepLines w:val="0"/>
        <w:pageBreakBefore w:val="0"/>
        <w:widowControl w:val="0"/>
        <w:kinsoku/>
        <w:wordWrap/>
        <w:topLinePunct w:val="0"/>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3.项目支出管理内控制度还不够完善。</w:t>
      </w:r>
    </w:p>
    <w:p>
      <w:pPr>
        <w:keepNext w:val="0"/>
        <w:keepLines w:val="0"/>
        <w:pageBreakBefore w:val="0"/>
        <w:widowControl w:val="0"/>
        <w:kinsoku/>
        <w:wordWrap/>
        <w:topLinePunct w:val="0"/>
        <w:bidi w:val="0"/>
        <w:spacing w:line="560" w:lineRule="exact"/>
        <w:ind w:firstLine="640" w:firstLineChars="200"/>
        <w:textAlignment w:val="auto"/>
        <w:rPr>
          <w:rFonts w:ascii="仿宋" w:hAnsi="仿宋" w:eastAsia="仿宋" w:cs="仿宋"/>
          <w:sz w:val="32"/>
          <w:szCs w:val="32"/>
        </w:rPr>
      </w:pPr>
      <w:r>
        <w:rPr>
          <w:rFonts w:hint="eastAsia" w:ascii="楷体" w:hAnsi="楷体" w:eastAsia="楷体" w:cs="楷体"/>
          <w:sz w:val="32"/>
          <w:szCs w:val="32"/>
        </w:rPr>
        <w:t>（三）相关建议</w:t>
      </w:r>
    </w:p>
    <w:p>
      <w:pPr>
        <w:keepNext w:val="0"/>
        <w:keepLines w:val="0"/>
        <w:pageBreakBefore w:val="0"/>
        <w:widowControl w:val="0"/>
        <w:kinsoku/>
        <w:wordWrap/>
        <w:topLinePunct w:val="0"/>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1.常补理想信念之“钙”。持续弘扬马克思主义学风,深入学习贯彻习近平新时代中国特色社会主义思想和党的十九大、</w:t>
      </w:r>
      <w:r>
        <w:rPr>
          <w:rFonts w:hint="eastAsia" w:ascii="仿宋" w:hAnsi="仿宋" w:eastAsia="仿宋" w:cs="仿宋"/>
          <w:sz w:val="32"/>
          <w:szCs w:val="32"/>
          <w:lang w:val="en-US" w:eastAsia="zh-CN"/>
        </w:rPr>
        <w:t>党的</w:t>
      </w:r>
      <w:bookmarkStart w:id="82" w:name="_GoBack"/>
      <w:bookmarkEnd w:id="82"/>
      <w:r>
        <w:rPr>
          <w:rFonts w:hint="eastAsia" w:ascii="仿宋" w:hAnsi="仿宋" w:eastAsia="仿宋" w:cs="仿宋"/>
          <w:sz w:val="32"/>
          <w:szCs w:val="32"/>
        </w:rPr>
        <w:t>十九届四中全会精神，带头深学深悟、笃信笃行，切实树牢“四个意识”，坚定“四个自信”，做到“两个维护”，不折不扣贯彻执行中央、省委、乐山市委决策部署，确保政令畅通、决策落地。</w:t>
      </w:r>
    </w:p>
    <w:p>
      <w:pPr>
        <w:keepNext w:val="0"/>
        <w:keepLines w:val="0"/>
        <w:pageBreakBefore w:val="0"/>
        <w:widowControl w:val="0"/>
        <w:kinsoku/>
        <w:wordWrap/>
        <w:topLinePunct w:val="0"/>
        <w:bidi w:val="0"/>
        <w:spacing w:line="560" w:lineRule="exact"/>
        <w:ind w:firstLine="645"/>
        <w:textAlignment w:val="auto"/>
        <w:rPr>
          <w:rFonts w:ascii="仿宋" w:hAnsi="仿宋" w:eastAsia="仿宋" w:cs="仿宋"/>
          <w:sz w:val="32"/>
          <w:szCs w:val="32"/>
        </w:rPr>
      </w:pPr>
      <w:r>
        <w:rPr>
          <w:rFonts w:hint="eastAsia" w:ascii="仿宋" w:hAnsi="仿宋" w:eastAsia="仿宋" w:cs="仿宋"/>
          <w:sz w:val="32"/>
          <w:szCs w:val="32"/>
        </w:rPr>
        <w:t>2.常抓立行整改之“实”。终坚持问题导向，以“钉钉子”的精神，咬住问题不放，进一步制定细化措施，列出落实清单，明确整改时限。全面落实中央和省委、乐山市委和峨眉山市委“8+8+3+3”专项整治任务，逐项研究、逐一回应、逐个解决，真正做到责任到人、整改到位。</w:t>
      </w:r>
    </w:p>
    <w:p>
      <w:pPr>
        <w:keepNext w:val="0"/>
        <w:keepLines w:val="0"/>
        <w:pageBreakBefore w:val="0"/>
        <w:widowControl w:val="0"/>
        <w:kinsoku/>
        <w:wordWrap/>
        <w:topLinePunct w:val="0"/>
        <w:bidi w:val="0"/>
        <w:spacing w:line="560" w:lineRule="exact"/>
        <w:ind w:firstLine="608" w:firstLineChars="190"/>
        <w:textAlignment w:val="auto"/>
        <w:rPr>
          <w:rFonts w:ascii="仿宋" w:hAnsi="仿宋" w:eastAsia="仿宋" w:cs="仿宋"/>
          <w:sz w:val="32"/>
          <w:szCs w:val="32"/>
        </w:rPr>
      </w:pPr>
      <w:r>
        <w:rPr>
          <w:rFonts w:hint="eastAsia" w:ascii="仿宋" w:hAnsi="仿宋" w:eastAsia="仿宋" w:cs="仿宋"/>
          <w:sz w:val="32"/>
          <w:szCs w:val="32"/>
        </w:rPr>
        <w:t>3.常练推动工作之“功”。不断提升狠抓落实的本领，进一步强化“敢落实”的勇气担当，历练“勤落实”的作风意志，涵养“善落实”的工作能力，夯实“促落实”的制度保障，紧紧围绕“生态立市</w:t>
      </w:r>
      <w:r>
        <w:rPr>
          <w:rFonts w:ascii="仿宋" w:hAnsi="仿宋" w:eastAsia="仿宋" w:cs="仿宋"/>
          <w:sz w:val="32"/>
          <w:szCs w:val="32"/>
        </w:rPr>
        <w:t>、文旅兴市、产业强</w:t>
      </w:r>
      <w:r>
        <w:rPr>
          <w:rFonts w:hint="eastAsia" w:ascii="仿宋" w:hAnsi="仿宋" w:eastAsia="仿宋" w:cs="仿宋"/>
          <w:sz w:val="32"/>
          <w:szCs w:val="32"/>
        </w:rPr>
        <w:t>”发展主线，深化落实峨眉山市“137”发展总体思路，为建设美丽繁荣和谐峨眉提供坚强的组织保障。</w:t>
      </w:r>
    </w:p>
    <w:p>
      <w:pPr>
        <w:keepNext w:val="0"/>
        <w:keepLines w:val="0"/>
        <w:pageBreakBefore w:val="0"/>
        <w:widowControl w:val="0"/>
        <w:kinsoku/>
        <w:wordWrap/>
        <w:topLinePunct w:val="0"/>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部机关进一步完善内控制度，确保按照项目支出范围保障好项目实施。</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5.</w:t>
      </w:r>
      <w:r>
        <w:rPr>
          <w:rFonts w:hint="eastAsia" w:ascii="仿宋" w:hAnsi="仿宋" w:eastAsia="仿宋" w:cs="仿宋"/>
          <w:sz w:val="32"/>
          <w:szCs w:val="32"/>
        </w:rPr>
        <w:t>市级财政部门要加强对部门项目建设相关制度的专题培训，制定系统性的业务办理细则。</w:t>
      </w:r>
    </w:p>
    <w:p>
      <w:pPr>
        <w:spacing w:line="576" w:lineRule="exact"/>
        <w:rPr>
          <w:rFonts w:ascii="仿宋" w:hAnsi="仿宋" w:eastAsia="仿宋" w:cs="仿宋"/>
          <w:sz w:val="32"/>
          <w:szCs w:val="32"/>
        </w:rPr>
      </w:pP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bookmarkStart w:id="68"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68"/>
    </w:p>
    <w:p>
      <w:pPr>
        <w:pStyle w:val="3"/>
        <w:rPr>
          <w:rFonts w:ascii="仿宋" w:hAnsi="仿宋" w:eastAsia="仿宋"/>
          <w:color w:val="000000"/>
        </w:rPr>
      </w:pPr>
      <w:bookmarkStart w:id="69"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9"/>
    </w:p>
    <w:p>
      <w:pPr>
        <w:pStyle w:val="3"/>
        <w:rPr>
          <w:rFonts w:ascii="仿宋" w:hAnsi="仿宋" w:eastAsia="仿宋"/>
          <w:color w:val="000000"/>
        </w:rPr>
      </w:pPr>
      <w:bookmarkStart w:id="70"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70"/>
    </w:p>
    <w:p>
      <w:pPr>
        <w:pStyle w:val="3"/>
        <w:rPr>
          <w:rFonts w:ascii="仿宋" w:hAnsi="仿宋" w:eastAsia="仿宋"/>
          <w:color w:val="000000"/>
        </w:rPr>
      </w:pPr>
      <w:bookmarkStart w:id="71"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71"/>
    </w:p>
    <w:p>
      <w:pPr>
        <w:pStyle w:val="3"/>
        <w:rPr>
          <w:rFonts w:ascii="仿宋" w:hAnsi="仿宋" w:eastAsia="仿宋"/>
          <w:b w:val="0"/>
          <w:color w:val="000000"/>
        </w:rPr>
      </w:pPr>
      <w:bookmarkStart w:id="72"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72"/>
    </w:p>
    <w:p>
      <w:pPr>
        <w:pStyle w:val="3"/>
        <w:rPr>
          <w:rStyle w:val="25"/>
          <w:rFonts w:ascii="仿宋" w:hAnsi="仿宋" w:eastAsia="仿宋"/>
          <w:b w:val="0"/>
          <w:bCs w:val="0"/>
        </w:rPr>
      </w:pPr>
      <w:bookmarkStart w:id="73"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73"/>
      <w:bookmarkStart w:id="74"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74"/>
    </w:p>
    <w:p>
      <w:pPr>
        <w:pStyle w:val="3"/>
        <w:rPr>
          <w:rFonts w:ascii="仿宋" w:hAnsi="仿宋" w:eastAsia="仿宋"/>
          <w:color w:val="000000"/>
        </w:rPr>
      </w:pPr>
      <w:bookmarkStart w:id="75"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75"/>
    </w:p>
    <w:p>
      <w:pPr>
        <w:pStyle w:val="3"/>
        <w:rPr>
          <w:rFonts w:ascii="仿宋" w:hAnsi="仿宋" w:eastAsia="仿宋"/>
          <w:color w:val="000000"/>
        </w:rPr>
      </w:pPr>
      <w:bookmarkStart w:id="76"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76"/>
    </w:p>
    <w:p>
      <w:pPr>
        <w:pStyle w:val="3"/>
        <w:rPr>
          <w:rFonts w:ascii="仿宋" w:hAnsi="仿宋" w:eastAsia="仿宋"/>
          <w:color w:val="000000"/>
        </w:rPr>
      </w:pPr>
      <w:bookmarkStart w:id="77"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7"/>
    </w:p>
    <w:p>
      <w:pPr>
        <w:pStyle w:val="3"/>
        <w:rPr>
          <w:rFonts w:ascii="仿宋" w:hAnsi="仿宋" w:eastAsia="仿宋"/>
          <w:color w:val="000000"/>
        </w:rPr>
      </w:pPr>
      <w:bookmarkStart w:id="78"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8"/>
    </w:p>
    <w:p>
      <w:pPr>
        <w:pStyle w:val="3"/>
        <w:rPr>
          <w:rFonts w:ascii="仿宋" w:hAnsi="仿宋" w:eastAsia="仿宋"/>
          <w:color w:val="000000"/>
        </w:rPr>
      </w:pPr>
      <w:bookmarkStart w:id="79"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9"/>
    </w:p>
    <w:p>
      <w:pPr>
        <w:pStyle w:val="3"/>
        <w:rPr>
          <w:rFonts w:ascii="仿宋" w:hAnsi="仿宋" w:eastAsia="仿宋"/>
          <w:color w:val="000000"/>
        </w:rPr>
      </w:pPr>
      <w:bookmarkStart w:id="80"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80"/>
    </w:p>
    <w:p>
      <w:pPr>
        <w:pStyle w:val="3"/>
        <w:rPr>
          <w:rFonts w:ascii="仿宋" w:hAnsi="仿宋" w:eastAsia="仿宋"/>
          <w:color w:val="000000" w:themeColor="text1"/>
          <w14:textFill>
            <w14:solidFill>
              <w14:schemeClr w14:val="tx1"/>
            </w14:solidFill>
          </w14:textFill>
        </w:rPr>
      </w:pPr>
      <w:bookmarkStart w:id="81"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81"/>
    </w:p>
    <w:p>
      <w:pPr>
        <w:pStyle w:val="3"/>
        <w:rPr>
          <w:rFonts w:ascii="仿宋" w:hAnsi="仿宋" w:eastAsia="仿宋"/>
          <w:color w:val="000000" w:themeColor="text1"/>
          <w14:textFill>
            <w14:solidFill>
              <w14:schemeClr w14:val="tx1"/>
            </w14:solidFill>
          </w14:textFill>
        </w:rPr>
      </w:pPr>
    </w:p>
    <w:sectPr>
      <w:headerReference r:id="rId3" w:type="default"/>
      <w:footerReference r:id="rId4" w:type="default"/>
      <w:pgSz w:w="11906" w:h="16838"/>
      <w:pgMar w:top="2041" w:right="1468" w:bottom="1587" w:left="146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9395D"/>
    <w:multiLevelType w:val="singleLevel"/>
    <w:tmpl w:val="8C69395D"/>
    <w:lvl w:ilvl="0" w:tentative="0">
      <w:start w:val="2"/>
      <w:numFmt w:val="decimal"/>
      <w:suff w:val="nothing"/>
      <w:lvlText w:val="（%1）"/>
      <w:lvlJc w:val="left"/>
    </w:lvl>
  </w:abstractNum>
  <w:abstractNum w:abstractNumId="1">
    <w:nsid w:val="A88887B5"/>
    <w:multiLevelType w:val="singleLevel"/>
    <w:tmpl w:val="A88887B5"/>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54C14"/>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276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2669"/>
    <w:rsid w:val="00EF4C34"/>
    <w:rsid w:val="00EF77C6"/>
    <w:rsid w:val="00F05438"/>
    <w:rsid w:val="00F1361C"/>
    <w:rsid w:val="00F156F0"/>
    <w:rsid w:val="00F160C7"/>
    <w:rsid w:val="00F17649"/>
    <w:rsid w:val="00F2408F"/>
    <w:rsid w:val="00F240E9"/>
    <w:rsid w:val="00F36D8F"/>
    <w:rsid w:val="00F417B1"/>
    <w:rsid w:val="00F45853"/>
    <w:rsid w:val="00F602DF"/>
    <w:rsid w:val="00F754A1"/>
    <w:rsid w:val="00F81FD9"/>
    <w:rsid w:val="00F841AA"/>
    <w:rsid w:val="00F84A94"/>
    <w:rsid w:val="00F87E96"/>
    <w:rsid w:val="00F922C7"/>
    <w:rsid w:val="00FA23E8"/>
    <w:rsid w:val="00FD3CC1"/>
    <w:rsid w:val="00FF1E02"/>
    <w:rsid w:val="00FF30B4"/>
    <w:rsid w:val="10C055FF"/>
    <w:rsid w:val="16BB723D"/>
    <w:rsid w:val="21ED34A5"/>
    <w:rsid w:val="240371BF"/>
    <w:rsid w:val="275F325C"/>
    <w:rsid w:val="29FD04D3"/>
    <w:rsid w:val="2FB96A39"/>
    <w:rsid w:val="319F7F4E"/>
    <w:rsid w:val="3E5212C1"/>
    <w:rsid w:val="48DF36C7"/>
    <w:rsid w:val="4A536424"/>
    <w:rsid w:val="4E72021C"/>
    <w:rsid w:val="4EA60046"/>
    <w:rsid w:val="4ECE2238"/>
    <w:rsid w:val="53FB4BBD"/>
    <w:rsid w:val="59265CB7"/>
    <w:rsid w:val="72734D90"/>
    <w:rsid w:val="75AD1F29"/>
    <w:rsid w:val="FBFF62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金额</c:v>
                </c:pt>
              </c:strCache>
            </c:strRef>
          </c:tx>
          <c:invertIfNegative val="0"/>
          <c:dLbls>
            <c:delete val="1"/>
          </c:dLbls>
          <c:cat>
            <c:strRef>
              <c:f>Sheet1!$A$2:$A$5</c:f>
              <c:strCache>
                <c:ptCount val="4"/>
                <c:pt idx="0">
                  <c:v>2019年收入总计</c:v>
                </c:pt>
                <c:pt idx="1">
                  <c:v>2018年收入总计</c:v>
                </c:pt>
                <c:pt idx="2">
                  <c:v>2019年支出总计</c:v>
                </c:pt>
                <c:pt idx="3">
                  <c:v>2018年支出总计</c:v>
                </c:pt>
              </c:strCache>
            </c:strRef>
          </c:cat>
          <c:val>
            <c:numRef>
              <c:f>Sheet1!$B$2:$B$5</c:f>
              <c:numCache>
                <c:formatCode>General</c:formatCode>
                <c:ptCount val="4"/>
                <c:pt idx="0">
                  <c:v>1462.7</c:v>
                </c:pt>
                <c:pt idx="1">
                  <c:v>1313.45</c:v>
                </c:pt>
                <c:pt idx="2">
                  <c:v>1434.7</c:v>
                </c:pt>
                <c:pt idx="3">
                  <c:v>1307.02</c:v>
                </c:pt>
              </c:numCache>
            </c:numRef>
          </c:val>
        </c:ser>
        <c:dLbls>
          <c:showLegendKey val="0"/>
          <c:showVal val="0"/>
          <c:showCatName val="0"/>
          <c:showSerName val="0"/>
          <c:showPercent val="0"/>
          <c:showBubbleSize val="0"/>
        </c:dLbls>
        <c:gapWidth val="150"/>
        <c:axId val="169482880"/>
        <c:axId val="169497344"/>
      </c:barChart>
      <c:catAx>
        <c:axId val="1694828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9497344"/>
        <c:crosses val="autoZero"/>
        <c:auto val="1"/>
        <c:lblAlgn val="ctr"/>
        <c:lblOffset val="100"/>
        <c:noMultiLvlLbl val="0"/>
      </c:catAx>
      <c:valAx>
        <c:axId val="1694973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948288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en-US" altLang="zh-CN"/>
              <a:t>2019</a:t>
            </a:r>
            <a:r>
              <a:rPr altLang="en-US"/>
              <a:t>年本年收入</a:t>
            </a:r>
            <a:endParaRPr lang="en-US" altLang="zh-CN"/>
          </a:p>
        </c:rich>
      </c:tx>
      <c:layout/>
      <c:overlay val="0"/>
    </c:title>
    <c:autoTitleDeleted val="0"/>
    <c:plotArea>
      <c:layout/>
      <c:pieChart>
        <c:varyColors val="1"/>
        <c:ser>
          <c:idx val="0"/>
          <c:order val="0"/>
          <c:tx>
            <c:strRef>
              <c:f>Sheet1!$B$1</c:f>
              <c:strCache>
                <c:ptCount val="1"/>
                <c:pt idx="0">
                  <c:v>2019年本年收入</c:v>
                </c:pt>
              </c:strCache>
            </c:strRef>
          </c:tx>
          <c:explosion val="7"/>
          <c:dPt>
            <c:idx val="0"/>
            <c:bubble3D val="0"/>
          </c:dPt>
          <c:dPt>
            <c:idx val="1"/>
            <c:bubble3D val="0"/>
          </c:dPt>
          <c:dPt>
            <c:idx val="2"/>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p>
                  <a:p>
                    <a:pPr defTabSz="914400">
                      <a:defRPr lang="zh-CN" sz="1000" b="0" i="0" u="none" strike="noStrike" kern="1200" baseline="0">
                        <a:solidFill>
                          <a:schemeClr val="tx1"/>
                        </a:solidFill>
                        <a:latin typeface="+mn-lt"/>
                        <a:ea typeface="+mn-ea"/>
                        <a:cs typeface="+mn-cs"/>
                      </a:defRPr>
                    </a:pPr>
                    <a:r>
                      <a:rPr lang="en-US" altLang="zh-CN"/>
                      <a:t>96.83</a:t>
                    </a:r>
                    <a:r>
                      <a:t>%</a:t>
                    </a:r>
                  </a:p>
                </c:rich>
              </c:tx>
              <c:dLblPos val="inEnd"/>
              <c:showLegendKey val="0"/>
              <c:showVal val="0"/>
              <c:showCatName val="0"/>
              <c:showSerName val="0"/>
              <c:showPercent val="1"/>
              <c:showBubbleSize val="0"/>
              <c:extLst>
                <c:ext xmlns:c15="http://schemas.microsoft.com/office/drawing/2012/chart" uri="{CE6537A1-D6FC-4f65-9D91-7224C49458BB}">
                  <c15:layout>
                    <c:manualLayout>
                      <c:w val="0.175601519628535"/>
                      <c:h val="0.273212922920377"/>
                    </c:manualLayout>
                  </c15:layout>
                </c:ext>
              </c:extLst>
            </c:dLbl>
            <c:dLbl>
              <c:idx val="1"/>
              <c:layout>
                <c:manualLayout>
                  <c:x val="-0.0830482428977521"/>
                  <c:y val="0.0098494827005366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536652072092434"/>
                  <c:y val="-0.01854887759154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
</c:v>
                </c:pt>
                <c:pt idx="1">
                  <c:v>政府性基金预算财政拨款</c:v>
                </c:pt>
                <c:pt idx="2">
                  <c:v>其他</c:v>
                </c:pt>
              </c:strCache>
            </c:strRef>
          </c:cat>
          <c:val>
            <c:numRef>
              <c:f>Sheet1!$B$2:$B$4</c:f>
              <c:numCache>
                <c:formatCode>General</c:formatCode>
                <c:ptCount val="3"/>
                <c:pt idx="0">
                  <c:v>1416.37</c:v>
                </c:pt>
                <c:pt idx="1">
                  <c:v>21.61</c:v>
                </c:pt>
                <c:pt idx="2">
                  <c:v>24.72</c:v>
                </c:pt>
              </c:numCache>
            </c:numRef>
          </c:val>
        </c:ser>
        <c:dLbls>
          <c:showLegendKey val="0"/>
          <c:showVal val="0"/>
          <c:showCatName val="0"/>
          <c:showSerName val="0"/>
          <c:showPercent val="0"/>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en-US" altLang="zh-CN"/>
              <a:t>2019</a:t>
            </a:r>
            <a:r>
              <a:rPr altLang="en-US"/>
              <a:t>年本年支出</a:t>
            </a:r>
            <a:endParaRPr lang="en-US" altLang="zh-CN"/>
          </a:p>
        </c:rich>
      </c:tx>
      <c:layout/>
      <c:overlay val="0"/>
    </c:title>
    <c:autoTitleDeleted val="0"/>
    <c:plotArea>
      <c:layout/>
      <c:pieChart>
        <c:varyColors val="1"/>
        <c:ser>
          <c:idx val="0"/>
          <c:order val="0"/>
          <c:tx>
            <c:strRef>
              <c:f>Sheet1!$B$1</c:f>
              <c:strCache>
                <c:ptCount val="1"/>
                <c:pt idx="0">
                  <c:v>2019年本年支出</c:v>
                </c:pt>
              </c:strCache>
            </c:strRef>
          </c:tx>
          <c:explosion val="7"/>
          <c:dPt>
            <c:idx val="0"/>
            <c:bubble3D val="0"/>
          </c:dPt>
          <c:dPt>
            <c:idx val="1"/>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p>
                  <a:p>
                    <a:pPr defTabSz="914400">
                      <a:defRPr lang="zh-CN" sz="1000" b="0" i="0" u="none" strike="noStrike" kern="1200" baseline="0">
                        <a:solidFill>
                          <a:schemeClr val="tx1"/>
                        </a:solidFill>
                        <a:latin typeface="+mn-lt"/>
                        <a:ea typeface="+mn-ea"/>
                        <a:cs typeface="+mn-cs"/>
                      </a:defRPr>
                    </a:pPr>
                    <a:r>
                      <a:rPr lang="en-US" altLang="zh-CN"/>
                      <a:t>96.83</a:t>
                    </a:r>
                    <a:r>
                      <a:t>%</a:t>
                    </a:r>
                  </a:p>
                </c:rich>
              </c:tx>
              <c:dLblPos val="inEnd"/>
              <c:showLegendKey val="0"/>
              <c:showVal val="0"/>
              <c:showCatName val="0"/>
              <c:showSerName val="0"/>
              <c:showPercent val="1"/>
              <c:showBubbleSize val="0"/>
              <c:extLst>
                <c:ext xmlns:c15="http://schemas.microsoft.com/office/drawing/2012/chart" uri="{CE6537A1-D6FC-4f65-9D91-7224C49458BB}">
                  <c15:layout>
                    <c:manualLayout>
                      <c:w val="0.175601519628535"/>
                      <c:h val="0.273212922920377"/>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
</c:v>
                </c:pt>
                <c:pt idx="1">
                  <c:v>项目支出</c:v>
                </c:pt>
              </c:strCache>
            </c:strRef>
          </c:cat>
          <c:val>
            <c:numRef>
              <c:f>Sheet1!$B$2:$B$3</c:f>
              <c:numCache>
                <c:formatCode>General</c:formatCode>
                <c:ptCount val="2"/>
                <c:pt idx="0">
                  <c:v>590.23</c:v>
                </c:pt>
                <c:pt idx="1">
                  <c:v>844.47</c:v>
                </c:pt>
              </c:numCache>
            </c:numRef>
          </c:val>
        </c:ser>
        <c:dLbls>
          <c:showLegendKey val="0"/>
          <c:showVal val="0"/>
          <c:showCatName val="0"/>
          <c:showSerName val="0"/>
          <c:showPercent val="0"/>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财政拨款收入支出情况表</a:t>
            </a:r>
          </a:p>
        </c:rich>
      </c:tx>
      <c:layout/>
      <c:overlay val="0"/>
      <c:spPr>
        <a:noFill/>
        <a:ln>
          <a:noFill/>
        </a:ln>
        <a:effectLst/>
      </c:spPr>
    </c:title>
    <c:autoTitleDeleted val="0"/>
    <c:plotArea>
      <c:layout>
        <c:manualLayout>
          <c:layoutTarget val="inner"/>
          <c:xMode val="edge"/>
          <c:yMode val="edge"/>
          <c:x val="0.0552"/>
          <c:y val="0.162"/>
          <c:w val="0.927925"/>
          <c:h val="0.716566666666667"/>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2019年</c:v>
                </c:pt>
                <c:pt idx="1">
                  <c:v>2018年</c:v>
                </c:pt>
              </c:strCache>
            </c:strRef>
          </c:cat>
          <c:val>
            <c:numRef>
              <c:f>Sheet1!$B$2:$B$3</c:f>
              <c:numCache>
                <c:formatCode>General</c:formatCode>
                <c:ptCount val="2"/>
                <c:pt idx="0">
                  <c:v>1437.98</c:v>
                </c:pt>
                <c:pt idx="1">
                  <c:v>1313.45</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2019年</c:v>
                </c:pt>
                <c:pt idx="1">
                  <c:v>2018年</c:v>
                </c:pt>
              </c:strCache>
            </c:strRef>
          </c:cat>
          <c:val>
            <c:numRef>
              <c:f>Sheet1!$C$2:$C$3</c:f>
              <c:numCache>
                <c:formatCode>General</c:formatCode>
                <c:ptCount val="2"/>
                <c:pt idx="0">
                  <c:v>1427.02</c:v>
                </c:pt>
                <c:pt idx="1">
                  <c:v>1307.02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2019年</c:v>
                </c:pt>
                <c:pt idx="1">
                  <c:v>2018年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404407176"/>
        <c:axId val="383004311"/>
      </c:barChart>
      <c:catAx>
        <c:axId val="4044071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004311"/>
        <c:crosses val="autoZero"/>
        <c:auto val="1"/>
        <c:lblAlgn val="ctr"/>
        <c:lblOffset val="100"/>
        <c:noMultiLvlLbl val="0"/>
      </c:catAx>
      <c:valAx>
        <c:axId val="383004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440717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7221843003413"/>
          <c:y val="0.040730683781782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delete val="1"/>
          </c:dLbls>
          <c:cat>
            <c:strRef>
              <c:f>Sheet1!$A$2</c:f>
              <c:strCache>
                <c:ptCount val="1"/>
                <c:pt idx="0">
                  <c:v>一般公共预算财政拨款支出</c:v>
                </c:pt>
              </c:strCache>
            </c:strRef>
          </c:cat>
          <c:val>
            <c:numRef>
              <c:f>Sheet1!$B$2</c:f>
              <c:numCache>
                <c:formatCode>General</c:formatCode>
                <c:ptCount val="1"/>
                <c:pt idx="0">
                  <c:v>1403.83</c:v>
                </c:pt>
              </c:numCache>
            </c:numRef>
          </c:val>
        </c:ser>
        <c:ser>
          <c:idx val="1"/>
          <c:order val="1"/>
          <c:tx>
            <c:strRef>
              <c:f>Sheet1!$C$1</c:f>
              <c:strCache>
                <c:ptCount val="1"/>
                <c:pt idx="0">
                  <c:v>2018</c:v>
                </c:pt>
              </c:strCache>
            </c:strRef>
          </c:tx>
          <c:spPr>
            <a:solidFill>
              <a:schemeClr val="accent2"/>
            </a:solidFill>
            <a:ln>
              <a:noFill/>
            </a:ln>
            <a:effectLst/>
          </c:spPr>
          <c:invertIfNegative val="0"/>
          <c:dLbls>
            <c:delete val="1"/>
          </c:dLbls>
          <c:cat>
            <c:strRef>
              <c:f>Sheet1!$A$2</c:f>
              <c:strCache>
                <c:ptCount val="1"/>
                <c:pt idx="0">
                  <c:v>一般公共预算财政拨款支出</c:v>
                </c:pt>
              </c:strCache>
            </c:strRef>
          </c:cat>
          <c:val>
            <c:numRef>
              <c:f>Sheet1!$C$2</c:f>
              <c:numCache>
                <c:formatCode>General</c:formatCode>
                <c:ptCount val="1"/>
                <c:pt idx="0">
                  <c:v>1266.82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一般公共预算财政拨款支出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6394807"/>
        <c:axId val="457872022"/>
      </c:barChart>
      <c:catAx>
        <c:axId val="563948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7872022"/>
        <c:crosses val="autoZero"/>
        <c:auto val="1"/>
        <c:lblAlgn val="ctr"/>
        <c:lblOffset val="100"/>
        <c:noMultiLvlLbl val="0"/>
      </c:catAx>
      <c:valAx>
        <c:axId val="4578720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94807"/>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0208596713021492"/>
                  <c:y val="0.094617325483599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79646017699115"/>
                  <c:y val="-0.0031539108494533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6826801517067"/>
                  <c:y val="-0.0031539108494533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c:v>
                </c:pt>
                <c:pt idx="1">
                  <c:v>社会保障和就业</c:v>
                </c:pt>
                <c:pt idx="2">
                  <c:v>卫生健康</c:v>
                </c:pt>
                <c:pt idx="3">
                  <c:v>农林水</c:v>
                </c:pt>
                <c:pt idx="4">
                  <c:v>住房保障</c:v>
                </c:pt>
              </c:strCache>
            </c:strRef>
          </c:cat>
          <c:val>
            <c:numRef>
              <c:f>Sheet1!$B$2:$B$6</c:f>
              <c:numCache>
                <c:formatCode>General</c:formatCode>
                <c:ptCount val="5"/>
                <c:pt idx="0">
                  <c:v>1265.1</c:v>
                </c:pt>
                <c:pt idx="1">
                  <c:v>82.82</c:v>
                </c:pt>
                <c:pt idx="2">
                  <c:v>11.99</c:v>
                </c:pt>
                <c:pt idx="3">
                  <c:v>2.59</c:v>
                </c:pt>
                <c:pt idx="4">
                  <c:v>41.33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23.7</c:v>
                </c:pt>
                <c:pt idx="1">
                  <c:v>3.09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1467</Words>
  <Characters>8364</Characters>
  <Lines>69</Lines>
  <Paragraphs>19</Paragraphs>
  <TotalTime>21</TotalTime>
  <ScaleCrop>false</ScaleCrop>
  <LinksUpToDate>false</LinksUpToDate>
  <CharactersWithSpaces>9812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2020-10-15T16:15:00Z</dcterms:created>
  <dc:creator>曹颖</dc:creator>
  <cp:lastModifiedBy>Administrator</cp:lastModifiedBy>
  <cp:lastPrinted>2020-10-28T10:46:00Z</cp:lastPrinted>
  <dcterms:modified xsi:type="dcterms:W3CDTF">2025-07-10T07:45:58Z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9C326FDB2E884CFFA477164C833B395C</vt:lpwstr>
  </property>
</Properties>
</file>