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2CBFB">
      <w:pPr>
        <w:spacing w:line="600" w:lineRule="exact"/>
        <w:jc w:val="center"/>
        <w:outlineLvl w:val="0"/>
        <w:rPr>
          <w:rFonts w:ascii="方正小标宋简体" w:hAnsi="宋体" w:eastAsia="方正小标宋简体"/>
          <w:color w:val="000000"/>
          <w:sz w:val="72"/>
          <w:szCs w:val="72"/>
        </w:rPr>
      </w:pPr>
      <w:bookmarkStart w:id="0" w:name="_Toc15306267"/>
    </w:p>
    <w:p w14:paraId="3AE1A0B7">
      <w:pPr>
        <w:spacing w:line="600" w:lineRule="exact"/>
        <w:jc w:val="center"/>
        <w:outlineLvl w:val="0"/>
        <w:rPr>
          <w:rFonts w:ascii="方正小标宋简体" w:hAnsi="宋体" w:eastAsia="方正小标宋简体"/>
          <w:color w:val="000000"/>
          <w:sz w:val="72"/>
          <w:szCs w:val="72"/>
        </w:rPr>
      </w:pPr>
    </w:p>
    <w:p w14:paraId="429DA9E1">
      <w:pPr>
        <w:spacing w:line="600" w:lineRule="exact"/>
        <w:jc w:val="center"/>
        <w:outlineLvl w:val="0"/>
        <w:rPr>
          <w:rFonts w:ascii="方正小标宋简体" w:hAnsi="宋体" w:eastAsia="方正小标宋简体"/>
          <w:color w:val="000000"/>
          <w:sz w:val="72"/>
          <w:szCs w:val="72"/>
        </w:rPr>
      </w:pPr>
    </w:p>
    <w:p w14:paraId="2810E6C0">
      <w:pPr>
        <w:spacing w:line="600" w:lineRule="exact"/>
        <w:jc w:val="center"/>
        <w:outlineLvl w:val="0"/>
        <w:rPr>
          <w:rFonts w:ascii="方正小标宋简体" w:hAnsi="宋体" w:eastAsia="方正小标宋简体"/>
          <w:color w:val="000000"/>
          <w:sz w:val="72"/>
          <w:szCs w:val="72"/>
        </w:rPr>
      </w:pPr>
    </w:p>
    <w:p w14:paraId="10E68DF1">
      <w:pPr>
        <w:spacing w:line="600" w:lineRule="exact"/>
        <w:jc w:val="center"/>
        <w:rPr>
          <w:rFonts w:ascii="方正小标宋简体" w:hAnsi="宋体" w:eastAsia="方正小标宋简体"/>
          <w:color w:val="000000"/>
          <w:sz w:val="44"/>
          <w:szCs w:val="44"/>
        </w:rPr>
      </w:pPr>
      <w:bookmarkStart w:id="1" w:name="_Toc15378441"/>
      <w:bookmarkStart w:id="2" w:name="_Toc15377425"/>
      <w:bookmarkStart w:id="3" w:name="_Toc15396475"/>
      <w:bookmarkStart w:id="4" w:name="_Toc15377193"/>
      <w:bookmarkStart w:id="5" w:name="_Toc15396597"/>
      <w:r>
        <w:rPr>
          <w:rFonts w:ascii="方正小标宋简体" w:hAnsi="宋体" w:eastAsia="方正小标宋简体"/>
          <w:color w:val="000000"/>
          <w:sz w:val="44"/>
          <w:szCs w:val="44"/>
        </w:rPr>
        <w:t>2019</w:t>
      </w:r>
      <w:r>
        <w:rPr>
          <w:rFonts w:hint="eastAsia" w:ascii="方正小标宋简体" w:hAnsi="宋体" w:eastAsia="方正小标宋简体"/>
          <w:color w:val="000000"/>
          <w:sz w:val="44"/>
          <w:szCs w:val="44"/>
        </w:rPr>
        <w:t>年度</w:t>
      </w:r>
      <w:bookmarkEnd w:id="1"/>
      <w:bookmarkEnd w:id="2"/>
      <w:bookmarkEnd w:id="3"/>
      <w:bookmarkEnd w:id="4"/>
      <w:bookmarkEnd w:id="5"/>
    </w:p>
    <w:bookmarkEnd w:id="0"/>
    <w:p w14:paraId="3DD44A0F">
      <w:pPr>
        <w:spacing w:line="6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四川省峨眉山市胜利镇人民政府</w:t>
      </w:r>
    </w:p>
    <w:p w14:paraId="6C9CCA21">
      <w:pPr>
        <w:spacing w:line="600" w:lineRule="exact"/>
        <w:jc w:val="center"/>
        <w:rPr>
          <w:rFonts w:ascii="方正小标宋简体" w:hAnsi="宋体" w:eastAsia="方正小标宋简体"/>
          <w:color w:val="000000"/>
          <w:sz w:val="44"/>
          <w:szCs w:val="44"/>
        </w:rPr>
      </w:pPr>
      <w:r>
        <w:rPr>
          <w:rFonts w:ascii="方正小标宋简体" w:hAnsi="宋体" w:eastAsia="方正小标宋简体"/>
          <w:color w:val="000000"/>
          <w:sz w:val="44"/>
          <w:szCs w:val="44"/>
        </w:rPr>
        <w:t>2019</w:t>
      </w:r>
      <w:r>
        <w:rPr>
          <w:rFonts w:hint="eastAsia" w:ascii="方正小标宋简体" w:hAnsi="宋体" w:eastAsia="方正小标宋简体"/>
          <w:color w:val="000000"/>
          <w:sz w:val="44"/>
          <w:szCs w:val="44"/>
        </w:rPr>
        <w:t>年部门决算编制说明</w:t>
      </w:r>
    </w:p>
    <w:p w14:paraId="40B0A257">
      <w:pPr>
        <w:adjustRightInd w:val="0"/>
        <w:snapToGrid w:val="0"/>
        <w:spacing w:line="360" w:lineRule="auto"/>
        <w:jc w:val="center"/>
        <w:outlineLvl w:val="0"/>
        <w:rPr>
          <w:rFonts w:ascii="方正小标宋简体" w:hAnsi="宋体" w:eastAsia="方正小标宋简体"/>
          <w:color w:val="000000"/>
          <w:sz w:val="72"/>
          <w:szCs w:val="72"/>
        </w:rPr>
      </w:pPr>
    </w:p>
    <w:p w14:paraId="3EADE0F6">
      <w:pPr>
        <w:spacing w:line="600" w:lineRule="exact"/>
        <w:jc w:val="center"/>
        <w:rPr>
          <w:rFonts w:ascii="方正小标宋简体" w:hAnsi="宋体" w:eastAsia="方正小标宋简体"/>
          <w:color w:val="000000"/>
          <w:sz w:val="44"/>
          <w:szCs w:val="44"/>
        </w:rPr>
      </w:pPr>
      <w:r>
        <w:rPr>
          <w:rFonts w:ascii="方正小标宋简体" w:hAnsi="宋体" w:eastAsia="方正小标宋简体"/>
          <w:color w:val="000000"/>
          <w:sz w:val="36"/>
          <w:szCs w:val="36"/>
        </w:rPr>
        <w:br w:type="page"/>
      </w:r>
      <w:r>
        <w:rPr>
          <w:rFonts w:hint="eastAsia" w:ascii="方正小标宋简体" w:hAnsi="宋体" w:eastAsia="方正小标宋简体"/>
          <w:color w:val="000000"/>
          <w:sz w:val="44"/>
          <w:szCs w:val="44"/>
        </w:rPr>
        <w:t>目录</w:t>
      </w:r>
    </w:p>
    <w:p w14:paraId="2272D1CD">
      <w:pPr>
        <w:widowControl/>
        <w:jc w:val="center"/>
        <w:rPr>
          <w:rFonts w:ascii="黑体" w:hAnsi="黑体" w:eastAsia="黑体"/>
          <w:sz w:val="28"/>
          <w:szCs w:val="28"/>
        </w:rPr>
      </w:pPr>
    </w:p>
    <w:p w14:paraId="5BFA51E6">
      <w:pPr>
        <w:pStyle w:val="10"/>
        <w:rPr>
          <w:rFonts w:hint="eastAsia" w:ascii="仿宋_GB2312" w:eastAsia="仿宋_GB2312"/>
          <w:sz w:val="32"/>
          <w:szCs w:val="32"/>
        </w:rPr>
      </w:pPr>
      <w:r>
        <w:rPr>
          <w:rFonts w:hint="eastAsia" w:ascii="仿宋_GB2312" w:eastAsia="仿宋_GB2312"/>
          <w:sz w:val="32"/>
          <w:szCs w:val="32"/>
        </w:rPr>
        <w:t>公开时间：2020年10 月27日</w:t>
      </w:r>
    </w:p>
    <w:p w14:paraId="39EABF87">
      <w:pPr>
        <w:rPr>
          <w:rFonts w:hint="eastAsia" w:ascii="仿宋_GB2312" w:eastAsia="仿宋_GB2312"/>
          <w:sz w:val="32"/>
          <w:szCs w:val="32"/>
        </w:rPr>
      </w:pPr>
    </w:p>
    <w:p w14:paraId="611D7E3B">
      <w:pPr>
        <w:pStyle w:val="10"/>
        <w:adjustRightInd w:val="0"/>
        <w:snapToGrid w:val="0"/>
        <w:spacing w:before="0" w:line="360" w:lineRule="auto"/>
        <w:jc w:val="left"/>
        <w:rPr>
          <w:rFonts w:hint="eastAsia" w:ascii="黑体" w:hAnsi="黑体" w:eastAsia="黑体"/>
          <w:sz w:val="32"/>
          <w:szCs w:val="32"/>
        </w:rPr>
      </w:pPr>
      <w:r>
        <w:rPr>
          <w:rFonts w:hint="eastAsia" w:ascii="黑体" w:hAnsi="黑体" w:eastAsia="黑体"/>
          <w:sz w:val="32"/>
          <w:szCs w:val="32"/>
        </w:rPr>
        <w:t>第一部分 部门概况</w:t>
      </w:r>
    </w:p>
    <w:p w14:paraId="66FBDB11">
      <w:pPr>
        <w:pStyle w:val="11"/>
        <w:adjustRightInd w:val="0"/>
        <w:snapToGrid w:val="0"/>
        <w:spacing w:line="360" w:lineRule="auto"/>
        <w:jc w:val="left"/>
        <w:rPr>
          <w:rFonts w:hint="eastAsia" w:ascii="仿宋_GB2312" w:hAnsi="仿宋" w:eastAsia="仿宋_GB2312"/>
          <w:sz w:val="32"/>
          <w:szCs w:val="32"/>
        </w:rPr>
      </w:pPr>
      <w:r>
        <w:rPr>
          <w:rFonts w:hint="eastAsia" w:ascii="仿宋_GB2312" w:eastAsia="仿宋_GB2312"/>
          <w:sz w:val="32"/>
          <w:szCs w:val="32"/>
        </w:rPr>
        <w:t>一、基本职能及主要工作p1-3</w:t>
      </w:r>
    </w:p>
    <w:p w14:paraId="78A509F2">
      <w:pPr>
        <w:pStyle w:val="11"/>
        <w:adjustRightInd w:val="0"/>
        <w:snapToGrid w:val="0"/>
        <w:spacing w:line="360" w:lineRule="auto"/>
        <w:jc w:val="left"/>
        <w:rPr>
          <w:rFonts w:hint="eastAsia" w:ascii="仿宋_GB2312" w:hAnsi="仿宋" w:eastAsia="仿宋_GB2312"/>
          <w:sz w:val="32"/>
          <w:szCs w:val="32"/>
        </w:rPr>
      </w:pPr>
      <w:r>
        <w:rPr>
          <w:rFonts w:hint="eastAsia" w:ascii="仿宋_GB2312" w:eastAsia="仿宋_GB2312"/>
          <w:sz w:val="32"/>
          <w:szCs w:val="32"/>
        </w:rPr>
        <w:t>二、机构设置p4</w:t>
      </w:r>
    </w:p>
    <w:p w14:paraId="79E6EE78">
      <w:pPr>
        <w:pStyle w:val="10"/>
        <w:adjustRightInd w:val="0"/>
        <w:snapToGrid w:val="0"/>
        <w:spacing w:before="0" w:line="360" w:lineRule="auto"/>
        <w:jc w:val="left"/>
        <w:rPr>
          <w:rFonts w:hint="eastAsia" w:ascii="黑体" w:hAnsi="黑体" w:eastAsia="黑体"/>
          <w:sz w:val="32"/>
          <w:szCs w:val="32"/>
        </w:rPr>
      </w:pPr>
      <w:r>
        <w:rPr>
          <w:rFonts w:hint="eastAsia" w:ascii="黑体" w:hAnsi="黑体" w:eastAsia="黑体"/>
          <w:sz w:val="32"/>
          <w:szCs w:val="32"/>
        </w:rPr>
        <w:t>第二部分度部门决算情况说明</w:t>
      </w:r>
    </w:p>
    <w:p w14:paraId="0DD57776">
      <w:pPr>
        <w:pStyle w:val="11"/>
        <w:adjustRightInd w:val="0"/>
        <w:snapToGrid w:val="0"/>
        <w:spacing w:line="360" w:lineRule="auto"/>
        <w:jc w:val="left"/>
        <w:rPr>
          <w:rFonts w:hint="eastAsia" w:ascii="仿宋_GB2312" w:hAnsi="仿宋" w:eastAsia="仿宋_GB2312"/>
          <w:sz w:val="32"/>
          <w:szCs w:val="32"/>
        </w:rPr>
      </w:pPr>
      <w:r>
        <w:rPr>
          <w:rFonts w:hint="eastAsia" w:ascii="仿宋_GB2312" w:eastAsia="仿宋_GB2312"/>
          <w:sz w:val="32"/>
          <w:szCs w:val="32"/>
        </w:rPr>
        <w:t>一、收入支出决算总体情况说明p5</w:t>
      </w:r>
    </w:p>
    <w:p w14:paraId="25783F6C">
      <w:pPr>
        <w:pStyle w:val="11"/>
        <w:adjustRightInd w:val="0"/>
        <w:snapToGrid w:val="0"/>
        <w:spacing w:line="360" w:lineRule="auto"/>
        <w:jc w:val="left"/>
        <w:rPr>
          <w:rFonts w:hint="eastAsia" w:ascii="仿宋_GB2312" w:hAnsi="仿宋" w:eastAsia="仿宋_GB2312"/>
          <w:sz w:val="32"/>
          <w:szCs w:val="32"/>
        </w:rPr>
      </w:pPr>
      <w:r>
        <w:rPr>
          <w:rFonts w:hint="eastAsia" w:ascii="仿宋_GB2312" w:eastAsia="仿宋_GB2312"/>
          <w:sz w:val="32"/>
          <w:szCs w:val="32"/>
        </w:rPr>
        <w:t>二、收入决算情况说明p5</w:t>
      </w:r>
    </w:p>
    <w:p w14:paraId="078533A0">
      <w:pPr>
        <w:pStyle w:val="11"/>
        <w:adjustRightInd w:val="0"/>
        <w:snapToGrid w:val="0"/>
        <w:spacing w:line="360" w:lineRule="auto"/>
        <w:jc w:val="left"/>
        <w:rPr>
          <w:rFonts w:hint="eastAsia" w:ascii="仿宋_GB2312" w:hAnsi="仿宋" w:eastAsia="仿宋_GB2312"/>
          <w:sz w:val="32"/>
          <w:szCs w:val="32"/>
        </w:rPr>
      </w:pPr>
      <w:r>
        <w:rPr>
          <w:rFonts w:hint="eastAsia" w:ascii="仿宋_GB2312" w:eastAsia="仿宋_GB2312"/>
          <w:sz w:val="32"/>
          <w:szCs w:val="32"/>
        </w:rPr>
        <w:t>三、支出决算情况说明p6</w:t>
      </w:r>
    </w:p>
    <w:p w14:paraId="19F40BB3">
      <w:pPr>
        <w:pStyle w:val="11"/>
        <w:adjustRightInd w:val="0"/>
        <w:snapToGrid w:val="0"/>
        <w:spacing w:line="360" w:lineRule="auto"/>
        <w:jc w:val="left"/>
        <w:rPr>
          <w:rFonts w:hint="eastAsia" w:ascii="仿宋_GB2312" w:hAnsi="仿宋" w:eastAsia="仿宋_GB2312"/>
          <w:sz w:val="32"/>
          <w:szCs w:val="32"/>
        </w:rPr>
      </w:pPr>
      <w:r>
        <w:rPr>
          <w:rFonts w:hint="eastAsia" w:ascii="仿宋_GB2312" w:eastAsia="仿宋_GB2312"/>
          <w:sz w:val="32"/>
          <w:szCs w:val="32"/>
        </w:rPr>
        <w:t>四、财政拨款收入支出决算总体情况说明p6</w:t>
      </w:r>
    </w:p>
    <w:p w14:paraId="6761415B">
      <w:pPr>
        <w:pStyle w:val="11"/>
        <w:adjustRightInd w:val="0"/>
        <w:snapToGrid w:val="0"/>
        <w:spacing w:line="360" w:lineRule="auto"/>
        <w:jc w:val="left"/>
        <w:rPr>
          <w:rFonts w:hint="eastAsia" w:ascii="仿宋_GB2312" w:hAnsi="仿宋" w:eastAsia="仿宋_GB2312"/>
          <w:sz w:val="32"/>
          <w:szCs w:val="32"/>
        </w:rPr>
      </w:pPr>
      <w:r>
        <w:rPr>
          <w:rFonts w:hint="eastAsia" w:ascii="仿宋_GB2312" w:eastAsia="仿宋_GB2312"/>
          <w:sz w:val="32"/>
          <w:szCs w:val="32"/>
        </w:rPr>
        <w:t>五、一般公共预算财政拨款支出决算情况说明p7-11</w:t>
      </w:r>
    </w:p>
    <w:p w14:paraId="4BB76619">
      <w:pPr>
        <w:pStyle w:val="11"/>
        <w:adjustRightInd w:val="0"/>
        <w:snapToGrid w:val="0"/>
        <w:spacing w:line="360" w:lineRule="auto"/>
        <w:jc w:val="left"/>
        <w:rPr>
          <w:rFonts w:hint="eastAsia" w:ascii="仿宋_GB2312" w:hAnsi="仿宋" w:eastAsia="仿宋_GB2312"/>
          <w:sz w:val="32"/>
          <w:szCs w:val="32"/>
        </w:rPr>
      </w:pPr>
      <w:r>
        <w:rPr>
          <w:rFonts w:hint="eastAsia" w:ascii="仿宋_GB2312" w:eastAsia="仿宋_GB2312"/>
          <w:sz w:val="32"/>
          <w:szCs w:val="32"/>
        </w:rPr>
        <w:t>六、一般公共预算财政拨款基本支出决算情况说明p11</w:t>
      </w:r>
    </w:p>
    <w:p w14:paraId="55439E8B">
      <w:pPr>
        <w:pStyle w:val="11"/>
        <w:adjustRightInd w:val="0"/>
        <w:snapToGrid w:val="0"/>
        <w:spacing w:line="360" w:lineRule="auto"/>
        <w:jc w:val="left"/>
        <w:rPr>
          <w:rFonts w:hint="eastAsia" w:ascii="仿宋_GB2312" w:hAnsi="仿宋" w:eastAsia="仿宋_GB2312"/>
          <w:sz w:val="32"/>
          <w:szCs w:val="32"/>
        </w:rPr>
      </w:pPr>
      <w:r>
        <w:rPr>
          <w:rFonts w:hint="eastAsia" w:ascii="仿宋_GB2312" w:eastAsia="仿宋_GB2312"/>
          <w:sz w:val="32"/>
          <w:szCs w:val="32"/>
        </w:rPr>
        <w:t>七、“三公”经费财政拨款支出决算情况说明p12-13</w:t>
      </w:r>
    </w:p>
    <w:p w14:paraId="1183FC84">
      <w:pPr>
        <w:pStyle w:val="11"/>
        <w:adjustRightInd w:val="0"/>
        <w:snapToGrid w:val="0"/>
        <w:spacing w:line="360" w:lineRule="auto"/>
        <w:jc w:val="left"/>
        <w:rPr>
          <w:rFonts w:hint="eastAsia" w:ascii="仿宋_GB2312" w:hAnsi="仿宋" w:eastAsia="仿宋_GB2312"/>
          <w:sz w:val="32"/>
          <w:szCs w:val="32"/>
        </w:rPr>
      </w:pPr>
      <w:r>
        <w:rPr>
          <w:rFonts w:hint="eastAsia" w:ascii="仿宋_GB2312" w:eastAsia="仿宋_GB2312"/>
          <w:sz w:val="32"/>
          <w:szCs w:val="32"/>
        </w:rPr>
        <w:t>八、政府性基金预算支出决算情况说明p13</w:t>
      </w:r>
    </w:p>
    <w:p w14:paraId="38E8E51E">
      <w:pPr>
        <w:pStyle w:val="11"/>
        <w:adjustRightInd w:val="0"/>
        <w:snapToGrid w:val="0"/>
        <w:spacing w:line="360" w:lineRule="auto"/>
        <w:ind w:leftChars="0"/>
        <w:jc w:val="left"/>
        <w:rPr>
          <w:rFonts w:hint="eastAsia" w:ascii="仿宋_GB2312" w:hAnsi="仿宋" w:eastAsia="仿宋_GB2312"/>
          <w:sz w:val="32"/>
          <w:szCs w:val="32"/>
        </w:rPr>
      </w:pPr>
      <w:r>
        <w:rPr>
          <w:rFonts w:hint="eastAsia" w:ascii="仿宋_GB2312" w:hAnsi="仿宋" w:eastAsia="仿宋_GB2312"/>
          <w:sz w:val="32"/>
          <w:szCs w:val="32"/>
        </w:rPr>
        <w:t>九、</w:t>
      </w:r>
      <w:r>
        <w:rPr>
          <w:rFonts w:hint="eastAsia" w:ascii="仿宋_GB2312" w:eastAsia="仿宋_GB2312"/>
          <w:sz w:val="32"/>
          <w:szCs w:val="32"/>
        </w:rPr>
        <w:t xml:space="preserve"> 国有资本经营预算支出决算情况说明p13</w:t>
      </w:r>
    </w:p>
    <w:p w14:paraId="10B661F1">
      <w:pPr>
        <w:pStyle w:val="11"/>
        <w:adjustRightInd w:val="0"/>
        <w:snapToGrid w:val="0"/>
        <w:spacing w:line="360" w:lineRule="auto"/>
        <w:jc w:val="left"/>
        <w:rPr>
          <w:rFonts w:hint="eastAsia" w:ascii="仿宋_GB2312" w:eastAsia="仿宋_GB2312"/>
          <w:sz w:val="32"/>
          <w:szCs w:val="32"/>
        </w:rPr>
      </w:pPr>
      <w:r>
        <w:rPr>
          <w:rFonts w:hint="eastAsia" w:ascii="仿宋_GB2312" w:eastAsia="仿宋_GB2312"/>
          <w:sz w:val="32"/>
          <w:szCs w:val="32"/>
        </w:rPr>
        <w:t>十、 其他重要事项的情况说明p14-22</w:t>
      </w:r>
    </w:p>
    <w:p w14:paraId="5A83B26F">
      <w:pPr>
        <w:pStyle w:val="10"/>
        <w:adjustRightInd w:val="0"/>
        <w:snapToGrid w:val="0"/>
        <w:spacing w:before="0" w:line="360" w:lineRule="auto"/>
        <w:jc w:val="left"/>
        <w:rPr>
          <w:rFonts w:hint="eastAsia" w:ascii="仿宋_GB2312" w:eastAsia="仿宋_GB2312"/>
          <w:sz w:val="32"/>
          <w:szCs w:val="32"/>
        </w:rPr>
      </w:pPr>
      <w:r>
        <w:rPr>
          <w:rFonts w:hint="eastAsia" w:ascii="黑体" w:hAnsi="黑体" w:eastAsia="黑体"/>
          <w:sz w:val="32"/>
          <w:szCs w:val="32"/>
        </w:rPr>
        <w:t>第三部分 名词解释</w:t>
      </w:r>
      <w:r>
        <w:rPr>
          <w:rFonts w:hint="eastAsia" w:ascii="仿宋_GB2312" w:eastAsia="仿宋_GB2312"/>
          <w:sz w:val="32"/>
          <w:szCs w:val="32"/>
        </w:rPr>
        <w:t>p23-29</w:t>
      </w:r>
    </w:p>
    <w:p w14:paraId="55F80991">
      <w:pPr>
        <w:pStyle w:val="10"/>
        <w:adjustRightInd w:val="0"/>
        <w:snapToGrid w:val="0"/>
        <w:spacing w:before="0" w:line="360" w:lineRule="auto"/>
        <w:jc w:val="left"/>
        <w:rPr>
          <w:rFonts w:hint="eastAsia" w:ascii="黑体" w:hAnsi="黑体" w:eastAsia="黑体"/>
          <w:sz w:val="32"/>
          <w:szCs w:val="32"/>
        </w:rPr>
      </w:pPr>
      <w:r>
        <w:rPr>
          <w:rFonts w:hint="eastAsia" w:ascii="黑体" w:hAnsi="黑体" w:eastAsia="黑体"/>
          <w:sz w:val="32"/>
          <w:szCs w:val="32"/>
        </w:rPr>
        <w:t>第四部分 附件</w:t>
      </w:r>
    </w:p>
    <w:p w14:paraId="435DE4D7">
      <w:pPr>
        <w:ind w:firstLine="480" w:firstLineChars="150"/>
        <w:jc w:val="left"/>
        <w:outlineLvl w:val="0"/>
        <w:rPr>
          <w:rFonts w:hint="eastAsia" w:ascii="仿宋_GB2312" w:hAnsi="Times New Roman" w:eastAsia="仿宋_GB2312"/>
          <w:sz w:val="32"/>
          <w:szCs w:val="32"/>
        </w:rPr>
      </w:pPr>
      <w:r>
        <w:rPr>
          <w:rFonts w:hint="eastAsia" w:ascii="仿宋_GB2312" w:hAnsi="Times New Roman" w:eastAsia="仿宋_GB2312"/>
          <w:sz w:val="32"/>
          <w:szCs w:val="32"/>
        </w:rPr>
        <w:t>附件1:部门整体支出绩效评价报告p30-34</w:t>
      </w:r>
    </w:p>
    <w:p w14:paraId="0E3B78C9">
      <w:pPr>
        <w:jc w:val="center"/>
        <w:outlineLvl w:val="0"/>
        <w:rPr>
          <w:rFonts w:hint="eastAsia" w:ascii="仿宋_GB2312" w:hAnsi="Times New Roman" w:eastAsia="仿宋_GB2312"/>
          <w:sz w:val="32"/>
          <w:szCs w:val="32"/>
        </w:rPr>
      </w:pPr>
      <w:r>
        <w:rPr>
          <w:rFonts w:hint="eastAsia" w:ascii="仿宋_GB2312" w:hAnsi="Times New Roman" w:eastAsia="仿宋_GB2312"/>
          <w:sz w:val="32"/>
          <w:szCs w:val="32"/>
        </w:rPr>
        <w:t xml:space="preserve">     附件2:</w:t>
      </w:r>
      <w:r>
        <w:rPr>
          <w:rFonts w:hint="eastAsia" w:ascii="仿宋_GB2312" w:hAnsi="仿宋_GB2312" w:eastAsia="仿宋_GB2312" w:cs="仿宋_GB2312"/>
          <w:b/>
          <w:sz w:val="32"/>
          <w:szCs w:val="32"/>
        </w:rPr>
        <w:t xml:space="preserve"> </w:t>
      </w:r>
      <w:r>
        <w:rPr>
          <w:rFonts w:hint="eastAsia" w:ascii="仿宋_GB2312" w:hAnsi="Times New Roman" w:eastAsia="仿宋_GB2312"/>
          <w:sz w:val="32"/>
          <w:szCs w:val="32"/>
        </w:rPr>
        <w:t xml:space="preserve">集镇公共设施运行维护项目、食品药品监管站工   </w:t>
      </w:r>
    </w:p>
    <w:p w14:paraId="2EA18E60">
      <w:pPr>
        <w:jc w:val="left"/>
        <w:outlineLvl w:val="0"/>
        <w:rPr>
          <w:rFonts w:hint="eastAsia" w:ascii="仿宋_GB2312" w:hAnsi="Times New Roman" w:eastAsia="仿宋_GB2312"/>
          <w:sz w:val="32"/>
          <w:szCs w:val="32"/>
        </w:rPr>
      </w:pPr>
      <w:r>
        <w:rPr>
          <w:rFonts w:hint="eastAsia" w:ascii="仿宋_GB2312" w:hAnsi="Times New Roman" w:eastAsia="仿宋_GB2312"/>
          <w:sz w:val="32"/>
          <w:szCs w:val="32"/>
        </w:rPr>
        <w:t>作经费项目、武装工作经费项目、纾难解困项目、东部新区治安巡逻经费项目的2019年绩效评价报告  P35-49</w:t>
      </w:r>
    </w:p>
    <w:p w14:paraId="152115F9">
      <w:pPr>
        <w:jc w:val="left"/>
        <w:outlineLvl w:val="0"/>
        <w:rPr>
          <w:rFonts w:hint="eastAsia" w:ascii="仿宋_GB2312" w:hAnsi="Times New Roman" w:eastAsia="仿宋_GB2312"/>
          <w:sz w:val="32"/>
          <w:szCs w:val="32"/>
        </w:rPr>
      </w:pPr>
    </w:p>
    <w:p w14:paraId="43F9FFC5">
      <w:pPr>
        <w:pStyle w:val="10"/>
        <w:adjustRightInd w:val="0"/>
        <w:snapToGrid w:val="0"/>
        <w:spacing w:before="0" w:line="360" w:lineRule="auto"/>
        <w:jc w:val="left"/>
        <w:rPr>
          <w:rFonts w:hint="eastAsia" w:ascii="黑体" w:hAnsi="黑体" w:eastAsia="黑体"/>
          <w:sz w:val="32"/>
          <w:szCs w:val="32"/>
        </w:rPr>
      </w:pPr>
      <w:r>
        <w:rPr>
          <w:rFonts w:hint="eastAsia" w:ascii="黑体" w:hAnsi="黑体" w:eastAsia="黑体"/>
          <w:sz w:val="32"/>
          <w:szCs w:val="32"/>
        </w:rPr>
        <w:t>第五部分 附表</w:t>
      </w:r>
      <w:r>
        <w:rPr>
          <w:rFonts w:hint="eastAsia"/>
          <w:sz w:val="32"/>
          <w:szCs w:val="32"/>
        </w:rPr>
        <w:t>p50</w:t>
      </w:r>
    </w:p>
    <w:p w14:paraId="10F959DA">
      <w:pPr>
        <w:pStyle w:val="11"/>
        <w:adjustRightInd w:val="0"/>
        <w:snapToGrid w:val="0"/>
        <w:spacing w:line="360" w:lineRule="auto"/>
        <w:jc w:val="left"/>
        <w:rPr>
          <w:rFonts w:hint="eastAsia" w:ascii="仿宋_GB2312" w:hAnsi="仿宋" w:eastAsia="仿宋_GB2312"/>
          <w:sz w:val="32"/>
          <w:szCs w:val="32"/>
        </w:rPr>
      </w:pPr>
      <w:r>
        <w:rPr>
          <w:rFonts w:hint="eastAsia" w:ascii="仿宋_GB2312" w:hAnsi="仿宋" w:eastAsia="仿宋_GB2312"/>
          <w:sz w:val="32"/>
          <w:szCs w:val="32"/>
        </w:rPr>
        <w:t>一、</w:t>
      </w:r>
      <w:r>
        <w:rPr>
          <w:rFonts w:hint="eastAsia" w:ascii="仿宋_GB2312" w:eastAsia="仿宋_GB2312"/>
          <w:sz w:val="32"/>
          <w:szCs w:val="32"/>
        </w:rPr>
        <w:t>收入支出决算总表</w:t>
      </w:r>
    </w:p>
    <w:p w14:paraId="3838E1AF">
      <w:pPr>
        <w:pStyle w:val="11"/>
        <w:adjustRightInd w:val="0"/>
        <w:snapToGrid w:val="0"/>
        <w:spacing w:line="360" w:lineRule="auto"/>
        <w:jc w:val="left"/>
        <w:rPr>
          <w:rFonts w:hint="eastAsia" w:ascii="仿宋_GB2312" w:hAnsi="仿宋" w:eastAsia="仿宋_GB2312"/>
          <w:sz w:val="32"/>
          <w:szCs w:val="32"/>
        </w:rPr>
      </w:pPr>
      <w:r>
        <w:rPr>
          <w:rFonts w:hint="eastAsia" w:ascii="仿宋_GB2312" w:hAnsi="仿宋" w:eastAsia="仿宋_GB2312"/>
          <w:sz w:val="32"/>
          <w:szCs w:val="32"/>
        </w:rPr>
        <w:t>二、</w:t>
      </w:r>
      <w:r>
        <w:rPr>
          <w:rFonts w:hint="eastAsia" w:ascii="仿宋_GB2312" w:eastAsia="仿宋_GB2312"/>
          <w:sz w:val="32"/>
          <w:szCs w:val="32"/>
        </w:rPr>
        <w:t>收入</w:t>
      </w:r>
      <w:r>
        <w:rPr>
          <w:rFonts w:hint="eastAsia" w:ascii="仿宋_GB2312" w:hAnsi="仿宋" w:eastAsia="仿宋_GB2312"/>
          <w:sz w:val="32"/>
          <w:szCs w:val="32"/>
        </w:rPr>
        <w:t>决算</w:t>
      </w:r>
      <w:r>
        <w:rPr>
          <w:rFonts w:hint="eastAsia" w:ascii="仿宋_GB2312" w:eastAsia="仿宋_GB2312"/>
          <w:sz w:val="32"/>
          <w:szCs w:val="32"/>
        </w:rPr>
        <w:t>表</w:t>
      </w:r>
    </w:p>
    <w:p w14:paraId="1C1EF8A0">
      <w:pPr>
        <w:pStyle w:val="11"/>
        <w:adjustRightInd w:val="0"/>
        <w:snapToGrid w:val="0"/>
        <w:spacing w:line="360" w:lineRule="auto"/>
        <w:jc w:val="left"/>
        <w:rPr>
          <w:rFonts w:hint="eastAsia" w:ascii="仿宋_GB2312" w:hAnsi="仿宋" w:eastAsia="仿宋_GB2312"/>
          <w:sz w:val="32"/>
          <w:szCs w:val="32"/>
        </w:rPr>
      </w:pPr>
      <w:r>
        <w:rPr>
          <w:rFonts w:hint="eastAsia" w:ascii="仿宋_GB2312" w:hAnsi="仿宋" w:eastAsia="仿宋_GB2312"/>
          <w:sz w:val="32"/>
          <w:szCs w:val="32"/>
        </w:rPr>
        <w:t>三、</w:t>
      </w:r>
      <w:r>
        <w:rPr>
          <w:rFonts w:hint="eastAsia" w:ascii="仿宋_GB2312" w:eastAsia="仿宋_GB2312"/>
          <w:sz w:val="32"/>
          <w:szCs w:val="32"/>
        </w:rPr>
        <w:t>支出</w:t>
      </w:r>
      <w:r>
        <w:rPr>
          <w:rFonts w:hint="eastAsia" w:ascii="仿宋_GB2312" w:hAnsi="仿宋" w:eastAsia="仿宋_GB2312"/>
          <w:sz w:val="32"/>
          <w:szCs w:val="32"/>
        </w:rPr>
        <w:t>决算</w:t>
      </w:r>
      <w:r>
        <w:rPr>
          <w:rFonts w:hint="eastAsia" w:ascii="仿宋_GB2312" w:eastAsia="仿宋_GB2312"/>
          <w:sz w:val="32"/>
          <w:szCs w:val="32"/>
        </w:rPr>
        <w:t>表</w:t>
      </w:r>
    </w:p>
    <w:p w14:paraId="6548C4BE">
      <w:pPr>
        <w:pStyle w:val="11"/>
        <w:adjustRightInd w:val="0"/>
        <w:snapToGrid w:val="0"/>
        <w:spacing w:line="360" w:lineRule="auto"/>
        <w:jc w:val="left"/>
        <w:rPr>
          <w:rFonts w:hint="eastAsia" w:ascii="仿宋_GB2312" w:hAnsi="仿宋" w:eastAsia="仿宋_GB2312"/>
          <w:sz w:val="32"/>
          <w:szCs w:val="32"/>
        </w:rPr>
      </w:pPr>
      <w:r>
        <w:rPr>
          <w:rFonts w:hint="eastAsia" w:ascii="仿宋_GB2312" w:hAnsi="仿宋" w:eastAsia="仿宋_GB2312"/>
          <w:sz w:val="32"/>
          <w:szCs w:val="32"/>
        </w:rPr>
        <w:t>四、</w:t>
      </w:r>
      <w:r>
        <w:rPr>
          <w:rFonts w:hint="eastAsia" w:ascii="仿宋_GB2312" w:eastAsia="仿宋_GB2312"/>
          <w:sz w:val="32"/>
          <w:szCs w:val="32"/>
        </w:rPr>
        <w:t>财政拨款收入支出决算总表</w:t>
      </w:r>
    </w:p>
    <w:p w14:paraId="084037AF">
      <w:pPr>
        <w:pStyle w:val="11"/>
        <w:adjustRightInd w:val="0"/>
        <w:snapToGrid w:val="0"/>
        <w:spacing w:line="360" w:lineRule="auto"/>
        <w:jc w:val="left"/>
        <w:rPr>
          <w:rFonts w:hint="eastAsia" w:ascii="仿宋_GB2312" w:hAnsi="仿宋" w:eastAsia="仿宋_GB2312"/>
          <w:sz w:val="32"/>
          <w:szCs w:val="32"/>
        </w:rPr>
      </w:pPr>
      <w:r>
        <w:rPr>
          <w:rFonts w:hint="eastAsia" w:ascii="仿宋_GB2312" w:hAnsi="仿宋" w:eastAsia="仿宋_GB2312"/>
          <w:sz w:val="32"/>
          <w:szCs w:val="32"/>
        </w:rPr>
        <w:t>五、财政拨款支出决算明细表</w:t>
      </w:r>
    </w:p>
    <w:p w14:paraId="167817BF">
      <w:pPr>
        <w:pStyle w:val="11"/>
        <w:adjustRightInd w:val="0"/>
        <w:snapToGrid w:val="0"/>
        <w:spacing w:line="360" w:lineRule="auto"/>
        <w:jc w:val="left"/>
        <w:rPr>
          <w:rFonts w:hint="eastAsia" w:ascii="仿宋_GB2312" w:hAnsi="仿宋" w:eastAsia="仿宋_GB2312"/>
          <w:sz w:val="32"/>
          <w:szCs w:val="32"/>
        </w:rPr>
      </w:pPr>
      <w:r>
        <w:rPr>
          <w:rFonts w:hint="eastAsia" w:ascii="仿宋_GB2312" w:hAnsi="仿宋" w:eastAsia="仿宋_GB2312"/>
          <w:sz w:val="32"/>
          <w:szCs w:val="32"/>
        </w:rPr>
        <w:t>六、</w:t>
      </w:r>
      <w:r>
        <w:rPr>
          <w:rFonts w:hint="eastAsia" w:ascii="仿宋_GB2312" w:eastAsia="仿宋_GB2312"/>
          <w:sz w:val="32"/>
          <w:szCs w:val="32"/>
        </w:rPr>
        <w:t>一般公共预算财政拨款支出决算表</w:t>
      </w:r>
    </w:p>
    <w:p w14:paraId="120FA8BE">
      <w:pPr>
        <w:pStyle w:val="11"/>
        <w:adjustRightInd w:val="0"/>
        <w:snapToGrid w:val="0"/>
        <w:spacing w:line="360" w:lineRule="auto"/>
        <w:jc w:val="left"/>
        <w:rPr>
          <w:rFonts w:hint="eastAsia" w:ascii="仿宋_GB2312" w:hAnsi="仿宋" w:eastAsia="仿宋_GB2312"/>
          <w:sz w:val="32"/>
          <w:szCs w:val="32"/>
        </w:rPr>
      </w:pPr>
      <w:r>
        <w:rPr>
          <w:rFonts w:hint="eastAsia" w:ascii="仿宋_GB2312" w:hAnsi="仿宋" w:eastAsia="仿宋_GB2312"/>
          <w:sz w:val="32"/>
          <w:szCs w:val="32"/>
        </w:rPr>
        <w:t>七、</w:t>
      </w:r>
      <w:r>
        <w:rPr>
          <w:rFonts w:hint="eastAsia" w:ascii="仿宋_GB2312" w:eastAsia="仿宋_GB2312"/>
          <w:sz w:val="32"/>
          <w:szCs w:val="32"/>
        </w:rPr>
        <w:t>一般公共预算财政拨款支出决算明细表</w:t>
      </w:r>
    </w:p>
    <w:p w14:paraId="57C3B2FB">
      <w:pPr>
        <w:pStyle w:val="11"/>
        <w:adjustRightInd w:val="0"/>
        <w:snapToGrid w:val="0"/>
        <w:spacing w:line="360" w:lineRule="auto"/>
        <w:jc w:val="left"/>
        <w:rPr>
          <w:rFonts w:hint="eastAsia" w:ascii="仿宋_GB2312" w:hAnsi="仿宋" w:eastAsia="仿宋_GB2312"/>
          <w:sz w:val="32"/>
          <w:szCs w:val="32"/>
        </w:rPr>
      </w:pPr>
      <w:r>
        <w:rPr>
          <w:rFonts w:hint="eastAsia" w:ascii="仿宋_GB2312" w:hAnsi="仿宋" w:eastAsia="仿宋_GB2312"/>
          <w:sz w:val="32"/>
          <w:szCs w:val="32"/>
        </w:rPr>
        <w:t>八、</w:t>
      </w:r>
      <w:r>
        <w:rPr>
          <w:rFonts w:hint="eastAsia" w:ascii="仿宋_GB2312" w:eastAsia="仿宋_GB2312"/>
          <w:sz w:val="32"/>
          <w:szCs w:val="32"/>
        </w:rPr>
        <w:t>一般公共预算财政拨款基本支出决算表</w:t>
      </w:r>
    </w:p>
    <w:p w14:paraId="046E29E6">
      <w:pPr>
        <w:pStyle w:val="11"/>
        <w:adjustRightInd w:val="0"/>
        <w:snapToGrid w:val="0"/>
        <w:spacing w:line="360" w:lineRule="auto"/>
        <w:jc w:val="left"/>
        <w:rPr>
          <w:rFonts w:hint="eastAsia" w:ascii="仿宋_GB2312" w:hAnsi="仿宋" w:eastAsia="仿宋_GB2312"/>
          <w:sz w:val="32"/>
          <w:szCs w:val="32"/>
        </w:rPr>
      </w:pPr>
      <w:r>
        <w:rPr>
          <w:rFonts w:hint="eastAsia" w:ascii="仿宋_GB2312" w:hAnsi="仿宋" w:eastAsia="仿宋_GB2312"/>
          <w:sz w:val="32"/>
          <w:szCs w:val="32"/>
        </w:rPr>
        <w:t>九、</w:t>
      </w:r>
      <w:r>
        <w:rPr>
          <w:rFonts w:hint="eastAsia" w:ascii="仿宋_GB2312" w:eastAsia="仿宋_GB2312"/>
          <w:sz w:val="32"/>
          <w:szCs w:val="32"/>
        </w:rPr>
        <w:t>一般公共预算财政拨款项目支出决算表</w:t>
      </w:r>
    </w:p>
    <w:p w14:paraId="2CFAD3F7">
      <w:pPr>
        <w:pStyle w:val="11"/>
        <w:adjustRightInd w:val="0"/>
        <w:snapToGrid w:val="0"/>
        <w:spacing w:line="360" w:lineRule="auto"/>
        <w:jc w:val="left"/>
        <w:rPr>
          <w:rFonts w:hint="eastAsia" w:ascii="仿宋_GB2312" w:hAnsi="仿宋" w:eastAsia="仿宋_GB2312"/>
          <w:sz w:val="32"/>
          <w:szCs w:val="32"/>
        </w:rPr>
      </w:pPr>
      <w:r>
        <w:rPr>
          <w:rFonts w:hint="eastAsia" w:ascii="仿宋_GB2312" w:hAnsi="仿宋" w:eastAsia="仿宋_GB2312"/>
          <w:sz w:val="32"/>
          <w:szCs w:val="32"/>
        </w:rPr>
        <w:t>十、</w:t>
      </w:r>
      <w:r>
        <w:rPr>
          <w:rFonts w:hint="eastAsia" w:ascii="仿宋_GB2312" w:eastAsia="仿宋_GB2312"/>
          <w:sz w:val="32"/>
          <w:szCs w:val="32"/>
        </w:rPr>
        <w:t>一般公共预算财政拨款“三公”经费支出决算表</w:t>
      </w:r>
    </w:p>
    <w:p w14:paraId="25594065">
      <w:pPr>
        <w:pStyle w:val="11"/>
        <w:adjustRightInd w:val="0"/>
        <w:snapToGrid w:val="0"/>
        <w:spacing w:line="360" w:lineRule="auto"/>
        <w:jc w:val="left"/>
        <w:rPr>
          <w:rFonts w:hint="eastAsia" w:ascii="仿宋_GB2312" w:hAnsi="仿宋" w:eastAsia="仿宋_GB2312"/>
          <w:sz w:val="32"/>
          <w:szCs w:val="32"/>
        </w:rPr>
      </w:pPr>
      <w:r>
        <w:rPr>
          <w:rFonts w:hint="eastAsia" w:ascii="仿宋_GB2312" w:hAnsi="仿宋" w:eastAsia="仿宋_GB2312"/>
          <w:sz w:val="32"/>
          <w:szCs w:val="32"/>
        </w:rPr>
        <w:t>十一、</w:t>
      </w:r>
      <w:r>
        <w:rPr>
          <w:rFonts w:hint="eastAsia" w:ascii="仿宋_GB2312" w:eastAsia="仿宋_GB2312"/>
          <w:sz w:val="32"/>
          <w:szCs w:val="32"/>
        </w:rPr>
        <w:t>政府性基金预算财政拨款收入支出决算表</w:t>
      </w:r>
    </w:p>
    <w:p w14:paraId="04006271">
      <w:pPr>
        <w:pStyle w:val="11"/>
        <w:adjustRightInd w:val="0"/>
        <w:snapToGrid w:val="0"/>
        <w:spacing w:line="360" w:lineRule="auto"/>
        <w:jc w:val="left"/>
        <w:rPr>
          <w:rFonts w:hint="eastAsia" w:ascii="仿宋_GB2312" w:hAnsi="仿宋" w:eastAsia="仿宋_GB2312"/>
          <w:sz w:val="32"/>
          <w:szCs w:val="32"/>
        </w:rPr>
      </w:pPr>
      <w:r>
        <w:rPr>
          <w:rFonts w:hint="eastAsia" w:ascii="仿宋_GB2312" w:hAnsi="仿宋" w:eastAsia="仿宋_GB2312"/>
          <w:sz w:val="32"/>
          <w:szCs w:val="32"/>
        </w:rPr>
        <w:t>十二、</w:t>
      </w:r>
      <w:r>
        <w:rPr>
          <w:rFonts w:hint="eastAsia" w:ascii="仿宋_GB2312" w:eastAsia="仿宋_GB2312"/>
          <w:sz w:val="32"/>
          <w:szCs w:val="32"/>
        </w:rPr>
        <w:t>政府性基金预算财政拨款“三公”经费支出决算表</w:t>
      </w:r>
    </w:p>
    <w:p w14:paraId="64163606">
      <w:pPr>
        <w:pStyle w:val="11"/>
        <w:adjustRightInd w:val="0"/>
        <w:snapToGrid w:val="0"/>
        <w:spacing w:line="360" w:lineRule="auto"/>
        <w:jc w:val="left"/>
        <w:rPr>
          <w:rFonts w:hint="eastAsia" w:ascii="仿宋_GB2312" w:hAnsi="仿宋" w:eastAsia="仿宋_GB2312"/>
          <w:sz w:val="32"/>
          <w:szCs w:val="32"/>
        </w:rPr>
      </w:pPr>
      <w:r>
        <w:rPr>
          <w:rFonts w:hint="eastAsia" w:ascii="仿宋_GB2312" w:hAnsi="仿宋" w:eastAsia="仿宋_GB2312"/>
          <w:sz w:val="32"/>
          <w:szCs w:val="32"/>
        </w:rPr>
        <w:t>十三、</w:t>
      </w:r>
      <w:r>
        <w:rPr>
          <w:rFonts w:hint="eastAsia" w:ascii="仿宋_GB2312" w:eastAsia="仿宋_GB2312"/>
          <w:sz w:val="32"/>
          <w:szCs w:val="32"/>
        </w:rPr>
        <w:t>国有资本经营预算支出决算表</w:t>
      </w:r>
    </w:p>
    <w:p w14:paraId="3DD2268D">
      <w:pPr>
        <w:widowControl/>
        <w:spacing w:line="360" w:lineRule="auto"/>
        <w:jc w:val="left"/>
        <w:rPr>
          <w:rFonts w:hint="eastAsia" w:ascii="仿宋_GB2312" w:hAnsi="仿宋" w:eastAsia="仿宋_GB2312"/>
          <w:bCs/>
          <w:kern w:val="44"/>
          <w:sz w:val="32"/>
          <w:szCs w:val="32"/>
        </w:rPr>
      </w:pPr>
      <w:bookmarkStart w:id="6" w:name="_Toc15396599"/>
      <w:bookmarkStart w:id="7" w:name="_Toc15377196"/>
    </w:p>
    <w:p w14:paraId="0C86A91D">
      <w:pPr>
        <w:pStyle w:val="2"/>
        <w:spacing w:line="360" w:lineRule="auto"/>
        <w:jc w:val="center"/>
        <w:rPr>
          <w:rFonts w:hint="eastAsia" w:ascii="仿宋_GB2312" w:eastAsia="仿宋_GB2312"/>
          <w:sz w:val="32"/>
          <w:szCs w:val="32"/>
        </w:rPr>
        <w:sectPr>
          <w:footerReference r:id="rId3" w:type="default"/>
          <w:pgSz w:w="11906" w:h="16838"/>
          <w:pgMar w:top="2041" w:right="1474" w:bottom="1588" w:left="1474" w:header="851" w:footer="992" w:gutter="0"/>
          <w:cols w:space="425" w:num="1"/>
          <w:docGrid w:type="lines" w:linePitch="312" w:charSpace="0"/>
        </w:sectPr>
      </w:pPr>
    </w:p>
    <w:p w14:paraId="60FA79B5">
      <w:pPr>
        <w:spacing w:line="600" w:lineRule="exact"/>
        <w:jc w:val="center"/>
        <w:rPr>
          <w:rFonts w:hint="eastAsia" w:ascii="方正小标宋简体" w:hAnsi="宋体" w:eastAsia="方正小标宋简体"/>
          <w:b/>
          <w:bCs/>
          <w:color w:val="000000"/>
          <w:sz w:val="44"/>
          <w:szCs w:val="44"/>
        </w:rPr>
      </w:pPr>
      <w:r>
        <w:rPr>
          <w:rFonts w:hint="eastAsia" w:ascii="方正小标宋简体" w:hAnsi="宋体" w:eastAsia="方正小标宋简体"/>
          <w:color w:val="000000"/>
          <w:sz w:val="44"/>
          <w:szCs w:val="44"/>
        </w:rPr>
        <w:t xml:space="preserve">第一部分 </w:t>
      </w:r>
      <w:r>
        <w:rPr>
          <w:rFonts w:hint="eastAsia" w:ascii="方正小标宋简体" w:hAnsi="宋体" w:eastAsia="方正小标宋简体"/>
          <w:b/>
          <w:bCs/>
          <w:color w:val="000000"/>
          <w:sz w:val="44"/>
          <w:szCs w:val="44"/>
        </w:rPr>
        <w:t>部门概况</w:t>
      </w:r>
      <w:bookmarkEnd w:id="6"/>
      <w:bookmarkEnd w:id="7"/>
    </w:p>
    <w:p w14:paraId="50C13CA5">
      <w:pPr>
        <w:spacing w:line="600" w:lineRule="exact"/>
        <w:jc w:val="center"/>
        <w:rPr>
          <w:rFonts w:hint="eastAsia" w:ascii="仿宋_GB2312" w:hAnsi="宋体" w:eastAsia="仿宋_GB2312"/>
          <w:color w:val="000000"/>
          <w:sz w:val="32"/>
          <w:szCs w:val="32"/>
        </w:rPr>
      </w:pPr>
    </w:p>
    <w:p w14:paraId="6116FBFE">
      <w:pPr>
        <w:rPr>
          <w:rFonts w:hint="eastAsia" w:ascii="黑体" w:hAnsi="黑体" w:eastAsia="黑体"/>
          <w:b/>
          <w:bCs/>
          <w:color w:val="000000"/>
          <w:sz w:val="32"/>
          <w:szCs w:val="32"/>
        </w:rPr>
      </w:pPr>
      <w:bookmarkStart w:id="8" w:name="_Toc15396600"/>
      <w:bookmarkStart w:id="9" w:name="_Toc15377197"/>
      <w:r>
        <w:rPr>
          <w:rFonts w:hint="eastAsia" w:ascii="黑体" w:hAnsi="黑体" w:eastAsia="黑体"/>
          <w:color w:val="000000"/>
          <w:sz w:val="32"/>
          <w:szCs w:val="32"/>
        </w:rPr>
        <w:t>一、基</w:t>
      </w:r>
      <w:r>
        <w:rPr>
          <w:rFonts w:hint="eastAsia" w:ascii="黑体" w:hAnsi="黑体" w:eastAsia="黑体"/>
          <w:b/>
          <w:bCs/>
          <w:color w:val="000000"/>
          <w:sz w:val="32"/>
          <w:szCs w:val="32"/>
        </w:rPr>
        <w:t>本职能及主要工作</w:t>
      </w:r>
      <w:bookmarkEnd w:id="8"/>
      <w:bookmarkEnd w:id="9"/>
    </w:p>
    <w:p w14:paraId="7647356D">
      <w:pPr>
        <w:pStyle w:val="5"/>
        <w:adjustRightInd w:val="0"/>
        <w:snapToGrid w:val="0"/>
        <w:spacing w:beforeLines="0"/>
        <w:ind w:firstLine="675" w:firstLineChars="210"/>
        <w:outlineLvl w:val="2"/>
        <w:rPr>
          <w:rFonts w:hint="eastAsia" w:ascii="楷体" w:hAnsi="楷体" w:eastAsia="楷体"/>
          <w:b/>
          <w:bCs/>
          <w:color w:val="000000"/>
          <w:sz w:val="32"/>
          <w:szCs w:val="32"/>
        </w:rPr>
      </w:pPr>
      <w:bookmarkStart w:id="10" w:name="_Toc15378445"/>
      <w:bookmarkStart w:id="11" w:name="_Toc15377198"/>
      <w:r>
        <w:rPr>
          <w:rFonts w:hint="eastAsia" w:ascii="楷体" w:hAnsi="楷体" w:eastAsia="楷体"/>
          <w:b/>
          <w:bCs/>
          <w:color w:val="000000"/>
          <w:sz w:val="32"/>
          <w:szCs w:val="32"/>
        </w:rPr>
        <w:t>（一）主要职能。</w:t>
      </w:r>
    </w:p>
    <w:bookmarkEnd w:id="10"/>
    <w:bookmarkEnd w:id="11"/>
    <w:p w14:paraId="1642812E">
      <w:pPr>
        <w:ind w:firstLine="800" w:firstLineChars="250"/>
        <w:rPr>
          <w:rFonts w:hint="eastAsia" w:ascii="仿宋_GB2312" w:hAnsi="仿宋_GB2312" w:eastAsia="仿宋_GB2312" w:cs="仿宋_GB2312"/>
          <w:sz w:val="32"/>
          <w:szCs w:val="32"/>
        </w:rPr>
      </w:pPr>
      <w:bookmarkStart w:id="12" w:name="_Toc15377199"/>
      <w:bookmarkStart w:id="13" w:name="_Toc15378446"/>
      <w:r>
        <w:rPr>
          <w:rFonts w:hint="eastAsia" w:ascii="仿宋_GB2312" w:hAnsi="仿宋_GB2312" w:eastAsia="仿宋_GB2312" w:cs="仿宋_GB2312"/>
          <w:sz w:val="32"/>
          <w:szCs w:val="32"/>
        </w:rPr>
        <w:t>1、镇党委工作职责</w:t>
      </w:r>
    </w:p>
    <w:p w14:paraId="6A68E32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（1）、保证党的路线、方针、政策的坚决贯彻执行。</w:t>
      </w:r>
    </w:p>
    <w:p w14:paraId="560D206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（2）、保证监督职能。</w:t>
      </w:r>
    </w:p>
    <w:p w14:paraId="2A40A8D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（3）、教育和管理职能。</w:t>
      </w:r>
    </w:p>
    <w:p w14:paraId="75E042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（4）、服从和服务于经济建设的职能。</w:t>
      </w:r>
    </w:p>
    <w:p w14:paraId="6E54360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（5）、负责抓好本镇党建工作、群团工作、精神文明建设工作、新闻宣传工作。</w:t>
      </w:r>
    </w:p>
    <w:p w14:paraId="650CE65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（6）、完成市委、市政府交给的其他工作任务。</w:t>
      </w:r>
    </w:p>
    <w:p w14:paraId="50B86EE7">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2、镇政府工作职责</w:t>
      </w:r>
    </w:p>
    <w:p w14:paraId="17C6849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14:paraId="1D30EEA8">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（2）、制定并组织实施村镇建设规划，部署重点工程建设，地方道路建设及公共设施，水利设施的管理，负责土地、林木、水等自然资源和生态环境的保护，做好护林防火工作。</w:t>
      </w:r>
    </w:p>
    <w:p w14:paraId="094E51EA">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（3）、负责本行政区域内的民政、计划生育、文化教育、</w:t>
      </w:r>
    </w:p>
    <w:p w14:paraId="19939CB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卫生、体育等社会公益事业的综合性工作，维护一切经济单位和个人的正当经济权益，取缔非法经济活动，调解和处理民事纠纷，打击刑事犯罪维护社会稳定。</w:t>
      </w:r>
    </w:p>
    <w:p w14:paraId="63182477">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（4）、按计划组织本级财政收入和地方税的征收，完成国家财政计划，不断培植税源，管好财政资金，增强财政实力。</w:t>
      </w:r>
    </w:p>
    <w:p w14:paraId="410FE313">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（5）、抓好精神文明建设，丰富群众文化生活，提倡移风易俗，反对封建迷信，破除陈规陋习，树立社会主义新风尚。</w:t>
      </w:r>
    </w:p>
    <w:p w14:paraId="4BC507DE">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（6）、完成上级政府交办的其它事项。</w:t>
      </w:r>
    </w:p>
    <w:p w14:paraId="341FB23F">
      <w:pPr>
        <w:pStyle w:val="5"/>
        <w:adjustRightInd w:val="0"/>
        <w:snapToGrid w:val="0"/>
        <w:spacing w:beforeLines="0"/>
        <w:ind w:firstLine="675" w:firstLineChars="210"/>
        <w:outlineLvl w:val="2"/>
        <w:rPr>
          <w:rFonts w:hint="eastAsia" w:ascii="楷体" w:hAnsi="楷体" w:eastAsia="楷体"/>
          <w:b/>
          <w:bCs/>
          <w:color w:val="000000"/>
          <w:sz w:val="32"/>
          <w:szCs w:val="32"/>
        </w:rPr>
      </w:pPr>
      <w:r>
        <w:rPr>
          <w:rFonts w:hint="eastAsia" w:ascii="楷体" w:hAnsi="楷体" w:eastAsia="楷体"/>
          <w:b/>
          <w:bCs/>
          <w:color w:val="000000"/>
          <w:sz w:val="32"/>
          <w:szCs w:val="32"/>
        </w:rPr>
        <w:t>（二）2019年重点工作完成情况。</w:t>
      </w:r>
      <w:bookmarkEnd w:id="12"/>
      <w:bookmarkEnd w:id="13"/>
    </w:p>
    <w:p w14:paraId="462DEF16">
      <w:pPr>
        <w:ind w:firstLine="640" w:firstLineChars="200"/>
        <w:rPr>
          <w:rFonts w:hint="eastAsia" w:ascii="仿宋_GB2312" w:hAnsi="黑体" w:eastAsia="仿宋_GB2312"/>
          <w:sz w:val="32"/>
          <w:szCs w:val="32"/>
        </w:rPr>
      </w:pPr>
      <w:r>
        <w:rPr>
          <w:rFonts w:hint="eastAsia" w:ascii="仿宋_GB2312" w:hAnsi="黑体" w:eastAsia="仿宋_GB2312"/>
          <w:sz w:val="32"/>
          <w:szCs w:val="32"/>
        </w:rPr>
        <w:t>1、推进文旅产业融合新发展</w:t>
      </w:r>
    </w:p>
    <w:p w14:paraId="13E60B71">
      <w:pPr>
        <w:ind w:firstLine="642"/>
        <w:rPr>
          <w:rFonts w:hint="eastAsia" w:ascii="仿宋_GB2312" w:hAnsi="仿宋" w:eastAsia="仿宋_GB2312" w:cs="仿宋"/>
          <w:kern w:val="0"/>
          <w:sz w:val="32"/>
          <w:szCs w:val="32"/>
        </w:rPr>
      </w:pPr>
      <w:r>
        <w:rPr>
          <w:rFonts w:hint="eastAsia" w:ascii="仿宋_GB2312" w:hAnsi="仿宋" w:eastAsia="仿宋_GB2312" w:cs="仿宋"/>
          <w:kern w:val="0"/>
          <w:sz w:val="32"/>
          <w:szCs w:val="32"/>
        </w:rPr>
        <w:t>坚持市委市政府以旅游统揽全局的发展理念，紧抓城市南扩机遇，寻求创新发展的动力和融合点。重点推进国际佛教文化旅游目的地综合开发、慈善康氧禅修中心的发展，打造城市文化新名片。加速推进</w:t>
      </w:r>
      <w:r>
        <w:rPr>
          <w:rFonts w:hint="eastAsia" w:ascii="仿宋_GB2312" w:hAnsi="仿宋" w:eastAsia="仿宋_GB2312"/>
          <w:sz w:val="32"/>
          <w:szCs w:val="32"/>
        </w:rPr>
        <w:t>旅博新区发展，抓好旅博大道桥梁基础设施建设，做好</w:t>
      </w:r>
      <w:r>
        <w:rPr>
          <w:rFonts w:hint="eastAsia" w:ascii="仿宋_GB2312" w:hAnsi="仿宋" w:eastAsia="仿宋_GB2312" w:cs="仿宋"/>
          <w:color w:val="000000"/>
          <w:sz w:val="32"/>
          <w:szCs w:val="32"/>
        </w:rPr>
        <w:t>高速路到水晶城市广场道路建设、赶山河公园建设，</w:t>
      </w:r>
      <w:r>
        <w:rPr>
          <w:rFonts w:hint="eastAsia" w:ascii="仿宋_GB2312" w:hAnsi="仿宋" w:eastAsia="仿宋_GB2312" w:cs="仿宋"/>
          <w:kern w:val="0"/>
          <w:sz w:val="32"/>
          <w:szCs w:val="32"/>
        </w:rPr>
        <w:t>全力以赴确保峨眉二中初中部、胜利小学迁建、峨师附小、</w:t>
      </w:r>
      <w:r>
        <w:rPr>
          <w:rFonts w:hint="eastAsia" w:ascii="仿宋_GB2312" w:hAnsi="仿宋" w:eastAsia="仿宋_GB2312" w:cs="仿宋"/>
          <w:color w:val="000000"/>
          <w:sz w:val="32"/>
          <w:szCs w:val="32"/>
        </w:rPr>
        <w:t>十里村5组统征统拆</w:t>
      </w:r>
      <w:r>
        <w:rPr>
          <w:rFonts w:hint="eastAsia" w:ascii="仿宋_GB2312" w:hAnsi="仿宋" w:eastAsia="仿宋_GB2312" w:cs="仿宋"/>
          <w:kern w:val="0"/>
          <w:sz w:val="32"/>
          <w:szCs w:val="32"/>
        </w:rPr>
        <w:t>等</w:t>
      </w:r>
      <w:r>
        <w:rPr>
          <w:rFonts w:hint="eastAsia" w:ascii="仿宋_GB2312" w:hAnsi="仿宋" w:eastAsia="仿宋_GB2312" w:cs="仿宋"/>
          <w:color w:val="000000"/>
          <w:sz w:val="32"/>
          <w:szCs w:val="32"/>
        </w:rPr>
        <w:t>项目</w:t>
      </w:r>
      <w:r>
        <w:rPr>
          <w:rFonts w:hint="eastAsia" w:ascii="仿宋_GB2312" w:hAnsi="仿宋" w:eastAsia="仿宋_GB2312" w:cs="仿宋"/>
          <w:kern w:val="0"/>
          <w:sz w:val="32"/>
          <w:szCs w:val="32"/>
        </w:rPr>
        <w:t>顺利推进，</w:t>
      </w:r>
      <w:r>
        <w:rPr>
          <w:rFonts w:hint="eastAsia" w:ascii="仿宋_GB2312" w:hAnsi="仿宋" w:eastAsia="仿宋_GB2312" w:cs="仿宋"/>
          <w:color w:val="0A0A0A"/>
          <w:sz w:val="32"/>
          <w:szCs w:val="32"/>
          <w:shd w:val="clear" w:color="auto" w:fill="FFFFFF"/>
        </w:rPr>
        <w:t>全力打造“宜居、宜养、宜业”的旅游环境。</w:t>
      </w:r>
    </w:p>
    <w:p w14:paraId="20A30815">
      <w:pPr>
        <w:ind w:firstLine="640" w:firstLineChars="200"/>
        <w:rPr>
          <w:rFonts w:hint="eastAsia" w:ascii="仿宋_GB2312" w:hAnsi="黑体" w:eastAsia="仿宋_GB2312"/>
          <w:sz w:val="32"/>
          <w:szCs w:val="32"/>
        </w:rPr>
      </w:pPr>
      <w:r>
        <w:rPr>
          <w:rFonts w:hint="eastAsia" w:ascii="仿宋_GB2312" w:hAnsi="黑体" w:eastAsia="仿宋_GB2312" w:cs="黑体"/>
          <w:bCs/>
          <w:sz w:val="32"/>
          <w:szCs w:val="32"/>
        </w:rPr>
        <w:t>2、促进</w:t>
      </w:r>
      <w:r>
        <w:rPr>
          <w:rFonts w:hint="eastAsia" w:ascii="仿宋_GB2312" w:hAnsi="黑体" w:eastAsia="仿宋_GB2312"/>
          <w:sz w:val="32"/>
          <w:szCs w:val="32"/>
        </w:rPr>
        <w:t>民生事业全面发展</w:t>
      </w:r>
    </w:p>
    <w:p w14:paraId="1EC947BE">
      <w:pPr>
        <w:pStyle w:val="12"/>
        <w:widowControl/>
        <w:spacing w:before="0" w:beforeAutospacing="0" w:after="0" w:afterAutospacing="0"/>
        <w:ind w:firstLine="643" w:firstLineChars="200"/>
        <w:rPr>
          <w:rFonts w:hint="eastAsia" w:ascii="仿宋_GB2312" w:hAnsi="仿宋" w:eastAsia="仿宋_GB2312" w:cs="仿宋"/>
          <w:bCs/>
          <w:sz w:val="32"/>
          <w:szCs w:val="32"/>
        </w:rPr>
      </w:pPr>
      <w:r>
        <w:rPr>
          <w:rFonts w:hint="eastAsia" w:ascii="仿宋_GB2312" w:hAnsi="仿宋" w:eastAsia="仿宋_GB2312" w:cs="仿宋"/>
          <w:b/>
          <w:sz w:val="32"/>
          <w:szCs w:val="32"/>
        </w:rPr>
        <w:t>一是</w:t>
      </w:r>
      <w:r>
        <w:rPr>
          <w:rFonts w:hint="eastAsia" w:ascii="仿宋_GB2312" w:hAnsi="仿宋" w:eastAsia="仿宋_GB2312" w:cs="仿宋"/>
          <w:bCs/>
          <w:sz w:val="32"/>
          <w:szCs w:val="32"/>
        </w:rPr>
        <w:t>聚焦脱贫目标，精准施策，针对贫困群众积极开展就业培训。积极完善扶贫工作考核评价体系，加强脱贫人员跟踪服务，针对薄弱环节强力支持，确保全胜脱贫攻坚。</w:t>
      </w:r>
      <w:r>
        <w:rPr>
          <w:rFonts w:hint="eastAsia" w:ascii="仿宋_GB2312" w:hAnsi="仿宋" w:eastAsia="仿宋_GB2312" w:cs="仿宋"/>
          <w:b/>
          <w:sz w:val="32"/>
          <w:szCs w:val="32"/>
        </w:rPr>
        <w:t>二是</w:t>
      </w:r>
      <w:r>
        <w:rPr>
          <w:rFonts w:hint="eastAsia" w:ascii="仿宋_GB2312" w:hAnsi="仿宋" w:eastAsia="仿宋_GB2312" w:cs="仿宋"/>
          <w:bCs/>
          <w:sz w:val="32"/>
          <w:szCs w:val="32"/>
        </w:rPr>
        <w:t>加大民生保障，提升社会保障水平，提高社会保险参保覆盖率。坚持教育优先，</w:t>
      </w:r>
      <w:r>
        <w:rPr>
          <w:rFonts w:hint="eastAsia" w:ascii="仿宋_GB2312" w:hAnsi="仿宋" w:eastAsia="仿宋_GB2312"/>
          <w:sz w:val="32"/>
          <w:szCs w:val="32"/>
        </w:rPr>
        <w:t>努力提高镇域学校教育教学质量，深化教育教学改革，强化先进教育理念，加快推进峨眉二中初中部、师范附小、胜利小学等新建和迁建工程。保障医疗资源，提供优质计生服务，切实落实计生惠民政策，加强计划免疫工作。加强镇文化站和农村书屋建设，积极发展文化事业，不断丰富群众文化生活。</w:t>
      </w:r>
    </w:p>
    <w:p w14:paraId="5B6BB003">
      <w:pPr>
        <w:pStyle w:val="12"/>
        <w:widowControl/>
        <w:spacing w:before="0" w:beforeAutospacing="0" w:after="0" w:afterAutospacing="0"/>
        <w:ind w:left="420" w:leftChars="200"/>
        <w:rPr>
          <w:rFonts w:hint="eastAsia" w:ascii="仿宋_GB2312" w:hAnsi="黑体" w:eastAsia="仿宋_GB2312" w:cs="黑体"/>
          <w:bCs/>
          <w:sz w:val="32"/>
          <w:szCs w:val="32"/>
        </w:rPr>
      </w:pPr>
      <w:r>
        <w:rPr>
          <w:rFonts w:hint="eastAsia" w:ascii="仿宋_GB2312" w:hAnsi="仿宋" w:eastAsia="仿宋_GB2312" w:cs="仿宋"/>
          <w:bCs/>
          <w:sz w:val="32"/>
          <w:szCs w:val="32"/>
        </w:rPr>
        <w:t xml:space="preserve"> </w:t>
      </w:r>
      <w:r>
        <w:rPr>
          <w:rFonts w:hint="eastAsia" w:ascii="仿宋_GB2312" w:hAnsi="黑体" w:eastAsia="仿宋_GB2312" w:cs="黑体"/>
          <w:bCs/>
          <w:sz w:val="32"/>
          <w:szCs w:val="32"/>
        </w:rPr>
        <w:t>3、推动社会管理不断创新</w:t>
      </w:r>
    </w:p>
    <w:p w14:paraId="0214C9FD">
      <w:pPr>
        <w:ind w:firstLine="642"/>
        <w:rPr>
          <w:rFonts w:hint="eastAsia" w:ascii="仿宋_GB2312" w:hAnsi="仿宋" w:eastAsia="仿宋_GB2312" w:cs="仿宋"/>
          <w:color w:val="000000"/>
          <w:sz w:val="32"/>
          <w:szCs w:val="32"/>
        </w:rPr>
      </w:pPr>
      <w:r>
        <w:rPr>
          <w:rFonts w:hint="eastAsia" w:ascii="仿宋_GB2312" w:eastAsia="仿宋_GB2312" w:cs="仿宋"/>
          <w:b/>
          <w:sz w:val="32"/>
          <w:szCs w:val="32"/>
        </w:rPr>
        <w:t>一是</w:t>
      </w:r>
      <w:r>
        <w:rPr>
          <w:rFonts w:hint="eastAsia" w:ascii="仿宋_GB2312" w:eastAsia="仿宋_GB2312" w:cs="仿宋"/>
          <w:sz w:val="32"/>
          <w:szCs w:val="32"/>
        </w:rPr>
        <w:t>深化依法治镇。</w:t>
      </w:r>
      <w:r>
        <w:rPr>
          <w:rFonts w:hint="eastAsia" w:ascii="仿宋_GB2312" w:eastAsia="仿宋_GB2312"/>
          <w:sz w:val="32"/>
          <w:szCs w:val="32"/>
        </w:rPr>
        <w:t>全面贯彻落实依法治市要求，开展全民学法活动，创新法治宣传教育，提高公民法治意识。结合胜利镇征地拆迁实际，重点开展《土地法》等征地拆迁相关法律法规的宣传学习，大力培养农村“法律明白人”。进一步推行法律顾问制度，深入开展依法治村工作</w:t>
      </w:r>
      <w:r>
        <w:rPr>
          <w:rFonts w:hint="eastAsia" w:ascii="仿宋_GB2312" w:eastAsia="仿宋_GB2312" w:cs="??_GB2312"/>
          <w:sz w:val="32"/>
          <w:szCs w:val="32"/>
        </w:rPr>
        <w:t>。</w:t>
      </w:r>
      <w:r>
        <w:rPr>
          <w:rFonts w:hint="eastAsia" w:ascii="仿宋_GB2312" w:eastAsia="仿宋_GB2312" w:cs="??_GB2312"/>
          <w:b/>
          <w:sz w:val="32"/>
          <w:szCs w:val="32"/>
        </w:rPr>
        <w:t>二是</w:t>
      </w:r>
      <w:r>
        <w:rPr>
          <w:rFonts w:hint="eastAsia" w:ascii="仿宋_GB2312" w:eastAsia="仿宋_GB2312" w:cs="仿宋"/>
          <w:sz w:val="32"/>
          <w:szCs w:val="32"/>
        </w:rPr>
        <w:t>创新社会管理。</w:t>
      </w:r>
      <w:r>
        <w:rPr>
          <w:rFonts w:hint="eastAsia" w:ascii="仿宋_GB2312" w:eastAsia="仿宋_GB2312"/>
          <w:sz w:val="32"/>
          <w:szCs w:val="32"/>
        </w:rPr>
        <w:t>深入推进社会综合整治，健全立体化社会治安防控体系，合理划分社区区划，不断优化社会治理结构，指导辖区内的小区成立业主委员会，实现对小区停车、安全的规范管理，强化巡逻，联防联治打造平安生活环境。</w:t>
      </w:r>
      <w:r>
        <w:rPr>
          <w:rFonts w:hint="eastAsia" w:ascii="仿宋_GB2312" w:eastAsia="仿宋_GB2312"/>
          <w:b/>
          <w:sz w:val="32"/>
          <w:szCs w:val="32"/>
        </w:rPr>
        <w:t>三是</w:t>
      </w:r>
      <w:r>
        <w:rPr>
          <w:rFonts w:hint="eastAsia" w:ascii="仿宋_GB2312" w:eastAsia="仿宋_GB2312" w:cs="仿宋"/>
          <w:sz w:val="32"/>
          <w:szCs w:val="32"/>
        </w:rPr>
        <w:t>强化安全监管，</w:t>
      </w:r>
      <w:r>
        <w:rPr>
          <w:rFonts w:hint="eastAsia" w:ascii="仿宋_GB2312" w:eastAsia="仿宋_GB2312"/>
          <w:sz w:val="32"/>
          <w:szCs w:val="32"/>
        </w:rPr>
        <w:t>严格落实安全生产责任制，持续强化食品药品、道路交通、公共消防等重点领域安全监管。落实“党政同责，一岗双责”要求，深化重点行业安全生产隐患排查治理工作，加快推进企业安全生产标准化工作，完善应急救援体系建设，提高应急处置能力。</w:t>
      </w:r>
    </w:p>
    <w:p w14:paraId="72AF6B23">
      <w:pPr>
        <w:pStyle w:val="3"/>
        <w:spacing w:before="0" w:after="0" w:line="240" w:lineRule="auto"/>
        <w:ind w:firstLine="480" w:firstLineChars="150"/>
        <w:rPr>
          <w:rStyle w:val="18"/>
          <w:rFonts w:hint="eastAsia" w:ascii="黑体" w:hAnsi="黑体" w:eastAsia="黑体"/>
          <w:b w:val="0"/>
          <w:bCs w:val="0"/>
        </w:rPr>
      </w:pPr>
      <w:bookmarkStart w:id="14" w:name="_Toc15396601"/>
      <w:bookmarkStart w:id="15" w:name="_Toc15377200"/>
      <w:r>
        <w:rPr>
          <w:rFonts w:hint="eastAsia" w:ascii="黑体" w:hAnsi="黑体" w:eastAsia="黑体"/>
          <w:b w:val="0"/>
          <w:color w:val="000000"/>
        </w:rPr>
        <w:t>二、机</w:t>
      </w:r>
      <w:r>
        <w:rPr>
          <w:rStyle w:val="18"/>
          <w:rFonts w:hint="eastAsia" w:ascii="黑体" w:hAnsi="黑体" w:eastAsia="黑体"/>
          <w:b w:val="0"/>
          <w:bCs w:val="0"/>
        </w:rPr>
        <w:t>构设置</w:t>
      </w:r>
      <w:bookmarkEnd w:id="14"/>
      <w:bookmarkEnd w:id="15"/>
    </w:p>
    <w:p w14:paraId="5DCB9584">
      <w:pPr>
        <w:pStyle w:val="5"/>
        <w:adjustRightInd w:val="0"/>
        <w:snapToGrid w:val="0"/>
        <w:spacing w:beforeLines="0" w:line="300" w:lineRule="auto"/>
        <w:ind w:firstLine="480" w:firstLineChars="150"/>
        <w:rPr>
          <w:rFonts w:hint="eastAsia"/>
          <w:color w:val="000000"/>
          <w:sz w:val="32"/>
          <w:szCs w:val="32"/>
        </w:rPr>
      </w:pPr>
      <w:bookmarkStart w:id="16" w:name="_Toc15306276"/>
      <w:bookmarkStart w:id="17" w:name="_Toc15377433"/>
      <w:bookmarkStart w:id="18" w:name="_Toc15378449"/>
      <w:bookmarkStart w:id="19" w:name="_Toc15377202"/>
      <w:r>
        <w:rPr>
          <w:rFonts w:hint="eastAsia"/>
          <w:sz w:val="32"/>
          <w:szCs w:val="32"/>
        </w:rPr>
        <w:t>胜利镇人民政府属一级单位，下属二级单位2个，参照公务员法管理的事业单位</w:t>
      </w:r>
      <w:r>
        <w:rPr>
          <w:rFonts w:hint="eastAsia"/>
          <w:bCs/>
          <w:sz w:val="32"/>
          <w:szCs w:val="32"/>
        </w:rPr>
        <w:t>0</w:t>
      </w:r>
      <w:r>
        <w:rPr>
          <w:rFonts w:hint="eastAsia"/>
          <w:sz w:val="32"/>
          <w:szCs w:val="32"/>
        </w:rPr>
        <w:t>个，其他事业单位2个，分别是胜利镇农业技术服务中心、胜利镇社会事业服务中心。</w:t>
      </w:r>
    </w:p>
    <w:bookmarkEnd w:id="16"/>
    <w:bookmarkEnd w:id="17"/>
    <w:bookmarkEnd w:id="18"/>
    <w:bookmarkEnd w:id="19"/>
    <w:p w14:paraId="0D6ACB1E">
      <w:pPr>
        <w:pStyle w:val="3"/>
        <w:spacing w:before="0" w:after="0" w:line="300" w:lineRule="auto"/>
        <w:ind w:firstLine="321" w:firstLineChars="100"/>
        <w:rPr>
          <w:rFonts w:hint="eastAsia" w:ascii="仿宋_GB2312" w:hAnsi="仿宋" w:eastAsia="仿宋_GB2312"/>
          <w:color w:val="000000"/>
          <w:kern w:val="0"/>
        </w:rPr>
      </w:pPr>
      <w:r>
        <w:rPr>
          <w:rFonts w:hint="eastAsia" w:ascii="仿宋_GB2312" w:hAnsi="仿宋" w:eastAsia="仿宋_GB2312"/>
          <w:color w:val="000000"/>
        </w:rPr>
        <w:br w:type="page"/>
      </w:r>
    </w:p>
    <w:p w14:paraId="56E20316">
      <w:pPr>
        <w:spacing w:line="600" w:lineRule="exact"/>
        <w:jc w:val="center"/>
        <w:rPr>
          <w:rFonts w:ascii="方正小标宋简体" w:hAnsi="宋体" w:eastAsia="方正小标宋简体"/>
          <w:b/>
          <w:bCs/>
          <w:color w:val="000000"/>
          <w:sz w:val="44"/>
          <w:szCs w:val="44"/>
        </w:rPr>
      </w:pPr>
      <w:bookmarkStart w:id="20" w:name="_Toc15396602"/>
      <w:bookmarkStart w:id="21" w:name="_Toc15377204"/>
      <w:r>
        <w:rPr>
          <w:rFonts w:hint="eastAsia" w:ascii="方正小标宋简体" w:hAnsi="宋体" w:eastAsia="方正小标宋简体"/>
          <w:color w:val="000000"/>
          <w:sz w:val="44"/>
          <w:szCs w:val="44"/>
        </w:rPr>
        <w:t xml:space="preserve">第二部分 </w:t>
      </w:r>
      <w:r>
        <w:rPr>
          <w:rFonts w:ascii="方正小标宋简体" w:hAnsi="宋体" w:eastAsia="方正小标宋简体"/>
          <w:b/>
          <w:bCs/>
          <w:color w:val="000000"/>
          <w:sz w:val="44"/>
          <w:szCs w:val="44"/>
        </w:rPr>
        <w:t>2019</w:t>
      </w:r>
      <w:r>
        <w:rPr>
          <w:rFonts w:hint="eastAsia" w:ascii="方正小标宋简体" w:hAnsi="宋体" w:eastAsia="方正小标宋简体"/>
          <w:b/>
          <w:bCs/>
          <w:color w:val="000000"/>
          <w:sz w:val="44"/>
          <w:szCs w:val="44"/>
        </w:rPr>
        <w:t>年度部门决算情况说明</w:t>
      </w:r>
      <w:bookmarkEnd w:id="20"/>
      <w:bookmarkEnd w:id="21"/>
    </w:p>
    <w:p w14:paraId="46D3446B">
      <w:pPr>
        <w:rPr>
          <w:rFonts w:hint="eastAsia" w:ascii="仿宋_GB2312" w:eastAsia="仿宋_GB2312"/>
          <w:sz w:val="32"/>
          <w:szCs w:val="32"/>
        </w:rPr>
      </w:pPr>
    </w:p>
    <w:p w14:paraId="1D650063">
      <w:pPr>
        <w:pStyle w:val="23"/>
        <w:numPr>
          <w:ilvl w:val="0"/>
          <w:numId w:val="1"/>
        </w:numPr>
        <w:spacing w:line="600" w:lineRule="exact"/>
        <w:ind w:firstLineChars="0"/>
        <w:outlineLvl w:val="1"/>
        <w:rPr>
          <w:rStyle w:val="18"/>
          <w:rFonts w:hint="eastAsia" w:ascii="黑体" w:hAnsi="黑体" w:eastAsia="黑体"/>
          <w:b w:val="0"/>
        </w:rPr>
      </w:pPr>
      <w:bookmarkStart w:id="22" w:name="_Toc15377205"/>
      <w:bookmarkStart w:id="23" w:name="_Toc15396603"/>
      <w:r>
        <w:rPr>
          <w:rFonts w:hint="eastAsia" w:ascii="黑体" w:hAnsi="黑体" w:eastAsia="黑体"/>
          <w:color w:val="000000"/>
          <w:sz w:val="32"/>
          <w:szCs w:val="32"/>
        </w:rPr>
        <w:t>收</w:t>
      </w:r>
      <w:r>
        <w:rPr>
          <w:rStyle w:val="18"/>
          <w:rFonts w:hint="eastAsia" w:ascii="黑体" w:hAnsi="黑体" w:eastAsia="黑体"/>
          <w:b w:val="0"/>
        </w:rPr>
        <w:t>入支出决算总体情况说明</w:t>
      </w:r>
      <w:bookmarkEnd w:id="22"/>
      <w:bookmarkEnd w:id="23"/>
    </w:p>
    <w:p w14:paraId="6BCBEFDD">
      <w:pPr>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2019年度收、支总计6345.76万元。与2018年相比，收、支总计各减少2170.81万元，下降25.49 %。主要变动原因是项目减少。</w:t>
      </w:r>
    </w:p>
    <w:p w14:paraId="43513266">
      <w:pPr>
        <w:rPr>
          <w:rFonts w:hint="eastAsia" w:ascii="仿宋_GB2312" w:eastAsia="仿宋_GB2312"/>
          <w:sz w:val="32"/>
          <w:szCs w:val="32"/>
        </w:rPr>
      </w:pPr>
      <w:r>
        <w:rPr>
          <w:rFonts w:hint="eastAsia" w:ascii="仿宋_GB2312" w:eastAsia="仿宋_GB2312"/>
          <w:sz w:val="32"/>
          <w:szCs w:val="32"/>
        </w:rPr>
        <w:object>
          <v:shape id="_x0000_i1025" o:spt="75" type="#_x0000_t75" style="height:173.25pt;width:347.25pt;" o:ole="t" filled="f" o:preferrelative="t" stroked="f" coordsize="21600,21600">
            <v:path/>
            <v:fill on="f" focussize="0,0"/>
            <v:stroke on="f" joinstyle="miter"/>
            <v:imagedata r:id="rId7" cropbottom="-76f" o:title=""/>
            <o:lock v:ext="edit" aspectratio="f"/>
            <w10:wrap type="none"/>
            <w10:anchorlock/>
          </v:shape>
          <o:OLEObject Type="Embed" ProgID="Excel.Chart.8" ShapeID="_x0000_i1025" DrawAspect="Content" ObjectID="_1468075725" r:id="rId6">
            <o:LockedField>false</o:LockedField>
          </o:OLEObject>
        </w:object>
      </w:r>
    </w:p>
    <w:p w14:paraId="3894358B">
      <w:pPr>
        <w:ind w:firstLine="480" w:firstLineChars="150"/>
        <w:rPr>
          <w:rFonts w:hint="eastAsia" w:ascii="仿宋_GB2312" w:eastAsia="仿宋_GB2312"/>
          <w:sz w:val="32"/>
          <w:szCs w:val="32"/>
        </w:rPr>
      </w:pPr>
      <w:r>
        <w:rPr>
          <w:rFonts w:hint="eastAsia" w:ascii="仿宋_GB2312" w:hAnsi="仿宋" w:eastAsia="仿宋_GB2312"/>
          <w:color w:val="000000"/>
          <w:sz w:val="32"/>
          <w:szCs w:val="32"/>
        </w:rPr>
        <w:t>（2018年、2019年收支决算总计变动情况图）</w:t>
      </w:r>
    </w:p>
    <w:p w14:paraId="2D1C4E90">
      <w:pPr>
        <w:pStyle w:val="23"/>
        <w:numPr>
          <w:ilvl w:val="0"/>
          <w:numId w:val="1"/>
        </w:numPr>
        <w:spacing w:line="600" w:lineRule="exact"/>
        <w:ind w:firstLineChars="0"/>
        <w:outlineLvl w:val="1"/>
        <w:rPr>
          <w:rStyle w:val="18"/>
          <w:rFonts w:hint="eastAsia" w:ascii="黑体" w:hAnsi="黑体" w:eastAsia="黑体"/>
          <w:b w:val="0"/>
        </w:rPr>
      </w:pPr>
      <w:bookmarkStart w:id="24" w:name="_Toc15396604"/>
      <w:bookmarkStart w:id="25" w:name="_Toc15377206"/>
      <w:r>
        <w:rPr>
          <w:rFonts w:hint="eastAsia" w:ascii="黑体" w:hAnsi="黑体" w:eastAsia="黑体"/>
          <w:color w:val="000000"/>
          <w:sz w:val="32"/>
          <w:szCs w:val="32"/>
        </w:rPr>
        <w:t>收</w:t>
      </w:r>
      <w:r>
        <w:rPr>
          <w:rStyle w:val="18"/>
          <w:rFonts w:hint="eastAsia" w:ascii="黑体" w:hAnsi="黑体" w:eastAsia="黑体"/>
          <w:b w:val="0"/>
        </w:rPr>
        <w:t>入决算情况说明</w:t>
      </w:r>
      <w:bookmarkEnd w:id="24"/>
      <w:bookmarkEnd w:id="25"/>
    </w:p>
    <w:p w14:paraId="3C50250C">
      <w:pPr>
        <w:ind w:firstLine="640" w:firstLineChars="200"/>
        <w:outlineLvl w:val="1"/>
        <w:rPr>
          <w:rFonts w:hint="eastAsia" w:ascii="仿宋_GB2312" w:hAnsi="仿宋" w:eastAsia="仿宋_GB2312"/>
          <w:color w:val="000000"/>
          <w:sz w:val="32"/>
          <w:szCs w:val="32"/>
        </w:rPr>
      </w:pPr>
      <w:r>
        <w:rPr>
          <w:rFonts w:hint="eastAsia" w:ascii="仿宋_GB2312" w:hAnsi="仿宋" w:eastAsia="仿宋_GB2312"/>
          <w:color w:val="000000"/>
          <w:sz w:val="32"/>
          <w:szCs w:val="32"/>
        </w:rPr>
        <w:t>2019年本年收入合计5252.87万元，其中：一般公共预算财政拨款收入1349.25万元，占25.69%；政府性基金预算财政拨款收入 3895.36万元，占 74.16%；上级补助收入 0万元，占0%；事业收入0万元，占0%；经营收入0万元，占0%；附属单位上缴收入0万元，占0%；其他收入8.26万元，占0.15%。</w:t>
      </w:r>
    </w:p>
    <w:p w14:paraId="1CA7F30C">
      <w:pPr>
        <w:spacing w:line="600" w:lineRule="exact"/>
        <w:ind w:firstLine="640" w:firstLineChars="200"/>
        <w:outlineLvl w:val="1"/>
        <w:rPr>
          <w:rFonts w:hint="eastAsia" w:ascii="仿宋_GB2312" w:hAnsi="仿宋" w:eastAsia="仿宋_GB2312"/>
          <w:color w:val="000000"/>
          <w:sz w:val="32"/>
          <w:szCs w:val="32"/>
        </w:rPr>
      </w:pPr>
    </w:p>
    <w:p w14:paraId="3581ACB9">
      <w:pPr>
        <w:spacing w:line="960" w:lineRule="auto"/>
        <w:ind w:firstLine="640" w:firstLineChars="200"/>
        <w:rPr>
          <w:rFonts w:hint="eastAsia" w:ascii="仿宋_GB2312" w:eastAsia="仿宋_GB2312"/>
          <w:color w:val="FF0000"/>
          <w:sz w:val="32"/>
          <w:szCs w:val="32"/>
        </w:rPr>
      </w:pPr>
      <w:r>
        <w:rPr>
          <w:rFonts w:hint="eastAsia" w:ascii="仿宋_GB2312" w:eastAsia="仿宋_GB2312"/>
          <w:color w:val="FF0000"/>
          <w:sz w:val="32"/>
          <w:szCs w:val="32"/>
        </w:rPr>
        <w:object>
          <v:shape id="_x0000_i1026" o:spt="75" type="#_x0000_t75" style="height:198.75pt;width:346.5pt;" o:ole="t" filled="f" o:preferrelative="t" stroked="f" coordsize="21600,21600">
            <v:path/>
            <v:fill on="f" focussize="0,0"/>
            <v:stroke on="f" joinstyle="miter"/>
            <v:imagedata r:id="rId9" cropbottom="-82f" o:title=""/>
            <o:lock v:ext="edit" aspectratio="f"/>
            <w10:wrap type="none"/>
            <w10:anchorlock/>
          </v:shape>
          <o:OLEObject Type="Embed" ProgID="Excel.Chart.8" ShapeID="_x0000_i1026" DrawAspect="Content" ObjectID="_1468075726" r:id="rId8">
            <o:LockedField>false</o:LockedField>
          </o:OLEObject>
        </w:object>
      </w:r>
    </w:p>
    <w:p w14:paraId="4BAE8429">
      <w:pPr>
        <w:ind w:firstLine="2400" w:firstLineChars="750"/>
        <w:rPr>
          <w:rFonts w:hint="eastAsia" w:ascii="仿宋_GB2312" w:eastAsia="仿宋_GB2312"/>
          <w:sz w:val="32"/>
          <w:szCs w:val="32"/>
        </w:rPr>
      </w:pPr>
      <w:r>
        <w:rPr>
          <w:rFonts w:hint="eastAsia" w:ascii="仿宋_GB2312" w:eastAsia="仿宋_GB2312"/>
          <w:sz w:val="32"/>
          <w:szCs w:val="32"/>
        </w:rPr>
        <w:t>（2019年收入决算结构图）</w:t>
      </w:r>
    </w:p>
    <w:p w14:paraId="21B39C46">
      <w:pPr>
        <w:pStyle w:val="23"/>
        <w:numPr>
          <w:ilvl w:val="0"/>
          <w:numId w:val="1"/>
        </w:numPr>
        <w:spacing w:line="600" w:lineRule="exact"/>
        <w:ind w:firstLineChars="0"/>
        <w:outlineLvl w:val="1"/>
        <w:rPr>
          <w:rStyle w:val="18"/>
          <w:rFonts w:hint="eastAsia" w:ascii="黑体" w:hAnsi="黑体" w:eastAsia="黑体"/>
          <w:b w:val="0"/>
        </w:rPr>
      </w:pPr>
      <w:bookmarkStart w:id="26" w:name="_Toc15396605"/>
      <w:bookmarkStart w:id="27" w:name="_Toc15377207"/>
      <w:r>
        <w:rPr>
          <w:rFonts w:hint="eastAsia" w:ascii="黑体" w:hAnsi="黑体" w:eastAsia="黑体"/>
          <w:color w:val="000000"/>
          <w:sz w:val="32"/>
          <w:szCs w:val="32"/>
        </w:rPr>
        <w:t>支</w:t>
      </w:r>
      <w:r>
        <w:rPr>
          <w:rStyle w:val="18"/>
          <w:rFonts w:hint="eastAsia" w:ascii="黑体" w:hAnsi="黑体" w:eastAsia="黑体"/>
          <w:b w:val="0"/>
        </w:rPr>
        <w:t>出决算情况说明</w:t>
      </w:r>
      <w:bookmarkEnd w:id="26"/>
      <w:bookmarkEnd w:id="27"/>
    </w:p>
    <w:p w14:paraId="13E47675">
      <w:pPr>
        <w:ind w:firstLine="640" w:firstLineChars="200"/>
        <w:outlineLvl w:val="1"/>
        <w:rPr>
          <w:rFonts w:hint="eastAsia" w:ascii="仿宋_GB2312" w:hAnsi="仿宋" w:eastAsia="仿宋_GB2312"/>
          <w:color w:val="000000"/>
          <w:sz w:val="32"/>
          <w:szCs w:val="32"/>
        </w:rPr>
      </w:pPr>
      <w:r>
        <w:rPr>
          <w:rFonts w:hint="eastAsia" w:ascii="仿宋_GB2312" w:hAnsi="仿宋" w:eastAsia="仿宋_GB2312"/>
          <w:color w:val="000000"/>
          <w:sz w:val="32"/>
          <w:szCs w:val="32"/>
        </w:rPr>
        <w:t>2019年本年支出合计 6044.16万元，其中：基本支出665.69万元，占11%；项目支出 5378.46万元，占88.99%；上缴上级支出0万元，占0%；经营支出0万元，占0%；对附属单位补助支出0万元，占0%。</w:t>
      </w:r>
    </w:p>
    <w:p w14:paraId="471D1AA5">
      <w:pPr>
        <w:spacing w:line="72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object>
          <v:shape id="_x0000_i1027" o:spt="75" type="#_x0000_t75" style="height:174pt;width:335.25pt;" o:ole="t" filled="f" o:preferrelative="t" stroked="f" coordsize="21600,21600">
            <v:path/>
            <v:fill on="f" focussize="0,0"/>
            <v:stroke on="f" joinstyle="miter"/>
            <v:imagedata r:id="rId11" o:title=""/>
            <o:lock v:ext="edit" aspectratio="f"/>
            <w10:wrap type="none"/>
            <w10:anchorlock/>
          </v:shape>
          <o:OLEObject Type="Embed" ProgID="Excel.Chart.8" ShapeID="_x0000_i1027" DrawAspect="Content" ObjectID="_1468075727" r:id="rId10">
            <o:LockedField>false</o:LockedField>
          </o:OLEObject>
        </w:object>
      </w:r>
    </w:p>
    <w:p w14:paraId="4BCBB3E6">
      <w:pPr>
        <w:ind w:firstLine="2080" w:firstLineChars="650"/>
        <w:rPr>
          <w:rFonts w:hint="eastAsia" w:ascii="仿宋_GB2312" w:hAnsi="仿宋" w:eastAsia="仿宋_GB2312"/>
          <w:color w:val="000000"/>
          <w:sz w:val="32"/>
          <w:szCs w:val="32"/>
        </w:rPr>
      </w:pPr>
      <w:r>
        <w:rPr>
          <w:rFonts w:hint="eastAsia" w:ascii="仿宋_GB2312" w:hAnsi="仿宋" w:eastAsia="仿宋_GB2312"/>
          <w:color w:val="000000"/>
          <w:sz w:val="32"/>
          <w:szCs w:val="32"/>
        </w:rPr>
        <w:t>（2019年支出决算结构图）</w:t>
      </w:r>
    </w:p>
    <w:p w14:paraId="6BBF1892">
      <w:pPr>
        <w:spacing w:line="600" w:lineRule="exact"/>
        <w:ind w:firstLine="643" w:firstLineChars="200"/>
        <w:outlineLvl w:val="1"/>
        <w:rPr>
          <w:rStyle w:val="18"/>
          <w:rFonts w:hint="eastAsia" w:ascii="黑体" w:hAnsi="黑体" w:eastAsia="黑体"/>
          <w:b w:val="0"/>
        </w:rPr>
      </w:pPr>
      <w:bookmarkStart w:id="28" w:name="_Toc15396606"/>
      <w:bookmarkStart w:id="29" w:name="_Toc15377208"/>
      <w:r>
        <w:rPr>
          <w:rFonts w:hint="eastAsia" w:ascii="黑体" w:hAnsi="黑体" w:eastAsia="黑体"/>
          <w:b/>
          <w:color w:val="000000"/>
          <w:sz w:val="32"/>
          <w:szCs w:val="32"/>
        </w:rPr>
        <w:t>四</w:t>
      </w:r>
      <w:r>
        <w:rPr>
          <w:rFonts w:hint="eastAsia" w:ascii="黑体" w:hAnsi="黑体" w:eastAsia="黑体"/>
          <w:color w:val="000000"/>
          <w:sz w:val="32"/>
          <w:szCs w:val="32"/>
        </w:rPr>
        <w:t>、财</w:t>
      </w:r>
      <w:r>
        <w:rPr>
          <w:rStyle w:val="18"/>
          <w:rFonts w:hint="eastAsia" w:ascii="黑体" w:hAnsi="黑体" w:eastAsia="黑体"/>
          <w:b w:val="0"/>
        </w:rPr>
        <w:t>政拨款收入支出决算总体情况说明</w:t>
      </w:r>
      <w:bookmarkEnd w:id="28"/>
      <w:bookmarkEnd w:id="29"/>
    </w:p>
    <w:p w14:paraId="0B616362">
      <w:pPr>
        <w:ind w:firstLine="641"/>
        <w:rPr>
          <w:rFonts w:hint="eastAsia" w:ascii="仿宋_GB2312" w:hAnsi="仿宋" w:eastAsia="仿宋_GB2312"/>
          <w:color w:val="000000"/>
          <w:sz w:val="32"/>
          <w:szCs w:val="32"/>
        </w:rPr>
      </w:pPr>
      <w:r>
        <w:rPr>
          <w:rFonts w:hint="eastAsia" w:ascii="仿宋_GB2312" w:hAnsi="仿宋" w:eastAsia="仿宋_GB2312"/>
          <w:color w:val="000000"/>
          <w:sz w:val="32"/>
          <w:szCs w:val="32"/>
        </w:rPr>
        <w:t>2019年财政拨款收、支总计6245.01万元。与2018年相比，财政拨款收、支总计各减少2156.96万元，下降25.67 %。主要变动原因是项目减少。</w:t>
      </w:r>
    </w:p>
    <w:p w14:paraId="644C5B16">
      <w:pPr>
        <w:spacing w:line="720" w:lineRule="auto"/>
        <w:rPr>
          <w:rFonts w:hint="eastAsia" w:ascii="仿宋_GB2312" w:hAnsi="仿宋" w:eastAsia="仿宋_GB2312"/>
          <w:color w:val="000000"/>
          <w:sz w:val="32"/>
          <w:szCs w:val="32"/>
        </w:rPr>
      </w:pPr>
      <w:r>
        <w:rPr>
          <w:rFonts w:hint="eastAsia" w:ascii="仿宋_GB2312" w:hAnsi="仿宋" w:eastAsia="仿宋_GB2312"/>
          <w:color w:val="000000"/>
          <w:sz w:val="32"/>
          <w:szCs w:val="32"/>
        </w:rPr>
        <w:object>
          <v:shape id="_x0000_i1028" o:spt="75" type="#_x0000_t75" style="height:175.5pt;width:357.75pt;" o:ole="t" filled="f" o:preferrelative="t" stroked="f" coordsize="21600,21600">
            <v:path/>
            <v:fill on="f" focussize="0,0"/>
            <v:stroke on="f" joinstyle="miter"/>
            <v:imagedata r:id="rId13" o:title=""/>
            <o:lock v:ext="edit" aspectratio="f"/>
            <w10:wrap type="none"/>
            <w10:anchorlock/>
          </v:shape>
          <o:OLEObject Type="Embed" ProgID="Excel.Chart.8" ShapeID="_x0000_i1028" DrawAspect="Content" ObjectID="_1468075728" r:id="rId12">
            <o:LockedField>false</o:LockedField>
          </o:OLEObject>
        </w:object>
      </w:r>
    </w:p>
    <w:p w14:paraId="111283A8">
      <w:pPr>
        <w:spacing w:line="400" w:lineRule="exact"/>
        <w:ind w:firstLine="480" w:firstLineChars="15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（2018年、2019年财政拨款收支决算总计变动图）</w:t>
      </w:r>
    </w:p>
    <w:p w14:paraId="13CAEC4B">
      <w:pPr>
        <w:spacing w:line="600" w:lineRule="exact"/>
        <w:ind w:firstLine="640" w:firstLineChars="200"/>
        <w:outlineLvl w:val="1"/>
        <w:rPr>
          <w:rStyle w:val="18"/>
          <w:rFonts w:hint="eastAsia" w:ascii="黑体" w:hAnsi="黑体" w:eastAsia="黑体"/>
          <w:b w:val="0"/>
        </w:rPr>
      </w:pPr>
      <w:bookmarkStart w:id="30" w:name="_Toc15377209"/>
      <w:bookmarkStart w:id="31"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8"/>
          <w:rFonts w:hint="eastAsia" w:ascii="黑体" w:hAnsi="黑体" w:eastAsia="黑体"/>
          <w:b w:val="0"/>
        </w:rPr>
        <w:t>般公共预算财政拨款支出决算情况说明</w:t>
      </w:r>
      <w:bookmarkEnd w:id="30"/>
      <w:bookmarkEnd w:id="31"/>
    </w:p>
    <w:p w14:paraId="7F8E239C">
      <w:pPr>
        <w:spacing w:line="600" w:lineRule="exact"/>
        <w:ind w:firstLine="643" w:firstLineChars="200"/>
        <w:outlineLvl w:val="2"/>
        <w:rPr>
          <w:rFonts w:hint="eastAsia" w:ascii="楷体" w:hAnsi="楷体" w:eastAsia="楷体"/>
          <w:b/>
          <w:color w:val="000000"/>
          <w:sz w:val="32"/>
          <w:szCs w:val="32"/>
        </w:rPr>
      </w:pPr>
      <w:bookmarkStart w:id="32" w:name="_Toc15377210"/>
      <w:r>
        <w:rPr>
          <w:rFonts w:hint="eastAsia" w:ascii="楷体" w:hAnsi="楷体" w:eastAsia="楷体"/>
          <w:b/>
          <w:color w:val="000000"/>
          <w:sz w:val="32"/>
          <w:szCs w:val="32"/>
        </w:rPr>
        <w:t>（一）一般公共预算财政拨款支出决算总体情况</w:t>
      </w:r>
      <w:bookmarkEnd w:id="32"/>
    </w:p>
    <w:p w14:paraId="118BE4F3">
      <w:pPr>
        <w:spacing w:line="60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2019年一般公共预算财政拨款支出1518.04万元，占本年支出合计的24.49 %。与2018年相比，一般公共预算财政拨款增加37.79万元，增长2.49 %。主要变动原因是项目调整。</w:t>
      </w:r>
    </w:p>
    <w:p w14:paraId="38C4B3B5">
      <w:pPr>
        <w:spacing w:line="720" w:lineRule="auto"/>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object>
          <v:shape id="_x0000_i1029" o:spt="75" type="#_x0000_t75" style="height:170.25pt;width:351.75pt;" o:ole="t" filled="f" o:preferrelative="t" stroked="f" coordsize="21600,21600">
            <v:path/>
            <v:fill on="f" focussize="0,0"/>
            <v:stroke on="f" joinstyle="miter"/>
            <v:imagedata r:id="rId15" cropbottom="-96f" o:title=""/>
            <o:lock v:ext="edit" aspectratio="f"/>
            <w10:wrap type="none"/>
            <w10:anchorlock/>
          </v:shape>
          <o:OLEObject Type="Embed" ProgID="Excel.Chart.8" ShapeID="_x0000_i1029" DrawAspect="Content" ObjectID="_1468075729" r:id="rId14">
            <o:LockedField>false</o:LockedField>
          </o:OLEObject>
        </w:object>
      </w:r>
    </w:p>
    <w:p w14:paraId="0FE75CBA">
      <w:pPr>
        <w:spacing w:line="600" w:lineRule="exact"/>
        <w:ind w:firstLine="1760" w:firstLineChars="550"/>
        <w:rPr>
          <w:rFonts w:hint="eastAsia" w:ascii="仿宋_GB2312" w:hAnsi="仿宋" w:eastAsia="仿宋_GB2312"/>
          <w:color w:val="000000"/>
          <w:sz w:val="32"/>
          <w:szCs w:val="32"/>
        </w:rPr>
      </w:pPr>
      <w:r>
        <w:rPr>
          <w:rFonts w:hint="eastAsia" w:ascii="仿宋_GB2312" w:hAnsi="仿宋" w:eastAsia="仿宋_GB2312"/>
          <w:color w:val="000000"/>
          <w:sz w:val="32"/>
          <w:szCs w:val="32"/>
        </w:rPr>
        <w:t>（一般公共预算财政拨款支出决算变动图）</w:t>
      </w:r>
    </w:p>
    <w:p w14:paraId="73DC86A6">
      <w:pPr>
        <w:spacing w:line="600" w:lineRule="exact"/>
        <w:ind w:firstLine="643" w:firstLineChars="200"/>
        <w:outlineLvl w:val="2"/>
        <w:rPr>
          <w:rFonts w:hint="eastAsia" w:ascii="楷体" w:hAnsi="楷体" w:eastAsia="楷体"/>
          <w:b/>
          <w:color w:val="000000"/>
          <w:sz w:val="32"/>
          <w:szCs w:val="32"/>
        </w:rPr>
      </w:pPr>
      <w:bookmarkStart w:id="33" w:name="_Toc15377211"/>
      <w:r>
        <w:rPr>
          <w:rFonts w:hint="eastAsia" w:ascii="楷体" w:hAnsi="楷体" w:eastAsia="楷体"/>
          <w:b/>
          <w:color w:val="000000"/>
          <w:sz w:val="32"/>
          <w:szCs w:val="32"/>
        </w:rPr>
        <w:t>（二）一般公共预算财政拨款支出决算结构情况</w:t>
      </w:r>
      <w:bookmarkEnd w:id="33"/>
    </w:p>
    <w:p w14:paraId="35219338">
      <w:pPr>
        <w:spacing w:line="600" w:lineRule="exact"/>
        <w:ind w:firstLine="640"/>
        <w:rPr>
          <w:rFonts w:hint="eastAsia" w:ascii="仿宋_GB2312" w:hAnsi="仿宋" w:eastAsia="仿宋_GB2312"/>
          <w:b/>
          <w:color w:val="000000"/>
          <w:sz w:val="32"/>
          <w:szCs w:val="32"/>
        </w:rPr>
      </w:pPr>
      <w:r>
        <w:rPr>
          <w:rFonts w:hint="eastAsia" w:ascii="仿宋_GB2312" w:hAnsi="仿宋" w:eastAsia="仿宋_GB2312"/>
          <w:color w:val="000000"/>
          <w:sz w:val="32"/>
          <w:szCs w:val="32"/>
        </w:rPr>
        <w:t>2019年一般公共预算财政拨款支出1518.04万元，主要用于以下方面:</w:t>
      </w:r>
      <w:r>
        <w:rPr>
          <w:rFonts w:hint="eastAsia" w:ascii="仿宋_GB2312" w:hAnsi="仿宋" w:eastAsia="仿宋_GB2312"/>
          <w:b/>
          <w:color w:val="000000"/>
          <w:sz w:val="32"/>
          <w:szCs w:val="32"/>
        </w:rPr>
        <w:t>一般公共服务（类）</w:t>
      </w:r>
      <w:r>
        <w:rPr>
          <w:rFonts w:hint="eastAsia" w:ascii="仿宋_GB2312" w:hAnsi="仿宋" w:eastAsia="仿宋_GB2312"/>
          <w:color w:val="000000"/>
          <w:sz w:val="32"/>
          <w:szCs w:val="32"/>
        </w:rPr>
        <w:t>支出 724.2万元，占 47.71%；</w:t>
      </w:r>
      <w:r>
        <w:rPr>
          <w:rFonts w:hint="eastAsia" w:ascii="仿宋_GB2312" w:eastAsia="仿宋_GB2312"/>
          <w:color w:val="000000"/>
          <w:sz w:val="32"/>
          <w:szCs w:val="32"/>
        </w:rPr>
        <w:t>国防支出 3.1万元，占0.2 %；文化体育与传媒支出63.59万元，占4.19 %；社会保障和就业支出323.43万元，占21.3%；医疗卫生与计划生育支出 15.22万元，占1%；城乡社区环境卫生支出 21万元，占1.38 %；农林水支出307.31万元，占 20.24 %；住房保障支出57.19万元，占3.78 %；灾害防治及应急管理支出3万元，占0.2%。</w:t>
      </w:r>
      <w:r>
        <w:rPr>
          <w:rFonts w:hint="eastAsia" w:ascii="仿宋_GB2312" w:hAnsi="仿宋" w:eastAsia="仿宋_GB2312"/>
          <w:b/>
          <w:color w:val="000000"/>
          <w:sz w:val="32"/>
          <w:szCs w:val="32"/>
        </w:rPr>
        <w:t>（罗列全部功能分类科目，至类级。）</w:t>
      </w:r>
    </w:p>
    <w:p w14:paraId="1922C032">
      <w:pPr>
        <w:spacing w:line="720" w:lineRule="auto"/>
        <w:ind w:firstLine="641"/>
        <w:rPr>
          <w:rFonts w:hint="eastAsia" w:ascii="仿宋_GB2312" w:hAnsi="仿宋" w:eastAsia="仿宋_GB2312"/>
          <w:color w:val="000000"/>
          <w:sz w:val="32"/>
          <w:szCs w:val="32"/>
        </w:rPr>
      </w:pPr>
      <w:r>
        <w:rPr>
          <w:rFonts w:hint="eastAsia" w:ascii="仿宋_GB2312" w:hAnsi="仿宋" w:eastAsia="仿宋_GB2312"/>
          <w:color w:val="000000"/>
          <w:sz w:val="32"/>
          <w:szCs w:val="32"/>
        </w:rPr>
        <w:object>
          <v:shape id="_x0000_i1030" o:spt="75" type="#_x0000_t75" style="height:221.25pt;width:357.75pt;" o:ole="t" filled="f" o:preferrelative="t" stroked="f" coordsize="21600,21600">
            <v:path/>
            <v:fill on="f" focussize="0,0"/>
            <v:stroke on="f" joinstyle="miter"/>
            <v:imagedata r:id="rId17" cropbottom="-59f" o:title=""/>
            <o:lock v:ext="edit" aspectratio="f"/>
            <w10:wrap type="none"/>
            <w10:anchorlock/>
          </v:shape>
          <o:OLEObject Type="Embed" ProgID="Excel.Chart.8" ShapeID="_x0000_i1030" DrawAspect="Content" ObjectID="_1468075730" r:id="rId16">
            <o:LockedField>false</o:LockedField>
          </o:OLEObject>
        </w:object>
      </w:r>
    </w:p>
    <w:p w14:paraId="25489414">
      <w:pPr>
        <w:spacing w:line="600" w:lineRule="exact"/>
        <w:ind w:firstLine="1600" w:firstLineChars="500"/>
        <w:rPr>
          <w:rFonts w:hint="eastAsia" w:ascii="仿宋_GB2312" w:hAnsi="仿宋" w:eastAsia="仿宋_GB2312"/>
          <w:color w:val="000000"/>
          <w:sz w:val="32"/>
          <w:szCs w:val="32"/>
        </w:rPr>
      </w:pPr>
      <w:r>
        <w:rPr>
          <w:rFonts w:hint="eastAsia" w:ascii="仿宋_GB2312" w:hAnsi="仿宋" w:eastAsia="仿宋_GB2312"/>
          <w:color w:val="000000"/>
          <w:sz w:val="32"/>
          <w:szCs w:val="32"/>
        </w:rPr>
        <w:t>（一般公共预算财政拨款支出决算结构图）</w:t>
      </w:r>
    </w:p>
    <w:p w14:paraId="22DB8889">
      <w:pPr>
        <w:spacing w:line="600" w:lineRule="exact"/>
        <w:ind w:firstLine="643" w:firstLineChars="200"/>
        <w:outlineLvl w:val="2"/>
        <w:rPr>
          <w:rFonts w:hint="eastAsia" w:ascii="楷体" w:hAnsi="楷体" w:eastAsia="楷体"/>
          <w:b/>
          <w:color w:val="000000"/>
          <w:sz w:val="32"/>
          <w:szCs w:val="32"/>
        </w:rPr>
      </w:pPr>
      <w:bookmarkStart w:id="34" w:name="_Toc15377212"/>
      <w:r>
        <w:rPr>
          <w:rFonts w:hint="eastAsia" w:ascii="楷体" w:hAnsi="楷体" w:eastAsia="楷体"/>
          <w:b/>
          <w:color w:val="000000"/>
          <w:sz w:val="32"/>
          <w:szCs w:val="32"/>
        </w:rPr>
        <w:t>（三）一般公共预算财政拨款支出决算具体情况</w:t>
      </w:r>
      <w:bookmarkEnd w:id="34"/>
    </w:p>
    <w:p w14:paraId="543AD6BA">
      <w:pPr>
        <w:ind w:firstLine="640" w:firstLineChars="200"/>
        <w:outlineLvl w:val="2"/>
        <w:rPr>
          <w:rFonts w:hint="eastAsia" w:ascii="仿宋_GB2312" w:hAnsi="仿宋" w:eastAsia="仿宋_GB2312"/>
          <w:color w:val="FF0000"/>
          <w:sz w:val="32"/>
          <w:szCs w:val="32"/>
        </w:rPr>
      </w:pPr>
      <w:bookmarkStart w:id="35" w:name="_Toc15377444"/>
      <w:bookmarkStart w:id="36" w:name="_Toc15378460"/>
      <w:bookmarkStart w:id="37" w:name="_Toc15377213"/>
      <w:r>
        <w:rPr>
          <w:rFonts w:hint="eastAsia" w:ascii="仿宋_GB2312" w:hAnsi="仿宋" w:eastAsia="仿宋_GB2312"/>
          <w:color w:val="000000"/>
          <w:sz w:val="32"/>
          <w:szCs w:val="32"/>
        </w:rPr>
        <w:t>2019年一般公共预算支出决算数为1518.04万元，</w:t>
      </w:r>
      <w:r>
        <w:rPr>
          <w:rStyle w:val="15"/>
          <w:rFonts w:hint="eastAsia" w:ascii="仿宋_GB2312" w:hAnsi="仿宋" w:eastAsia="仿宋_GB2312"/>
          <w:b w:val="0"/>
          <w:bCs/>
          <w:color w:val="000000"/>
          <w:sz w:val="32"/>
          <w:szCs w:val="32"/>
        </w:rPr>
        <w:t>完成预算100%。其中：</w:t>
      </w:r>
      <w:bookmarkEnd w:id="35"/>
      <w:bookmarkEnd w:id="36"/>
      <w:bookmarkEnd w:id="37"/>
    </w:p>
    <w:p w14:paraId="515F380D">
      <w:pPr>
        <w:ind w:firstLine="640" w:firstLineChars="200"/>
        <w:rPr>
          <w:rStyle w:val="15"/>
          <w:rFonts w:hint="eastAsia" w:ascii="仿宋_GB2312" w:hAnsi="仿宋" w:eastAsia="仿宋_GB2312"/>
          <w:b w:val="0"/>
          <w:bCs/>
          <w:color w:val="000000"/>
          <w:sz w:val="32"/>
          <w:szCs w:val="32"/>
        </w:rPr>
      </w:pPr>
      <w:r>
        <w:rPr>
          <w:rStyle w:val="15"/>
          <w:rFonts w:hint="eastAsia" w:ascii="仿宋_GB2312" w:hAnsi="仿宋" w:eastAsia="仿宋_GB2312"/>
          <w:b w:val="0"/>
          <w:bCs/>
          <w:color w:val="000000"/>
          <w:sz w:val="32"/>
          <w:szCs w:val="32"/>
        </w:rPr>
        <w:t>1.一</w:t>
      </w:r>
      <w:r>
        <w:rPr>
          <w:rStyle w:val="15"/>
          <w:rFonts w:hint="eastAsia" w:ascii="仿宋_GB2312" w:eastAsia="仿宋_GB2312"/>
          <w:b w:val="0"/>
          <w:color w:val="000000"/>
          <w:sz w:val="32"/>
          <w:szCs w:val="32"/>
        </w:rPr>
        <w:t>1. 一般公共服务（类）政府办公厅（室）及相关机关机构事务（款）行政运行（项）:</w:t>
      </w:r>
      <w:r>
        <w:rPr>
          <w:rStyle w:val="15"/>
          <w:rFonts w:hint="eastAsia" w:ascii="仿宋_GB2312" w:hAnsi="仿宋" w:eastAsia="仿宋_GB2312"/>
          <w:b w:val="0"/>
          <w:bCs/>
          <w:color w:val="000000"/>
          <w:sz w:val="32"/>
          <w:szCs w:val="32"/>
        </w:rPr>
        <w:t>支出决算为354.7万元，完成预算100%。</w:t>
      </w:r>
    </w:p>
    <w:p w14:paraId="0C62123E">
      <w:pPr>
        <w:ind w:firstLine="640" w:firstLineChars="200"/>
        <w:rPr>
          <w:rStyle w:val="15"/>
          <w:rFonts w:hint="eastAsia" w:ascii="仿宋_GB2312" w:hAnsi="仿宋" w:eastAsia="仿宋_GB2312"/>
          <w:b w:val="0"/>
          <w:bCs/>
          <w:color w:val="000000"/>
          <w:sz w:val="32"/>
          <w:szCs w:val="32"/>
        </w:rPr>
      </w:pPr>
      <w:r>
        <w:rPr>
          <w:rStyle w:val="15"/>
          <w:rFonts w:hint="eastAsia" w:ascii="仿宋_GB2312" w:eastAsia="仿宋_GB2312"/>
          <w:b w:val="0"/>
          <w:color w:val="000000"/>
          <w:sz w:val="32"/>
          <w:szCs w:val="32"/>
        </w:rPr>
        <w:t>2、一般公共服务（类）政府办公厅（室）及相关机关机构事务（款）一般行政管理事务（项）:</w:t>
      </w:r>
      <w:r>
        <w:rPr>
          <w:rStyle w:val="15"/>
          <w:rFonts w:hint="eastAsia" w:ascii="仿宋_GB2312" w:hAnsi="仿宋" w:eastAsia="仿宋_GB2312"/>
          <w:b w:val="0"/>
          <w:bCs/>
          <w:color w:val="000000"/>
          <w:sz w:val="32"/>
          <w:szCs w:val="32"/>
        </w:rPr>
        <w:t xml:space="preserve"> 支出决算为77.53万元，完成预算100%。</w:t>
      </w:r>
    </w:p>
    <w:p w14:paraId="430A9ADF">
      <w:pPr>
        <w:ind w:firstLine="640" w:firstLineChars="200"/>
        <w:rPr>
          <w:rStyle w:val="15"/>
          <w:rFonts w:hint="eastAsia" w:ascii="仿宋_GB2312" w:hAnsi="仿宋" w:eastAsia="仿宋_GB2312"/>
          <w:b w:val="0"/>
          <w:bCs/>
          <w:color w:val="000000"/>
          <w:sz w:val="32"/>
          <w:szCs w:val="32"/>
        </w:rPr>
      </w:pPr>
      <w:r>
        <w:rPr>
          <w:rStyle w:val="15"/>
          <w:rFonts w:hint="eastAsia" w:ascii="仿宋_GB2312" w:eastAsia="仿宋_GB2312"/>
          <w:b w:val="0"/>
          <w:color w:val="000000"/>
          <w:sz w:val="32"/>
          <w:szCs w:val="32"/>
        </w:rPr>
        <w:t>3、一般公共服务（类）政府办公厅（室）及相关机关机构事务（款）其他政办公厅（室）及相关机构事务支出（项）:</w:t>
      </w:r>
      <w:r>
        <w:rPr>
          <w:rStyle w:val="15"/>
          <w:rFonts w:hint="eastAsia" w:ascii="仿宋_GB2312" w:hAnsi="仿宋" w:eastAsia="仿宋_GB2312"/>
          <w:b w:val="0"/>
          <w:bCs/>
          <w:color w:val="000000"/>
          <w:sz w:val="32"/>
          <w:szCs w:val="32"/>
        </w:rPr>
        <w:t xml:space="preserve"> 支出决算为272.37万元，完成预算100%。</w:t>
      </w:r>
    </w:p>
    <w:p w14:paraId="2D1B11AB">
      <w:pPr>
        <w:ind w:firstLine="640" w:firstLineChars="200"/>
        <w:rPr>
          <w:rStyle w:val="15"/>
          <w:rFonts w:hint="eastAsia" w:ascii="仿宋_GB2312" w:hAnsi="仿宋" w:eastAsia="仿宋_GB2312"/>
          <w:b w:val="0"/>
          <w:bCs/>
          <w:color w:val="000000"/>
          <w:sz w:val="32"/>
          <w:szCs w:val="32"/>
        </w:rPr>
      </w:pPr>
      <w:r>
        <w:rPr>
          <w:rStyle w:val="15"/>
          <w:rFonts w:hint="eastAsia" w:ascii="仿宋_GB2312" w:hAnsi="仿宋" w:eastAsia="仿宋_GB2312"/>
          <w:b w:val="0"/>
          <w:bCs/>
          <w:color w:val="000000"/>
          <w:sz w:val="32"/>
          <w:szCs w:val="32"/>
        </w:rPr>
        <w:t>4、</w:t>
      </w:r>
      <w:r>
        <w:rPr>
          <w:rStyle w:val="15"/>
          <w:rFonts w:hint="eastAsia" w:ascii="仿宋_GB2312" w:eastAsia="仿宋_GB2312"/>
          <w:b w:val="0"/>
          <w:color w:val="000000"/>
          <w:sz w:val="32"/>
          <w:szCs w:val="32"/>
        </w:rPr>
        <w:t>一般公共服务（类）财政事务（款）行政运行（项）:</w:t>
      </w:r>
      <w:r>
        <w:rPr>
          <w:rStyle w:val="15"/>
          <w:rFonts w:hint="eastAsia" w:ascii="仿宋_GB2312" w:hAnsi="仿宋" w:eastAsia="仿宋_GB2312"/>
          <w:b w:val="0"/>
          <w:bCs/>
          <w:color w:val="000000"/>
          <w:sz w:val="32"/>
          <w:szCs w:val="32"/>
        </w:rPr>
        <w:t xml:space="preserve"> 支出决算为8.1万元，完成预算100%。</w:t>
      </w:r>
    </w:p>
    <w:p w14:paraId="5DCF74B6">
      <w:pPr>
        <w:ind w:firstLine="640" w:firstLineChars="200"/>
        <w:rPr>
          <w:rStyle w:val="15"/>
          <w:rFonts w:hint="eastAsia" w:ascii="仿宋_GB2312" w:hAnsi="仿宋" w:eastAsia="仿宋_GB2312"/>
          <w:b w:val="0"/>
          <w:bCs/>
          <w:color w:val="000000"/>
          <w:sz w:val="32"/>
          <w:szCs w:val="32"/>
        </w:rPr>
      </w:pPr>
      <w:r>
        <w:rPr>
          <w:rStyle w:val="15"/>
          <w:rFonts w:hint="eastAsia" w:ascii="仿宋_GB2312" w:hAnsi="仿宋" w:eastAsia="仿宋_GB2312"/>
          <w:b w:val="0"/>
          <w:bCs/>
          <w:color w:val="000000"/>
          <w:sz w:val="32"/>
          <w:szCs w:val="32"/>
        </w:rPr>
        <w:t>5、</w:t>
      </w:r>
      <w:r>
        <w:rPr>
          <w:rStyle w:val="15"/>
          <w:rFonts w:hint="eastAsia" w:ascii="仿宋_GB2312" w:eastAsia="仿宋_GB2312"/>
          <w:b w:val="0"/>
          <w:color w:val="000000"/>
          <w:sz w:val="32"/>
          <w:szCs w:val="32"/>
        </w:rPr>
        <w:t>一般公共服务（类）财政事务（款）事业运行（项）:</w:t>
      </w:r>
      <w:r>
        <w:rPr>
          <w:rStyle w:val="15"/>
          <w:rFonts w:hint="eastAsia" w:ascii="仿宋_GB2312" w:hAnsi="仿宋" w:eastAsia="仿宋_GB2312"/>
          <w:b w:val="0"/>
          <w:bCs/>
          <w:color w:val="000000"/>
          <w:sz w:val="32"/>
          <w:szCs w:val="32"/>
        </w:rPr>
        <w:t xml:space="preserve"> 支出决算为11.5万元，完成预算100%。</w:t>
      </w:r>
    </w:p>
    <w:p w14:paraId="7CBBE438">
      <w:pPr>
        <w:ind w:firstLine="640" w:firstLineChars="200"/>
        <w:rPr>
          <w:rStyle w:val="15"/>
          <w:rFonts w:hint="eastAsia" w:ascii="仿宋_GB2312" w:hAnsi="仿宋" w:eastAsia="仿宋_GB2312"/>
          <w:b w:val="0"/>
          <w:bCs/>
          <w:color w:val="000000"/>
          <w:sz w:val="32"/>
          <w:szCs w:val="32"/>
        </w:rPr>
      </w:pPr>
      <w:r>
        <w:rPr>
          <w:rStyle w:val="15"/>
          <w:rFonts w:hint="eastAsia" w:ascii="仿宋_GB2312" w:hAnsi="仿宋" w:eastAsia="仿宋_GB2312"/>
          <w:b w:val="0"/>
          <w:bCs/>
          <w:color w:val="000000"/>
          <w:sz w:val="32"/>
          <w:szCs w:val="32"/>
        </w:rPr>
        <w:t>6、</w:t>
      </w:r>
      <w:r>
        <w:rPr>
          <w:rStyle w:val="15"/>
          <w:rFonts w:hint="eastAsia" w:ascii="仿宋_GB2312" w:eastAsia="仿宋_GB2312"/>
          <w:b w:val="0"/>
          <w:color w:val="000000"/>
          <w:sz w:val="32"/>
          <w:szCs w:val="32"/>
        </w:rPr>
        <w:t>国防支出（类）国防动员（款）兵役征集（项）：</w:t>
      </w:r>
      <w:r>
        <w:rPr>
          <w:rStyle w:val="15"/>
          <w:rFonts w:hint="eastAsia" w:ascii="仿宋_GB2312" w:hAnsi="仿宋" w:eastAsia="仿宋_GB2312"/>
          <w:b w:val="0"/>
          <w:bCs/>
          <w:color w:val="000000"/>
          <w:sz w:val="32"/>
          <w:szCs w:val="32"/>
        </w:rPr>
        <w:t>支出决算为0.1万元，完成预算100%。</w:t>
      </w:r>
    </w:p>
    <w:p w14:paraId="1B50511A">
      <w:pPr>
        <w:ind w:firstLine="640" w:firstLineChars="200"/>
        <w:rPr>
          <w:rStyle w:val="15"/>
          <w:rFonts w:hint="eastAsia" w:ascii="仿宋_GB2312" w:hAnsi="仿宋" w:eastAsia="仿宋_GB2312"/>
          <w:b w:val="0"/>
          <w:bCs/>
          <w:color w:val="000000"/>
          <w:sz w:val="32"/>
          <w:szCs w:val="32"/>
        </w:rPr>
      </w:pPr>
      <w:r>
        <w:rPr>
          <w:rStyle w:val="15"/>
          <w:rFonts w:hint="eastAsia" w:ascii="仿宋_GB2312" w:hAnsi="仿宋" w:eastAsia="仿宋_GB2312"/>
          <w:b w:val="0"/>
          <w:bCs/>
          <w:color w:val="000000"/>
          <w:sz w:val="32"/>
          <w:szCs w:val="32"/>
        </w:rPr>
        <w:t>7、</w:t>
      </w:r>
      <w:r>
        <w:rPr>
          <w:rStyle w:val="15"/>
          <w:rFonts w:hint="eastAsia" w:ascii="仿宋_GB2312" w:eastAsia="仿宋_GB2312"/>
          <w:b w:val="0"/>
          <w:color w:val="000000"/>
          <w:sz w:val="32"/>
          <w:szCs w:val="32"/>
        </w:rPr>
        <w:t>国防支出（类）国防动员（款）民兵（项）：</w:t>
      </w:r>
      <w:r>
        <w:rPr>
          <w:rStyle w:val="15"/>
          <w:rFonts w:hint="eastAsia" w:ascii="仿宋_GB2312" w:hAnsi="仿宋" w:eastAsia="仿宋_GB2312"/>
          <w:b w:val="0"/>
          <w:bCs/>
          <w:color w:val="000000"/>
          <w:sz w:val="32"/>
          <w:szCs w:val="32"/>
        </w:rPr>
        <w:t>支出决算为0.6万元，完成预算100%。</w:t>
      </w:r>
    </w:p>
    <w:p w14:paraId="29DFCA39">
      <w:pPr>
        <w:ind w:firstLine="640" w:firstLineChars="200"/>
        <w:rPr>
          <w:rStyle w:val="15"/>
          <w:rFonts w:hint="eastAsia" w:ascii="仿宋_GB2312" w:hAnsi="仿宋" w:eastAsia="仿宋_GB2312"/>
          <w:b w:val="0"/>
          <w:bCs/>
          <w:color w:val="000000"/>
          <w:sz w:val="32"/>
          <w:szCs w:val="32"/>
        </w:rPr>
      </w:pPr>
      <w:r>
        <w:rPr>
          <w:rStyle w:val="15"/>
          <w:rFonts w:hint="eastAsia" w:ascii="仿宋_GB2312" w:hAnsi="仿宋" w:eastAsia="仿宋_GB2312"/>
          <w:b w:val="0"/>
          <w:bCs/>
          <w:color w:val="000000"/>
          <w:sz w:val="32"/>
          <w:szCs w:val="32"/>
        </w:rPr>
        <w:t>8、</w:t>
      </w:r>
      <w:r>
        <w:rPr>
          <w:rStyle w:val="15"/>
          <w:rFonts w:hint="eastAsia" w:ascii="仿宋_GB2312" w:eastAsia="仿宋_GB2312"/>
          <w:b w:val="0"/>
          <w:color w:val="000000"/>
          <w:sz w:val="32"/>
          <w:szCs w:val="32"/>
        </w:rPr>
        <w:t>国防支出（类）国防动员（款）其他国防动员支出（项）：</w:t>
      </w:r>
      <w:r>
        <w:rPr>
          <w:rStyle w:val="15"/>
          <w:rFonts w:hint="eastAsia" w:ascii="仿宋_GB2312" w:hAnsi="仿宋" w:eastAsia="仿宋_GB2312"/>
          <w:b w:val="0"/>
          <w:bCs/>
          <w:color w:val="000000"/>
          <w:sz w:val="32"/>
          <w:szCs w:val="32"/>
        </w:rPr>
        <w:t>支出决算为2.4万元，完成预算100%。</w:t>
      </w:r>
    </w:p>
    <w:p w14:paraId="7F66D4CC">
      <w:pPr>
        <w:ind w:firstLine="640" w:firstLineChars="200"/>
        <w:rPr>
          <w:rStyle w:val="15"/>
          <w:rFonts w:hint="eastAsia" w:ascii="仿宋_GB2312" w:hAnsi="仿宋" w:eastAsia="仿宋_GB2312"/>
          <w:b w:val="0"/>
          <w:bCs/>
          <w:color w:val="000000"/>
          <w:sz w:val="32"/>
          <w:szCs w:val="32"/>
        </w:rPr>
      </w:pPr>
      <w:r>
        <w:rPr>
          <w:rStyle w:val="15"/>
          <w:rFonts w:hint="eastAsia" w:ascii="仿宋_GB2312" w:hAnsi="仿宋" w:eastAsia="仿宋_GB2312"/>
          <w:b w:val="0"/>
          <w:bCs/>
          <w:color w:val="000000"/>
          <w:sz w:val="32"/>
          <w:szCs w:val="32"/>
        </w:rPr>
        <w:t>9、</w:t>
      </w:r>
      <w:r>
        <w:rPr>
          <w:rStyle w:val="15"/>
          <w:rFonts w:hint="eastAsia" w:ascii="仿宋_GB2312" w:eastAsia="仿宋_GB2312"/>
          <w:b w:val="0"/>
          <w:color w:val="000000"/>
          <w:sz w:val="32"/>
          <w:szCs w:val="32"/>
        </w:rPr>
        <w:t>文化体育与传媒（类）文化（款）群众文化（项）：</w:t>
      </w:r>
      <w:r>
        <w:rPr>
          <w:rStyle w:val="15"/>
          <w:rFonts w:hint="eastAsia" w:ascii="仿宋_GB2312" w:hAnsi="仿宋" w:eastAsia="仿宋_GB2312"/>
          <w:b w:val="0"/>
          <w:bCs/>
          <w:color w:val="000000"/>
          <w:sz w:val="32"/>
          <w:szCs w:val="32"/>
        </w:rPr>
        <w:t>支出决算为58.99万元，完成预算100%。</w:t>
      </w:r>
    </w:p>
    <w:p w14:paraId="44954C5C">
      <w:pPr>
        <w:ind w:firstLine="640" w:firstLineChars="200"/>
        <w:rPr>
          <w:rStyle w:val="15"/>
          <w:rFonts w:hint="eastAsia" w:ascii="仿宋_GB2312" w:hAnsi="仿宋" w:eastAsia="仿宋_GB2312"/>
          <w:b w:val="0"/>
          <w:bCs/>
          <w:color w:val="000000"/>
          <w:sz w:val="32"/>
          <w:szCs w:val="32"/>
        </w:rPr>
      </w:pPr>
      <w:r>
        <w:rPr>
          <w:rStyle w:val="15"/>
          <w:rFonts w:hint="eastAsia" w:ascii="仿宋_GB2312" w:hAnsi="仿宋" w:eastAsia="仿宋_GB2312"/>
          <w:b w:val="0"/>
          <w:bCs/>
          <w:color w:val="000000"/>
          <w:sz w:val="32"/>
          <w:szCs w:val="32"/>
        </w:rPr>
        <w:t>10、</w:t>
      </w:r>
      <w:r>
        <w:rPr>
          <w:rStyle w:val="15"/>
          <w:rFonts w:hint="eastAsia" w:ascii="仿宋_GB2312" w:eastAsia="仿宋_GB2312"/>
          <w:b w:val="0"/>
          <w:color w:val="000000"/>
          <w:sz w:val="32"/>
          <w:szCs w:val="32"/>
        </w:rPr>
        <w:t>文化体育与传媒（类）文化（款）其他文化和旅游支出（项）：</w:t>
      </w:r>
      <w:r>
        <w:rPr>
          <w:rStyle w:val="15"/>
          <w:rFonts w:hint="eastAsia" w:ascii="仿宋_GB2312" w:hAnsi="仿宋" w:eastAsia="仿宋_GB2312"/>
          <w:b w:val="0"/>
          <w:bCs/>
          <w:color w:val="000000"/>
          <w:sz w:val="32"/>
          <w:szCs w:val="32"/>
        </w:rPr>
        <w:t>支出决算为4.6万元，完成预算100%。</w:t>
      </w:r>
    </w:p>
    <w:p w14:paraId="6BC901B8">
      <w:pPr>
        <w:ind w:firstLine="640" w:firstLineChars="200"/>
        <w:rPr>
          <w:rStyle w:val="15"/>
          <w:rFonts w:hint="eastAsia" w:ascii="仿宋_GB2312" w:hAnsi="仿宋" w:eastAsia="仿宋_GB2312"/>
          <w:b w:val="0"/>
          <w:bCs/>
          <w:color w:val="000000"/>
          <w:sz w:val="32"/>
          <w:szCs w:val="32"/>
        </w:rPr>
      </w:pPr>
      <w:r>
        <w:rPr>
          <w:rStyle w:val="15"/>
          <w:rFonts w:hint="eastAsia" w:ascii="仿宋_GB2312" w:hAnsi="仿宋" w:eastAsia="仿宋_GB2312"/>
          <w:b w:val="0"/>
          <w:bCs/>
          <w:color w:val="000000"/>
          <w:sz w:val="32"/>
          <w:szCs w:val="32"/>
        </w:rPr>
        <w:t>11、</w:t>
      </w:r>
      <w:r>
        <w:rPr>
          <w:rStyle w:val="15"/>
          <w:rFonts w:hint="eastAsia" w:ascii="仿宋_GB2312" w:eastAsia="仿宋_GB2312"/>
          <w:b w:val="0"/>
          <w:color w:val="000000"/>
          <w:sz w:val="32"/>
          <w:szCs w:val="32"/>
        </w:rPr>
        <w:t>社会保障和就业（类）人力资源和社会保障管理事务（款）劳动保障监察（项）：</w:t>
      </w:r>
      <w:r>
        <w:rPr>
          <w:rStyle w:val="15"/>
          <w:rFonts w:hint="eastAsia" w:ascii="仿宋_GB2312" w:hAnsi="仿宋" w:eastAsia="仿宋_GB2312"/>
          <w:b w:val="0"/>
          <w:bCs/>
          <w:color w:val="000000"/>
          <w:sz w:val="32"/>
          <w:szCs w:val="32"/>
        </w:rPr>
        <w:t>支出决算为35.87万元，完成预算100%。</w:t>
      </w:r>
    </w:p>
    <w:p w14:paraId="0DDEB0A4">
      <w:pPr>
        <w:ind w:firstLine="640" w:firstLineChars="200"/>
        <w:rPr>
          <w:rStyle w:val="15"/>
          <w:rFonts w:hint="eastAsia" w:ascii="仿宋_GB2312" w:hAnsi="仿宋" w:eastAsia="仿宋_GB2312"/>
          <w:b w:val="0"/>
          <w:bCs/>
          <w:color w:val="000000"/>
          <w:sz w:val="32"/>
          <w:szCs w:val="32"/>
        </w:rPr>
      </w:pPr>
      <w:r>
        <w:rPr>
          <w:rStyle w:val="15"/>
          <w:rFonts w:hint="eastAsia" w:ascii="仿宋_GB2312" w:hAnsi="仿宋" w:eastAsia="仿宋_GB2312"/>
          <w:b w:val="0"/>
          <w:bCs/>
          <w:color w:val="000000"/>
          <w:sz w:val="32"/>
          <w:szCs w:val="32"/>
        </w:rPr>
        <w:t>12、</w:t>
      </w:r>
      <w:r>
        <w:rPr>
          <w:rStyle w:val="15"/>
          <w:rFonts w:hint="eastAsia" w:ascii="仿宋_GB2312" w:eastAsia="仿宋_GB2312"/>
          <w:b w:val="0"/>
          <w:color w:val="000000"/>
          <w:sz w:val="32"/>
          <w:szCs w:val="32"/>
        </w:rPr>
        <w:t>社会保障和就业（类）民政管理事务（款）基层政权和社区建设（项）:</w:t>
      </w:r>
      <w:r>
        <w:rPr>
          <w:rStyle w:val="15"/>
          <w:rFonts w:hint="eastAsia" w:ascii="仿宋_GB2312" w:hAnsi="仿宋" w:eastAsia="仿宋_GB2312"/>
          <w:b w:val="0"/>
          <w:bCs/>
          <w:color w:val="000000"/>
          <w:sz w:val="32"/>
          <w:szCs w:val="32"/>
        </w:rPr>
        <w:t xml:space="preserve"> 支出决算为224.87万元，完成预算100%。</w:t>
      </w:r>
    </w:p>
    <w:p w14:paraId="687984D0">
      <w:pPr>
        <w:ind w:firstLine="640" w:firstLineChars="200"/>
        <w:rPr>
          <w:rStyle w:val="15"/>
          <w:rFonts w:hint="eastAsia" w:ascii="仿宋_GB2312" w:hAnsi="仿宋" w:eastAsia="仿宋_GB2312"/>
          <w:b w:val="0"/>
          <w:bCs/>
          <w:color w:val="000000"/>
          <w:sz w:val="32"/>
          <w:szCs w:val="32"/>
        </w:rPr>
      </w:pPr>
      <w:r>
        <w:rPr>
          <w:rStyle w:val="15"/>
          <w:rFonts w:hint="eastAsia" w:ascii="仿宋_GB2312" w:hAnsi="仿宋" w:eastAsia="仿宋_GB2312"/>
          <w:b w:val="0"/>
          <w:bCs/>
          <w:color w:val="000000"/>
          <w:sz w:val="32"/>
          <w:szCs w:val="32"/>
        </w:rPr>
        <w:t>13、</w:t>
      </w:r>
      <w:r>
        <w:rPr>
          <w:rStyle w:val="15"/>
          <w:rFonts w:hint="eastAsia" w:ascii="仿宋_GB2312" w:eastAsia="仿宋_GB2312"/>
          <w:b w:val="0"/>
          <w:color w:val="000000"/>
          <w:sz w:val="32"/>
          <w:szCs w:val="32"/>
        </w:rPr>
        <w:t>社会保障和就业（类）行政事业单位离退休（款）机关事业单位基本养老保险缴费支出（项）:</w:t>
      </w:r>
      <w:r>
        <w:rPr>
          <w:rStyle w:val="15"/>
          <w:rFonts w:hint="eastAsia" w:ascii="仿宋_GB2312" w:hAnsi="仿宋" w:eastAsia="仿宋_GB2312"/>
          <w:b w:val="0"/>
          <w:bCs/>
          <w:color w:val="000000"/>
          <w:sz w:val="32"/>
          <w:szCs w:val="32"/>
        </w:rPr>
        <w:t xml:space="preserve"> 支出决算为41.17万元，完成预算100%。</w:t>
      </w:r>
    </w:p>
    <w:p w14:paraId="21FF5A01">
      <w:pPr>
        <w:ind w:firstLine="640" w:firstLineChars="200"/>
        <w:rPr>
          <w:rStyle w:val="15"/>
          <w:rFonts w:hint="eastAsia" w:ascii="仿宋_GB2312" w:hAnsi="仿宋" w:eastAsia="仿宋_GB2312"/>
          <w:b w:val="0"/>
          <w:bCs/>
          <w:color w:val="000000"/>
          <w:sz w:val="32"/>
          <w:szCs w:val="32"/>
        </w:rPr>
      </w:pPr>
      <w:r>
        <w:rPr>
          <w:rStyle w:val="15"/>
          <w:rFonts w:hint="eastAsia" w:ascii="仿宋_GB2312" w:hAnsi="仿宋" w:eastAsia="仿宋_GB2312"/>
          <w:b w:val="0"/>
          <w:bCs/>
          <w:color w:val="000000"/>
          <w:sz w:val="32"/>
          <w:szCs w:val="32"/>
        </w:rPr>
        <w:t>14、</w:t>
      </w:r>
      <w:r>
        <w:rPr>
          <w:rStyle w:val="15"/>
          <w:rFonts w:hint="eastAsia" w:ascii="仿宋_GB2312" w:eastAsia="仿宋_GB2312"/>
          <w:b w:val="0"/>
          <w:color w:val="000000"/>
          <w:sz w:val="32"/>
          <w:szCs w:val="32"/>
        </w:rPr>
        <w:t>社会保障和就业（类）行政事业单位离退休（款）机关事业单位职业年金缴费支出（项）:</w:t>
      </w:r>
      <w:r>
        <w:rPr>
          <w:rStyle w:val="15"/>
          <w:rFonts w:hint="eastAsia" w:ascii="仿宋_GB2312" w:hAnsi="仿宋" w:eastAsia="仿宋_GB2312"/>
          <w:b w:val="0"/>
          <w:bCs/>
          <w:color w:val="000000"/>
          <w:sz w:val="32"/>
          <w:szCs w:val="32"/>
        </w:rPr>
        <w:t xml:space="preserve"> 支出决算为21.52万元，完成预算100%。</w:t>
      </w:r>
    </w:p>
    <w:p w14:paraId="3D7DFEF3">
      <w:pPr>
        <w:ind w:firstLine="640" w:firstLineChars="200"/>
        <w:rPr>
          <w:rStyle w:val="15"/>
          <w:rFonts w:hint="eastAsia" w:ascii="仿宋_GB2312" w:hAnsi="仿宋" w:eastAsia="仿宋_GB2312"/>
          <w:b w:val="0"/>
          <w:bCs/>
          <w:color w:val="000000"/>
          <w:sz w:val="32"/>
          <w:szCs w:val="32"/>
        </w:rPr>
      </w:pPr>
      <w:r>
        <w:rPr>
          <w:rStyle w:val="15"/>
          <w:rFonts w:hint="eastAsia" w:ascii="仿宋_GB2312" w:hAnsi="仿宋" w:eastAsia="仿宋_GB2312"/>
          <w:b w:val="0"/>
          <w:bCs/>
          <w:color w:val="000000"/>
          <w:sz w:val="32"/>
          <w:szCs w:val="32"/>
        </w:rPr>
        <w:t>15、</w:t>
      </w:r>
      <w:r>
        <w:rPr>
          <w:rStyle w:val="15"/>
          <w:rFonts w:hint="eastAsia" w:ascii="仿宋_GB2312" w:eastAsia="仿宋_GB2312"/>
          <w:b w:val="0"/>
          <w:color w:val="000000"/>
          <w:sz w:val="32"/>
          <w:szCs w:val="32"/>
        </w:rPr>
        <w:t>医疗卫生与计划生育（类）行政事业单位医疗（款）行政单位医疗（项）:</w:t>
      </w:r>
      <w:r>
        <w:rPr>
          <w:rStyle w:val="15"/>
          <w:rFonts w:hint="eastAsia" w:ascii="仿宋_GB2312" w:hAnsi="仿宋" w:eastAsia="仿宋_GB2312"/>
          <w:b w:val="0"/>
          <w:bCs/>
          <w:color w:val="000000"/>
          <w:sz w:val="32"/>
          <w:szCs w:val="32"/>
        </w:rPr>
        <w:t xml:space="preserve"> 支出决算为15.22万元，完成预算100%。</w:t>
      </w:r>
    </w:p>
    <w:p w14:paraId="3AC2160D">
      <w:pPr>
        <w:ind w:firstLine="640" w:firstLineChars="200"/>
        <w:rPr>
          <w:rStyle w:val="15"/>
          <w:rFonts w:hint="eastAsia" w:ascii="仿宋_GB2312" w:hAnsi="仿宋" w:eastAsia="仿宋_GB2312"/>
          <w:b w:val="0"/>
          <w:bCs/>
          <w:color w:val="000000"/>
          <w:sz w:val="32"/>
          <w:szCs w:val="32"/>
        </w:rPr>
      </w:pPr>
      <w:r>
        <w:rPr>
          <w:rStyle w:val="15"/>
          <w:rFonts w:hint="eastAsia" w:ascii="仿宋_GB2312" w:hAnsi="仿宋" w:eastAsia="仿宋_GB2312"/>
          <w:b w:val="0"/>
          <w:bCs/>
          <w:color w:val="000000"/>
          <w:sz w:val="32"/>
          <w:szCs w:val="32"/>
        </w:rPr>
        <w:t>17、</w:t>
      </w:r>
      <w:r>
        <w:rPr>
          <w:rStyle w:val="15"/>
          <w:rFonts w:hint="eastAsia" w:ascii="仿宋_GB2312" w:eastAsia="仿宋_GB2312"/>
          <w:b w:val="0"/>
          <w:color w:val="000000"/>
          <w:sz w:val="32"/>
          <w:szCs w:val="32"/>
        </w:rPr>
        <w:t>农林水（类）农业（款）事业运行（项）:</w:t>
      </w:r>
      <w:r>
        <w:rPr>
          <w:rStyle w:val="15"/>
          <w:rFonts w:hint="eastAsia" w:ascii="仿宋_GB2312" w:hAnsi="仿宋" w:eastAsia="仿宋_GB2312"/>
          <w:b w:val="0"/>
          <w:bCs/>
          <w:color w:val="000000"/>
          <w:sz w:val="32"/>
          <w:szCs w:val="32"/>
        </w:rPr>
        <w:t xml:space="preserve"> 支出决算为61.64万元，完成预算100%。</w:t>
      </w:r>
    </w:p>
    <w:p w14:paraId="12D3CA8C">
      <w:pPr>
        <w:ind w:firstLine="640" w:firstLineChars="200"/>
        <w:rPr>
          <w:rStyle w:val="15"/>
          <w:rFonts w:hint="eastAsia" w:ascii="仿宋_GB2312" w:hAnsi="仿宋" w:eastAsia="仿宋_GB2312"/>
          <w:b w:val="0"/>
          <w:bCs/>
          <w:color w:val="000000"/>
          <w:sz w:val="32"/>
          <w:szCs w:val="32"/>
        </w:rPr>
      </w:pPr>
      <w:r>
        <w:rPr>
          <w:rStyle w:val="15"/>
          <w:rFonts w:hint="eastAsia" w:ascii="仿宋_GB2312" w:hAnsi="仿宋" w:eastAsia="仿宋_GB2312"/>
          <w:b w:val="0"/>
          <w:bCs/>
          <w:color w:val="000000"/>
          <w:sz w:val="32"/>
          <w:szCs w:val="32"/>
        </w:rPr>
        <w:t>18、</w:t>
      </w:r>
      <w:r>
        <w:rPr>
          <w:rStyle w:val="15"/>
          <w:rFonts w:hint="eastAsia" w:ascii="仿宋_GB2312" w:eastAsia="仿宋_GB2312"/>
          <w:b w:val="0"/>
          <w:color w:val="000000"/>
          <w:sz w:val="32"/>
          <w:szCs w:val="32"/>
        </w:rPr>
        <w:t>农林水（类）农业（款）农村道路建设（项）:</w:t>
      </w:r>
      <w:r>
        <w:rPr>
          <w:rStyle w:val="15"/>
          <w:rFonts w:hint="eastAsia" w:ascii="仿宋_GB2312" w:hAnsi="仿宋" w:eastAsia="仿宋_GB2312"/>
          <w:b w:val="0"/>
          <w:bCs/>
          <w:color w:val="000000"/>
          <w:sz w:val="32"/>
          <w:szCs w:val="32"/>
        </w:rPr>
        <w:t xml:space="preserve"> 支出决算为3万元，完成预算100%。</w:t>
      </w:r>
    </w:p>
    <w:p w14:paraId="71479C19">
      <w:pPr>
        <w:ind w:firstLine="640" w:firstLineChars="200"/>
        <w:rPr>
          <w:rStyle w:val="15"/>
          <w:rFonts w:hint="eastAsia" w:ascii="仿宋_GB2312" w:hAnsi="仿宋" w:eastAsia="仿宋_GB2312"/>
          <w:b w:val="0"/>
          <w:bCs/>
          <w:color w:val="000000"/>
          <w:sz w:val="32"/>
          <w:szCs w:val="32"/>
        </w:rPr>
      </w:pPr>
      <w:r>
        <w:rPr>
          <w:rStyle w:val="15"/>
          <w:rFonts w:hint="eastAsia" w:ascii="仿宋_GB2312" w:hAnsi="仿宋" w:eastAsia="仿宋_GB2312"/>
          <w:b w:val="0"/>
          <w:bCs/>
          <w:color w:val="000000"/>
          <w:sz w:val="32"/>
          <w:szCs w:val="32"/>
        </w:rPr>
        <w:t>19、</w:t>
      </w:r>
      <w:r>
        <w:rPr>
          <w:rStyle w:val="15"/>
          <w:rFonts w:hint="eastAsia" w:ascii="仿宋_GB2312" w:eastAsia="仿宋_GB2312"/>
          <w:b w:val="0"/>
          <w:color w:val="000000"/>
          <w:sz w:val="32"/>
          <w:szCs w:val="32"/>
        </w:rPr>
        <w:t>农林水（类）农业（款）对高校毕业生到基层任职补助（项）:</w:t>
      </w:r>
      <w:r>
        <w:rPr>
          <w:rStyle w:val="15"/>
          <w:rFonts w:hint="eastAsia" w:ascii="仿宋_GB2312" w:hAnsi="仿宋" w:eastAsia="仿宋_GB2312"/>
          <w:b w:val="0"/>
          <w:bCs/>
          <w:color w:val="000000"/>
          <w:sz w:val="32"/>
          <w:szCs w:val="32"/>
        </w:rPr>
        <w:t xml:space="preserve"> 支出决算为4.46万元，完成预算100%。</w:t>
      </w:r>
    </w:p>
    <w:p w14:paraId="574B0804">
      <w:pPr>
        <w:ind w:firstLine="640" w:firstLineChars="200"/>
        <w:rPr>
          <w:rStyle w:val="15"/>
          <w:rFonts w:hint="eastAsia" w:ascii="仿宋_GB2312" w:hAnsi="仿宋" w:eastAsia="仿宋_GB2312"/>
          <w:b w:val="0"/>
          <w:bCs/>
          <w:color w:val="000000"/>
          <w:sz w:val="32"/>
          <w:szCs w:val="32"/>
        </w:rPr>
      </w:pPr>
      <w:r>
        <w:rPr>
          <w:rStyle w:val="15"/>
          <w:rFonts w:hint="eastAsia" w:ascii="仿宋_GB2312" w:hAnsi="仿宋" w:eastAsia="仿宋_GB2312"/>
          <w:b w:val="0"/>
          <w:bCs/>
          <w:color w:val="000000"/>
          <w:sz w:val="32"/>
          <w:szCs w:val="32"/>
        </w:rPr>
        <w:t>20、</w:t>
      </w:r>
      <w:r>
        <w:rPr>
          <w:rStyle w:val="15"/>
          <w:rFonts w:hint="eastAsia" w:ascii="仿宋_GB2312" w:eastAsia="仿宋_GB2312"/>
          <w:b w:val="0"/>
          <w:color w:val="000000"/>
          <w:sz w:val="32"/>
          <w:szCs w:val="32"/>
        </w:rPr>
        <w:t>农林水（类）农业（款）其他农业支出（项）:</w:t>
      </w:r>
      <w:r>
        <w:rPr>
          <w:rStyle w:val="15"/>
          <w:rFonts w:hint="eastAsia" w:ascii="仿宋_GB2312" w:hAnsi="仿宋" w:eastAsia="仿宋_GB2312"/>
          <w:b w:val="0"/>
          <w:bCs/>
          <w:color w:val="000000"/>
          <w:sz w:val="32"/>
          <w:szCs w:val="32"/>
        </w:rPr>
        <w:t xml:space="preserve"> 支出决算为1万元，完成预算100%。</w:t>
      </w:r>
    </w:p>
    <w:p w14:paraId="1CF465DB">
      <w:pPr>
        <w:ind w:firstLine="640" w:firstLineChars="200"/>
        <w:rPr>
          <w:rStyle w:val="15"/>
          <w:rFonts w:hint="eastAsia" w:ascii="仿宋_GB2312" w:hAnsi="仿宋" w:eastAsia="仿宋_GB2312"/>
          <w:b w:val="0"/>
          <w:bCs/>
          <w:color w:val="000000"/>
          <w:sz w:val="32"/>
          <w:szCs w:val="32"/>
        </w:rPr>
      </w:pPr>
      <w:r>
        <w:rPr>
          <w:rStyle w:val="15"/>
          <w:rFonts w:hint="eastAsia" w:ascii="仿宋_GB2312" w:hAnsi="仿宋" w:eastAsia="仿宋_GB2312"/>
          <w:b w:val="0"/>
          <w:bCs/>
          <w:color w:val="000000"/>
          <w:sz w:val="32"/>
          <w:szCs w:val="32"/>
        </w:rPr>
        <w:t>21、</w:t>
      </w:r>
      <w:r>
        <w:rPr>
          <w:rStyle w:val="15"/>
          <w:rFonts w:hint="eastAsia" w:ascii="仿宋_GB2312" w:eastAsia="仿宋_GB2312"/>
          <w:b w:val="0"/>
          <w:color w:val="000000"/>
          <w:sz w:val="32"/>
          <w:szCs w:val="32"/>
        </w:rPr>
        <w:t>农林水（类）扶贫（款）其他扶贫支出（项）:</w:t>
      </w:r>
      <w:r>
        <w:rPr>
          <w:rStyle w:val="15"/>
          <w:rFonts w:hint="eastAsia" w:ascii="仿宋_GB2312" w:hAnsi="仿宋" w:eastAsia="仿宋_GB2312"/>
          <w:b w:val="0"/>
          <w:bCs/>
          <w:color w:val="000000"/>
          <w:sz w:val="32"/>
          <w:szCs w:val="32"/>
        </w:rPr>
        <w:t xml:space="preserve"> 支出决算为14.03万元，完成预算100%。</w:t>
      </w:r>
    </w:p>
    <w:p w14:paraId="036F164B">
      <w:pPr>
        <w:ind w:firstLine="640" w:firstLineChars="200"/>
        <w:rPr>
          <w:rStyle w:val="15"/>
          <w:rFonts w:hint="eastAsia" w:ascii="仿宋_GB2312" w:hAnsi="仿宋" w:eastAsia="仿宋_GB2312"/>
          <w:b w:val="0"/>
          <w:bCs/>
          <w:color w:val="000000"/>
          <w:sz w:val="32"/>
          <w:szCs w:val="32"/>
        </w:rPr>
      </w:pPr>
      <w:r>
        <w:rPr>
          <w:rStyle w:val="15"/>
          <w:rFonts w:hint="eastAsia" w:ascii="仿宋_GB2312" w:hAnsi="仿宋" w:eastAsia="仿宋_GB2312"/>
          <w:b w:val="0"/>
          <w:bCs/>
          <w:color w:val="000000"/>
          <w:sz w:val="32"/>
          <w:szCs w:val="32"/>
        </w:rPr>
        <w:t>22、</w:t>
      </w:r>
      <w:r>
        <w:rPr>
          <w:rStyle w:val="15"/>
          <w:rFonts w:hint="eastAsia" w:ascii="仿宋_GB2312" w:eastAsia="仿宋_GB2312"/>
          <w:b w:val="0"/>
          <w:color w:val="000000"/>
          <w:sz w:val="32"/>
          <w:szCs w:val="32"/>
        </w:rPr>
        <w:t>农林水（类）农村综合改革（款）对村民委员会和村党支部的补助（项）:</w:t>
      </w:r>
      <w:r>
        <w:rPr>
          <w:rStyle w:val="15"/>
          <w:rFonts w:hint="eastAsia" w:ascii="仿宋_GB2312" w:hAnsi="仿宋" w:eastAsia="仿宋_GB2312"/>
          <w:b w:val="0"/>
          <w:bCs/>
          <w:color w:val="000000"/>
          <w:sz w:val="32"/>
          <w:szCs w:val="32"/>
        </w:rPr>
        <w:t xml:space="preserve"> 支出决算为223.18万元，2019年预算数为247.14万元，完成预算90.31%，支出数小于决算数的原因是村级公共运行项目未实施完。</w:t>
      </w:r>
    </w:p>
    <w:p w14:paraId="719B38BB">
      <w:pPr>
        <w:ind w:firstLine="640" w:firstLineChars="200"/>
        <w:rPr>
          <w:rStyle w:val="15"/>
          <w:rFonts w:hint="eastAsia" w:ascii="仿宋_GB2312" w:hAnsi="仿宋" w:eastAsia="仿宋_GB2312"/>
          <w:b w:val="0"/>
          <w:bCs/>
          <w:color w:val="000000"/>
          <w:sz w:val="32"/>
          <w:szCs w:val="32"/>
        </w:rPr>
      </w:pPr>
      <w:r>
        <w:rPr>
          <w:rStyle w:val="15"/>
          <w:rFonts w:hint="eastAsia" w:ascii="仿宋_GB2312" w:hAnsi="仿宋" w:eastAsia="仿宋_GB2312"/>
          <w:b w:val="0"/>
          <w:bCs/>
          <w:color w:val="000000"/>
          <w:sz w:val="32"/>
          <w:szCs w:val="32"/>
        </w:rPr>
        <w:t>23、</w:t>
      </w:r>
      <w:r>
        <w:rPr>
          <w:rStyle w:val="15"/>
          <w:rFonts w:hint="eastAsia" w:ascii="仿宋_GB2312" w:eastAsia="仿宋_GB2312"/>
          <w:b w:val="0"/>
          <w:color w:val="000000"/>
          <w:sz w:val="32"/>
          <w:szCs w:val="32"/>
        </w:rPr>
        <w:t>住房保障支出（类）住房改革支出（款）其他保障性安置工程支出（项）:</w:t>
      </w:r>
      <w:r>
        <w:rPr>
          <w:rStyle w:val="15"/>
          <w:rFonts w:hint="eastAsia" w:ascii="仿宋_GB2312" w:hAnsi="仿宋" w:eastAsia="仿宋_GB2312"/>
          <w:b w:val="0"/>
          <w:bCs/>
          <w:color w:val="000000"/>
          <w:sz w:val="32"/>
          <w:szCs w:val="32"/>
        </w:rPr>
        <w:t xml:space="preserve"> 支出决算为4.4万元，完成预算100%。</w:t>
      </w:r>
    </w:p>
    <w:p w14:paraId="2BEC306F">
      <w:pPr>
        <w:ind w:firstLine="640" w:firstLineChars="200"/>
        <w:rPr>
          <w:rStyle w:val="15"/>
          <w:rFonts w:hint="eastAsia" w:ascii="仿宋_GB2312" w:hAnsi="仿宋" w:eastAsia="仿宋_GB2312"/>
          <w:b w:val="0"/>
          <w:bCs/>
          <w:color w:val="000000"/>
          <w:sz w:val="32"/>
          <w:szCs w:val="32"/>
        </w:rPr>
      </w:pPr>
      <w:r>
        <w:rPr>
          <w:rStyle w:val="15"/>
          <w:rFonts w:hint="eastAsia" w:ascii="仿宋_GB2312" w:hAnsi="仿宋" w:eastAsia="仿宋_GB2312"/>
          <w:b w:val="0"/>
          <w:bCs/>
          <w:color w:val="000000"/>
          <w:sz w:val="32"/>
          <w:szCs w:val="32"/>
        </w:rPr>
        <w:t>24、</w:t>
      </w:r>
      <w:r>
        <w:rPr>
          <w:rStyle w:val="15"/>
          <w:rFonts w:hint="eastAsia" w:ascii="仿宋_GB2312" w:eastAsia="仿宋_GB2312"/>
          <w:b w:val="0"/>
          <w:color w:val="000000"/>
          <w:sz w:val="32"/>
          <w:szCs w:val="32"/>
        </w:rPr>
        <w:t>住房保障支出（类）住房改革支出（款）住房公积金（项）:</w:t>
      </w:r>
      <w:r>
        <w:rPr>
          <w:rStyle w:val="15"/>
          <w:rFonts w:hint="eastAsia" w:ascii="仿宋_GB2312" w:hAnsi="仿宋" w:eastAsia="仿宋_GB2312"/>
          <w:b w:val="0"/>
          <w:bCs/>
          <w:color w:val="000000"/>
          <w:sz w:val="32"/>
          <w:szCs w:val="32"/>
        </w:rPr>
        <w:t xml:space="preserve"> 支出决算为52.79万元，完成预算100%。</w:t>
      </w:r>
    </w:p>
    <w:p w14:paraId="1C7E9969">
      <w:pPr>
        <w:ind w:firstLine="640" w:firstLineChars="200"/>
        <w:rPr>
          <w:rFonts w:hint="eastAsia" w:ascii="仿宋_GB2312" w:hAnsi="仿宋" w:eastAsia="仿宋_GB2312"/>
          <w:bCs/>
          <w:color w:val="000000"/>
          <w:sz w:val="32"/>
          <w:szCs w:val="32"/>
        </w:rPr>
      </w:pPr>
      <w:r>
        <w:rPr>
          <w:rStyle w:val="15"/>
          <w:rFonts w:hint="eastAsia" w:ascii="仿宋_GB2312" w:hAnsi="仿宋" w:eastAsia="仿宋_GB2312"/>
          <w:b w:val="0"/>
          <w:bCs/>
          <w:color w:val="000000"/>
          <w:sz w:val="32"/>
          <w:szCs w:val="32"/>
        </w:rPr>
        <w:t>25、灾害防治及应急管理支出（款）自然灾害救灾及恢复重建支出：支出决算为3万元，完成预算100%。</w:t>
      </w:r>
    </w:p>
    <w:p w14:paraId="2F40A4BA">
      <w:pPr>
        <w:tabs>
          <w:tab w:val="right" w:pos="8306"/>
        </w:tabs>
        <w:spacing w:line="600" w:lineRule="exact"/>
        <w:ind w:firstLine="640"/>
        <w:outlineLvl w:val="1"/>
        <w:rPr>
          <w:rStyle w:val="18"/>
          <w:rFonts w:hint="eastAsia" w:ascii="黑体" w:hAnsi="黑体" w:eastAsia="黑体"/>
        </w:rPr>
      </w:pPr>
      <w:bookmarkStart w:id="38" w:name="_Toc15396608"/>
      <w:bookmarkStart w:id="39" w:name="_Toc15377214"/>
      <w:r>
        <w:rPr>
          <w:rFonts w:hint="eastAsia" w:ascii="黑体" w:hAnsi="黑体" w:eastAsia="黑体"/>
          <w:color w:val="000000"/>
          <w:sz w:val="32"/>
          <w:szCs w:val="32"/>
        </w:rPr>
        <w:t>六</w:t>
      </w:r>
      <w:r>
        <w:rPr>
          <w:rFonts w:hint="eastAsia" w:ascii="黑体" w:hAnsi="黑体" w:eastAsia="黑体"/>
          <w:b/>
          <w:color w:val="000000"/>
          <w:sz w:val="32"/>
          <w:szCs w:val="32"/>
        </w:rPr>
        <w:t>、一</w:t>
      </w:r>
      <w:r>
        <w:rPr>
          <w:rStyle w:val="18"/>
          <w:rFonts w:hint="eastAsia" w:ascii="黑体" w:hAnsi="黑体" w:eastAsia="黑体"/>
          <w:b w:val="0"/>
        </w:rPr>
        <w:t>般公共预算财政拨款基本支出决算情况说明</w:t>
      </w:r>
      <w:bookmarkEnd w:id="38"/>
      <w:bookmarkEnd w:id="39"/>
      <w:r>
        <w:rPr>
          <w:rStyle w:val="18"/>
          <w:rFonts w:hint="eastAsia" w:ascii="黑体" w:hAnsi="黑体" w:eastAsia="黑体"/>
          <w:b w:val="0"/>
        </w:rPr>
        <w:tab/>
      </w:r>
    </w:p>
    <w:p w14:paraId="6A7B5311">
      <w:pPr>
        <w:ind w:firstLine="646"/>
        <w:rPr>
          <w:rFonts w:hint="eastAsia" w:ascii="仿宋_GB2312" w:hAnsi="仿宋" w:eastAsia="仿宋_GB2312"/>
          <w:color w:val="000000"/>
          <w:sz w:val="32"/>
          <w:szCs w:val="32"/>
        </w:rPr>
      </w:pPr>
      <w:r>
        <w:rPr>
          <w:rFonts w:hint="eastAsia" w:ascii="仿宋_GB2312" w:hAnsi="仿宋" w:eastAsia="仿宋_GB2312"/>
          <w:color w:val="000000"/>
          <w:sz w:val="32"/>
          <w:szCs w:val="32"/>
        </w:rPr>
        <w:t>2019年一般公共预算财政拨款基本支出661.5万元，其中：</w:t>
      </w:r>
    </w:p>
    <w:p w14:paraId="56C1F5CB">
      <w:pPr>
        <w:ind w:firstLine="646"/>
        <w:rPr>
          <w:rFonts w:hint="eastAsia" w:ascii="仿宋_GB2312" w:hAnsi="仿宋" w:eastAsia="仿宋_GB2312"/>
          <w:color w:val="000000"/>
          <w:sz w:val="32"/>
          <w:szCs w:val="32"/>
        </w:rPr>
      </w:pPr>
      <w:r>
        <w:rPr>
          <w:rFonts w:hint="eastAsia" w:ascii="仿宋_GB2312" w:hAnsi="仿宋" w:eastAsia="仿宋_GB2312"/>
          <w:color w:val="000000"/>
          <w:sz w:val="32"/>
          <w:szCs w:val="32"/>
        </w:rPr>
        <w:t>人员经费615.37万元，主要包括：基本工资、津贴补贴、奖金、伙食补助费、绩效工资、机关事业单位基本养老保险缴费、职业年金缴费、其他社会保障缴费、其他工资福利支出、退休费、生活补助、医疗费补助、奖励金、住房公积金、其他对个人和家庭的补助支出等。</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日常公用经费46.13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0149B2A">
      <w:pPr>
        <w:spacing w:line="600" w:lineRule="exact"/>
        <w:ind w:firstLine="640"/>
        <w:outlineLvl w:val="1"/>
        <w:rPr>
          <w:rStyle w:val="18"/>
          <w:rFonts w:hint="eastAsia" w:ascii="黑体" w:hAnsi="黑体" w:eastAsia="黑体"/>
          <w:b w:val="0"/>
        </w:rPr>
      </w:pPr>
      <w:bookmarkStart w:id="40" w:name="_Toc15396609"/>
      <w:bookmarkStart w:id="41" w:name="_Toc15377215"/>
      <w:r>
        <w:rPr>
          <w:rFonts w:hint="eastAsia" w:ascii="黑体" w:hAnsi="黑体" w:eastAsia="黑体"/>
          <w:color w:val="000000"/>
          <w:sz w:val="32"/>
          <w:szCs w:val="32"/>
        </w:rPr>
        <w:t>七、</w:t>
      </w:r>
      <w:r>
        <w:rPr>
          <w:rStyle w:val="18"/>
          <w:rFonts w:hint="eastAsia" w:ascii="黑体" w:hAnsi="黑体" w:eastAsia="黑体"/>
        </w:rPr>
        <w:t>“</w:t>
      </w:r>
      <w:r>
        <w:rPr>
          <w:rStyle w:val="18"/>
          <w:rFonts w:hint="eastAsia" w:ascii="黑体" w:hAnsi="黑体" w:eastAsia="黑体"/>
          <w:b w:val="0"/>
        </w:rPr>
        <w:t>三公”经费财政拨款支出决算情况说明</w:t>
      </w:r>
      <w:bookmarkEnd w:id="40"/>
      <w:bookmarkEnd w:id="41"/>
    </w:p>
    <w:p w14:paraId="366F9CC9">
      <w:pPr>
        <w:ind w:firstLine="641"/>
        <w:outlineLvl w:val="2"/>
        <w:rPr>
          <w:rFonts w:hint="eastAsia" w:ascii="楷体" w:hAnsi="楷体" w:eastAsia="楷体"/>
          <w:b/>
          <w:color w:val="000000"/>
          <w:sz w:val="32"/>
          <w:szCs w:val="32"/>
        </w:rPr>
      </w:pPr>
      <w:bookmarkStart w:id="42" w:name="_Toc15377216"/>
      <w:r>
        <w:rPr>
          <w:rFonts w:hint="eastAsia" w:ascii="楷体" w:hAnsi="楷体" w:eastAsia="楷体"/>
          <w:b/>
          <w:color w:val="000000"/>
          <w:sz w:val="32"/>
          <w:szCs w:val="32"/>
        </w:rPr>
        <w:t>（一）“三公”经费财政拨款支出决算总体情况说明</w:t>
      </w:r>
      <w:bookmarkEnd w:id="42"/>
    </w:p>
    <w:p w14:paraId="1D196E80">
      <w:pPr>
        <w:ind w:firstLine="641"/>
        <w:rPr>
          <w:rFonts w:hint="eastAsia" w:ascii="仿宋_GB2312" w:eastAsia="仿宋_GB2312"/>
          <w:color w:val="333333"/>
          <w:sz w:val="32"/>
          <w:szCs w:val="32"/>
        </w:rPr>
      </w:pPr>
      <w:r>
        <w:rPr>
          <w:rFonts w:hint="eastAsia" w:ascii="仿宋_GB2312" w:hAnsi="仿宋" w:eastAsia="仿宋_GB2312"/>
          <w:color w:val="000000"/>
          <w:sz w:val="32"/>
          <w:szCs w:val="32"/>
        </w:rPr>
        <w:t>2019年“三公”经费财政拨款支出决算为7.49万元，完成预算29.95 %，决算数小于预算数的</w:t>
      </w:r>
      <w:r>
        <w:rPr>
          <w:rFonts w:hint="eastAsia" w:ascii="仿宋_GB2312" w:eastAsia="仿宋_GB2312"/>
          <w:color w:val="333333"/>
          <w:sz w:val="32"/>
          <w:szCs w:val="32"/>
        </w:rPr>
        <w:t>主要原因是我镇继续认真贯彻落实中央八项规定及省委省政府十项规定要求，厉行节约，加强“三公”经费管理。</w:t>
      </w:r>
    </w:p>
    <w:p w14:paraId="47845A30">
      <w:pPr>
        <w:ind w:firstLine="641"/>
        <w:outlineLvl w:val="2"/>
        <w:rPr>
          <w:rFonts w:hint="eastAsia" w:ascii="楷体" w:hAnsi="楷体" w:eastAsia="楷体"/>
          <w:b/>
          <w:color w:val="000000"/>
          <w:sz w:val="32"/>
          <w:szCs w:val="32"/>
        </w:rPr>
      </w:pPr>
      <w:bookmarkStart w:id="43" w:name="_Toc15377217"/>
      <w:r>
        <w:rPr>
          <w:rFonts w:hint="eastAsia" w:ascii="楷体" w:hAnsi="楷体" w:eastAsia="楷体"/>
          <w:b/>
          <w:color w:val="000000"/>
          <w:sz w:val="32"/>
          <w:szCs w:val="32"/>
        </w:rPr>
        <w:t>（二）“三公”经费财政拨款支出决算具体情况说明</w:t>
      </w:r>
      <w:bookmarkEnd w:id="43"/>
    </w:p>
    <w:p w14:paraId="4F2E1742">
      <w:pPr>
        <w:ind w:firstLine="641"/>
        <w:rPr>
          <w:rFonts w:hint="eastAsia" w:ascii="仿宋_GB2312" w:hAnsi="仿宋" w:eastAsia="仿宋_GB2312"/>
          <w:color w:val="000000"/>
          <w:sz w:val="32"/>
          <w:szCs w:val="32"/>
        </w:rPr>
      </w:pPr>
      <w:r>
        <w:rPr>
          <w:rFonts w:hint="eastAsia" w:ascii="仿宋_GB2312" w:hAnsi="仿宋" w:eastAsia="仿宋_GB2312"/>
          <w:color w:val="000000"/>
          <w:sz w:val="32"/>
          <w:szCs w:val="32"/>
        </w:rPr>
        <w:t>2019年“三公”经费财政拨款支出决算中，因公出国（境）费支出决算0万元，占0%；公务用车购置及运行维护费支出决算7.49万元，占100%；公务接待费支出决0万元，占0%。具体情况如下：</w:t>
      </w:r>
    </w:p>
    <w:p w14:paraId="401405A9">
      <w:pPr>
        <w:spacing w:line="720" w:lineRule="auto"/>
        <w:ind w:firstLine="641"/>
        <w:rPr>
          <w:rFonts w:hint="eastAsia" w:ascii="仿宋_GB2312" w:hAnsi="仿宋" w:eastAsia="仿宋_GB2312"/>
          <w:color w:val="000000"/>
          <w:sz w:val="32"/>
          <w:szCs w:val="32"/>
        </w:rPr>
      </w:pPr>
      <w:r>
        <w:rPr>
          <w:rFonts w:hint="eastAsia" w:ascii="仿宋_GB2312" w:hAnsi="仿宋" w:eastAsia="仿宋_GB2312"/>
          <w:color w:val="000000"/>
          <w:sz w:val="32"/>
          <w:szCs w:val="32"/>
        </w:rPr>
        <w:object>
          <v:shape id="_x0000_i1031" o:spt="75" type="#_x0000_t75" style="height:156pt;width:321.75pt;" o:ole="t" filled="f" o:preferrelative="t" stroked="f" coordsize="21600,21600">
            <v:path/>
            <v:fill on="f" focussize="0,0"/>
            <v:stroke on="f" joinstyle="miter"/>
            <v:imagedata r:id="rId19" cropbottom="-84f" o:title=""/>
            <o:lock v:ext="edit" aspectratio="f"/>
            <w10:wrap type="none"/>
            <w10:anchorlock/>
          </v:shape>
          <o:OLEObject Type="Embed" ProgID="Excel.Chart.8" ShapeID="_x0000_i1031" DrawAspect="Content" ObjectID="_1468075731" r:id="rId18">
            <o:LockedField>false</o:LockedField>
          </o:OLEObject>
        </w:object>
      </w:r>
    </w:p>
    <w:p w14:paraId="44E3FB64">
      <w:pPr>
        <w:spacing w:line="600" w:lineRule="exact"/>
        <w:ind w:firstLine="64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（“三公”经费财政拨款支出结构图）</w:t>
      </w:r>
    </w:p>
    <w:p w14:paraId="655B3FA6">
      <w:pPr>
        <w:ind w:firstLine="641"/>
        <w:rPr>
          <w:rFonts w:hint="eastAsia" w:ascii="仿宋_GB2312" w:eastAsia="仿宋_GB2312"/>
          <w:b/>
          <w:color w:val="000000"/>
          <w:sz w:val="32"/>
          <w:szCs w:val="32"/>
        </w:rPr>
      </w:pPr>
      <w:r>
        <w:rPr>
          <w:rFonts w:hint="eastAsia" w:ascii="仿宋_GB2312" w:eastAsia="仿宋_GB2312"/>
          <w:color w:val="000000"/>
          <w:sz w:val="32"/>
          <w:szCs w:val="32"/>
        </w:rPr>
        <w:t>1.因公出国（境）经费支出0万元，</w:t>
      </w:r>
      <w:r>
        <w:rPr>
          <w:rStyle w:val="15"/>
          <w:rFonts w:hint="eastAsia" w:ascii="仿宋_GB2312" w:hAnsi="仿宋" w:eastAsia="仿宋_GB2312"/>
          <w:b w:val="0"/>
          <w:bCs/>
          <w:color w:val="000000"/>
          <w:sz w:val="32"/>
          <w:szCs w:val="32"/>
        </w:rPr>
        <w:t>完成预算0%</w:t>
      </w:r>
      <w:r>
        <w:rPr>
          <w:rStyle w:val="15"/>
          <w:rFonts w:hint="eastAsia" w:ascii="仿宋_GB2312" w:hAnsi="仿宋" w:eastAsia="仿宋_GB2312"/>
          <w:bCs/>
          <w:color w:val="000000"/>
          <w:sz w:val="32"/>
          <w:szCs w:val="32"/>
        </w:rPr>
        <w:t>。</w:t>
      </w:r>
      <w:r>
        <w:rPr>
          <w:rFonts w:hint="eastAsia" w:ascii="仿宋_GB2312" w:eastAsia="仿宋_GB2312"/>
          <w:color w:val="000000"/>
          <w:sz w:val="32"/>
          <w:szCs w:val="32"/>
        </w:rPr>
        <w:t>全年安排因公出国（境）团组0次，出国（境）0人。因公出国（境）支出决算比2018年增加/减少0万元，增长/下降0%。</w:t>
      </w:r>
    </w:p>
    <w:p w14:paraId="4C4E257A">
      <w:pPr>
        <w:ind w:firstLine="641"/>
        <w:rPr>
          <w:rFonts w:hint="eastAsia" w:ascii="仿宋_GB2312" w:eastAsia="仿宋_GB2312"/>
          <w:color w:val="333333"/>
          <w:sz w:val="32"/>
          <w:szCs w:val="32"/>
        </w:rPr>
      </w:pPr>
      <w:r>
        <w:rPr>
          <w:rFonts w:hint="eastAsia" w:ascii="仿宋_GB2312" w:eastAsia="仿宋_GB2312"/>
          <w:color w:val="000000"/>
          <w:sz w:val="32"/>
          <w:szCs w:val="32"/>
        </w:rPr>
        <w:t>2.公务用车购置及运行维护费支出7.49万元,</w:t>
      </w:r>
      <w:r>
        <w:rPr>
          <w:rStyle w:val="15"/>
          <w:rFonts w:hint="eastAsia" w:ascii="仿宋_GB2312" w:hAnsi="仿宋" w:eastAsia="仿宋_GB2312"/>
          <w:b w:val="0"/>
          <w:bCs/>
          <w:color w:val="000000"/>
          <w:sz w:val="32"/>
          <w:szCs w:val="32"/>
        </w:rPr>
        <w:t>完成预算17.4%</w:t>
      </w:r>
      <w:r>
        <w:rPr>
          <w:rStyle w:val="15"/>
          <w:rFonts w:hint="eastAsia" w:ascii="仿宋_GB2312" w:hAnsi="仿宋" w:eastAsia="仿宋_GB2312"/>
          <w:bCs/>
          <w:color w:val="000000"/>
          <w:sz w:val="32"/>
          <w:szCs w:val="32"/>
        </w:rPr>
        <w:t>。</w:t>
      </w:r>
      <w:r>
        <w:rPr>
          <w:rFonts w:hint="eastAsia" w:ascii="仿宋_GB2312" w:eastAsia="仿宋_GB2312"/>
          <w:color w:val="000000"/>
          <w:sz w:val="32"/>
          <w:szCs w:val="32"/>
        </w:rPr>
        <w:t>公务用车购置及运行维护费支出决算比2018年减少8.81万元，下降14.98%。</w:t>
      </w:r>
      <w:r>
        <w:rPr>
          <w:rFonts w:hint="eastAsia" w:ascii="仿宋_GB2312" w:eastAsia="仿宋_GB2312"/>
          <w:color w:val="333333"/>
          <w:sz w:val="32"/>
          <w:szCs w:val="32"/>
        </w:rPr>
        <w:t>主要原因是我镇继续认真贯彻落实中央八项规定及省委省政府十项规定要求，厉行节约，加强“三公”经费管理。</w:t>
      </w:r>
    </w:p>
    <w:p w14:paraId="5A2E648D">
      <w:pPr>
        <w:ind w:firstLine="641"/>
        <w:rPr>
          <w:rFonts w:hint="eastAsia" w:ascii="仿宋_GB2312" w:eastAsia="仿宋_GB2312"/>
          <w:color w:val="000000"/>
          <w:sz w:val="32"/>
          <w:szCs w:val="32"/>
        </w:rPr>
      </w:pPr>
      <w:r>
        <w:rPr>
          <w:rFonts w:hint="eastAsia" w:ascii="仿宋_GB2312" w:eastAsia="仿宋_GB2312"/>
          <w:color w:val="000000"/>
          <w:sz w:val="32"/>
          <w:szCs w:val="32"/>
        </w:rPr>
        <w:t>其中：公务用车购置支出0万元。全年按规定更新购置公务用车0辆，金额0元。截至2019年12月底，单位共有公务用车3辆，其中：一般公务用车3辆。</w:t>
      </w:r>
    </w:p>
    <w:p w14:paraId="624FFF33">
      <w:pPr>
        <w:ind w:firstLine="641"/>
        <w:rPr>
          <w:rFonts w:hint="eastAsia" w:ascii="仿宋_GB2312" w:eastAsia="仿宋_GB2312"/>
          <w:color w:val="000000"/>
          <w:sz w:val="32"/>
          <w:szCs w:val="32"/>
        </w:rPr>
      </w:pPr>
      <w:r>
        <w:rPr>
          <w:rFonts w:hint="eastAsia" w:ascii="仿宋_GB2312" w:eastAsia="仿宋_GB2312"/>
          <w:color w:val="000000"/>
          <w:sz w:val="32"/>
          <w:szCs w:val="32"/>
        </w:rPr>
        <w:t>公务用车运行维护费支出7.49万元。主要用于环境卫生整治、精准扶贫、秸杆禁烧巡查、征地拆迁、维稳、社会治安巡逻、农业技术推广等工作所需的公务用车燃料费、维修费、过路过桥费、保险费等支出。</w:t>
      </w:r>
    </w:p>
    <w:p w14:paraId="6FBAA378">
      <w:pPr>
        <w:ind w:firstLine="641"/>
        <w:rPr>
          <w:rFonts w:hint="eastAsia" w:ascii="仿宋_GB2312" w:eastAsia="仿宋_GB2312"/>
          <w:color w:val="000000"/>
          <w:sz w:val="32"/>
          <w:szCs w:val="32"/>
        </w:rPr>
      </w:pPr>
      <w:r>
        <w:rPr>
          <w:rFonts w:hint="eastAsia" w:ascii="仿宋_GB2312" w:eastAsia="仿宋_GB2312"/>
          <w:color w:val="000000"/>
          <w:sz w:val="32"/>
          <w:szCs w:val="32"/>
        </w:rPr>
        <w:t>3.公务接待费支出0万元，</w:t>
      </w:r>
      <w:r>
        <w:rPr>
          <w:rStyle w:val="15"/>
          <w:rFonts w:hint="eastAsia" w:ascii="仿宋_GB2312" w:hAnsi="仿宋" w:eastAsia="仿宋_GB2312"/>
          <w:b w:val="0"/>
          <w:bCs/>
          <w:color w:val="000000"/>
          <w:sz w:val="32"/>
          <w:szCs w:val="32"/>
        </w:rPr>
        <w:t>完成预算0%</w:t>
      </w:r>
      <w:r>
        <w:rPr>
          <w:rStyle w:val="15"/>
          <w:rFonts w:hint="eastAsia" w:ascii="仿宋_GB2312" w:hAnsi="仿宋" w:eastAsia="仿宋_GB2312"/>
          <w:bCs/>
          <w:color w:val="000000"/>
          <w:sz w:val="32"/>
          <w:szCs w:val="32"/>
        </w:rPr>
        <w:t>。</w:t>
      </w:r>
      <w:r>
        <w:rPr>
          <w:rFonts w:hint="eastAsia" w:ascii="仿宋_GB2312" w:eastAsia="仿宋_GB2312"/>
          <w:color w:val="000000"/>
          <w:sz w:val="32"/>
          <w:szCs w:val="32"/>
        </w:rPr>
        <w:t>公务接待费支出决算比2018年增加/减少0万元，增长/下降0%。</w:t>
      </w:r>
      <w:bookmarkStart w:id="44" w:name="_Toc15396610"/>
      <w:bookmarkStart w:id="45" w:name="_Toc15377218"/>
    </w:p>
    <w:p w14:paraId="76C013C5">
      <w:pPr>
        <w:ind w:firstLine="640"/>
        <w:outlineLvl w:val="1"/>
        <w:rPr>
          <w:rStyle w:val="18"/>
          <w:rFonts w:hint="eastAsia" w:ascii="黑体" w:hAnsi="黑体" w:eastAsia="黑体"/>
        </w:rPr>
      </w:pPr>
      <w:r>
        <w:rPr>
          <w:rFonts w:hint="eastAsia" w:ascii="黑体" w:hAnsi="黑体" w:eastAsia="黑体"/>
          <w:color w:val="000000"/>
          <w:sz w:val="32"/>
          <w:szCs w:val="32"/>
        </w:rPr>
        <w:t>八、</w:t>
      </w:r>
      <w:r>
        <w:rPr>
          <w:rStyle w:val="18"/>
          <w:rFonts w:hint="eastAsia" w:ascii="黑体" w:hAnsi="黑体" w:eastAsia="黑体"/>
          <w:b w:val="0"/>
        </w:rPr>
        <w:t>政府性基金预算支出决算情况说明</w:t>
      </w:r>
      <w:bookmarkEnd w:id="44"/>
      <w:bookmarkEnd w:id="45"/>
    </w:p>
    <w:p w14:paraId="30E82CA8">
      <w:pPr>
        <w:ind w:firstLine="640"/>
        <w:rPr>
          <w:rFonts w:hint="eastAsia" w:ascii="仿宋_GB2312" w:eastAsia="仿宋_GB2312"/>
          <w:color w:val="000000"/>
          <w:sz w:val="32"/>
          <w:szCs w:val="32"/>
        </w:rPr>
      </w:pPr>
      <w:r>
        <w:rPr>
          <w:rFonts w:hint="eastAsia" w:ascii="仿宋_GB2312" w:eastAsia="仿宋_GB2312"/>
          <w:color w:val="000000"/>
          <w:sz w:val="32"/>
          <w:szCs w:val="32"/>
        </w:rPr>
        <w:t>2019年政府性基金预算拨款支出4490.93万元。</w:t>
      </w:r>
    </w:p>
    <w:p w14:paraId="29CA5B7B">
      <w:pPr>
        <w:numPr>
          <w:ilvl w:val="0"/>
          <w:numId w:val="2"/>
        </w:numPr>
        <w:ind w:firstLine="640"/>
        <w:outlineLvl w:val="1"/>
        <w:rPr>
          <w:rStyle w:val="18"/>
          <w:rFonts w:hint="eastAsia" w:ascii="黑体" w:hAnsi="黑体" w:eastAsia="黑体"/>
          <w:b w:val="0"/>
        </w:rPr>
      </w:pPr>
      <w:bookmarkStart w:id="46" w:name="_Toc15377219"/>
      <w:bookmarkStart w:id="47" w:name="_Toc15396611"/>
      <w:r>
        <w:rPr>
          <w:rStyle w:val="18"/>
          <w:rFonts w:hint="eastAsia" w:ascii="黑体" w:hAnsi="黑体" w:eastAsia="黑体"/>
          <w:b w:val="0"/>
        </w:rPr>
        <w:t>国有资本经营预算支出决算情况说明</w:t>
      </w:r>
      <w:bookmarkEnd w:id="46"/>
      <w:bookmarkEnd w:id="47"/>
    </w:p>
    <w:p w14:paraId="7F98369E">
      <w:pPr>
        <w:ind w:firstLine="640"/>
        <w:rPr>
          <w:rFonts w:hint="eastAsia" w:ascii="仿宋_GB2312" w:eastAsia="仿宋_GB2312"/>
          <w:color w:val="000000"/>
          <w:sz w:val="32"/>
          <w:szCs w:val="32"/>
        </w:rPr>
      </w:pPr>
      <w:r>
        <w:rPr>
          <w:rFonts w:hint="eastAsia" w:ascii="仿宋_GB2312" w:eastAsia="仿宋_GB2312"/>
          <w:color w:val="000000"/>
          <w:sz w:val="32"/>
          <w:szCs w:val="32"/>
        </w:rPr>
        <w:t>2019年国有资本经营预算拨款支出0万元。</w:t>
      </w:r>
    </w:p>
    <w:p w14:paraId="7B9CF57B">
      <w:pPr>
        <w:ind w:firstLine="640"/>
        <w:rPr>
          <w:rFonts w:hint="eastAsia" w:ascii="仿宋_GB2312" w:eastAsia="仿宋_GB2312"/>
          <w:color w:val="000000"/>
          <w:sz w:val="32"/>
          <w:szCs w:val="32"/>
        </w:rPr>
      </w:pPr>
    </w:p>
    <w:p w14:paraId="5DCDBF2E">
      <w:pPr>
        <w:ind w:firstLine="640"/>
        <w:rPr>
          <w:rFonts w:hint="eastAsia" w:ascii="仿宋_GB2312" w:eastAsia="仿宋_GB2312"/>
          <w:color w:val="000000"/>
          <w:sz w:val="32"/>
          <w:szCs w:val="32"/>
        </w:rPr>
      </w:pPr>
    </w:p>
    <w:p w14:paraId="267B51D5">
      <w:pPr>
        <w:ind w:firstLine="640"/>
        <w:rPr>
          <w:rFonts w:hint="eastAsia" w:ascii="仿宋_GB2312" w:eastAsia="仿宋_GB2312"/>
          <w:color w:val="000000"/>
          <w:sz w:val="32"/>
          <w:szCs w:val="32"/>
        </w:rPr>
      </w:pPr>
    </w:p>
    <w:p w14:paraId="706D0B77">
      <w:pPr>
        <w:ind w:firstLine="800" w:firstLineChars="250"/>
        <w:outlineLvl w:val="1"/>
        <w:rPr>
          <w:rStyle w:val="18"/>
          <w:rFonts w:hint="eastAsia" w:ascii="黑体" w:hAnsi="黑体" w:eastAsia="黑体"/>
        </w:rPr>
      </w:pPr>
      <w:bookmarkStart w:id="48" w:name="_Toc15396612"/>
      <w:bookmarkStart w:id="49" w:name="_Toc15377221"/>
      <w:r>
        <w:rPr>
          <w:rFonts w:hint="eastAsia" w:ascii="黑体" w:hAnsi="黑体" w:eastAsia="黑体"/>
          <w:color w:val="000000"/>
          <w:sz w:val="32"/>
          <w:szCs w:val="32"/>
        </w:rPr>
        <w:t>十</w:t>
      </w:r>
      <w:r>
        <w:rPr>
          <w:rStyle w:val="18"/>
          <w:rFonts w:hint="eastAsia" w:ascii="黑体" w:hAnsi="黑体" w:eastAsia="黑体"/>
        </w:rPr>
        <w:t>、</w:t>
      </w:r>
      <w:r>
        <w:rPr>
          <w:rStyle w:val="18"/>
          <w:rFonts w:hint="eastAsia" w:ascii="黑体" w:hAnsi="黑体" w:eastAsia="黑体"/>
          <w:b w:val="0"/>
        </w:rPr>
        <w:t>其他重要事项的情况说明</w:t>
      </w:r>
      <w:bookmarkEnd w:id="48"/>
      <w:bookmarkEnd w:id="49"/>
    </w:p>
    <w:p w14:paraId="1B761ED7">
      <w:pPr>
        <w:ind w:firstLine="643" w:firstLineChars="200"/>
        <w:outlineLvl w:val="2"/>
        <w:rPr>
          <w:rFonts w:hint="eastAsia" w:ascii="楷体" w:hAnsi="楷体" w:eastAsia="楷体"/>
          <w:color w:val="000000"/>
          <w:sz w:val="32"/>
          <w:szCs w:val="32"/>
        </w:rPr>
      </w:pPr>
      <w:bookmarkStart w:id="50" w:name="_Toc15377222"/>
      <w:r>
        <w:rPr>
          <w:rFonts w:hint="eastAsia" w:ascii="楷体" w:hAnsi="楷体" w:eastAsia="楷体"/>
          <w:b/>
          <w:color w:val="000000"/>
          <w:sz w:val="32"/>
          <w:szCs w:val="32"/>
        </w:rPr>
        <w:t>（一）机关运行经费支出情况</w:t>
      </w:r>
      <w:bookmarkEnd w:id="50"/>
    </w:p>
    <w:p w14:paraId="675D6469">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2019年，胜利镇人民政府机关运行经费支出46.12万元，比2018年减少26.31万元，减少36.32 %，减少原因厉行节约。 </w:t>
      </w:r>
    </w:p>
    <w:p w14:paraId="12D5F1ED">
      <w:pPr>
        <w:tabs>
          <w:tab w:val="left" w:pos="7125"/>
        </w:tabs>
        <w:autoSpaceDE w:val="0"/>
        <w:autoSpaceDN w:val="0"/>
        <w:adjustRightInd w:val="0"/>
        <w:ind w:firstLine="643" w:firstLineChars="200"/>
        <w:jc w:val="left"/>
        <w:outlineLvl w:val="2"/>
        <w:rPr>
          <w:rFonts w:hint="eastAsia" w:ascii="楷体" w:hAnsi="楷体" w:eastAsia="楷体"/>
          <w:b/>
          <w:color w:val="000000"/>
          <w:sz w:val="32"/>
          <w:szCs w:val="32"/>
        </w:rPr>
      </w:pPr>
      <w:bookmarkStart w:id="51" w:name="_Toc15377223"/>
      <w:r>
        <w:rPr>
          <w:rFonts w:hint="eastAsia" w:ascii="楷体" w:hAnsi="楷体" w:eastAsia="楷体"/>
          <w:b/>
          <w:color w:val="000000"/>
          <w:sz w:val="32"/>
          <w:szCs w:val="32"/>
        </w:rPr>
        <w:t>（二）政府采购支出情况</w:t>
      </w:r>
      <w:bookmarkEnd w:id="51"/>
      <w:r>
        <w:rPr>
          <w:rFonts w:hint="eastAsia" w:ascii="楷体" w:hAnsi="楷体" w:eastAsia="楷体"/>
          <w:b/>
          <w:color w:val="000000"/>
          <w:sz w:val="32"/>
          <w:szCs w:val="32"/>
        </w:rPr>
        <w:tab/>
      </w:r>
    </w:p>
    <w:p w14:paraId="72F16CDB">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2019年，胜利镇人民政府政府采购支出总额64.08万元，其中：政府采购货物支出41.78万元、政府采购工程支出0万元、政府采购服务支出22.30万元。主要用于政府购买办公设备、车辆维修、政府日常办公电脑购置、创国家卫生城城市广告费等。</w:t>
      </w:r>
    </w:p>
    <w:p w14:paraId="60F227C7">
      <w:pPr>
        <w:autoSpaceDE w:val="0"/>
        <w:autoSpaceDN w:val="0"/>
        <w:adjustRightInd w:val="0"/>
        <w:ind w:firstLine="643" w:firstLineChars="200"/>
        <w:jc w:val="left"/>
        <w:outlineLvl w:val="2"/>
        <w:rPr>
          <w:rFonts w:hint="eastAsia" w:ascii="楷体" w:hAnsi="楷体" w:eastAsia="楷体"/>
          <w:b/>
          <w:color w:val="000000"/>
          <w:sz w:val="32"/>
          <w:szCs w:val="32"/>
        </w:rPr>
      </w:pPr>
      <w:bookmarkStart w:id="52" w:name="_Toc15377224"/>
      <w:r>
        <w:rPr>
          <w:rFonts w:hint="eastAsia" w:ascii="楷体" w:hAnsi="楷体" w:eastAsia="楷体"/>
          <w:b/>
          <w:color w:val="000000"/>
          <w:sz w:val="32"/>
          <w:szCs w:val="32"/>
        </w:rPr>
        <w:t>（三）国有资产占有使用情况</w:t>
      </w:r>
      <w:bookmarkEnd w:id="52"/>
    </w:p>
    <w:p w14:paraId="0F77D47F">
      <w:pPr>
        <w:autoSpaceDE w:val="0"/>
        <w:autoSpaceDN w:val="0"/>
        <w:adjustRightInd w:val="0"/>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截至2019年12月31日，本单位共有车辆3辆，其中：省部级领导干部用车0辆、一般公务用车3辆；单价50万元以上通用设备0台（套），单价100万元以上专用设备0台（套）。</w:t>
      </w:r>
    </w:p>
    <w:p w14:paraId="7670FF5B">
      <w:pPr>
        <w:autoSpaceDE w:val="0"/>
        <w:autoSpaceDN w:val="0"/>
        <w:adjustRightInd w:val="0"/>
        <w:ind w:firstLine="643" w:firstLineChars="200"/>
        <w:jc w:val="left"/>
        <w:outlineLvl w:val="2"/>
        <w:rPr>
          <w:rFonts w:hint="eastAsia" w:ascii="楷体" w:hAnsi="楷体" w:eastAsia="楷体"/>
          <w:b/>
          <w:color w:val="000000"/>
          <w:sz w:val="32"/>
          <w:szCs w:val="32"/>
        </w:rPr>
      </w:pPr>
      <w:r>
        <w:rPr>
          <w:rFonts w:hint="eastAsia" w:ascii="楷体" w:hAnsi="楷体" w:eastAsia="楷体"/>
          <w:b/>
          <w:color w:val="000000"/>
          <w:sz w:val="32"/>
          <w:szCs w:val="32"/>
        </w:rPr>
        <w:t>（四）预算绩效管理情况。</w:t>
      </w:r>
    </w:p>
    <w:p w14:paraId="1C2830E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根据预算绩效管理要求，本单位在年初预算编制阶段，组织对20个项目（项目名称）开展了预算事前绩效评估，对20个项目编制了绩效目标，预算执行过程中，选取 5个项目开展绩效监控。</w:t>
      </w:r>
    </w:p>
    <w:p w14:paraId="2B63D5B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本单位按要求对2019年部门整体支出开展绩效自评，从评价情况来看我单位基本做到资金专项专用、项目支出资金拨付到位、资金分配合理，但还存在绩效监控制度不够完善、项目绩效评流程不够完善等问题。</w:t>
      </w:r>
    </w:p>
    <w:p w14:paraId="7A6FC0C4">
      <w:pPr>
        <w:ind w:firstLine="640" w:firstLineChars="200"/>
        <w:rPr>
          <w:rFonts w:hint="eastAsia" w:ascii="仿宋_GB2312" w:hAnsi="仿宋_GB2312" w:eastAsia="仿宋_GB2312" w:cs="仿宋_GB2312"/>
          <w:sz w:val="32"/>
          <w:szCs w:val="32"/>
        </w:rPr>
      </w:pPr>
      <w:r>
        <w:rPr>
          <w:rFonts w:hint="eastAsia" w:ascii="仿宋_GB2312" w:hAnsi="楷体_GB2312" w:eastAsia="仿宋_GB2312" w:cs="楷体_GB2312"/>
          <w:sz w:val="32"/>
          <w:szCs w:val="32"/>
        </w:rPr>
        <w:t>1.项目绩效目标完成情况。</w:t>
      </w:r>
      <w:r>
        <w:rPr>
          <w:rFonts w:hint="eastAsia" w:ascii="仿宋_GB2312" w:hAnsi="楷体_GB2312" w:eastAsia="仿宋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  东部新区治安巡逻经费  ”、“集镇公共设施运行维护”、“ 纾难解困经费”、“</w:t>
      </w:r>
      <w:r>
        <w:rPr>
          <w:rFonts w:hint="eastAsia" w:ascii="仿宋_GB2312" w:eastAsia="仿宋_GB2312"/>
          <w:sz w:val="32"/>
          <w:szCs w:val="32"/>
        </w:rPr>
        <w:t xml:space="preserve"> </w:t>
      </w:r>
      <w:r>
        <w:rPr>
          <w:rFonts w:hint="eastAsia" w:ascii="仿宋_GB2312" w:hAnsi="仿宋_GB2312" w:eastAsia="仿宋_GB2312" w:cs="仿宋_GB2312"/>
          <w:sz w:val="32"/>
          <w:szCs w:val="32"/>
        </w:rPr>
        <w:t>食品药品监管站工作经费”、“ 武装工作经费”等5个项目绩效目标实际完成情况。</w:t>
      </w:r>
    </w:p>
    <w:p w14:paraId="1DF0C06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东部新区治安巡逻经费项目绩效目标完成情况综述。项目全年预算数20万元，执行数为20万元，完成预算的100%。通过项目实施，对东部新片区人中集中、案件易发、城郊结合、偏僻隐蔽的街道重点区域进行巡查，给广大市民提供良好安全的工作、生活环境。</w:t>
      </w:r>
    </w:p>
    <w:p w14:paraId="6C7521F7">
      <w:pPr>
        <w:adjustRightInd w:val="0"/>
        <w:snapToGrid w:val="0"/>
        <w:spacing w:line="560" w:lineRule="exact"/>
        <w:ind w:firstLine="640" w:firstLineChars="200"/>
        <w:rPr>
          <w:rFonts w:hint="eastAsia" w:ascii="仿宋_GB2312" w:hAnsi="宋体" w:eastAsia="仿宋_GB2312"/>
          <w:sz w:val="32"/>
          <w:szCs w:val="32"/>
          <w:lang w:val="zh-CN"/>
        </w:rPr>
      </w:pPr>
      <w:r>
        <w:rPr>
          <w:rFonts w:hint="eastAsia" w:ascii="仿宋_GB2312" w:hAnsi="仿宋_GB2312" w:eastAsia="仿宋_GB2312" w:cs="仿宋_GB2312"/>
          <w:sz w:val="32"/>
          <w:szCs w:val="32"/>
        </w:rPr>
        <w:t>（2）集镇公共设施运维经费项目绩效目标完成情况综述。目全年预算数15万元，执行数为15万元，完成预算的100%。通过项目实施，</w:t>
      </w:r>
      <w:r>
        <w:rPr>
          <w:rFonts w:hint="eastAsia" w:ascii="仿宋_GB2312" w:hAnsi="宋体" w:eastAsia="仿宋_GB2312"/>
          <w:sz w:val="32"/>
          <w:szCs w:val="32"/>
          <w:lang w:val="zh-CN"/>
        </w:rPr>
        <w:t>规范集镇农贸市场以及群众生活生产的相关事项，如及时对损坏的集镇公共设施进行维修、更换，维护集镇秩序，清理集镇垃圾等，最终为群众营造良好的生活、生产环境。</w:t>
      </w:r>
    </w:p>
    <w:p w14:paraId="45683740">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仿宋_GB2312" w:eastAsia="仿宋_GB2312" w:cs="仿宋_GB2312"/>
          <w:sz w:val="32"/>
          <w:szCs w:val="32"/>
        </w:rPr>
        <w:t>（3）纾难解困专项经费项目绩效目标完成情况综述。项目全年预算数33万元，执行数为5.74万元，完成预算的17.4%。通过项目实施，</w:t>
      </w:r>
      <w:r>
        <w:rPr>
          <w:rFonts w:hint="eastAsia" w:ascii="仿宋_GB2312" w:hAnsi="宋体" w:eastAsia="仿宋_GB2312"/>
          <w:sz w:val="32"/>
          <w:szCs w:val="32"/>
        </w:rPr>
        <w:t>为解决群众最关心、最直接、最现实的问题，进一步提升群众的获得感、幸福感和满意度，设立纾难解困资金项目。</w:t>
      </w:r>
    </w:p>
    <w:p w14:paraId="4A659EF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（4）食品药品监管站工作经费项目绩效目标完成情况综述。项目全年预算数3万元，执行数为3万元，完成预算的100%。通过项目实施，防止食品安全事故的发生，切实保障人民群众舌尖上的安全。</w:t>
      </w:r>
    </w:p>
    <w:p w14:paraId="05CD527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（5）武装工作经费项目绩效目标完成情况综述。项目全年预算数0.5万元，执行数为0.5万元，完成预算的100 %。通过项目实施，做好征兵宣传，增强群众的主要参军意识，提高民兵综合素质。</w:t>
      </w:r>
    </w:p>
    <w:p w14:paraId="17BF8311">
      <w:pPr>
        <w:spacing w:line="580" w:lineRule="exact"/>
        <w:ind w:firstLine="640" w:firstLineChars="200"/>
        <w:rPr>
          <w:rFonts w:hint="eastAsia" w:ascii="仿宋_GB2312" w:hAnsi="仿宋_GB2312" w:eastAsia="仿宋_GB2312" w:cs="仿宋_GB2312"/>
          <w:sz w:val="32"/>
          <w:szCs w:val="32"/>
        </w:rPr>
      </w:pPr>
    </w:p>
    <w:p w14:paraId="44C63F9C">
      <w:pPr>
        <w:spacing w:line="580" w:lineRule="exact"/>
        <w:ind w:firstLine="640" w:firstLineChars="200"/>
        <w:rPr>
          <w:rFonts w:hint="eastAsia" w:ascii="仿宋_GB2312" w:hAnsi="仿宋_GB2312" w:eastAsia="仿宋_GB2312" w:cs="仿宋_GB2312"/>
          <w:sz w:val="32"/>
          <w:szCs w:val="32"/>
        </w:rPr>
      </w:pPr>
    </w:p>
    <w:p w14:paraId="6864F831">
      <w:pPr>
        <w:spacing w:line="580" w:lineRule="exact"/>
        <w:ind w:firstLine="640" w:firstLineChars="200"/>
        <w:rPr>
          <w:rFonts w:hint="eastAsia" w:ascii="仿宋_GB2312" w:hAnsi="仿宋_GB2312" w:eastAsia="仿宋_GB2312" w:cs="仿宋_GB2312"/>
          <w:sz w:val="32"/>
          <w:szCs w:val="32"/>
        </w:rPr>
      </w:pPr>
    </w:p>
    <w:p w14:paraId="5185BEE3">
      <w:pPr>
        <w:spacing w:line="580" w:lineRule="exact"/>
        <w:ind w:firstLine="640" w:firstLineChars="200"/>
        <w:rPr>
          <w:rFonts w:hint="eastAsia" w:ascii="仿宋_GB2312" w:hAnsi="仿宋_GB2312" w:eastAsia="仿宋_GB2312" w:cs="仿宋_GB2312"/>
          <w:sz w:val="32"/>
          <w:szCs w:val="32"/>
        </w:rPr>
      </w:pPr>
    </w:p>
    <w:p w14:paraId="4A01165D">
      <w:pPr>
        <w:spacing w:line="580" w:lineRule="exact"/>
        <w:ind w:firstLine="640" w:firstLineChars="200"/>
        <w:rPr>
          <w:rFonts w:hint="eastAsia" w:ascii="仿宋_GB2312" w:hAnsi="仿宋_GB2312" w:eastAsia="仿宋_GB2312" w:cs="仿宋_GB2312"/>
          <w:sz w:val="32"/>
          <w:szCs w:val="32"/>
        </w:rPr>
      </w:pPr>
    </w:p>
    <w:p w14:paraId="056B3A79">
      <w:pPr>
        <w:spacing w:line="580" w:lineRule="exact"/>
        <w:ind w:firstLine="640" w:firstLineChars="200"/>
        <w:rPr>
          <w:rFonts w:ascii="仿宋_GB2312" w:hAnsi="仿宋_GB2312" w:eastAsia="仿宋_GB2312" w:cs="仿宋_GB2312"/>
          <w:sz w:val="32"/>
          <w:szCs w:val="32"/>
        </w:rPr>
      </w:pPr>
    </w:p>
    <w:p w14:paraId="30E6FF66">
      <w:pPr>
        <w:spacing w:line="580" w:lineRule="exact"/>
        <w:ind w:firstLine="640" w:firstLineChars="200"/>
        <w:rPr>
          <w:rFonts w:ascii="仿宋_GB2312" w:hAnsi="仿宋_GB2312" w:eastAsia="仿宋_GB2312" w:cs="仿宋_GB2312"/>
          <w:sz w:val="32"/>
          <w:szCs w:val="32"/>
        </w:rPr>
      </w:pPr>
    </w:p>
    <w:p w14:paraId="3E55582D">
      <w:pPr>
        <w:spacing w:line="580" w:lineRule="exact"/>
        <w:ind w:firstLine="640" w:firstLineChars="200"/>
        <w:rPr>
          <w:rFonts w:ascii="仿宋_GB2312" w:hAnsi="仿宋_GB2312" w:eastAsia="仿宋_GB2312" w:cs="仿宋_GB2312"/>
          <w:sz w:val="32"/>
          <w:szCs w:val="32"/>
        </w:rPr>
      </w:pPr>
    </w:p>
    <w:p w14:paraId="575A9B03">
      <w:pPr>
        <w:spacing w:line="580" w:lineRule="exact"/>
        <w:ind w:firstLine="640" w:firstLineChars="200"/>
        <w:rPr>
          <w:rFonts w:ascii="仿宋_GB2312" w:hAnsi="仿宋_GB2312" w:eastAsia="仿宋_GB2312" w:cs="仿宋_GB2312"/>
          <w:sz w:val="32"/>
          <w:szCs w:val="32"/>
        </w:rPr>
      </w:pPr>
    </w:p>
    <w:p w14:paraId="5CF13D0B">
      <w:pPr>
        <w:spacing w:line="580" w:lineRule="exact"/>
        <w:ind w:firstLine="640" w:firstLineChars="200"/>
        <w:rPr>
          <w:rFonts w:ascii="仿宋_GB2312" w:hAnsi="仿宋_GB2312" w:eastAsia="仿宋_GB2312" w:cs="仿宋_GB2312"/>
          <w:sz w:val="32"/>
          <w:szCs w:val="32"/>
        </w:rPr>
      </w:pPr>
    </w:p>
    <w:p w14:paraId="2F0688E0">
      <w:pPr>
        <w:spacing w:line="580" w:lineRule="exact"/>
        <w:ind w:firstLine="640" w:firstLineChars="200"/>
        <w:rPr>
          <w:rFonts w:ascii="仿宋_GB2312" w:hAnsi="仿宋_GB2312" w:eastAsia="仿宋_GB2312" w:cs="仿宋_GB2312"/>
          <w:sz w:val="32"/>
          <w:szCs w:val="32"/>
        </w:rPr>
      </w:pPr>
    </w:p>
    <w:p w14:paraId="550FCF9E">
      <w:pPr>
        <w:spacing w:line="580" w:lineRule="exact"/>
        <w:ind w:firstLine="640" w:firstLineChars="200"/>
        <w:rPr>
          <w:rFonts w:ascii="仿宋_GB2312" w:hAnsi="仿宋_GB2312" w:eastAsia="仿宋_GB2312" w:cs="仿宋_GB2312"/>
          <w:sz w:val="32"/>
          <w:szCs w:val="32"/>
        </w:rPr>
      </w:pPr>
    </w:p>
    <w:p w14:paraId="15DC6E94">
      <w:pPr>
        <w:spacing w:line="580" w:lineRule="exact"/>
        <w:ind w:firstLine="640" w:firstLineChars="200"/>
        <w:rPr>
          <w:rFonts w:ascii="仿宋_GB2312" w:hAnsi="仿宋_GB2312" w:eastAsia="仿宋_GB2312" w:cs="仿宋_GB2312"/>
          <w:sz w:val="32"/>
          <w:szCs w:val="32"/>
        </w:rPr>
      </w:pPr>
    </w:p>
    <w:p w14:paraId="636A8716">
      <w:pPr>
        <w:spacing w:line="580" w:lineRule="exact"/>
        <w:ind w:firstLine="640" w:firstLineChars="200"/>
        <w:rPr>
          <w:rFonts w:ascii="仿宋_GB2312" w:hAnsi="仿宋_GB2312" w:eastAsia="仿宋_GB2312" w:cs="仿宋_GB2312"/>
          <w:sz w:val="32"/>
          <w:szCs w:val="32"/>
        </w:rPr>
      </w:pPr>
    </w:p>
    <w:p w14:paraId="151C7AFD">
      <w:pPr>
        <w:spacing w:line="580" w:lineRule="exact"/>
        <w:ind w:firstLine="640" w:firstLineChars="200"/>
        <w:rPr>
          <w:rFonts w:ascii="仿宋_GB2312" w:hAnsi="仿宋_GB2312" w:eastAsia="仿宋_GB2312" w:cs="仿宋_GB2312"/>
          <w:sz w:val="32"/>
          <w:szCs w:val="32"/>
        </w:rPr>
      </w:pPr>
    </w:p>
    <w:tbl>
      <w:tblPr>
        <w:tblStyle w:val="13"/>
        <w:tblpPr w:leftFromText="180" w:rightFromText="180" w:vertAnchor="text" w:horzAnchor="margin" w:tblpXSpec="center" w:tblpY="541"/>
        <w:tblOverlap w:val="never"/>
        <w:tblW w:w="9960" w:type="dxa"/>
        <w:tblInd w:w="0" w:type="dxa"/>
        <w:tblLayout w:type="fixed"/>
        <w:tblCellMar>
          <w:top w:w="0" w:type="dxa"/>
          <w:left w:w="0" w:type="dxa"/>
          <w:bottom w:w="0" w:type="dxa"/>
          <w:right w:w="0" w:type="dxa"/>
        </w:tblCellMar>
      </w:tblPr>
      <w:tblGrid>
        <w:gridCol w:w="582"/>
        <w:gridCol w:w="1175"/>
        <w:gridCol w:w="1025"/>
        <w:gridCol w:w="2392"/>
        <w:gridCol w:w="2394"/>
        <w:gridCol w:w="2392"/>
      </w:tblGrid>
      <w:tr w14:paraId="4013A76E">
        <w:tblPrEx>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14:paraId="22CF336D">
            <w:pPr>
              <w:widowControl/>
              <w:jc w:val="center"/>
              <w:textAlignment w:val="center"/>
              <w:rPr>
                <w:rFonts w:ascii="黑体" w:hAnsi="黑体" w:eastAsia="黑体" w:cs="宋体"/>
                <w:color w:val="000000"/>
                <w:sz w:val="32"/>
                <w:szCs w:val="32"/>
              </w:rPr>
            </w:pPr>
            <w:r>
              <w:rPr>
                <w:rFonts w:hint="eastAsia" w:ascii="黑体" w:hAnsi="黑体" w:eastAsia="黑体" w:cs="宋体"/>
                <w:b/>
                <w:bCs/>
                <w:color w:val="000000"/>
                <w:kern w:val="0"/>
                <w:sz w:val="32"/>
                <w:szCs w:val="32"/>
              </w:rPr>
              <w:t>项目绩效目标完成情况表</w:t>
            </w:r>
            <w:r>
              <w:rPr>
                <w:rFonts w:ascii="黑体" w:hAnsi="黑体" w:eastAsia="黑体" w:cs="宋体"/>
                <w:b/>
                <w:bCs/>
                <w:color w:val="000000"/>
                <w:kern w:val="0"/>
                <w:sz w:val="32"/>
                <w:szCs w:val="32"/>
              </w:rPr>
              <w:br w:type="textWrapping"/>
            </w:r>
            <w:r>
              <w:rPr>
                <w:rFonts w:ascii="黑体" w:hAnsi="黑体" w:eastAsia="黑体" w:cs="宋体"/>
                <w:color w:val="000000"/>
                <w:kern w:val="0"/>
                <w:sz w:val="32"/>
                <w:szCs w:val="32"/>
              </w:rPr>
              <w:t xml:space="preserve">(2019 </w:t>
            </w:r>
            <w:r>
              <w:rPr>
                <w:rFonts w:hint="eastAsia" w:ascii="黑体" w:hAnsi="黑体" w:eastAsia="黑体" w:cs="宋体"/>
                <w:color w:val="000000"/>
                <w:kern w:val="0"/>
                <w:sz w:val="32"/>
                <w:szCs w:val="32"/>
              </w:rPr>
              <w:t>年度</w:t>
            </w:r>
            <w:r>
              <w:rPr>
                <w:rFonts w:ascii="黑体" w:hAnsi="黑体" w:eastAsia="黑体" w:cs="宋体"/>
                <w:color w:val="000000"/>
                <w:kern w:val="0"/>
                <w:sz w:val="32"/>
                <w:szCs w:val="32"/>
              </w:rPr>
              <w:t>)</w:t>
            </w:r>
          </w:p>
        </w:tc>
      </w:tr>
      <w:tr w14:paraId="5350C8F9">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70CE00">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2A4F28">
            <w:pPr>
              <w:widowControl/>
              <w:jc w:val="center"/>
              <w:textAlignment w:val="center"/>
              <w:rPr>
                <w:rFonts w:ascii="宋体" w:cs="宋体"/>
                <w:color w:val="000000"/>
                <w:sz w:val="24"/>
              </w:rPr>
            </w:pPr>
            <w:r>
              <w:rPr>
                <w:rFonts w:hint="eastAsia" w:ascii="仿宋_GB2312" w:hAnsi="仿宋_GB2312" w:eastAsia="仿宋_GB2312" w:cs="仿宋_GB2312"/>
                <w:sz w:val="32"/>
                <w:szCs w:val="32"/>
              </w:rPr>
              <w:t>东部新区治安巡逻经费</w:t>
            </w:r>
          </w:p>
        </w:tc>
      </w:tr>
      <w:tr w14:paraId="67FDFB2F">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61BE11">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07BE80">
            <w:pPr>
              <w:widowControl/>
              <w:jc w:val="center"/>
              <w:textAlignment w:val="center"/>
              <w:rPr>
                <w:rFonts w:ascii="宋体" w:cs="宋体"/>
                <w:color w:val="000000"/>
                <w:sz w:val="24"/>
              </w:rPr>
            </w:pPr>
            <w:r>
              <w:rPr>
                <w:rFonts w:hint="eastAsia" w:ascii="宋体" w:cs="宋体"/>
                <w:color w:val="000000"/>
                <w:sz w:val="24"/>
              </w:rPr>
              <w:t>峨眉山市胜利镇人民政府</w:t>
            </w:r>
          </w:p>
        </w:tc>
      </w:tr>
      <w:tr w14:paraId="205ED598">
        <w:tblPrEx>
          <w:tblCellMar>
            <w:top w:w="0" w:type="dxa"/>
            <w:left w:w="0" w:type="dxa"/>
            <w:bottom w:w="0" w:type="dxa"/>
            <w:right w:w="0" w:type="dxa"/>
          </w:tblCellMar>
        </w:tblPrEx>
        <w:trPr>
          <w:trHeight w:val="276" w:hRule="atLeast"/>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6D0BF">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06156">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8EF6D">
            <w:pPr>
              <w:widowControl/>
              <w:jc w:val="center"/>
              <w:textAlignment w:val="center"/>
              <w:rPr>
                <w:rFonts w:ascii="宋体" w:cs="宋体"/>
                <w:color w:val="000000"/>
                <w:sz w:val="24"/>
              </w:rPr>
            </w:pPr>
            <w:r>
              <w:rPr>
                <w:rFonts w:ascii="宋体" w:cs="宋体"/>
                <w:color w:val="000000"/>
                <w:sz w:val="24"/>
              </w:rPr>
              <w:t>20</w:t>
            </w:r>
            <w:r>
              <w:rPr>
                <w:rFonts w:hint="eastAsia" w:asci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906A79">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FECDC">
            <w:pPr>
              <w:widowControl/>
              <w:jc w:val="center"/>
              <w:textAlignment w:val="center"/>
              <w:rPr>
                <w:rFonts w:ascii="宋体" w:cs="宋体"/>
                <w:color w:val="000000"/>
                <w:sz w:val="24"/>
              </w:rPr>
            </w:pPr>
            <w:r>
              <w:rPr>
                <w:rFonts w:ascii="宋体" w:cs="宋体"/>
                <w:color w:val="000000"/>
                <w:sz w:val="24"/>
              </w:rPr>
              <w:t>20</w:t>
            </w:r>
            <w:r>
              <w:rPr>
                <w:rFonts w:hint="eastAsia" w:ascii="宋体" w:cs="宋体"/>
                <w:color w:val="000000"/>
                <w:sz w:val="24"/>
              </w:rPr>
              <w:t>万元</w:t>
            </w:r>
          </w:p>
        </w:tc>
      </w:tr>
      <w:tr w14:paraId="0DF2ECBE">
        <w:tblPrEx>
          <w:tblCellMar>
            <w:top w:w="0" w:type="dxa"/>
            <w:left w:w="0" w:type="dxa"/>
            <w:bottom w:w="0" w:type="dxa"/>
            <w:right w:w="0" w:type="dxa"/>
          </w:tblCellMar>
        </w:tblPrEx>
        <w:trPr>
          <w:trHeight w:val="276" w:hRule="atLeast"/>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07032B">
            <w:pPr>
              <w:jc w:val="center"/>
              <w:rPr>
                <w:rFonts w:ascii="宋体" w:cs="宋体"/>
                <w:color w:val="000000"/>
                <w:sz w:val="24"/>
              </w:rPr>
            </w:pP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299E1">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E8251">
            <w:pPr>
              <w:widowControl/>
              <w:jc w:val="center"/>
              <w:textAlignment w:val="center"/>
              <w:rPr>
                <w:rFonts w:ascii="宋体" w:cs="宋体"/>
                <w:color w:val="000000"/>
                <w:sz w:val="24"/>
              </w:rPr>
            </w:pPr>
            <w:r>
              <w:rPr>
                <w:rFonts w:ascii="宋体" w:cs="宋体"/>
                <w:color w:val="000000"/>
                <w:sz w:val="24"/>
              </w:rPr>
              <w:t>20</w:t>
            </w:r>
            <w:r>
              <w:rPr>
                <w:rFonts w:hint="eastAsia" w:asci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524F8">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8B49D6">
            <w:pPr>
              <w:widowControl/>
              <w:jc w:val="center"/>
              <w:textAlignment w:val="center"/>
              <w:rPr>
                <w:rFonts w:ascii="宋体" w:cs="宋体"/>
                <w:color w:val="000000"/>
                <w:sz w:val="24"/>
              </w:rPr>
            </w:pPr>
            <w:r>
              <w:rPr>
                <w:rFonts w:ascii="宋体" w:cs="宋体"/>
                <w:color w:val="000000"/>
                <w:sz w:val="24"/>
              </w:rPr>
              <w:t>20</w:t>
            </w:r>
            <w:r>
              <w:rPr>
                <w:rFonts w:hint="eastAsia" w:ascii="宋体" w:cs="宋体"/>
                <w:color w:val="000000"/>
                <w:sz w:val="24"/>
              </w:rPr>
              <w:t>万元</w:t>
            </w:r>
          </w:p>
        </w:tc>
      </w:tr>
      <w:tr w14:paraId="2D259231">
        <w:tblPrEx>
          <w:tblCellMar>
            <w:top w:w="0" w:type="dxa"/>
            <w:left w:w="0" w:type="dxa"/>
            <w:bottom w:w="0" w:type="dxa"/>
            <w:right w:w="0" w:type="dxa"/>
          </w:tblCellMar>
        </w:tblPrEx>
        <w:trPr>
          <w:trHeight w:val="1511" w:hRule="atLeast"/>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CE6D69">
            <w:pPr>
              <w:jc w:val="center"/>
              <w:rPr>
                <w:rFonts w:ascii="宋体" w:cs="宋体"/>
                <w:color w:val="000000"/>
                <w:sz w:val="24"/>
              </w:rPr>
            </w:pP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16F06A">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D577EC">
            <w:pPr>
              <w:widowControl/>
              <w:jc w:val="center"/>
              <w:textAlignment w:val="center"/>
              <w:rPr>
                <w:rFonts w:ascii="宋体" w:cs="宋体"/>
                <w:color w:val="000000"/>
                <w:sz w:val="24"/>
              </w:rPr>
            </w:pPr>
            <w:r>
              <w:rPr>
                <w:rFonts w:asci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D1C51C">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6BEE9">
            <w:pPr>
              <w:jc w:val="center"/>
              <w:rPr>
                <w:rFonts w:ascii="宋体" w:cs="宋体"/>
                <w:color w:val="000000"/>
                <w:sz w:val="24"/>
              </w:rPr>
            </w:pPr>
            <w:r>
              <w:rPr>
                <w:rFonts w:ascii="宋体" w:cs="宋体"/>
                <w:color w:val="000000"/>
                <w:sz w:val="24"/>
              </w:rPr>
              <w:t>0</w:t>
            </w:r>
          </w:p>
        </w:tc>
      </w:tr>
      <w:tr w14:paraId="393E1296">
        <w:tblPrEx>
          <w:tblCellMar>
            <w:top w:w="0" w:type="dxa"/>
            <w:left w:w="0" w:type="dxa"/>
            <w:bottom w:w="0" w:type="dxa"/>
            <w:right w:w="0" w:type="dxa"/>
          </w:tblCellMar>
        </w:tblPrEx>
        <w:trPr>
          <w:trHeight w:val="276" w:hRule="atLeast"/>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224668">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5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50ED35">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C5C8ED">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14:paraId="41CB7DA0">
        <w:tblPrEx>
          <w:tblCellMar>
            <w:top w:w="0" w:type="dxa"/>
            <w:left w:w="0" w:type="dxa"/>
            <w:bottom w:w="0" w:type="dxa"/>
            <w:right w:w="0" w:type="dxa"/>
          </w:tblCellMar>
        </w:tblPrEx>
        <w:trPr>
          <w:trHeight w:val="1843" w:hRule="atLeast"/>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9D4E1">
            <w:pPr>
              <w:jc w:val="center"/>
              <w:rPr>
                <w:rFonts w:ascii="宋体" w:cs="宋体"/>
                <w:color w:val="000000"/>
                <w:sz w:val="24"/>
              </w:rPr>
            </w:pPr>
          </w:p>
        </w:tc>
        <w:tc>
          <w:tcPr>
            <w:tcW w:w="45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419882">
            <w:pPr>
              <w:widowControl/>
              <w:jc w:val="center"/>
              <w:textAlignment w:val="center"/>
              <w:rPr>
                <w:rFonts w:ascii="宋体" w:cs="宋体"/>
                <w:color w:val="000000"/>
                <w:sz w:val="24"/>
              </w:rPr>
            </w:pPr>
            <w:r>
              <w:rPr>
                <w:rFonts w:hint="eastAsia" w:ascii="宋体" w:cs="宋体"/>
                <w:color w:val="000000"/>
                <w:sz w:val="24"/>
              </w:rPr>
              <w:t>保障全镇社区治安维护，保障人民群众利益。</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400C1">
            <w:pPr>
              <w:widowControl/>
              <w:jc w:val="center"/>
              <w:textAlignment w:val="center"/>
              <w:rPr>
                <w:rFonts w:ascii="宋体" w:cs="宋体"/>
                <w:color w:val="000000"/>
                <w:sz w:val="24"/>
              </w:rPr>
            </w:pPr>
            <w:r>
              <w:rPr>
                <w:rFonts w:hint="eastAsia" w:ascii="宋体" w:cs="宋体"/>
                <w:color w:val="000000"/>
                <w:sz w:val="24"/>
              </w:rPr>
              <w:t>保障全镇社区治安维护，保障人民群众利益。</w:t>
            </w:r>
          </w:p>
        </w:tc>
      </w:tr>
      <w:tr w14:paraId="332507F9">
        <w:tblPrEx>
          <w:tblCellMar>
            <w:top w:w="0" w:type="dxa"/>
            <w:left w:w="0" w:type="dxa"/>
            <w:bottom w:w="0" w:type="dxa"/>
            <w:right w:w="0" w:type="dxa"/>
          </w:tblCellMar>
        </w:tblPrEx>
        <w:trPr>
          <w:trHeight w:val="1567" w:hRule="atLeast"/>
        </w:trPr>
        <w:tc>
          <w:tcPr>
            <w:tcW w:w="58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6E99DDB">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01F0AA">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1204F3">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F288EC">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49719C">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062AFC">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14:paraId="45027F36">
        <w:tblPrEx>
          <w:tblCellMar>
            <w:top w:w="0" w:type="dxa"/>
            <w:left w:w="0" w:type="dxa"/>
            <w:bottom w:w="0" w:type="dxa"/>
            <w:right w:w="0" w:type="dxa"/>
          </w:tblCellMar>
        </w:tblPrEx>
        <w:trPr>
          <w:trHeight w:val="2346" w:hRule="atLeast"/>
        </w:trPr>
        <w:tc>
          <w:tcPr>
            <w:tcW w:w="582" w:type="dxa"/>
            <w:vMerge w:val="continue"/>
            <w:tcBorders>
              <w:left w:val="single" w:color="000000" w:sz="4" w:space="0"/>
              <w:right w:val="single" w:color="000000" w:sz="4" w:space="0"/>
            </w:tcBorders>
            <w:tcMar>
              <w:top w:w="15" w:type="dxa"/>
              <w:left w:w="15" w:type="dxa"/>
              <w:right w:w="15" w:type="dxa"/>
            </w:tcMar>
            <w:vAlign w:val="center"/>
          </w:tcPr>
          <w:p w14:paraId="49B8D072">
            <w:pPr>
              <w:widowControl/>
              <w:jc w:val="center"/>
              <w:textAlignment w:val="center"/>
              <w:rPr>
                <w:rFonts w:ascii="宋体" w:cs="宋体"/>
                <w:color w:val="000000"/>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37BB9F">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5E5A1">
            <w:pPr>
              <w:widowControl/>
              <w:jc w:val="center"/>
              <w:textAlignment w:val="center"/>
              <w:rPr>
                <w:rFonts w:ascii="宋体" w:cs="宋体"/>
                <w:color w:val="000000"/>
                <w:sz w:val="24"/>
              </w:rPr>
            </w:pPr>
            <w:r>
              <w:rPr>
                <w:rFonts w:hint="eastAsia" w:ascii="宋体" w:cs="宋体"/>
                <w:color w:val="000000"/>
                <w:sz w:val="24"/>
              </w:rPr>
              <w:t>项目效果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508B2">
            <w:pPr>
              <w:widowControl/>
              <w:jc w:val="center"/>
              <w:textAlignment w:val="center"/>
              <w:rPr>
                <w:rFonts w:ascii="宋体" w:cs="宋体"/>
                <w:color w:val="000000"/>
                <w:sz w:val="24"/>
              </w:rPr>
            </w:pPr>
            <w:r>
              <w:rPr>
                <w:rFonts w:hint="eastAsia" w:ascii="宋体" w:cs="宋体"/>
                <w:color w:val="000000"/>
                <w:sz w:val="24"/>
              </w:rPr>
              <w:t>开展治安巡逻</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1D2A5D">
            <w:pPr>
              <w:widowControl/>
              <w:textAlignment w:val="center"/>
              <w:rPr>
                <w:rFonts w:ascii="宋体" w:cs="宋体"/>
                <w:color w:val="000000"/>
                <w:sz w:val="24"/>
              </w:rPr>
            </w:pPr>
            <w:r>
              <w:rPr>
                <w:rFonts w:hint="eastAsia" w:ascii="宋体" w:cs="宋体"/>
                <w:color w:val="000000"/>
                <w:sz w:val="24"/>
              </w:rPr>
              <w:t>预计每月开展</w:t>
            </w:r>
            <w:r>
              <w:rPr>
                <w:rFonts w:ascii="宋体" w:cs="宋体"/>
                <w:color w:val="000000"/>
                <w:sz w:val="24"/>
              </w:rPr>
              <w:t>4</w:t>
            </w:r>
            <w:r>
              <w:rPr>
                <w:rFonts w:hint="eastAsia" w:ascii="宋体" w:cs="宋体"/>
                <w:color w:val="000000"/>
                <w:sz w:val="24"/>
              </w:rPr>
              <w:t>次集中巡逻，持续做好东部新区社会治安维护，保障人民安宁的生活环境。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2BD58">
            <w:pPr>
              <w:widowControl/>
              <w:jc w:val="center"/>
              <w:textAlignment w:val="center"/>
              <w:rPr>
                <w:rFonts w:ascii="宋体" w:cs="宋体"/>
                <w:color w:val="000000"/>
                <w:sz w:val="24"/>
              </w:rPr>
            </w:pPr>
            <w:r>
              <w:rPr>
                <w:rFonts w:hint="eastAsia" w:ascii="宋体" w:cs="宋体"/>
                <w:color w:val="000000"/>
                <w:sz w:val="24"/>
              </w:rPr>
              <w:t>每月开展</w:t>
            </w:r>
            <w:r>
              <w:rPr>
                <w:rFonts w:ascii="宋体" w:cs="宋体"/>
                <w:color w:val="000000"/>
                <w:sz w:val="24"/>
              </w:rPr>
              <w:t>4</w:t>
            </w:r>
            <w:r>
              <w:rPr>
                <w:rFonts w:hint="eastAsia" w:ascii="宋体" w:cs="宋体"/>
                <w:color w:val="000000"/>
                <w:sz w:val="24"/>
              </w:rPr>
              <w:t>次集中巡逻，持续做好东部新区社会治安维护，保障人民安宁的生活环境。</w:t>
            </w:r>
          </w:p>
        </w:tc>
      </w:tr>
      <w:tr w14:paraId="5CA81047">
        <w:tblPrEx>
          <w:tblCellMar>
            <w:top w:w="0" w:type="dxa"/>
            <w:left w:w="0" w:type="dxa"/>
            <w:bottom w:w="0" w:type="dxa"/>
            <w:right w:w="0" w:type="dxa"/>
          </w:tblCellMar>
        </w:tblPrEx>
        <w:trPr>
          <w:trHeight w:val="1814" w:hRule="atLeast"/>
        </w:trPr>
        <w:tc>
          <w:tcPr>
            <w:tcW w:w="58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8850347">
            <w:pPr>
              <w:widowControl/>
              <w:jc w:val="center"/>
              <w:textAlignment w:val="center"/>
              <w:rPr>
                <w:rFonts w:ascii="宋体" w:cs="宋体"/>
                <w:color w:val="000000"/>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9AA26D">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1B0481">
            <w:pPr>
              <w:widowControl/>
              <w:jc w:val="center"/>
              <w:textAlignment w:val="center"/>
              <w:rPr>
                <w:rFonts w:ascii="宋体" w:cs="宋体"/>
                <w:color w:val="000000"/>
                <w:sz w:val="24"/>
              </w:rPr>
            </w:pPr>
            <w:r>
              <w:rPr>
                <w:rFonts w:hint="eastAsia" w:asci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632BCA">
            <w:pPr>
              <w:widowControl/>
              <w:jc w:val="center"/>
              <w:textAlignment w:val="center"/>
              <w:rPr>
                <w:rFonts w:ascii="宋体" w:cs="宋体"/>
                <w:color w:val="000000"/>
                <w:sz w:val="24"/>
              </w:rPr>
            </w:pPr>
            <w:r>
              <w:rPr>
                <w:rFonts w:hint="eastAsia" w:ascii="宋体" w:cs="宋体"/>
                <w:color w:val="000000"/>
                <w:sz w:val="24"/>
              </w:rPr>
              <w:t>广大群众满意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98B5B">
            <w:pPr>
              <w:widowControl/>
              <w:jc w:val="center"/>
              <w:textAlignment w:val="center"/>
              <w:rPr>
                <w:rFonts w:ascii="宋体" w:cs="宋体"/>
                <w:color w:val="000000"/>
                <w:sz w:val="24"/>
              </w:rPr>
            </w:pPr>
            <w:r>
              <w:rPr>
                <w:rFonts w:hint="eastAsia" w:ascii="宋体" w:cs="宋体"/>
                <w:color w:val="000000"/>
                <w:sz w:val="24"/>
              </w:rPr>
              <w:t>预计满意度大于</w:t>
            </w:r>
            <w:r>
              <w:rPr>
                <w:rFonts w:asci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35A2DD">
            <w:pPr>
              <w:widowControl/>
              <w:jc w:val="center"/>
              <w:textAlignment w:val="center"/>
              <w:rPr>
                <w:rFonts w:ascii="宋体" w:cs="宋体"/>
                <w:color w:val="000000"/>
                <w:sz w:val="24"/>
              </w:rPr>
            </w:pPr>
            <w:r>
              <w:rPr>
                <w:rFonts w:hint="eastAsia" w:ascii="宋体" w:cs="宋体"/>
                <w:color w:val="000000"/>
                <w:sz w:val="24"/>
              </w:rPr>
              <w:t>满意度大于</w:t>
            </w:r>
            <w:r>
              <w:rPr>
                <w:rFonts w:ascii="宋体" w:cs="宋体"/>
                <w:color w:val="000000"/>
                <w:sz w:val="24"/>
              </w:rPr>
              <w:t>96%</w:t>
            </w:r>
          </w:p>
        </w:tc>
      </w:tr>
    </w:tbl>
    <w:p w14:paraId="63A8A1B0">
      <w:pPr>
        <w:spacing w:line="580" w:lineRule="exact"/>
        <w:rPr>
          <w:rFonts w:ascii="仿宋_GB2312" w:hAnsi="仿宋_GB2312" w:eastAsia="仿宋_GB2312" w:cs="仿宋_GB2312"/>
          <w:sz w:val="32"/>
          <w:szCs w:val="32"/>
        </w:rPr>
      </w:pPr>
    </w:p>
    <w:tbl>
      <w:tblPr>
        <w:tblStyle w:val="13"/>
        <w:tblpPr w:leftFromText="180" w:rightFromText="180" w:vertAnchor="text" w:horzAnchor="margin" w:tblpXSpec="center" w:tblpY="352"/>
        <w:tblOverlap w:val="never"/>
        <w:tblW w:w="9977" w:type="dxa"/>
        <w:tblInd w:w="0" w:type="dxa"/>
        <w:tblLayout w:type="fixed"/>
        <w:tblCellMar>
          <w:top w:w="0" w:type="dxa"/>
          <w:left w:w="0" w:type="dxa"/>
          <w:bottom w:w="0" w:type="dxa"/>
          <w:right w:w="0" w:type="dxa"/>
        </w:tblCellMar>
      </w:tblPr>
      <w:tblGrid>
        <w:gridCol w:w="582"/>
        <w:gridCol w:w="1178"/>
        <w:gridCol w:w="1027"/>
        <w:gridCol w:w="2396"/>
        <w:gridCol w:w="2398"/>
        <w:gridCol w:w="2396"/>
      </w:tblGrid>
      <w:tr w14:paraId="6F952122">
        <w:tblPrEx>
          <w:tblCellMar>
            <w:top w:w="0" w:type="dxa"/>
            <w:left w:w="0" w:type="dxa"/>
            <w:bottom w:w="0" w:type="dxa"/>
            <w:right w:w="0" w:type="dxa"/>
          </w:tblCellMar>
        </w:tblPrEx>
        <w:trPr>
          <w:trHeight w:val="1041" w:hRule="atLeast"/>
        </w:trPr>
        <w:tc>
          <w:tcPr>
            <w:tcW w:w="9977" w:type="dxa"/>
            <w:gridSpan w:val="6"/>
            <w:tcBorders>
              <w:top w:val="nil"/>
              <w:left w:val="nil"/>
              <w:bottom w:val="nil"/>
              <w:right w:val="nil"/>
            </w:tcBorders>
            <w:tcMar>
              <w:top w:w="15" w:type="dxa"/>
              <w:left w:w="15" w:type="dxa"/>
              <w:right w:w="15" w:type="dxa"/>
            </w:tcMar>
            <w:vAlign w:val="center"/>
          </w:tcPr>
          <w:p w14:paraId="678B30C4">
            <w:pPr>
              <w:widowControl/>
              <w:jc w:val="center"/>
              <w:textAlignment w:val="center"/>
              <w:rPr>
                <w:rFonts w:ascii="黑体" w:hAnsi="黑体" w:eastAsia="黑体" w:cs="宋体"/>
                <w:color w:val="000000"/>
                <w:sz w:val="36"/>
                <w:szCs w:val="36"/>
              </w:rPr>
            </w:pPr>
            <w:r>
              <w:rPr>
                <w:rFonts w:hint="eastAsia" w:ascii="黑体" w:hAnsi="黑体" w:eastAsia="黑体" w:cs="宋体"/>
                <w:b/>
                <w:bCs/>
                <w:color w:val="000000"/>
                <w:kern w:val="0"/>
                <w:sz w:val="32"/>
                <w:szCs w:val="32"/>
              </w:rPr>
              <w:t>项目绩效目标完成情况表</w:t>
            </w:r>
            <w:r>
              <w:rPr>
                <w:rFonts w:ascii="黑体" w:hAnsi="黑体" w:eastAsia="黑体" w:cs="宋体"/>
                <w:b/>
                <w:bCs/>
                <w:color w:val="000000"/>
                <w:kern w:val="0"/>
                <w:sz w:val="36"/>
                <w:szCs w:val="36"/>
              </w:rPr>
              <w:br w:type="textWrapping"/>
            </w:r>
            <w:r>
              <w:rPr>
                <w:rFonts w:hint="eastAsia" w:ascii="黑体" w:hAnsi="黑体" w:eastAsia="黑体" w:cs="宋体"/>
                <w:color w:val="000000"/>
                <w:kern w:val="0"/>
                <w:sz w:val="32"/>
                <w:szCs w:val="32"/>
              </w:rPr>
              <w:t>(2019 年度)</w:t>
            </w:r>
          </w:p>
        </w:tc>
      </w:tr>
      <w:tr w14:paraId="67B81CA8">
        <w:tblPrEx>
          <w:tblCellMar>
            <w:top w:w="0" w:type="dxa"/>
            <w:left w:w="0" w:type="dxa"/>
            <w:bottom w:w="0" w:type="dxa"/>
            <w:right w:w="0" w:type="dxa"/>
          </w:tblCellMar>
        </w:tblPrEx>
        <w:trPr>
          <w:trHeight w:val="278" w:hRule="atLeast"/>
        </w:trPr>
        <w:tc>
          <w:tcPr>
            <w:tcW w:w="27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498CA6">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35595">
            <w:pPr>
              <w:widowControl/>
              <w:jc w:val="center"/>
              <w:textAlignment w:val="center"/>
              <w:rPr>
                <w:rFonts w:ascii="宋体" w:cs="宋体"/>
                <w:color w:val="000000"/>
                <w:sz w:val="24"/>
              </w:rPr>
            </w:pPr>
            <w:r>
              <w:rPr>
                <w:rFonts w:hint="eastAsia" w:ascii="仿宋_GB2312" w:hAnsi="仿宋_GB2312" w:eastAsia="仿宋_GB2312" w:cs="仿宋_GB2312"/>
                <w:sz w:val="32"/>
                <w:szCs w:val="32"/>
              </w:rPr>
              <w:t>食品药品监管站工作经费</w:t>
            </w:r>
          </w:p>
        </w:tc>
      </w:tr>
      <w:tr w14:paraId="1A589F55">
        <w:tblPrEx>
          <w:tblCellMar>
            <w:top w:w="0" w:type="dxa"/>
            <w:left w:w="0" w:type="dxa"/>
            <w:bottom w:w="0" w:type="dxa"/>
            <w:right w:w="0" w:type="dxa"/>
          </w:tblCellMar>
        </w:tblPrEx>
        <w:trPr>
          <w:trHeight w:val="278" w:hRule="atLeast"/>
        </w:trPr>
        <w:tc>
          <w:tcPr>
            <w:tcW w:w="27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E4847B">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4014D8">
            <w:pPr>
              <w:widowControl/>
              <w:jc w:val="center"/>
              <w:textAlignment w:val="center"/>
              <w:rPr>
                <w:rFonts w:ascii="宋体" w:cs="宋体"/>
                <w:color w:val="000000"/>
                <w:sz w:val="24"/>
              </w:rPr>
            </w:pPr>
            <w:r>
              <w:rPr>
                <w:rFonts w:hint="eastAsia" w:ascii="宋体" w:cs="宋体"/>
                <w:color w:val="000000"/>
                <w:sz w:val="24"/>
              </w:rPr>
              <w:t>峨眉山市胜利镇人民政府</w:t>
            </w:r>
          </w:p>
        </w:tc>
      </w:tr>
      <w:tr w14:paraId="3EBF271C">
        <w:tblPrEx>
          <w:tblCellMar>
            <w:top w:w="0" w:type="dxa"/>
            <w:left w:w="0" w:type="dxa"/>
            <w:bottom w:w="0" w:type="dxa"/>
            <w:right w:w="0" w:type="dxa"/>
          </w:tblCellMar>
        </w:tblPrEx>
        <w:trPr>
          <w:trHeight w:val="278" w:hRule="atLeast"/>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117D2C">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2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D0DA3D">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3C8EB9">
            <w:pPr>
              <w:widowControl/>
              <w:jc w:val="center"/>
              <w:textAlignment w:val="center"/>
              <w:rPr>
                <w:rFonts w:ascii="宋体" w:cs="宋体"/>
                <w:color w:val="000000"/>
                <w:sz w:val="24"/>
              </w:rPr>
            </w:pPr>
            <w:r>
              <w:rPr>
                <w:rFonts w:ascii="宋体" w:cs="宋体"/>
                <w:color w:val="000000"/>
                <w:sz w:val="24"/>
              </w:rPr>
              <w:t>3</w:t>
            </w:r>
            <w:r>
              <w:rPr>
                <w:rFonts w:hint="eastAsia" w:ascii="宋体" w:cs="宋体"/>
                <w:color w:val="000000"/>
                <w:sz w:val="24"/>
              </w:rPr>
              <w:t>万元</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82D27A">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F64C9">
            <w:pPr>
              <w:widowControl/>
              <w:jc w:val="center"/>
              <w:textAlignment w:val="center"/>
              <w:rPr>
                <w:rFonts w:ascii="宋体" w:cs="宋体"/>
                <w:color w:val="000000"/>
                <w:sz w:val="24"/>
              </w:rPr>
            </w:pPr>
            <w:r>
              <w:rPr>
                <w:rFonts w:ascii="宋体" w:cs="宋体"/>
                <w:color w:val="000000"/>
                <w:sz w:val="24"/>
              </w:rPr>
              <w:t>3</w:t>
            </w:r>
            <w:r>
              <w:rPr>
                <w:rFonts w:hint="eastAsia" w:ascii="宋体" w:cs="宋体"/>
                <w:color w:val="000000"/>
                <w:sz w:val="24"/>
              </w:rPr>
              <w:t>万元</w:t>
            </w:r>
          </w:p>
        </w:tc>
      </w:tr>
      <w:tr w14:paraId="64482393">
        <w:tblPrEx>
          <w:tblCellMar>
            <w:top w:w="0" w:type="dxa"/>
            <w:left w:w="0" w:type="dxa"/>
            <w:bottom w:w="0" w:type="dxa"/>
            <w:right w:w="0" w:type="dxa"/>
          </w:tblCellMar>
        </w:tblPrEx>
        <w:trPr>
          <w:trHeight w:val="278" w:hRule="atLeast"/>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B3446A">
            <w:pPr>
              <w:jc w:val="center"/>
              <w:rPr>
                <w:rFonts w:ascii="宋体" w:cs="宋体"/>
                <w:color w:val="000000"/>
                <w:sz w:val="24"/>
              </w:rPr>
            </w:pPr>
          </w:p>
        </w:tc>
        <w:tc>
          <w:tcPr>
            <w:tcW w:w="22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76AE72">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93D5D0">
            <w:pPr>
              <w:widowControl/>
              <w:jc w:val="center"/>
              <w:textAlignment w:val="center"/>
              <w:rPr>
                <w:rFonts w:ascii="宋体" w:cs="宋体"/>
                <w:color w:val="000000"/>
                <w:sz w:val="24"/>
              </w:rPr>
            </w:pPr>
            <w:r>
              <w:rPr>
                <w:rFonts w:ascii="宋体" w:cs="宋体"/>
                <w:color w:val="000000"/>
                <w:sz w:val="24"/>
              </w:rPr>
              <w:t>3</w:t>
            </w:r>
            <w:r>
              <w:rPr>
                <w:rFonts w:hint="eastAsia" w:ascii="宋体" w:cs="宋体"/>
                <w:color w:val="000000"/>
                <w:sz w:val="24"/>
              </w:rPr>
              <w:t>万元</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67AF95">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95675">
            <w:pPr>
              <w:widowControl/>
              <w:jc w:val="center"/>
              <w:textAlignment w:val="center"/>
              <w:rPr>
                <w:rFonts w:ascii="宋体" w:cs="宋体"/>
                <w:color w:val="000000"/>
                <w:sz w:val="24"/>
              </w:rPr>
            </w:pPr>
            <w:r>
              <w:rPr>
                <w:rFonts w:ascii="宋体" w:cs="宋体"/>
                <w:color w:val="000000"/>
                <w:sz w:val="24"/>
              </w:rPr>
              <w:t>3</w:t>
            </w:r>
            <w:r>
              <w:rPr>
                <w:rFonts w:hint="eastAsia" w:ascii="宋体" w:cs="宋体"/>
                <w:color w:val="000000"/>
                <w:sz w:val="24"/>
              </w:rPr>
              <w:t>万元</w:t>
            </w:r>
          </w:p>
        </w:tc>
      </w:tr>
      <w:tr w14:paraId="5E11F277">
        <w:tblPrEx>
          <w:tblCellMar>
            <w:top w:w="0" w:type="dxa"/>
            <w:left w:w="0" w:type="dxa"/>
            <w:bottom w:w="0" w:type="dxa"/>
            <w:right w:w="0" w:type="dxa"/>
          </w:tblCellMar>
        </w:tblPrEx>
        <w:trPr>
          <w:trHeight w:val="1522" w:hRule="atLeast"/>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FD6733">
            <w:pPr>
              <w:jc w:val="center"/>
              <w:rPr>
                <w:rFonts w:ascii="宋体" w:cs="宋体"/>
                <w:color w:val="000000"/>
                <w:sz w:val="24"/>
              </w:rPr>
            </w:pPr>
          </w:p>
        </w:tc>
        <w:tc>
          <w:tcPr>
            <w:tcW w:w="22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2F5CC0">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49BA28">
            <w:pPr>
              <w:widowControl/>
              <w:jc w:val="center"/>
              <w:textAlignment w:val="center"/>
              <w:rPr>
                <w:rFonts w:ascii="宋体" w:cs="宋体"/>
                <w:color w:val="000000"/>
                <w:sz w:val="24"/>
              </w:rPr>
            </w:pPr>
            <w:r>
              <w:rPr>
                <w:rFonts w:ascii="宋体" w:cs="宋体"/>
                <w:color w:val="000000"/>
                <w:sz w:val="24"/>
              </w:rPr>
              <w:t>0</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CF52A3">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7ED09A">
            <w:pPr>
              <w:jc w:val="center"/>
              <w:rPr>
                <w:rFonts w:ascii="宋体" w:cs="宋体"/>
                <w:color w:val="000000"/>
                <w:sz w:val="24"/>
              </w:rPr>
            </w:pPr>
            <w:r>
              <w:rPr>
                <w:rFonts w:ascii="宋体" w:cs="宋体"/>
                <w:color w:val="000000"/>
                <w:sz w:val="24"/>
              </w:rPr>
              <w:t>0</w:t>
            </w:r>
          </w:p>
        </w:tc>
      </w:tr>
      <w:tr w14:paraId="7B26F50A">
        <w:tblPrEx>
          <w:tblCellMar>
            <w:top w:w="0" w:type="dxa"/>
            <w:left w:w="0" w:type="dxa"/>
            <w:bottom w:w="0" w:type="dxa"/>
            <w:right w:w="0" w:type="dxa"/>
          </w:tblCellMar>
        </w:tblPrEx>
        <w:trPr>
          <w:trHeight w:val="278" w:hRule="atLeast"/>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DEE02">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60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7C24F">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D72ED">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14:paraId="4E650BB9">
        <w:tblPrEx>
          <w:tblCellMar>
            <w:top w:w="0" w:type="dxa"/>
            <w:left w:w="0" w:type="dxa"/>
            <w:bottom w:w="0" w:type="dxa"/>
            <w:right w:w="0" w:type="dxa"/>
          </w:tblCellMar>
        </w:tblPrEx>
        <w:trPr>
          <w:trHeight w:val="1255" w:hRule="atLeast"/>
        </w:trPr>
        <w:tc>
          <w:tcPr>
            <w:tcW w:w="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6B2008">
            <w:pPr>
              <w:jc w:val="center"/>
              <w:rPr>
                <w:rFonts w:ascii="宋体" w:cs="宋体"/>
                <w:color w:val="000000"/>
                <w:sz w:val="24"/>
              </w:rPr>
            </w:pPr>
          </w:p>
        </w:tc>
        <w:tc>
          <w:tcPr>
            <w:tcW w:w="460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939D9">
            <w:pPr>
              <w:widowControl/>
              <w:textAlignment w:val="center"/>
              <w:rPr>
                <w:rFonts w:ascii="宋体" w:cs="宋体"/>
                <w:color w:val="000000"/>
                <w:sz w:val="24"/>
              </w:rPr>
            </w:pPr>
            <w:r>
              <w:rPr>
                <w:rFonts w:hint="eastAsia" w:ascii="宋体" w:cs="宋体"/>
                <w:color w:val="000000"/>
                <w:sz w:val="24"/>
              </w:rPr>
              <w:t>增强群众食品安全意识、确保不发生群众性食物中毒等事故发生。</w:t>
            </w:r>
          </w:p>
        </w:tc>
        <w:tc>
          <w:tcPr>
            <w:tcW w:w="47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73E278">
            <w:pPr>
              <w:widowControl/>
              <w:textAlignment w:val="center"/>
              <w:rPr>
                <w:rFonts w:ascii="宋体" w:cs="宋体"/>
                <w:color w:val="000000"/>
                <w:sz w:val="24"/>
              </w:rPr>
            </w:pPr>
            <w:r>
              <w:rPr>
                <w:rFonts w:hint="eastAsia" w:ascii="宋体" w:cs="宋体"/>
                <w:color w:val="000000"/>
                <w:sz w:val="24"/>
              </w:rPr>
              <w:t>增强群众食品安全意识、确保不发生群众性食物中毒等事故发生。</w:t>
            </w:r>
          </w:p>
        </w:tc>
      </w:tr>
      <w:tr w14:paraId="1939C288">
        <w:tblPrEx>
          <w:tblCellMar>
            <w:top w:w="0" w:type="dxa"/>
            <w:left w:w="0" w:type="dxa"/>
            <w:bottom w:w="0" w:type="dxa"/>
            <w:right w:w="0" w:type="dxa"/>
          </w:tblCellMar>
        </w:tblPrEx>
        <w:trPr>
          <w:trHeight w:val="1049" w:hRule="atLeast"/>
        </w:trPr>
        <w:tc>
          <w:tcPr>
            <w:tcW w:w="58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869561F">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1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EB8D05">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7D9054">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5822EA">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EDBB87">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B3CEBB">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14:paraId="12FA2436">
        <w:tblPrEx>
          <w:tblCellMar>
            <w:top w:w="0" w:type="dxa"/>
            <w:left w:w="0" w:type="dxa"/>
            <w:bottom w:w="0" w:type="dxa"/>
            <w:right w:w="0" w:type="dxa"/>
          </w:tblCellMar>
        </w:tblPrEx>
        <w:trPr>
          <w:trHeight w:val="1117" w:hRule="atLeast"/>
        </w:trPr>
        <w:tc>
          <w:tcPr>
            <w:tcW w:w="582" w:type="dxa"/>
            <w:vMerge w:val="continue"/>
            <w:tcBorders>
              <w:left w:val="single" w:color="000000" w:sz="4" w:space="0"/>
              <w:right w:val="single" w:color="000000" w:sz="4" w:space="0"/>
            </w:tcBorders>
            <w:tcMar>
              <w:top w:w="15" w:type="dxa"/>
              <w:left w:w="15" w:type="dxa"/>
              <w:right w:w="15" w:type="dxa"/>
            </w:tcMar>
            <w:vAlign w:val="center"/>
          </w:tcPr>
          <w:p w14:paraId="2C00BC6B">
            <w:pPr>
              <w:widowControl/>
              <w:jc w:val="center"/>
              <w:textAlignment w:val="center"/>
              <w:rPr>
                <w:rFonts w:ascii="宋体" w:cs="宋体"/>
                <w:color w:val="000000"/>
                <w:sz w:val="24"/>
              </w:rPr>
            </w:pPr>
          </w:p>
        </w:tc>
        <w:tc>
          <w:tcPr>
            <w:tcW w:w="11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DB29E">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925FE2">
            <w:pPr>
              <w:widowControl/>
              <w:jc w:val="center"/>
              <w:textAlignment w:val="center"/>
              <w:rPr>
                <w:rFonts w:ascii="宋体" w:cs="宋体"/>
                <w:color w:val="000000"/>
                <w:sz w:val="24"/>
              </w:rPr>
            </w:pPr>
            <w:r>
              <w:rPr>
                <w:rFonts w:hint="eastAsia" w:ascii="宋体" w:hAnsi="宋体" w:cs="宋体"/>
                <w:color w:val="000000"/>
                <w:kern w:val="0"/>
                <w:sz w:val="24"/>
              </w:rPr>
              <w:t>数量指标</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0FBC9">
            <w:pPr>
              <w:widowControl/>
              <w:textAlignment w:val="center"/>
              <w:rPr>
                <w:rFonts w:ascii="宋体" w:cs="宋体"/>
                <w:color w:val="000000"/>
                <w:sz w:val="24"/>
              </w:rPr>
            </w:pPr>
            <w:r>
              <w:rPr>
                <w:rFonts w:hint="eastAsia" w:ascii="宋体" w:cs="宋体"/>
                <w:color w:val="000000"/>
                <w:sz w:val="24"/>
              </w:rPr>
              <w:t>每季度召开一次食品安全培训教育，全年开展</w:t>
            </w:r>
            <w:r>
              <w:rPr>
                <w:rFonts w:ascii="宋体" w:cs="宋体"/>
                <w:color w:val="000000"/>
                <w:sz w:val="24"/>
              </w:rPr>
              <w:t>70</w:t>
            </w:r>
            <w:r>
              <w:rPr>
                <w:rFonts w:hint="eastAsia" w:ascii="宋体" w:cs="宋体"/>
                <w:color w:val="000000"/>
                <w:sz w:val="24"/>
              </w:rPr>
              <w:t>次食品安全检查</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664641">
            <w:pPr>
              <w:widowControl/>
              <w:textAlignment w:val="center"/>
              <w:rPr>
                <w:rFonts w:ascii="宋体" w:cs="宋体"/>
                <w:color w:val="000000"/>
                <w:sz w:val="24"/>
              </w:rPr>
            </w:pPr>
            <w:r>
              <w:rPr>
                <w:rFonts w:hint="eastAsia" w:ascii="宋体" w:cs="宋体"/>
                <w:color w:val="000000"/>
                <w:sz w:val="24"/>
              </w:rPr>
              <w:t>预计完成培训</w:t>
            </w:r>
            <w:r>
              <w:rPr>
                <w:rFonts w:ascii="宋体" w:cs="宋体"/>
                <w:color w:val="000000"/>
                <w:sz w:val="24"/>
              </w:rPr>
              <w:t>4</w:t>
            </w:r>
            <w:r>
              <w:rPr>
                <w:rFonts w:hint="eastAsia" w:ascii="宋体" w:cs="宋体"/>
                <w:color w:val="000000"/>
                <w:sz w:val="24"/>
              </w:rPr>
              <w:t>次，开展安全检查</w:t>
            </w:r>
            <w:r>
              <w:rPr>
                <w:rFonts w:ascii="宋体" w:cs="宋体"/>
                <w:color w:val="000000"/>
                <w:sz w:val="24"/>
              </w:rPr>
              <w:t>70</w:t>
            </w:r>
            <w:r>
              <w:rPr>
                <w:rFonts w:hint="eastAsia" w:ascii="宋体" w:cs="宋体"/>
                <w:color w:val="000000"/>
                <w:sz w:val="24"/>
              </w:rPr>
              <w:t>次。</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68D49F">
            <w:pPr>
              <w:widowControl/>
              <w:textAlignment w:val="center"/>
              <w:rPr>
                <w:rFonts w:ascii="宋体" w:cs="宋体"/>
                <w:color w:val="000000"/>
                <w:sz w:val="24"/>
              </w:rPr>
            </w:pPr>
            <w:r>
              <w:rPr>
                <w:rFonts w:hint="eastAsia" w:ascii="宋体" w:cs="宋体"/>
                <w:color w:val="000000"/>
                <w:sz w:val="24"/>
              </w:rPr>
              <w:t>完成培训</w:t>
            </w:r>
            <w:r>
              <w:rPr>
                <w:rFonts w:ascii="宋体" w:cs="宋体"/>
                <w:color w:val="000000"/>
                <w:sz w:val="24"/>
              </w:rPr>
              <w:t>4</w:t>
            </w:r>
            <w:r>
              <w:rPr>
                <w:rFonts w:hint="eastAsia" w:ascii="宋体" w:cs="宋体"/>
                <w:color w:val="000000"/>
                <w:sz w:val="24"/>
              </w:rPr>
              <w:t>次，开展安全检查</w:t>
            </w:r>
            <w:r>
              <w:rPr>
                <w:rFonts w:ascii="宋体" w:cs="宋体"/>
                <w:color w:val="000000"/>
                <w:sz w:val="24"/>
              </w:rPr>
              <w:t>70</w:t>
            </w:r>
            <w:r>
              <w:rPr>
                <w:rFonts w:hint="eastAsia" w:ascii="宋体" w:cs="宋体"/>
                <w:color w:val="000000"/>
                <w:sz w:val="24"/>
              </w:rPr>
              <w:t>次。</w:t>
            </w:r>
          </w:p>
        </w:tc>
      </w:tr>
      <w:tr w14:paraId="64D10D2A">
        <w:tblPrEx>
          <w:tblCellMar>
            <w:top w:w="0" w:type="dxa"/>
            <w:left w:w="0" w:type="dxa"/>
            <w:bottom w:w="0" w:type="dxa"/>
            <w:right w:w="0" w:type="dxa"/>
          </w:tblCellMar>
        </w:tblPrEx>
        <w:trPr>
          <w:trHeight w:val="960" w:hRule="atLeast"/>
        </w:trPr>
        <w:tc>
          <w:tcPr>
            <w:tcW w:w="582" w:type="dxa"/>
            <w:vMerge w:val="continue"/>
            <w:tcBorders>
              <w:left w:val="single" w:color="000000" w:sz="4" w:space="0"/>
              <w:right w:val="single" w:color="000000" w:sz="4" w:space="0"/>
            </w:tcBorders>
            <w:tcMar>
              <w:top w:w="15" w:type="dxa"/>
              <w:left w:w="15" w:type="dxa"/>
              <w:right w:w="15" w:type="dxa"/>
            </w:tcMar>
            <w:vAlign w:val="center"/>
          </w:tcPr>
          <w:p w14:paraId="1B5BC162">
            <w:pPr>
              <w:widowControl/>
              <w:jc w:val="center"/>
              <w:textAlignment w:val="center"/>
              <w:rPr>
                <w:rFonts w:ascii="宋体" w:cs="宋体"/>
                <w:color w:val="000000"/>
                <w:sz w:val="24"/>
              </w:rPr>
            </w:pPr>
          </w:p>
        </w:tc>
        <w:tc>
          <w:tcPr>
            <w:tcW w:w="11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65B864">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4B78FC">
            <w:pPr>
              <w:widowControl/>
              <w:jc w:val="center"/>
              <w:textAlignment w:val="center"/>
              <w:rPr>
                <w:rFonts w:ascii="宋体" w:cs="宋体"/>
                <w:color w:val="000000"/>
                <w:sz w:val="24"/>
              </w:rPr>
            </w:pPr>
            <w:r>
              <w:rPr>
                <w:rFonts w:hint="eastAsia" w:ascii="宋体" w:hAnsi="宋体" w:cs="宋体"/>
                <w:color w:val="000000"/>
                <w:kern w:val="0"/>
                <w:sz w:val="24"/>
              </w:rPr>
              <w:t>质量指标</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AEBBE7">
            <w:pPr>
              <w:widowControl/>
              <w:textAlignment w:val="center"/>
              <w:rPr>
                <w:rFonts w:ascii="宋体" w:cs="宋体"/>
                <w:color w:val="000000"/>
                <w:sz w:val="24"/>
              </w:rPr>
            </w:pPr>
            <w:r>
              <w:rPr>
                <w:rFonts w:hint="eastAsia" w:ascii="宋体" w:cs="宋体"/>
                <w:color w:val="000000"/>
                <w:sz w:val="24"/>
              </w:rPr>
              <w:t>群众性聚餐申报率</w:t>
            </w:r>
            <w:r>
              <w:rPr>
                <w:rFonts w:ascii="宋体" w:cs="宋体"/>
                <w:color w:val="000000"/>
                <w:sz w:val="24"/>
              </w:rPr>
              <w:t>100%</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BC9C81">
            <w:pPr>
              <w:widowControl/>
              <w:textAlignment w:val="center"/>
              <w:rPr>
                <w:rFonts w:ascii="宋体" w:cs="宋体"/>
                <w:color w:val="000000"/>
                <w:sz w:val="24"/>
              </w:rPr>
            </w:pPr>
            <w:r>
              <w:rPr>
                <w:rFonts w:hint="eastAsia" w:ascii="宋体" w:cs="宋体"/>
                <w:color w:val="000000"/>
                <w:sz w:val="24"/>
              </w:rPr>
              <w:t>预计完成群众性聚餐申报率</w:t>
            </w:r>
            <w:r>
              <w:rPr>
                <w:rFonts w:ascii="宋体" w:cs="宋体"/>
                <w:color w:val="000000"/>
                <w:sz w:val="24"/>
              </w:rPr>
              <w:t>100%</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903742">
            <w:pPr>
              <w:widowControl/>
              <w:textAlignment w:val="center"/>
              <w:rPr>
                <w:rFonts w:ascii="宋体" w:cs="宋体"/>
                <w:color w:val="000000"/>
                <w:sz w:val="24"/>
              </w:rPr>
            </w:pPr>
            <w:r>
              <w:rPr>
                <w:rFonts w:hint="eastAsia" w:ascii="宋体" w:cs="宋体"/>
                <w:color w:val="000000"/>
                <w:sz w:val="24"/>
              </w:rPr>
              <w:t>群众性聚餐申报率</w:t>
            </w:r>
            <w:r>
              <w:rPr>
                <w:rFonts w:ascii="宋体" w:cs="宋体"/>
                <w:color w:val="000000"/>
                <w:sz w:val="24"/>
              </w:rPr>
              <w:t>100%</w:t>
            </w:r>
          </w:p>
        </w:tc>
      </w:tr>
      <w:tr w14:paraId="7A893BAC">
        <w:tblPrEx>
          <w:tblCellMar>
            <w:top w:w="0" w:type="dxa"/>
            <w:left w:w="0" w:type="dxa"/>
            <w:bottom w:w="0" w:type="dxa"/>
            <w:right w:w="0" w:type="dxa"/>
          </w:tblCellMar>
        </w:tblPrEx>
        <w:trPr>
          <w:trHeight w:val="1556" w:hRule="atLeast"/>
        </w:trPr>
        <w:tc>
          <w:tcPr>
            <w:tcW w:w="582" w:type="dxa"/>
            <w:vMerge w:val="continue"/>
            <w:tcBorders>
              <w:left w:val="single" w:color="000000" w:sz="4" w:space="0"/>
              <w:right w:val="single" w:color="000000" w:sz="4" w:space="0"/>
            </w:tcBorders>
            <w:tcMar>
              <w:top w:w="15" w:type="dxa"/>
              <w:left w:w="15" w:type="dxa"/>
              <w:right w:w="15" w:type="dxa"/>
            </w:tcMar>
            <w:vAlign w:val="center"/>
          </w:tcPr>
          <w:p w14:paraId="3A969078">
            <w:pPr>
              <w:widowControl/>
              <w:jc w:val="center"/>
              <w:textAlignment w:val="center"/>
              <w:rPr>
                <w:rFonts w:ascii="宋体" w:cs="宋体"/>
                <w:color w:val="000000"/>
                <w:sz w:val="24"/>
              </w:rPr>
            </w:pPr>
          </w:p>
        </w:tc>
        <w:tc>
          <w:tcPr>
            <w:tcW w:w="11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DA3A2A">
            <w:pPr>
              <w:widowControl/>
              <w:textAlignment w:val="center"/>
              <w:rPr>
                <w:rFonts w:ascii="宋体" w:cs="宋体"/>
                <w:color w:val="000000"/>
                <w:kern w:val="0"/>
                <w:sz w:val="24"/>
              </w:rPr>
            </w:pPr>
            <w:r>
              <w:rPr>
                <w:rFonts w:hint="eastAsia" w:ascii="宋体" w:hAnsi="宋体" w:cs="宋体"/>
                <w:color w:val="000000"/>
                <w:kern w:val="0"/>
                <w:sz w:val="24"/>
              </w:rPr>
              <w:t>项目效益</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349B87">
            <w:pPr>
              <w:widowControl/>
              <w:jc w:val="center"/>
              <w:textAlignment w:val="center"/>
              <w:rPr>
                <w:rFonts w:ascii="宋体" w:cs="宋体"/>
                <w:color w:val="000000"/>
                <w:sz w:val="24"/>
              </w:rPr>
            </w:pPr>
            <w:r>
              <w:rPr>
                <w:rFonts w:hint="eastAsia" w:ascii="宋体" w:hAnsi="宋体" w:cs="宋体"/>
                <w:color w:val="000000"/>
                <w:kern w:val="0"/>
                <w:sz w:val="24"/>
              </w:rPr>
              <w:t>生态效益指标</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FC890C">
            <w:pPr>
              <w:widowControl/>
              <w:textAlignment w:val="center"/>
              <w:rPr>
                <w:rFonts w:ascii="宋体" w:cs="宋体"/>
                <w:color w:val="000000"/>
                <w:sz w:val="24"/>
              </w:rPr>
            </w:pPr>
            <w:r>
              <w:rPr>
                <w:rFonts w:hint="eastAsia" w:ascii="宋体" w:cs="宋体"/>
                <w:color w:val="000000"/>
                <w:sz w:val="24"/>
              </w:rPr>
              <w:t>减少餐厨垃圾乱倒现象</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46FD8E">
            <w:pPr>
              <w:widowControl/>
              <w:textAlignment w:val="center"/>
              <w:rPr>
                <w:rFonts w:ascii="宋体" w:cs="宋体"/>
                <w:color w:val="000000"/>
                <w:sz w:val="24"/>
              </w:rPr>
            </w:pPr>
            <w:r>
              <w:rPr>
                <w:rFonts w:hint="eastAsia" w:ascii="宋体" w:cs="宋体"/>
                <w:color w:val="000000"/>
                <w:sz w:val="24"/>
              </w:rPr>
              <w:t>预计减少餐厨垃圾对人体影响、人居环境和城市的影响，逐步改善食品安全状况</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A01F7">
            <w:pPr>
              <w:widowControl/>
              <w:textAlignment w:val="center"/>
              <w:rPr>
                <w:rFonts w:ascii="宋体" w:cs="宋体"/>
                <w:color w:val="000000"/>
                <w:sz w:val="24"/>
              </w:rPr>
            </w:pPr>
            <w:r>
              <w:rPr>
                <w:rFonts w:hint="eastAsia" w:ascii="宋体" w:cs="宋体"/>
                <w:color w:val="000000"/>
                <w:sz w:val="24"/>
              </w:rPr>
              <w:t>减少餐厨垃圾对人体影响、人居环境和城市的影响，逐步改善食品安全状况</w:t>
            </w:r>
          </w:p>
        </w:tc>
      </w:tr>
      <w:tr w14:paraId="058401CA">
        <w:tblPrEx>
          <w:tblCellMar>
            <w:top w:w="0" w:type="dxa"/>
            <w:left w:w="0" w:type="dxa"/>
            <w:bottom w:w="0" w:type="dxa"/>
            <w:right w:w="0" w:type="dxa"/>
          </w:tblCellMar>
        </w:tblPrEx>
        <w:trPr>
          <w:trHeight w:val="1524" w:hRule="atLeast"/>
        </w:trPr>
        <w:tc>
          <w:tcPr>
            <w:tcW w:w="582"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323BC96F">
            <w:pPr>
              <w:widowControl/>
              <w:jc w:val="center"/>
              <w:textAlignment w:val="center"/>
              <w:rPr>
                <w:rFonts w:ascii="宋体" w:cs="宋体"/>
                <w:color w:val="000000"/>
                <w:sz w:val="24"/>
              </w:rPr>
            </w:pPr>
          </w:p>
        </w:tc>
        <w:tc>
          <w:tcPr>
            <w:tcW w:w="117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E021EDC">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6C4EC">
            <w:pPr>
              <w:widowControl/>
              <w:jc w:val="center"/>
              <w:textAlignment w:val="center"/>
              <w:rPr>
                <w:rFonts w:ascii="宋体" w:cs="宋体"/>
                <w:color w:val="000000"/>
                <w:sz w:val="24"/>
              </w:rPr>
            </w:pPr>
            <w:r>
              <w:rPr>
                <w:rFonts w:hint="eastAsia" w:ascii="宋体" w:hAnsi="宋体" w:cs="宋体"/>
                <w:color w:val="000000"/>
                <w:kern w:val="0"/>
                <w:sz w:val="24"/>
              </w:rPr>
              <w:t>满意度</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5D0A0">
            <w:pPr>
              <w:widowControl/>
              <w:textAlignment w:val="center"/>
              <w:rPr>
                <w:rFonts w:ascii="宋体" w:cs="宋体"/>
                <w:color w:val="000000"/>
                <w:sz w:val="24"/>
              </w:rPr>
            </w:pPr>
            <w:r>
              <w:rPr>
                <w:rFonts w:hint="eastAsia" w:ascii="宋体" w:cs="宋体"/>
                <w:color w:val="000000"/>
                <w:sz w:val="24"/>
              </w:rPr>
              <w:t>全年无一件食药安全责任事故发生，群众满意</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8FDC9">
            <w:pPr>
              <w:widowControl/>
              <w:jc w:val="center"/>
              <w:textAlignment w:val="center"/>
              <w:rPr>
                <w:rFonts w:ascii="宋体" w:cs="宋体"/>
                <w:color w:val="000000"/>
                <w:sz w:val="24"/>
              </w:rPr>
            </w:pPr>
            <w:r>
              <w:rPr>
                <w:rFonts w:hint="eastAsia" w:ascii="宋体" w:cs="宋体"/>
                <w:color w:val="000000"/>
                <w:sz w:val="24"/>
              </w:rPr>
              <w:t>满意度</w:t>
            </w:r>
            <w:r>
              <w:rPr>
                <w:rFonts w:ascii="宋体" w:cs="宋体"/>
                <w:color w:val="000000"/>
                <w:sz w:val="24"/>
              </w:rPr>
              <w:t>100%</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AFC84">
            <w:pPr>
              <w:widowControl/>
              <w:jc w:val="center"/>
              <w:textAlignment w:val="center"/>
              <w:rPr>
                <w:rFonts w:ascii="宋体" w:cs="宋体"/>
                <w:color w:val="000000"/>
                <w:sz w:val="24"/>
              </w:rPr>
            </w:pPr>
            <w:r>
              <w:rPr>
                <w:rFonts w:hint="eastAsia" w:ascii="宋体" w:cs="宋体"/>
                <w:color w:val="000000"/>
                <w:sz w:val="24"/>
              </w:rPr>
              <w:t>满意度</w:t>
            </w:r>
            <w:r>
              <w:rPr>
                <w:rFonts w:ascii="宋体" w:cs="宋体"/>
                <w:color w:val="000000"/>
                <w:sz w:val="24"/>
              </w:rPr>
              <w:t>100%</w:t>
            </w:r>
          </w:p>
        </w:tc>
      </w:tr>
    </w:tbl>
    <w:p w14:paraId="1E2F9F5D">
      <w:pPr>
        <w:spacing w:line="580" w:lineRule="exact"/>
        <w:ind w:left="630"/>
        <w:rPr>
          <w:rFonts w:ascii="仿宋_GB2312" w:hAnsi="仿宋_GB2312" w:eastAsia="仿宋_GB2312" w:cs="仿宋_GB2312"/>
          <w:sz w:val="32"/>
          <w:szCs w:val="32"/>
        </w:rPr>
      </w:pPr>
    </w:p>
    <w:tbl>
      <w:tblPr>
        <w:tblStyle w:val="13"/>
        <w:tblpPr w:leftFromText="180" w:rightFromText="180" w:vertAnchor="text" w:horzAnchor="margin" w:tblpXSpec="center" w:tblpY="181"/>
        <w:tblOverlap w:val="never"/>
        <w:tblW w:w="9977" w:type="dxa"/>
        <w:tblInd w:w="0" w:type="dxa"/>
        <w:tblLayout w:type="fixed"/>
        <w:tblCellMar>
          <w:top w:w="0" w:type="dxa"/>
          <w:left w:w="0" w:type="dxa"/>
          <w:bottom w:w="0" w:type="dxa"/>
          <w:right w:w="0" w:type="dxa"/>
        </w:tblCellMar>
      </w:tblPr>
      <w:tblGrid>
        <w:gridCol w:w="391"/>
        <w:gridCol w:w="1369"/>
        <w:gridCol w:w="1027"/>
        <w:gridCol w:w="2396"/>
        <w:gridCol w:w="2398"/>
        <w:gridCol w:w="2396"/>
      </w:tblGrid>
      <w:tr w14:paraId="567F9BB7">
        <w:tblPrEx>
          <w:tblCellMar>
            <w:top w:w="0" w:type="dxa"/>
            <w:left w:w="0" w:type="dxa"/>
            <w:bottom w:w="0" w:type="dxa"/>
            <w:right w:w="0" w:type="dxa"/>
          </w:tblCellMar>
        </w:tblPrEx>
        <w:trPr>
          <w:trHeight w:val="1041" w:hRule="atLeast"/>
        </w:trPr>
        <w:tc>
          <w:tcPr>
            <w:tcW w:w="9977" w:type="dxa"/>
            <w:gridSpan w:val="6"/>
            <w:tcBorders>
              <w:top w:val="nil"/>
              <w:left w:val="nil"/>
              <w:bottom w:val="nil"/>
              <w:right w:val="nil"/>
            </w:tcBorders>
            <w:tcMar>
              <w:top w:w="15" w:type="dxa"/>
              <w:left w:w="15" w:type="dxa"/>
              <w:right w:w="15" w:type="dxa"/>
            </w:tcMar>
            <w:vAlign w:val="center"/>
          </w:tcPr>
          <w:p w14:paraId="7081BC08">
            <w:pPr>
              <w:widowControl/>
              <w:jc w:val="center"/>
              <w:textAlignment w:val="center"/>
              <w:rPr>
                <w:rFonts w:ascii="黑体" w:hAnsi="黑体" w:eastAsia="黑体" w:cs="宋体"/>
                <w:color w:val="000000"/>
                <w:sz w:val="32"/>
                <w:szCs w:val="32"/>
              </w:rPr>
            </w:pPr>
            <w:r>
              <w:rPr>
                <w:rFonts w:hint="eastAsia" w:ascii="黑体" w:hAnsi="黑体" w:eastAsia="黑体" w:cs="宋体"/>
                <w:b/>
                <w:bCs/>
                <w:color w:val="000000"/>
                <w:kern w:val="0"/>
                <w:sz w:val="32"/>
                <w:szCs w:val="32"/>
              </w:rPr>
              <w:t>项目绩效目标完成情况表</w:t>
            </w:r>
            <w:r>
              <w:rPr>
                <w:rFonts w:ascii="黑体" w:hAnsi="黑体" w:eastAsia="黑体" w:cs="宋体"/>
                <w:b/>
                <w:bCs/>
                <w:color w:val="000000"/>
                <w:kern w:val="0"/>
                <w:sz w:val="32"/>
                <w:szCs w:val="32"/>
              </w:rPr>
              <w:br w:type="textWrapping"/>
            </w:r>
            <w:r>
              <w:rPr>
                <w:rFonts w:ascii="黑体" w:hAnsi="黑体" w:eastAsia="黑体" w:cs="宋体"/>
                <w:color w:val="000000"/>
                <w:kern w:val="0"/>
                <w:sz w:val="32"/>
                <w:szCs w:val="32"/>
              </w:rPr>
              <w:t xml:space="preserve">(2019 </w:t>
            </w:r>
            <w:r>
              <w:rPr>
                <w:rFonts w:hint="eastAsia" w:ascii="黑体" w:hAnsi="黑体" w:eastAsia="黑体" w:cs="宋体"/>
                <w:color w:val="000000"/>
                <w:kern w:val="0"/>
                <w:sz w:val="32"/>
                <w:szCs w:val="32"/>
              </w:rPr>
              <w:t>年度</w:t>
            </w:r>
            <w:r>
              <w:rPr>
                <w:rFonts w:ascii="黑体" w:hAnsi="黑体" w:eastAsia="黑体" w:cs="宋体"/>
                <w:color w:val="000000"/>
                <w:kern w:val="0"/>
                <w:sz w:val="32"/>
                <w:szCs w:val="32"/>
              </w:rPr>
              <w:t>)</w:t>
            </w:r>
          </w:p>
        </w:tc>
      </w:tr>
      <w:tr w14:paraId="375BBBB0">
        <w:tblPrEx>
          <w:tblCellMar>
            <w:top w:w="0" w:type="dxa"/>
            <w:left w:w="0" w:type="dxa"/>
            <w:bottom w:w="0" w:type="dxa"/>
            <w:right w:w="0" w:type="dxa"/>
          </w:tblCellMar>
        </w:tblPrEx>
        <w:trPr>
          <w:trHeight w:val="278" w:hRule="atLeast"/>
        </w:trPr>
        <w:tc>
          <w:tcPr>
            <w:tcW w:w="27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3F5CF1">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45D7D3">
            <w:pPr>
              <w:widowControl/>
              <w:jc w:val="center"/>
              <w:textAlignment w:val="center"/>
              <w:rPr>
                <w:rFonts w:ascii="宋体" w:cs="宋体"/>
                <w:color w:val="000000"/>
                <w:sz w:val="24"/>
              </w:rPr>
            </w:pPr>
            <w:r>
              <w:rPr>
                <w:rFonts w:hint="eastAsia" w:ascii="仿宋_GB2312" w:hAnsi="仿宋_GB2312" w:eastAsia="仿宋_GB2312" w:cs="仿宋_GB2312"/>
                <w:sz w:val="32"/>
                <w:szCs w:val="32"/>
              </w:rPr>
              <w:t>集镇公共设施运维费</w:t>
            </w:r>
          </w:p>
        </w:tc>
      </w:tr>
      <w:tr w14:paraId="4A46087B">
        <w:tblPrEx>
          <w:tblCellMar>
            <w:top w:w="0" w:type="dxa"/>
            <w:left w:w="0" w:type="dxa"/>
            <w:bottom w:w="0" w:type="dxa"/>
            <w:right w:w="0" w:type="dxa"/>
          </w:tblCellMar>
        </w:tblPrEx>
        <w:trPr>
          <w:trHeight w:val="278" w:hRule="atLeast"/>
        </w:trPr>
        <w:tc>
          <w:tcPr>
            <w:tcW w:w="27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33CCD3">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9C0B0D">
            <w:pPr>
              <w:widowControl/>
              <w:jc w:val="center"/>
              <w:textAlignment w:val="center"/>
              <w:rPr>
                <w:rFonts w:ascii="宋体" w:cs="宋体"/>
                <w:color w:val="000000"/>
                <w:sz w:val="24"/>
              </w:rPr>
            </w:pPr>
            <w:r>
              <w:rPr>
                <w:rFonts w:hint="eastAsia" w:ascii="宋体" w:cs="宋体"/>
                <w:color w:val="000000"/>
                <w:sz w:val="24"/>
              </w:rPr>
              <w:t>峨眉山市胜利镇人民政府</w:t>
            </w:r>
          </w:p>
        </w:tc>
      </w:tr>
      <w:tr w14:paraId="7F7A1A4E">
        <w:tblPrEx>
          <w:tblCellMar>
            <w:top w:w="0" w:type="dxa"/>
            <w:left w:w="0" w:type="dxa"/>
            <w:bottom w:w="0" w:type="dxa"/>
            <w:right w:w="0" w:type="dxa"/>
          </w:tblCellMar>
        </w:tblPrEx>
        <w:trPr>
          <w:trHeight w:val="278" w:hRule="atLeast"/>
        </w:trPr>
        <w:tc>
          <w:tcPr>
            <w:tcW w:w="3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6A06A9">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D6162">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423D35">
            <w:pPr>
              <w:widowControl/>
              <w:jc w:val="center"/>
              <w:textAlignment w:val="center"/>
              <w:rPr>
                <w:rFonts w:ascii="宋体" w:cs="宋体"/>
                <w:color w:val="000000"/>
                <w:sz w:val="24"/>
              </w:rPr>
            </w:pPr>
            <w:r>
              <w:rPr>
                <w:rFonts w:ascii="宋体" w:cs="宋体"/>
                <w:color w:val="000000"/>
                <w:sz w:val="24"/>
              </w:rPr>
              <w:t>15</w:t>
            </w:r>
            <w:r>
              <w:rPr>
                <w:rFonts w:hint="eastAsia" w:ascii="宋体" w:cs="宋体"/>
                <w:color w:val="000000"/>
                <w:sz w:val="24"/>
              </w:rPr>
              <w:t>万元</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5C1186">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FB3347">
            <w:pPr>
              <w:widowControl/>
              <w:jc w:val="center"/>
              <w:textAlignment w:val="center"/>
              <w:rPr>
                <w:rFonts w:ascii="宋体" w:cs="宋体"/>
                <w:color w:val="000000"/>
                <w:sz w:val="24"/>
              </w:rPr>
            </w:pPr>
            <w:r>
              <w:rPr>
                <w:rFonts w:ascii="宋体" w:cs="宋体"/>
                <w:color w:val="000000"/>
                <w:sz w:val="24"/>
              </w:rPr>
              <w:t>15</w:t>
            </w:r>
            <w:r>
              <w:rPr>
                <w:rFonts w:hint="eastAsia" w:ascii="宋体" w:cs="宋体"/>
                <w:color w:val="000000"/>
                <w:sz w:val="24"/>
              </w:rPr>
              <w:t>万元</w:t>
            </w:r>
          </w:p>
        </w:tc>
      </w:tr>
      <w:tr w14:paraId="3DFFA03F">
        <w:tblPrEx>
          <w:tblCellMar>
            <w:top w:w="0" w:type="dxa"/>
            <w:left w:w="0" w:type="dxa"/>
            <w:bottom w:w="0" w:type="dxa"/>
            <w:right w:w="0" w:type="dxa"/>
          </w:tblCellMar>
        </w:tblPrEx>
        <w:trPr>
          <w:trHeight w:val="278" w:hRule="atLeast"/>
        </w:trPr>
        <w:tc>
          <w:tcPr>
            <w:tcW w:w="3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1CF9FB">
            <w:pPr>
              <w:jc w:val="center"/>
              <w:rPr>
                <w:rFonts w:ascii="宋体" w:cs="宋体"/>
                <w:color w:val="000000"/>
                <w:sz w:val="24"/>
              </w:rPr>
            </w:pPr>
          </w:p>
        </w:tc>
        <w:tc>
          <w:tcPr>
            <w:tcW w:w="23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BE122">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783063">
            <w:pPr>
              <w:widowControl/>
              <w:jc w:val="center"/>
              <w:textAlignment w:val="center"/>
              <w:rPr>
                <w:rFonts w:ascii="宋体" w:cs="宋体"/>
                <w:color w:val="000000"/>
                <w:sz w:val="24"/>
              </w:rPr>
            </w:pPr>
            <w:r>
              <w:rPr>
                <w:rFonts w:ascii="宋体" w:cs="宋体"/>
                <w:color w:val="000000"/>
                <w:sz w:val="24"/>
              </w:rPr>
              <w:t>15</w:t>
            </w:r>
            <w:r>
              <w:rPr>
                <w:rFonts w:hint="eastAsia" w:ascii="宋体" w:cs="宋体"/>
                <w:color w:val="000000"/>
                <w:sz w:val="24"/>
              </w:rPr>
              <w:t>万元</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1AE609">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34B771">
            <w:pPr>
              <w:widowControl/>
              <w:jc w:val="center"/>
              <w:textAlignment w:val="center"/>
              <w:rPr>
                <w:rFonts w:ascii="宋体" w:cs="宋体"/>
                <w:color w:val="000000"/>
                <w:sz w:val="24"/>
              </w:rPr>
            </w:pPr>
            <w:r>
              <w:rPr>
                <w:rFonts w:ascii="宋体" w:cs="宋体"/>
                <w:color w:val="000000"/>
                <w:sz w:val="24"/>
              </w:rPr>
              <w:t>15</w:t>
            </w:r>
            <w:r>
              <w:rPr>
                <w:rFonts w:hint="eastAsia" w:ascii="宋体" w:cs="宋体"/>
                <w:color w:val="000000"/>
                <w:sz w:val="24"/>
              </w:rPr>
              <w:t>万元</w:t>
            </w:r>
          </w:p>
        </w:tc>
      </w:tr>
      <w:tr w14:paraId="0E4DE472">
        <w:tblPrEx>
          <w:tblCellMar>
            <w:top w:w="0" w:type="dxa"/>
            <w:left w:w="0" w:type="dxa"/>
            <w:bottom w:w="0" w:type="dxa"/>
            <w:right w:w="0" w:type="dxa"/>
          </w:tblCellMar>
        </w:tblPrEx>
        <w:trPr>
          <w:trHeight w:val="1522" w:hRule="atLeast"/>
        </w:trPr>
        <w:tc>
          <w:tcPr>
            <w:tcW w:w="3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D855A6">
            <w:pPr>
              <w:jc w:val="center"/>
              <w:rPr>
                <w:rFonts w:ascii="宋体" w:cs="宋体"/>
                <w:color w:val="000000"/>
                <w:sz w:val="24"/>
              </w:rPr>
            </w:pPr>
          </w:p>
        </w:tc>
        <w:tc>
          <w:tcPr>
            <w:tcW w:w="23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B73B13">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E3A634">
            <w:pPr>
              <w:widowControl/>
              <w:jc w:val="center"/>
              <w:textAlignment w:val="center"/>
              <w:rPr>
                <w:rFonts w:ascii="宋体" w:cs="宋体"/>
                <w:color w:val="000000"/>
                <w:sz w:val="24"/>
              </w:rPr>
            </w:pPr>
            <w:r>
              <w:rPr>
                <w:rFonts w:ascii="宋体" w:cs="宋体"/>
                <w:color w:val="000000"/>
                <w:sz w:val="24"/>
              </w:rPr>
              <w:t>0</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DF9C3">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A60F22">
            <w:pPr>
              <w:jc w:val="center"/>
              <w:rPr>
                <w:rFonts w:ascii="宋体" w:cs="宋体"/>
                <w:color w:val="000000"/>
                <w:sz w:val="24"/>
              </w:rPr>
            </w:pPr>
            <w:r>
              <w:rPr>
                <w:rFonts w:ascii="宋体" w:cs="宋体"/>
                <w:color w:val="000000"/>
                <w:sz w:val="24"/>
              </w:rPr>
              <w:t>0</w:t>
            </w:r>
          </w:p>
        </w:tc>
      </w:tr>
      <w:tr w14:paraId="5FB6DB47">
        <w:tblPrEx>
          <w:tblCellMar>
            <w:top w:w="0" w:type="dxa"/>
            <w:left w:w="0" w:type="dxa"/>
            <w:bottom w:w="0" w:type="dxa"/>
            <w:right w:w="0" w:type="dxa"/>
          </w:tblCellMar>
        </w:tblPrEx>
        <w:trPr>
          <w:trHeight w:val="278" w:hRule="atLeast"/>
        </w:trPr>
        <w:tc>
          <w:tcPr>
            <w:tcW w:w="3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314836">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50D209">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50CE6B">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14:paraId="13EAD5B7">
        <w:tblPrEx>
          <w:tblCellMar>
            <w:top w:w="0" w:type="dxa"/>
            <w:left w:w="0" w:type="dxa"/>
            <w:bottom w:w="0" w:type="dxa"/>
            <w:right w:w="0" w:type="dxa"/>
          </w:tblCellMar>
        </w:tblPrEx>
        <w:trPr>
          <w:trHeight w:val="1167" w:hRule="atLeast"/>
        </w:trPr>
        <w:tc>
          <w:tcPr>
            <w:tcW w:w="3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D40F3">
            <w:pPr>
              <w:jc w:val="center"/>
              <w:rPr>
                <w:rFonts w:ascii="宋体" w:cs="宋体"/>
                <w:color w:val="000000"/>
                <w:sz w:val="24"/>
              </w:rPr>
            </w:pPr>
          </w:p>
        </w:tc>
        <w:tc>
          <w:tcPr>
            <w:tcW w:w="47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DF3B77">
            <w:pPr>
              <w:widowControl/>
              <w:ind w:firstLine="315" w:firstLineChars="150"/>
              <w:textAlignment w:val="center"/>
              <w:rPr>
                <w:rFonts w:ascii="宋体" w:cs="宋体"/>
                <w:color w:val="000000"/>
                <w:sz w:val="24"/>
              </w:rPr>
            </w:pPr>
            <w:r>
              <w:rPr>
                <w:rFonts w:hint="eastAsia" w:ascii="仿宋_GB2312" w:hAnsi="宋体"/>
                <w:szCs w:val="32"/>
                <w:lang w:val="zh-CN"/>
              </w:rPr>
              <w:t>规范集镇农贸市场以及群众生活生产的相关事项，如及时对损坏的集镇公共设施进行维修、更换，维护集镇秩序，清理集镇垃圾等，最终为群众营造良好的生活、生产环境。</w:t>
            </w:r>
          </w:p>
        </w:tc>
        <w:tc>
          <w:tcPr>
            <w:tcW w:w="47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625706">
            <w:pPr>
              <w:widowControl/>
              <w:ind w:firstLine="315" w:firstLineChars="150"/>
              <w:textAlignment w:val="center"/>
              <w:rPr>
                <w:rFonts w:ascii="宋体" w:cs="宋体"/>
                <w:color w:val="000000"/>
                <w:sz w:val="24"/>
              </w:rPr>
            </w:pPr>
            <w:r>
              <w:rPr>
                <w:rFonts w:hint="eastAsia" w:ascii="仿宋_GB2312" w:hAnsi="宋体"/>
                <w:szCs w:val="32"/>
                <w:lang w:val="zh-CN"/>
              </w:rPr>
              <w:t>规范集镇农贸市场以及群众生活生产的相关事项，如及时对损坏的集镇公共设施进行维修、更换，维护集镇秩序，清理集镇垃圾等，最终为群众营造良好的生活、生产环境。</w:t>
            </w:r>
          </w:p>
        </w:tc>
      </w:tr>
      <w:tr w14:paraId="4C8D6E7D">
        <w:tblPrEx>
          <w:tblCellMar>
            <w:top w:w="0" w:type="dxa"/>
            <w:left w:w="0" w:type="dxa"/>
            <w:bottom w:w="0" w:type="dxa"/>
            <w:right w:w="0" w:type="dxa"/>
          </w:tblCellMar>
        </w:tblPrEx>
        <w:trPr>
          <w:trHeight w:val="1049" w:hRule="atLeast"/>
        </w:trPr>
        <w:tc>
          <w:tcPr>
            <w:tcW w:w="39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531A16A">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9471FC">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CEC16">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E8AA88">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43FB00">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DF0E4A">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14:paraId="3222E68D">
        <w:tblPrEx>
          <w:tblCellMar>
            <w:top w:w="0" w:type="dxa"/>
            <w:left w:w="0" w:type="dxa"/>
            <w:bottom w:w="0" w:type="dxa"/>
            <w:right w:w="0" w:type="dxa"/>
          </w:tblCellMar>
        </w:tblPrEx>
        <w:trPr>
          <w:trHeight w:val="960" w:hRule="atLeast"/>
        </w:trPr>
        <w:tc>
          <w:tcPr>
            <w:tcW w:w="391" w:type="dxa"/>
            <w:vMerge w:val="continue"/>
            <w:tcBorders>
              <w:left w:val="single" w:color="000000" w:sz="4" w:space="0"/>
              <w:right w:val="single" w:color="000000" w:sz="4" w:space="0"/>
            </w:tcBorders>
            <w:tcMar>
              <w:top w:w="15" w:type="dxa"/>
              <w:left w:w="15" w:type="dxa"/>
              <w:right w:w="15" w:type="dxa"/>
            </w:tcMar>
            <w:vAlign w:val="center"/>
          </w:tcPr>
          <w:p w14:paraId="413745F2">
            <w:pPr>
              <w:widowControl/>
              <w:jc w:val="center"/>
              <w:textAlignment w:val="center"/>
              <w:rPr>
                <w:rFonts w:ascii="宋体" w:cs="宋体"/>
                <w:color w:val="000000"/>
                <w:sz w:val="24"/>
              </w:rPr>
            </w:pP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BB6D43">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A9110C">
            <w:pPr>
              <w:widowControl/>
              <w:jc w:val="center"/>
              <w:textAlignment w:val="center"/>
              <w:rPr>
                <w:rFonts w:ascii="宋体" w:cs="宋体"/>
                <w:color w:val="000000"/>
                <w:sz w:val="24"/>
              </w:rPr>
            </w:pPr>
            <w:r>
              <w:rPr>
                <w:rFonts w:hint="eastAsia" w:ascii="宋体" w:hAnsi="宋体" w:cs="宋体"/>
                <w:color w:val="000000"/>
                <w:kern w:val="0"/>
                <w:sz w:val="24"/>
              </w:rPr>
              <w:t>数量指标</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B9410">
            <w:pPr>
              <w:widowControl/>
              <w:textAlignment w:val="center"/>
              <w:rPr>
                <w:rFonts w:ascii="宋体" w:cs="宋体"/>
                <w:color w:val="000000"/>
                <w:sz w:val="24"/>
              </w:rPr>
            </w:pPr>
            <w:r>
              <w:rPr>
                <w:rFonts w:hint="eastAsia" w:ascii="仿宋_GB2312" w:hAnsi="宋体"/>
                <w:szCs w:val="32"/>
                <w:lang w:val="zh-CN"/>
              </w:rPr>
              <w:t>安排专人清理转运集镇垃圾，</w:t>
            </w:r>
            <w:r>
              <w:rPr>
                <w:rFonts w:hint="eastAsia" w:ascii="仿宋_GB2312" w:hAnsi="宋体"/>
                <w:color w:val="000000"/>
                <w:szCs w:val="32"/>
                <w:lang w:val="zh-CN"/>
              </w:rPr>
              <w:t>每天转运垃圾</w:t>
            </w:r>
            <w:r>
              <w:rPr>
                <w:rFonts w:ascii="仿宋_GB2312" w:hAnsi="宋体"/>
                <w:color w:val="000000"/>
                <w:szCs w:val="32"/>
                <w:lang w:val="zh-CN"/>
              </w:rPr>
              <w:t>4</w:t>
            </w:r>
            <w:r>
              <w:rPr>
                <w:rFonts w:hint="eastAsia" w:ascii="仿宋_GB2312" w:hAnsi="宋体"/>
                <w:color w:val="000000"/>
                <w:szCs w:val="32"/>
                <w:lang w:val="zh-CN"/>
              </w:rPr>
              <w:t>次</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ED246">
            <w:pPr>
              <w:widowControl/>
              <w:textAlignment w:val="center"/>
              <w:rPr>
                <w:rFonts w:ascii="宋体" w:cs="宋体"/>
                <w:color w:val="000000"/>
                <w:sz w:val="24"/>
              </w:rPr>
            </w:pPr>
            <w:r>
              <w:rPr>
                <w:rFonts w:hint="eastAsia" w:ascii="仿宋_GB2312" w:hAnsi="宋体"/>
                <w:szCs w:val="32"/>
                <w:lang w:val="zh-CN"/>
              </w:rPr>
              <w:t>安排专人清理转运集镇垃圾，</w:t>
            </w:r>
            <w:r>
              <w:rPr>
                <w:rFonts w:hint="eastAsia" w:ascii="仿宋_GB2312" w:hAnsi="宋体"/>
                <w:color w:val="000000"/>
                <w:szCs w:val="32"/>
                <w:lang w:val="zh-CN"/>
              </w:rPr>
              <w:t>每天转运垃圾</w:t>
            </w:r>
            <w:r>
              <w:rPr>
                <w:rFonts w:ascii="仿宋_GB2312" w:hAnsi="宋体"/>
                <w:color w:val="000000"/>
                <w:szCs w:val="32"/>
                <w:lang w:val="zh-CN"/>
              </w:rPr>
              <w:t>4</w:t>
            </w:r>
            <w:r>
              <w:rPr>
                <w:rFonts w:hint="eastAsia" w:ascii="仿宋_GB2312" w:hAnsi="宋体"/>
                <w:color w:val="000000"/>
                <w:szCs w:val="32"/>
                <w:lang w:val="zh-CN"/>
              </w:rPr>
              <w:t>次</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B89CAB">
            <w:pPr>
              <w:widowControl/>
              <w:textAlignment w:val="center"/>
              <w:rPr>
                <w:rFonts w:ascii="宋体" w:cs="宋体"/>
                <w:color w:val="000000"/>
                <w:sz w:val="24"/>
              </w:rPr>
            </w:pPr>
            <w:r>
              <w:rPr>
                <w:rFonts w:hint="eastAsia" w:ascii="仿宋_GB2312" w:hAnsi="宋体"/>
                <w:szCs w:val="32"/>
                <w:lang w:val="zh-CN"/>
              </w:rPr>
              <w:t>安排专人清理转运集镇垃圾，</w:t>
            </w:r>
            <w:r>
              <w:rPr>
                <w:rFonts w:hint="eastAsia" w:ascii="仿宋_GB2312" w:hAnsi="宋体"/>
                <w:color w:val="000000"/>
                <w:szCs w:val="32"/>
                <w:lang w:val="zh-CN"/>
              </w:rPr>
              <w:t>每天转运垃圾</w:t>
            </w:r>
            <w:r>
              <w:rPr>
                <w:rFonts w:ascii="仿宋_GB2312" w:hAnsi="宋体"/>
                <w:color w:val="000000"/>
                <w:szCs w:val="32"/>
                <w:lang w:val="zh-CN"/>
              </w:rPr>
              <w:t>4</w:t>
            </w:r>
            <w:r>
              <w:rPr>
                <w:rFonts w:hint="eastAsia" w:ascii="仿宋_GB2312" w:hAnsi="宋体"/>
                <w:color w:val="000000"/>
                <w:szCs w:val="32"/>
                <w:lang w:val="zh-CN"/>
              </w:rPr>
              <w:t>次</w:t>
            </w:r>
          </w:p>
        </w:tc>
      </w:tr>
      <w:tr w14:paraId="7EDBB116">
        <w:tblPrEx>
          <w:tblCellMar>
            <w:top w:w="0" w:type="dxa"/>
            <w:left w:w="0" w:type="dxa"/>
            <w:bottom w:w="0" w:type="dxa"/>
            <w:right w:w="0" w:type="dxa"/>
          </w:tblCellMar>
        </w:tblPrEx>
        <w:trPr>
          <w:trHeight w:val="960" w:hRule="atLeast"/>
        </w:trPr>
        <w:tc>
          <w:tcPr>
            <w:tcW w:w="391" w:type="dxa"/>
            <w:vMerge w:val="continue"/>
            <w:tcBorders>
              <w:left w:val="single" w:color="000000" w:sz="4" w:space="0"/>
              <w:right w:val="single" w:color="000000" w:sz="4" w:space="0"/>
            </w:tcBorders>
            <w:tcMar>
              <w:top w:w="15" w:type="dxa"/>
              <w:left w:w="15" w:type="dxa"/>
              <w:right w:w="15" w:type="dxa"/>
            </w:tcMar>
            <w:vAlign w:val="center"/>
          </w:tcPr>
          <w:p w14:paraId="6DDC403B">
            <w:pPr>
              <w:widowControl/>
              <w:jc w:val="center"/>
              <w:textAlignment w:val="center"/>
              <w:rPr>
                <w:rFonts w:ascii="宋体" w:cs="宋体"/>
                <w:color w:val="000000"/>
                <w:sz w:val="24"/>
              </w:rPr>
            </w:pP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BBD744">
            <w:pPr>
              <w:widowControl/>
              <w:jc w:val="center"/>
              <w:textAlignment w:val="center"/>
              <w:rPr>
                <w:rFonts w:ascii="宋体" w:cs="宋体"/>
                <w:color w:val="000000"/>
                <w:kern w:val="0"/>
                <w:sz w:val="24"/>
              </w:rPr>
            </w:pPr>
            <w:r>
              <w:rPr>
                <w:rFonts w:hint="eastAsia" w:ascii="宋体" w:hAnsi="宋体" w:cs="宋体"/>
                <w:color w:val="000000"/>
                <w:kern w:val="0"/>
                <w:sz w:val="24"/>
              </w:rPr>
              <w:t>项目效益</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EF8465">
            <w:pPr>
              <w:widowControl/>
              <w:jc w:val="center"/>
              <w:textAlignment w:val="center"/>
              <w:rPr>
                <w:rFonts w:ascii="宋体" w:cs="宋体"/>
                <w:color w:val="000000"/>
                <w:sz w:val="24"/>
              </w:rPr>
            </w:pPr>
            <w:r>
              <w:rPr>
                <w:rFonts w:hint="eastAsia" w:ascii="宋体" w:hAnsi="宋体" w:cs="宋体"/>
                <w:color w:val="000000"/>
                <w:kern w:val="0"/>
                <w:sz w:val="24"/>
              </w:rPr>
              <w:t>时效指标</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E5EE5">
            <w:pPr>
              <w:widowControl/>
              <w:textAlignment w:val="center"/>
              <w:rPr>
                <w:rFonts w:ascii="宋体" w:cs="宋体"/>
                <w:color w:val="000000"/>
                <w:sz w:val="24"/>
              </w:rPr>
            </w:pPr>
            <w:r>
              <w:rPr>
                <w:rFonts w:hint="eastAsia" w:ascii="仿宋_GB2312" w:hAnsi="宋体"/>
                <w:szCs w:val="32"/>
                <w:lang w:val="zh-CN"/>
              </w:rPr>
              <w:t>对集镇内雨污管网的排查整治</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A5EE4D">
            <w:pPr>
              <w:widowControl/>
              <w:textAlignment w:val="center"/>
              <w:rPr>
                <w:rFonts w:ascii="宋体" w:cs="宋体"/>
                <w:color w:val="000000"/>
                <w:sz w:val="24"/>
              </w:rPr>
            </w:pPr>
            <w:r>
              <w:rPr>
                <w:rFonts w:hint="eastAsia" w:ascii="宋体" w:cs="宋体"/>
                <w:color w:val="000000"/>
                <w:sz w:val="24"/>
              </w:rPr>
              <w:t>全面按时完成</w:t>
            </w:r>
            <w:r>
              <w:rPr>
                <w:rFonts w:hint="eastAsia" w:ascii="仿宋_GB2312" w:hAnsi="宋体"/>
                <w:szCs w:val="32"/>
                <w:lang w:val="zh-CN"/>
              </w:rPr>
              <w:t>雨污管网的排查整治</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94DCC8">
            <w:pPr>
              <w:widowControl/>
              <w:textAlignment w:val="center"/>
              <w:rPr>
                <w:rFonts w:ascii="宋体" w:cs="宋体"/>
                <w:color w:val="000000"/>
                <w:sz w:val="24"/>
              </w:rPr>
            </w:pPr>
            <w:r>
              <w:rPr>
                <w:rFonts w:hint="eastAsia" w:ascii="宋体" w:cs="宋体"/>
                <w:color w:val="000000"/>
                <w:sz w:val="24"/>
              </w:rPr>
              <w:t>全面按时完成</w:t>
            </w:r>
            <w:r>
              <w:rPr>
                <w:rFonts w:hint="eastAsia" w:ascii="仿宋_GB2312" w:hAnsi="宋体"/>
                <w:szCs w:val="32"/>
                <w:lang w:val="zh-CN"/>
              </w:rPr>
              <w:t>雨污管网的排查整治</w:t>
            </w:r>
          </w:p>
        </w:tc>
      </w:tr>
      <w:tr w14:paraId="428266C6">
        <w:tblPrEx>
          <w:tblCellMar>
            <w:top w:w="0" w:type="dxa"/>
            <w:left w:w="0" w:type="dxa"/>
            <w:bottom w:w="0" w:type="dxa"/>
            <w:right w:w="0" w:type="dxa"/>
          </w:tblCellMar>
        </w:tblPrEx>
        <w:trPr>
          <w:trHeight w:val="1088" w:hRule="atLeast"/>
        </w:trPr>
        <w:tc>
          <w:tcPr>
            <w:tcW w:w="391" w:type="dxa"/>
            <w:vMerge w:val="continue"/>
            <w:tcBorders>
              <w:left w:val="single" w:color="000000" w:sz="4" w:space="0"/>
              <w:right w:val="single" w:color="000000" w:sz="4" w:space="0"/>
            </w:tcBorders>
            <w:tcMar>
              <w:top w:w="15" w:type="dxa"/>
              <w:left w:w="15" w:type="dxa"/>
              <w:right w:w="15" w:type="dxa"/>
            </w:tcMar>
            <w:vAlign w:val="center"/>
          </w:tcPr>
          <w:p w14:paraId="749E6EA1">
            <w:pPr>
              <w:widowControl/>
              <w:jc w:val="center"/>
              <w:textAlignment w:val="center"/>
              <w:rPr>
                <w:rFonts w:ascii="宋体" w:cs="宋体"/>
                <w:color w:val="000000"/>
                <w:sz w:val="24"/>
              </w:rPr>
            </w:pP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45E5A9">
            <w:pPr>
              <w:widowControl/>
              <w:textAlignment w:val="center"/>
              <w:rPr>
                <w:rFonts w:ascii="宋体" w:cs="宋体"/>
                <w:color w:val="000000"/>
                <w:kern w:val="0"/>
                <w:sz w:val="24"/>
              </w:rPr>
            </w:pPr>
            <w:r>
              <w:rPr>
                <w:rFonts w:hint="eastAsia" w:ascii="宋体" w:hAnsi="宋体" w:cs="宋体"/>
                <w:color w:val="000000"/>
                <w:kern w:val="0"/>
                <w:sz w:val="24"/>
              </w:rPr>
              <w:t>项目效益</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CF9520">
            <w:pPr>
              <w:widowControl/>
              <w:jc w:val="center"/>
              <w:textAlignment w:val="center"/>
              <w:rPr>
                <w:rFonts w:ascii="宋体" w:cs="宋体"/>
                <w:color w:val="000000"/>
                <w:sz w:val="24"/>
              </w:rPr>
            </w:pPr>
            <w:r>
              <w:rPr>
                <w:rFonts w:hint="eastAsia" w:ascii="宋体" w:hAnsi="宋体" w:cs="宋体"/>
                <w:color w:val="000000"/>
                <w:kern w:val="0"/>
                <w:sz w:val="24"/>
              </w:rPr>
              <w:t>质量指标</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BD19CB">
            <w:pPr>
              <w:widowControl/>
              <w:jc w:val="center"/>
              <w:textAlignment w:val="center"/>
              <w:rPr>
                <w:rFonts w:ascii="宋体" w:cs="宋体"/>
                <w:color w:val="000000"/>
                <w:sz w:val="24"/>
              </w:rPr>
            </w:pPr>
            <w:r>
              <w:rPr>
                <w:rFonts w:hint="eastAsia" w:ascii="宋体" w:cs="宋体"/>
                <w:color w:val="000000"/>
                <w:sz w:val="24"/>
              </w:rPr>
              <w:t>完善全镇集镇基础设施建设</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CCB9C2">
            <w:pPr>
              <w:widowControl/>
              <w:textAlignment w:val="center"/>
              <w:rPr>
                <w:rFonts w:ascii="宋体" w:cs="宋体"/>
                <w:color w:val="000000"/>
                <w:sz w:val="24"/>
              </w:rPr>
            </w:pPr>
            <w:r>
              <w:rPr>
                <w:rFonts w:hint="eastAsia" w:ascii="宋体" w:cs="宋体"/>
                <w:color w:val="000000"/>
                <w:sz w:val="24"/>
              </w:rPr>
              <w:t>完善全镇集镇基础设施建设</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E2BCF">
            <w:pPr>
              <w:widowControl/>
              <w:textAlignment w:val="center"/>
              <w:rPr>
                <w:rFonts w:ascii="宋体" w:cs="宋体"/>
                <w:color w:val="000000"/>
                <w:sz w:val="24"/>
              </w:rPr>
            </w:pPr>
            <w:r>
              <w:rPr>
                <w:rFonts w:hint="eastAsia" w:ascii="宋体" w:cs="宋体"/>
                <w:color w:val="000000"/>
                <w:sz w:val="24"/>
              </w:rPr>
              <w:t>完善全镇集镇基础设施建设</w:t>
            </w:r>
          </w:p>
        </w:tc>
      </w:tr>
      <w:tr w14:paraId="4021EAB6">
        <w:tblPrEx>
          <w:tblCellMar>
            <w:top w:w="0" w:type="dxa"/>
            <w:left w:w="0" w:type="dxa"/>
            <w:bottom w:w="0" w:type="dxa"/>
            <w:right w:w="0" w:type="dxa"/>
          </w:tblCellMar>
        </w:tblPrEx>
        <w:trPr>
          <w:trHeight w:val="1386" w:hRule="atLeast"/>
        </w:trPr>
        <w:tc>
          <w:tcPr>
            <w:tcW w:w="391"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404A7890">
            <w:pPr>
              <w:widowControl/>
              <w:jc w:val="center"/>
              <w:textAlignment w:val="center"/>
              <w:rPr>
                <w:rFonts w:ascii="宋体" w:cs="宋体"/>
                <w:color w:val="000000"/>
                <w:sz w:val="24"/>
              </w:rPr>
            </w:pP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988DEB">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A48BBD">
            <w:pPr>
              <w:widowControl/>
              <w:jc w:val="center"/>
              <w:textAlignment w:val="center"/>
              <w:rPr>
                <w:rFonts w:ascii="宋体" w:cs="宋体"/>
                <w:color w:val="000000"/>
                <w:sz w:val="24"/>
              </w:rPr>
            </w:pPr>
            <w:r>
              <w:rPr>
                <w:rFonts w:hint="eastAsia" w:ascii="宋体" w:hAnsi="宋体" w:cs="宋体"/>
                <w:color w:val="000000"/>
                <w:kern w:val="0"/>
                <w:sz w:val="24"/>
              </w:rPr>
              <w:t>满意度</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0536C">
            <w:pPr>
              <w:widowControl/>
              <w:jc w:val="center"/>
              <w:textAlignment w:val="center"/>
              <w:rPr>
                <w:rFonts w:ascii="宋体" w:cs="宋体"/>
                <w:color w:val="000000"/>
                <w:sz w:val="24"/>
              </w:rPr>
            </w:pPr>
            <w:r>
              <w:rPr>
                <w:rFonts w:hint="eastAsia" w:ascii="仿宋_GB2312" w:hAnsi="宋体"/>
                <w:szCs w:val="32"/>
                <w:lang w:val="zh-CN"/>
              </w:rPr>
              <w:t>集镇公共设施运维的实施有效改善集镇环境，促进区域经济发展，受到群众的一致好评。</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3F349">
            <w:pPr>
              <w:widowControl/>
              <w:textAlignment w:val="center"/>
              <w:rPr>
                <w:rFonts w:ascii="宋体" w:cs="宋体"/>
                <w:color w:val="000000"/>
                <w:sz w:val="24"/>
              </w:rPr>
            </w:pPr>
            <w:r>
              <w:rPr>
                <w:rFonts w:hint="eastAsia" w:ascii="宋体" w:cs="宋体"/>
                <w:color w:val="000000"/>
                <w:sz w:val="24"/>
              </w:rPr>
              <w:t>达到</w:t>
            </w:r>
            <w:r>
              <w:rPr>
                <w:rFonts w:ascii="宋体" w:cs="宋体"/>
                <w:color w:val="000000"/>
                <w:sz w:val="24"/>
              </w:rPr>
              <w:t>95%</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25CB93">
            <w:pPr>
              <w:widowControl/>
              <w:jc w:val="center"/>
              <w:textAlignment w:val="center"/>
              <w:rPr>
                <w:rFonts w:ascii="宋体" w:cs="宋体"/>
                <w:color w:val="000000"/>
                <w:sz w:val="24"/>
              </w:rPr>
            </w:pPr>
            <w:r>
              <w:rPr>
                <w:rFonts w:ascii="宋体" w:cs="宋体"/>
                <w:color w:val="000000"/>
                <w:sz w:val="24"/>
              </w:rPr>
              <w:t>97%</w:t>
            </w:r>
            <w:r>
              <w:rPr>
                <w:rFonts w:hint="eastAsia" w:ascii="宋体" w:cs="宋体"/>
                <w:color w:val="000000"/>
                <w:sz w:val="24"/>
              </w:rPr>
              <w:t>以上</w:t>
            </w:r>
          </w:p>
        </w:tc>
      </w:tr>
    </w:tbl>
    <w:p w14:paraId="6DC63CA8">
      <w:pPr>
        <w:spacing w:line="580" w:lineRule="exact"/>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77" w:type="dxa"/>
        <w:jc w:val="center"/>
        <w:tblLayout w:type="fixed"/>
        <w:tblCellMar>
          <w:top w:w="0" w:type="dxa"/>
          <w:left w:w="0" w:type="dxa"/>
          <w:bottom w:w="0" w:type="dxa"/>
          <w:right w:w="0" w:type="dxa"/>
        </w:tblCellMar>
      </w:tblPr>
      <w:tblGrid>
        <w:gridCol w:w="391"/>
        <w:gridCol w:w="1369"/>
        <w:gridCol w:w="1027"/>
        <w:gridCol w:w="2396"/>
        <w:gridCol w:w="2398"/>
        <w:gridCol w:w="2396"/>
      </w:tblGrid>
      <w:tr w14:paraId="01B6B6DB">
        <w:tblPrEx>
          <w:tblCellMar>
            <w:top w:w="0" w:type="dxa"/>
            <w:left w:w="0" w:type="dxa"/>
            <w:bottom w:w="0" w:type="dxa"/>
            <w:right w:w="0" w:type="dxa"/>
          </w:tblCellMar>
        </w:tblPrEx>
        <w:trPr>
          <w:trHeight w:val="1041" w:hRule="atLeast"/>
          <w:jc w:val="center"/>
        </w:trPr>
        <w:tc>
          <w:tcPr>
            <w:tcW w:w="9977" w:type="dxa"/>
            <w:gridSpan w:val="6"/>
            <w:tcBorders>
              <w:top w:val="nil"/>
              <w:left w:val="nil"/>
              <w:bottom w:val="nil"/>
              <w:right w:val="nil"/>
            </w:tcBorders>
            <w:tcMar>
              <w:top w:w="15" w:type="dxa"/>
              <w:left w:w="15" w:type="dxa"/>
              <w:right w:w="15" w:type="dxa"/>
            </w:tcMar>
            <w:vAlign w:val="center"/>
          </w:tcPr>
          <w:p w14:paraId="38D4063C">
            <w:pPr>
              <w:widowControl/>
              <w:jc w:val="center"/>
              <w:textAlignment w:val="center"/>
              <w:rPr>
                <w:rFonts w:ascii="黑体" w:hAnsi="黑体" w:eastAsia="黑体" w:cs="宋体"/>
                <w:color w:val="000000"/>
                <w:sz w:val="32"/>
                <w:szCs w:val="32"/>
              </w:rPr>
            </w:pPr>
            <w:r>
              <w:rPr>
                <w:rFonts w:hint="eastAsia" w:ascii="黑体" w:hAnsi="黑体" w:eastAsia="黑体" w:cs="宋体"/>
                <w:b/>
                <w:bCs/>
                <w:color w:val="000000"/>
                <w:kern w:val="0"/>
                <w:sz w:val="32"/>
                <w:szCs w:val="32"/>
              </w:rPr>
              <w:t>项目绩效目标完成情况表</w:t>
            </w:r>
            <w:r>
              <w:rPr>
                <w:rFonts w:ascii="黑体" w:hAnsi="黑体" w:eastAsia="黑体" w:cs="宋体"/>
                <w:b/>
                <w:bCs/>
                <w:color w:val="000000"/>
                <w:kern w:val="0"/>
                <w:sz w:val="32"/>
                <w:szCs w:val="32"/>
              </w:rPr>
              <w:br w:type="textWrapping"/>
            </w:r>
            <w:r>
              <w:rPr>
                <w:rFonts w:ascii="黑体" w:hAnsi="黑体" w:eastAsia="黑体" w:cs="宋体"/>
                <w:color w:val="000000"/>
                <w:kern w:val="0"/>
                <w:sz w:val="32"/>
                <w:szCs w:val="32"/>
              </w:rPr>
              <w:t xml:space="preserve">(2019 </w:t>
            </w:r>
            <w:r>
              <w:rPr>
                <w:rFonts w:hint="eastAsia" w:ascii="黑体" w:hAnsi="黑体" w:eastAsia="黑体" w:cs="宋体"/>
                <w:color w:val="000000"/>
                <w:kern w:val="0"/>
                <w:sz w:val="32"/>
                <w:szCs w:val="32"/>
              </w:rPr>
              <w:t>年度</w:t>
            </w:r>
            <w:r>
              <w:rPr>
                <w:rFonts w:ascii="黑体" w:hAnsi="黑体" w:eastAsia="黑体" w:cs="宋体"/>
                <w:color w:val="000000"/>
                <w:kern w:val="0"/>
                <w:sz w:val="32"/>
                <w:szCs w:val="32"/>
              </w:rPr>
              <w:t>)</w:t>
            </w:r>
          </w:p>
        </w:tc>
      </w:tr>
      <w:tr w14:paraId="206A2B59">
        <w:tblPrEx>
          <w:tblCellMar>
            <w:top w:w="0" w:type="dxa"/>
            <w:left w:w="0" w:type="dxa"/>
            <w:bottom w:w="0" w:type="dxa"/>
            <w:right w:w="0" w:type="dxa"/>
          </w:tblCellMar>
        </w:tblPrEx>
        <w:trPr>
          <w:trHeight w:val="278" w:hRule="atLeast"/>
          <w:jc w:val="center"/>
        </w:trPr>
        <w:tc>
          <w:tcPr>
            <w:tcW w:w="27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6532A">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1B1301">
            <w:pPr>
              <w:widowControl/>
              <w:jc w:val="center"/>
              <w:textAlignment w:val="center"/>
              <w:rPr>
                <w:rFonts w:ascii="宋体" w:cs="宋体"/>
                <w:color w:val="000000"/>
                <w:sz w:val="24"/>
              </w:rPr>
            </w:pPr>
            <w:r>
              <w:rPr>
                <w:rFonts w:hint="eastAsia" w:ascii="仿宋_GB2312" w:hAnsi="仿宋_GB2312" w:eastAsia="仿宋_GB2312" w:cs="仿宋_GB2312"/>
                <w:sz w:val="32"/>
                <w:szCs w:val="32"/>
              </w:rPr>
              <w:t>武装工作经费</w:t>
            </w:r>
          </w:p>
        </w:tc>
      </w:tr>
      <w:tr w14:paraId="54ECA509">
        <w:tblPrEx>
          <w:tblCellMar>
            <w:top w:w="0" w:type="dxa"/>
            <w:left w:w="0" w:type="dxa"/>
            <w:bottom w:w="0" w:type="dxa"/>
            <w:right w:w="0" w:type="dxa"/>
          </w:tblCellMar>
        </w:tblPrEx>
        <w:trPr>
          <w:trHeight w:val="278" w:hRule="atLeast"/>
          <w:jc w:val="center"/>
        </w:trPr>
        <w:tc>
          <w:tcPr>
            <w:tcW w:w="27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21BC72">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F2247B">
            <w:pPr>
              <w:widowControl/>
              <w:jc w:val="center"/>
              <w:textAlignment w:val="center"/>
              <w:rPr>
                <w:rFonts w:ascii="宋体" w:cs="宋体"/>
                <w:color w:val="000000"/>
                <w:sz w:val="24"/>
              </w:rPr>
            </w:pPr>
            <w:r>
              <w:rPr>
                <w:rFonts w:hint="eastAsia" w:ascii="宋体" w:cs="宋体"/>
                <w:color w:val="000000"/>
                <w:sz w:val="24"/>
              </w:rPr>
              <w:t>峨眉山市胜利镇人民政府</w:t>
            </w:r>
          </w:p>
        </w:tc>
      </w:tr>
      <w:tr w14:paraId="116F0A73">
        <w:tblPrEx>
          <w:tblCellMar>
            <w:top w:w="0" w:type="dxa"/>
            <w:left w:w="0" w:type="dxa"/>
            <w:bottom w:w="0" w:type="dxa"/>
            <w:right w:w="0" w:type="dxa"/>
          </w:tblCellMar>
        </w:tblPrEx>
        <w:trPr>
          <w:trHeight w:val="278" w:hRule="atLeast"/>
          <w:jc w:val="center"/>
        </w:trPr>
        <w:tc>
          <w:tcPr>
            <w:tcW w:w="3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03F22E">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6EA3B">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6EB768">
            <w:pPr>
              <w:widowControl/>
              <w:jc w:val="center"/>
              <w:textAlignment w:val="center"/>
              <w:rPr>
                <w:rFonts w:ascii="宋体" w:cs="宋体"/>
                <w:color w:val="000000"/>
                <w:sz w:val="24"/>
              </w:rPr>
            </w:pPr>
            <w:r>
              <w:rPr>
                <w:rFonts w:ascii="宋体" w:cs="宋体"/>
                <w:color w:val="000000"/>
                <w:sz w:val="24"/>
              </w:rPr>
              <w:t>0.5</w:t>
            </w:r>
            <w:r>
              <w:rPr>
                <w:rFonts w:hint="eastAsia" w:ascii="宋体" w:cs="宋体"/>
                <w:color w:val="000000"/>
                <w:sz w:val="24"/>
              </w:rPr>
              <w:t>万元</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BA517E">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840F71">
            <w:pPr>
              <w:widowControl/>
              <w:jc w:val="center"/>
              <w:textAlignment w:val="center"/>
              <w:rPr>
                <w:rFonts w:ascii="宋体" w:cs="宋体"/>
                <w:color w:val="000000"/>
                <w:sz w:val="24"/>
              </w:rPr>
            </w:pPr>
            <w:r>
              <w:rPr>
                <w:rFonts w:ascii="宋体" w:cs="宋体"/>
                <w:color w:val="000000"/>
                <w:sz w:val="24"/>
              </w:rPr>
              <w:t>0.5</w:t>
            </w:r>
            <w:r>
              <w:rPr>
                <w:rFonts w:hint="eastAsia" w:ascii="宋体" w:cs="宋体"/>
                <w:color w:val="000000"/>
                <w:sz w:val="24"/>
              </w:rPr>
              <w:t>万元</w:t>
            </w:r>
          </w:p>
        </w:tc>
      </w:tr>
      <w:tr w14:paraId="745A5005">
        <w:tblPrEx>
          <w:tblCellMar>
            <w:top w:w="0" w:type="dxa"/>
            <w:left w:w="0" w:type="dxa"/>
            <w:bottom w:w="0" w:type="dxa"/>
            <w:right w:w="0" w:type="dxa"/>
          </w:tblCellMar>
        </w:tblPrEx>
        <w:trPr>
          <w:trHeight w:val="278" w:hRule="atLeast"/>
          <w:jc w:val="center"/>
        </w:trPr>
        <w:tc>
          <w:tcPr>
            <w:tcW w:w="3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85B61E">
            <w:pPr>
              <w:jc w:val="center"/>
              <w:rPr>
                <w:rFonts w:ascii="宋体" w:cs="宋体"/>
                <w:color w:val="000000"/>
                <w:sz w:val="24"/>
              </w:rPr>
            </w:pPr>
          </w:p>
        </w:tc>
        <w:tc>
          <w:tcPr>
            <w:tcW w:w="23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D2C33B">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80C5A">
            <w:pPr>
              <w:widowControl/>
              <w:jc w:val="center"/>
              <w:textAlignment w:val="center"/>
              <w:rPr>
                <w:rFonts w:ascii="宋体" w:cs="宋体"/>
                <w:color w:val="000000"/>
                <w:sz w:val="24"/>
              </w:rPr>
            </w:pPr>
            <w:r>
              <w:rPr>
                <w:rFonts w:ascii="宋体" w:cs="宋体"/>
                <w:color w:val="000000"/>
                <w:sz w:val="24"/>
              </w:rPr>
              <w:t>0.5</w:t>
            </w:r>
            <w:r>
              <w:rPr>
                <w:rFonts w:hint="eastAsia" w:ascii="宋体" w:cs="宋体"/>
                <w:color w:val="000000"/>
                <w:sz w:val="24"/>
              </w:rPr>
              <w:t>万元</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B91F4">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569179">
            <w:pPr>
              <w:widowControl/>
              <w:jc w:val="center"/>
              <w:textAlignment w:val="center"/>
              <w:rPr>
                <w:rFonts w:ascii="宋体" w:cs="宋体"/>
                <w:color w:val="000000"/>
                <w:sz w:val="24"/>
              </w:rPr>
            </w:pPr>
            <w:r>
              <w:rPr>
                <w:rFonts w:ascii="宋体" w:cs="宋体"/>
                <w:color w:val="000000"/>
                <w:sz w:val="24"/>
              </w:rPr>
              <w:t>0.5</w:t>
            </w:r>
            <w:r>
              <w:rPr>
                <w:rFonts w:hint="eastAsia" w:ascii="宋体" w:cs="宋体"/>
                <w:color w:val="000000"/>
                <w:sz w:val="24"/>
              </w:rPr>
              <w:t>万元</w:t>
            </w:r>
          </w:p>
        </w:tc>
      </w:tr>
      <w:tr w14:paraId="738C34A2">
        <w:tblPrEx>
          <w:tblCellMar>
            <w:top w:w="0" w:type="dxa"/>
            <w:left w:w="0" w:type="dxa"/>
            <w:bottom w:w="0" w:type="dxa"/>
            <w:right w:w="0" w:type="dxa"/>
          </w:tblCellMar>
        </w:tblPrEx>
        <w:trPr>
          <w:trHeight w:val="1522" w:hRule="atLeast"/>
          <w:jc w:val="center"/>
        </w:trPr>
        <w:tc>
          <w:tcPr>
            <w:tcW w:w="3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3ED186">
            <w:pPr>
              <w:jc w:val="center"/>
              <w:rPr>
                <w:rFonts w:ascii="宋体" w:cs="宋体"/>
                <w:color w:val="000000"/>
                <w:sz w:val="24"/>
              </w:rPr>
            </w:pPr>
          </w:p>
        </w:tc>
        <w:tc>
          <w:tcPr>
            <w:tcW w:w="23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80DBE">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64CF9">
            <w:pPr>
              <w:widowControl/>
              <w:jc w:val="center"/>
              <w:textAlignment w:val="center"/>
              <w:rPr>
                <w:rFonts w:ascii="宋体" w:cs="宋体"/>
                <w:color w:val="000000"/>
                <w:sz w:val="24"/>
              </w:rPr>
            </w:pPr>
            <w:r>
              <w:rPr>
                <w:rFonts w:ascii="宋体" w:cs="宋体"/>
                <w:color w:val="000000"/>
                <w:sz w:val="24"/>
              </w:rPr>
              <w:t>0</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F84FE7">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F7EA0">
            <w:pPr>
              <w:jc w:val="center"/>
              <w:rPr>
                <w:rFonts w:ascii="宋体" w:cs="宋体"/>
                <w:color w:val="000000"/>
                <w:sz w:val="24"/>
              </w:rPr>
            </w:pPr>
            <w:r>
              <w:rPr>
                <w:rFonts w:ascii="宋体" w:cs="宋体"/>
                <w:color w:val="000000"/>
                <w:sz w:val="24"/>
              </w:rPr>
              <w:t>0</w:t>
            </w:r>
          </w:p>
        </w:tc>
      </w:tr>
      <w:tr w14:paraId="327FAFBE">
        <w:tblPrEx>
          <w:tblCellMar>
            <w:top w:w="0" w:type="dxa"/>
            <w:left w:w="0" w:type="dxa"/>
            <w:bottom w:w="0" w:type="dxa"/>
            <w:right w:w="0" w:type="dxa"/>
          </w:tblCellMar>
        </w:tblPrEx>
        <w:trPr>
          <w:trHeight w:val="278" w:hRule="atLeast"/>
          <w:jc w:val="center"/>
        </w:trPr>
        <w:tc>
          <w:tcPr>
            <w:tcW w:w="3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B9C434">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4633B5">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7D7BBA">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14:paraId="34DF2ADF">
        <w:tblPrEx>
          <w:tblCellMar>
            <w:top w:w="0" w:type="dxa"/>
            <w:left w:w="0" w:type="dxa"/>
            <w:bottom w:w="0" w:type="dxa"/>
            <w:right w:w="0" w:type="dxa"/>
          </w:tblCellMar>
        </w:tblPrEx>
        <w:trPr>
          <w:trHeight w:val="1167" w:hRule="atLeast"/>
          <w:jc w:val="center"/>
        </w:trPr>
        <w:tc>
          <w:tcPr>
            <w:tcW w:w="3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5AE9B2">
            <w:pPr>
              <w:jc w:val="center"/>
              <w:rPr>
                <w:rFonts w:ascii="宋体" w:cs="宋体"/>
                <w:color w:val="000000"/>
                <w:sz w:val="24"/>
              </w:rPr>
            </w:pPr>
          </w:p>
        </w:tc>
        <w:tc>
          <w:tcPr>
            <w:tcW w:w="47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F82D07">
            <w:pPr>
              <w:widowControl/>
              <w:jc w:val="center"/>
              <w:textAlignment w:val="center"/>
              <w:rPr>
                <w:rFonts w:ascii="宋体" w:cs="宋体"/>
                <w:color w:val="000000"/>
                <w:sz w:val="24"/>
              </w:rPr>
            </w:pPr>
            <w:r>
              <w:rPr>
                <w:rFonts w:hint="eastAsia" w:ascii="宋体" w:cs="宋体"/>
                <w:color w:val="000000"/>
                <w:sz w:val="24"/>
              </w:rPr>
              <w:t>预计全面完成征兵、民兵预备训练工作。</w:t>
            </w:r>
          </w:p>
        </w:tc>
        <w:tc>
          <w:tcPr>
            <w:tcW w:w="47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1B9307">
            <w:pPr>
              <w:widowControl/>
              <w:jc w:val="center"/>
              <w:textAlignment w:val="center"/>
              <w:rPr>
                <w:rFonts w:ascii="宋体" w:cs="宋体"/>
                <w:color w:val="000000"/>
                <w:sz w:val="24"/>
              </w:rPr>
            </w:pPr>
            <w:r>
              <w:rPr>
                <w:rFonts w:hint="eastAsia" w:ascii="宋体" w:cs="宋体"/>
                <w:color w:val="000000"/>
                <w:sz w:val="24"/>
              </w:rPr>
              <w:t>全面完成征兵、民兵预备训练工作。</w:t>
            </w:r>
          </w:p>
        </w:tc>
      </w:tr>
      <w:tr w14:paraId="00D8E36B">
        <w:tblPrEx>
          <w:tblCellMar>
            <w:top w:w="0" w:type="dxa"/>
            <w:left w:w="0" w:type="dxa"/>
            <w:bottom w:w="0" w:type="dxa"/>
            <w:right w:w="0" w:type="dxa"/>
          </w:tblCellMar>
        </w:tblPrEx>
        <w:trPr>
          <w:trHeight w:val="1049" w:hRule="atLeast"/>
          <w:jc w:val="center"/>
        </w:trPr>
        <w:tc>
          <w:tcPr>
            <w:tcW w:w="39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76DB5F4">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D35DA">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A05E1C">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A9280">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BD85D8">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7BAAB5">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14:paraId="77066786">
        <w:tblPrEx>
          <w:tblCellMar>
            <w:top w:w="0" w:type="dxa"/>
            <w:left w:w="0" w:type="dxa"/>
            <w:bottom w:w="0" w:type="dxa"/>
            <w:right w:w="0" w:type="dxa"/>
          </w:tblCellMar>
        </w:tblPrEx>
        <w:trPr>
          <w:trHeight w:val="960" w:hRule="atLeast"/>
          <w:jc w:val="center"/>
        </w:trPr>
        <w:tc>
          <w:tcPr>
            <w:tcW w:w="391" w:type="dxa"/>
            <w:vMerge w:val="continue"/>
            <w:tcBorders>
              <w:left w:val="single" w:color="000000" w:sz="4" w:space="0"/>
              <w:right w:val="single" w:color="000000" w:sz="4" w:space="0"/>
            </w:tcBorders>
            <w:tcMar>
              <w:top w:w="15" w:type="dxa"/>
              <w:left w:w="15" w:type="dxa"/>
              <w:right w:w="15" w:type="dxa"/>
            </w:tcMar>
            <w:vAlign w:val="center"/>
          </w:tcPr>
          <w:p w14:paraId="625D6270">
            <w:pPr>
              <w:widowControl/>
              <w:jc w:val="center"/>
              <w:textAlignment w:val="center"/>
              <w:rPr>
                <w:rFonts w:ascii="宋体" w:cs="宋体"/>
                <w:color w:val="000000"/>
                <w:sz w:val="24"/>
              </w:rPr>
            </w:pP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4AE8E">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D8267">
            <w:pPr>
              <w:widowControl/>
              <w:jc w:val="center"/>
              <w:textAlignment w:val="center"/>
              <w:rPr>
                <w:rFonts w:ascii="宋体" w:cs="宋体"/>
                <w:color w:val="000000"/>
                <w:sz w:val="24"/>
              </w:rPr>
            </w:pPr>
            <w:r>
              <w:rPr>
                <w:rFonts w:hint="eastAsia" w:ascii="宋体" w:hAnsi="宋体" w:cs="宋体"/>
                <w:color w:val="000000"/>
                <w:kern w:val="0"/>
                <w:sz w:val="24"/>
              </w:rPr>
              <w:t>数量指标</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5DA25D">
            <w:pPr>
              <w:widowControl/>
              <w:textAlignment w:val="center"/>
              <w:rPr>
                <w:rFonts w:ascii="宋体" w:cs="宋体"/>
                <w:color w:val="000000"/>
                <w:sz w:val="24"/>
              </w:rPr>
            </w:pPr>
            <w:r>
              <w:rPr>
                <w:rFonts w:hint="eastAsia" w:ascii="宋体" w:cs="宋体"/>
                <w:color w:val="000000"/>
                <w:sz w:val="24"/>
              </w:rPr>
              <w:t>开展民兵预备役训练</w:t>
            </w:r>
            <w:r>
              <w:rPr>
                <w:rFonts w:ascii="宋体" w:cs="宋体"/>
                <w:color w:val="000000"/>
                <w:sz w:val="24"/>
              </w:rPr>
              <w:t>5</w:t>
            </w:r>
            <w:r>
              <w:rPr>
                <w:rFonts w:hint="eastAsia" w:ascii="宋体" w:cs="宋体"/>
                <w:color w:val="000000"/>
                <w:sz w:val="24"/>
              </w:rPr>
              <w:t>次</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014B2C">
            <w:pPr>
              <w:widowControl/>
              <w:textAlignment w:val="center"/>
              <w:rPr>
                <w:rFonts w:ascii="宋体" w:cs="宋体"/>
                <w:color w:val="000000"/>
                <w:sz w:val="24"/>
              </w:rPr>
            </w:pPr>
            <w:r>
              <w:rPr>
                <w:rFonts w:hint="eastAsia" w:ascii="宋体" w:cs="宋体"/>
                <w:color w:val="000000"/>
                <w:sz w:val="24"/>
              </w:rPr>
              <w:t>预计开展民兵预备役训练</w:t>
            </w:r>
            <w:r>
              <w:rPr>
                <w:rFonts w:ascii="宋体" w:cs="宋体"/>
                <w:color w:val="000000"/>
                <w:sz w:val="24"/>
              </w:rPr>
              <w:t>5</w:t>
            </w:r>
            <w:r>
              <w:rPr>
                <w:rFonts w:hint="eastAsia" w:ascii="宋体" w:cs="宋体"/>
                <w:color w:val="000000"/>
                <w:sz w:val="24"/>
              </w:rPr>
              <w:t>次</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9C281C">
            <w:pPr>
              <w:widowControl/>
              <w:textAlignment w:val="center"/>
              <w:rPr>
                <w:rFonts w:ascii="宋体" w:cs="宋体"/>
                <w:color w:val="000000"/>
                <w:sz w:val="24"/>
              </w:rPr>
            </w:pPr>
            <w:r>
              <w:rPr>
                <w:rFonts w:hint="eastAsia" w:ascii="宋体" w:cs="宋体"/>
                <w:color w:val="000000"/>
                <w:sz w:val="24"/>
              </w:rPr>
              <w:t>开展民兵预备役训练</w:t>
            </w:r>
            <w:r>
              <w:rPr>
                <w:rFonts w:ascii="宋体" w:cs="宋体"/>
                <w:color w:val="000000"/>
                <w:sz w:val="24"/>
              </w:rPr>
              <w:t>5</w:t>
            </w:r>
            <w:r>
              <w:rPr>
                <w:rFonts w:hint="eastAsia" w:ascii="宋体" w:cs="宋体"/>
                <w:color w:val="000000"/>
                <w:sz w:val="24"/>
              </w:rPr>
              <w:t>次</w:t>
            </w:r>
          </w:p>
        </w:tc>
      </w:tr>
      <w:tr w14:paraId="1F38A21D">
        <w:tblPrEx>
          <w:tblCellMar>
            <w:top w:w="0" w:type="dxa"/>
            <w:left w:w="0" w:type="dxa"/>
            <w:bottom w:w="0" w:type="dxa"/>
            <w:right w:w="0" w:type="dxa"/>
          </w:tblCellMar>
        </w:tblPrEx>
        <w:trPr>
          <w:trHeight w:val="960" w:hRule="atLeast"/>
          <w:jc w:val="center"/>
        </w:trPr>
        <w:tc>
          <w:tcPr>
            <w:tcW w:w="391" w:type="dxa"/>
            <w:vMerge w:val="continue"/>
            <w:tcBorders>
              <w:left w:val="single" w:color="000000" w:sz="4" w:space="0"/>
              <w:right w:val="single" w:color="000000" w:sz="4" w:space="0"/>
            </w:tcBorders>
            <w:tcMar>
              <w:top w:w="15" w:type="dxa"/>
              <w:left w:w="15" w:type="dxa"/>
              <w:right w:w="15" w:type="dxa"/>
            </w:tcMar>
            <w:vAlign w:val="center"/>
          </w:tcPr>
          <w:p w14:paraId="2D0DB221">
            <w:pPr>
              <w:widowControl/>
              <w:jc w:val="center"/>
              <w:textAlignment w:val="center"/>
              <w:rPr>
                <w:rFonts w:ascii="宋体" w:cs="宋体"/>
                <w:color w:val="000000"/>
                <w:sz w:val="24"/>
              </w:rPr>
            </w:pP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342F33">
            <w:pPr>
              <w:widowControl/>
              <w:jc w:val="center"/>
              <w:textAlignment w:val="center"/>
              <w:rPr>
                <w:rFonts w:ascii="宋体" w:cs="宋体"/>
                <w:color w:val="000000"/>
                <w:kern w:val="0"/>
                <w:sz w:val="24"/>
              </w:rPr>
            </w:pPr>
            <w:r>
              <w:rPr>
                <w:rFonts w:hint="eastAsia" w:ascii="宋体" w:hAnsi="宋体" w:cs="宋体"/>
                <w:color w:val="000000"/>
                <w:kern w:val="0"/>
                <w:sz w:val="24"/>
              </w:rPr>
              <w:t>项目效益</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05FF47">
            <w:pPr>
              <w:widowControl/>
              <w:jc w:val="center"/>
              <w:textAlignment w:val="center"/>
              <w:rPr>
                <w:rFonts w:ascii="宋体" w:cs="宋体"/>
                <w:color w:val="000000"/>
                <w:sz w:val="24"/>
              </w:rPr>
            </w:pPr>
            <w:r>
              <w:rPr>
                <w:rFonts w:hint="eastAsia" w:ascii="宋体" w:hAnsi="宋体" w:cs="宋体"/>
                <w:color w:val="000000"/>
                <w:kern w:val="0"/>
                <w:sz w:val="24"/>
              </w:rPr>
              <w:t>时效指标</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08FA47">
            <w:pPr>
              <w:widowControl/>
              <w:textAlignment w:val="center"/>
              <w:rPr>
                <w:rFonts w:ascii="宋体" w:cs="宋体"/>
                <w:color w:val="000000"/>
                <w:sz w:val="24"/>
              </w:rPr>
            </w:pPr>
            <w:r>
              <w:rPr>
                <w:rFonts w:hint="eastAsia" w:ascii="宋体" w:cs="宋体"/>
                <w:color w:val="000000"/>
                <w:sz w:val="24"/>
              </w:rPr>
              <w:t>按时输送兵员，全面完成兵役登记任务</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C24EA">
            <w:pPr>
              <w:widowControl/>
              <w:textAlignment w:val="center"/>
              <w:rPr>
                <w:rFonts w:ascii="宋体" w:cs="宋体"/>
                <w:color w:val="000000"/>
                <w:sz w:val="24"/>
              </w:rPr>
            </w:pPr>
            <w:r>
              <w:rPr>
                <w:rFonts w:hint="eastAsia" w:ascii="宋体" w:cs="宋体"/>
                <w:color w:val="000000"/>
                <w:sz w:val="24"/>
              </w:rPr>
              <w:t>预计完成为部队输送兵员</w:t>
            </w:r>
            <w:r>
              <w:rPr>
                <w:rFonts w:ascii="宋体" w:cs="宋体"/>
                <w:color w:val="000000"/>
                <w:sz w:val="24"/>
              </w:rPr>
              <w:t>10</w:t>
            </w:r>
            <w:r>
              <w:rPr>
                <w:rFonts w:hint="eastAsia" w:ascii="宋体" w:cs="宋体"/>
                <w:color w:val="000000"/>
                <w:sz w:val="24"/>
              </w:rPr>
              <w:t>人</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1D0F84">
            <w:pPr>
              <w:widowControl/>
              <w:textAlignment w:val="center"/>
              <w:rPr>
                <w:rFonts w:ascii="宋体" w:cs="宋体"/>
                <w:color w:val="000000"/>
                <w:sz w:val="24"/>
              </w:rPr>
            </w:pPr>
            <w:r>
              <w:rPr>
                <w:rFonts w:hint="eastAsia" w:ascii="宋体" w:cs="宋体"/>
                <w:color w:val="000000"/>
                <w:sz w:val="24"/>
              </w:rPr>
              <w:t>完成为部队输送兵员</w:t>
            </w:r>
            <w:r>
              <w:rPr>
                <w:rFonts w:ascii="宋体" w:cs="宋体"/>
                <w:color w:val="000000"/>
                <w:sz w:val="24"/>
              </w:rPr>
              <w:t>10</w:t>
            </w:r>
            <w:r>
              <w:rPr>
                <w:rFonts w:hint="eastAsia" w:ascii="宋体" w:cs="宋体"/>
                <w:color w:val="000000"/>
                <w:sz w:val="24"/>
              </w:rPr>
              <w:t>人</w:t>
            </w:r>
          </w:p>
        </w:tc>
      </w:tr>
      <w:tr w14:paraId="769F1B9D">
        <w:tblPrEx>
          <w:tblCellMar>
            <w:top w:w="0" w:type="dxa"/>
            <w:left w:w="0" w:type="dxa"/>
            <w:bottom w:w="0" w:type="dxa"/>
            <w:right w:w="0" w:type="dxa"/>
          </w:tblCellMar>
        </w:tblPrEx>
        <w:trPr>
          <w:trHeight w:val="960" w:hRule="atLeast"/>
          <w:jc w:val="center"/>
        </w:trPr>
        <w:tc>
          <w:tcPr>
            <w:tcW w:w="391" w:type="dxa"/>
            <w:vMerge w:val="continue"/>
            <w:tcBorders>
              <w:left w:val="single" w:color="000000" w:sz="4" w:space="0"/>
              <w:right w:val="single" w:color="000000" w:sz="4" w:space="0"/>
            </w:tcBorders>
            <w:tcMar>
              <w:top w:w="15" w:type="dxa"/>
              <w:left w:w="15" w:type="dxa"/>
              <w:right w:w="15" w:type="dxa"/>
            </w:tcMar>
            <w:vAlign w:val="center"/>
          </w:tcPr>
          <w:p w14:paraId="624A607A">
            <w:pPr>
              <w:widowControl/>
              <w:jc w:val="center"/>
              <w:textAlignment w:val="center"/>
              <w:rPr>
                <w:rFonts w:ascii="宋体" w:cs="宋体"/>
                <w:color w:val="000000"/>
                <w:sz w:val="24"/>
              </w:rPr>
            </w:pP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0CD29A">
            <w:pPr>
              <w:widowControl/>
              <w:textAlignment w:val="center"/>
              <w:rPr>
                <w:rFonts w:ascii="宋体" w:cs="宋体"/>
                <w:color w:val="000000"/>
                <w:kern w:val="0"/>
                <w:sz w:val="24"/>
              </w:rPr>
            </w:pPr>
            <w:r>
              <w:rPr>
                <w:rFonts w:hint="eastAsia" w:ascii="宋体" w:hAnsi="宋体" w:cs="宋体"/>
                <w:color w:val="000000"/>
                <w:kern w:val="0"/>
                <w:sz w:val="24"/>
              </w:rPr>
              <w:t>项目效益</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254A4E">
            <w:pPr>
              <w:widowControl/>
              <w:jc w:val="center"/>
              <w:textAlignment w:val="center"/>
              <w:rPr>
                <w:rFonts w:ascii="宋体" w:cs="宋体"/>
                <w:color w:val="000000"/>
                <w:sz w:val="24"/>
              </w:rPr>
            </w:pPr>
            <w:r>
              <w:rPr>
                <w:rFonts w:hint="eastAsia" w:ascii="宋体" w:hAnsi="宋体" w:cs="宋体"/>
                <w:color w:val="000000"/>
                <w:kern w:val="0"/>
                <w:sz w:val="24"/>
              </w:rPr>
              <w:t>可持续影响指标</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381DBA">
            <w:pPr>
              <w:widowControl/>
              <w:jc w:val="center"/>
              <w:textAlignment w:val="center"/>
              <w:rPr>
                <w:rFonts w:ascii="宋体" w:cs="宋体"/>
                <w:color w:val="000000"/>
                <w:sz w:val="24"/>
              </w:rPr>
            </w:pPr>
            <w:r>
              <w:rPr>
                <w:rFonts w:hint="eastAsia" w:ascii="宋体" w:cs="宋体"/>
                <w:color w:val="000000"/>
                <w:sz w:val="24"/>
              </w:rPr>
              <w:t>做好兵役登记</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5BFC71">
            <w:pPr>
              <w:widowControl/>
              <w:textAlignment w:val="center"/>
              <w:rPr>
                <w:rFonts w:ascii="宋体" w:cs="宋体"/>
                <w:color w:val="000000"/>
                <w:sz w:val="24"/>
              </w:rPr>
            </w:pPr>
            <w:r>
              <w:rPr>
                <w:rFonts w:hint="eastAsia" w:ascii="宋体" w:cs="宋体"/>
                <w:color w:val="000000"/>
                <w:sz w:val="24"/>
              </w:rPr>
              <w:t>做好兵役登记，征兵宣传，为明年征集优秀兵员做好基础工作</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832C5">
            <w:pPr>
              <w:widowControl/>
              <w:textAlignment w:val="center"/>
              <w:rPr>
                <w:rFonts w:ascii="宋体" w:cs="宋体"/>
                <w:color w:val="000000"/>
                <w:sz w:val="24"/>
              </w:rPr>
            </w:pPr>
            <w:r>
              <w:rPr>
                <w:rFonts w:hint="eastAsia" w:ascii="宋体" w:cs="宋体"/>
                <w:color w:val="000000"/>
                <w:sz w:val="24"/>
              </w:rPr>
              <w:t>做好兵役登记，征兵宣传，为明年征集优秀兵员做好基础工作</w:t>
            </w:r>
          </w:p>
        </w:tc>
      </w:tr>
      <w:tr w14:paraId="37F006E1">
        <w:tblPrEx>
          <w:tblCellMar>
            <w:top w:w="0" w:type="dxa"/>
            <w:left w:w="0" w:type="dxa"/>
            <w:bottom w:w="0" w:type="dxa"/>
            <w:right w:w="0" w:type="dxa"/>
          </w:tblCellMar>
        </w:tblPrEx>
        <w:trPr>
          <w:trHeight w:val="1057" w:hRule="atLeast"/>
          <w:jc w:val="center"/>
        </w:trPr>
        <w:tc>
          <w:tcPr>
            <w:tcW w:w="391" w:type="dxa"/>
            <w:vMerge w:val="continue"/>
            <w:tcBorders>
              <w:left w:val="single" w:color="000000" w:sz="4" w:space="0"/>
              <w:right w:val="single" w:color="000000" w:sz="4" w:space="0"/>
            </w:tcBorders>
            <w:tcMar>
              <w:top w:w="15" w:type="dxa"/>
              <w:left w:w="15" w:type="dxa"/>
              <w:right w:w="15" w:type="dxa"/>
            </w:tcMar>
            <w:vAlign w:val="center"/>
          </w:tcPr>
          <w:p w14:paraId="2A2DE7C8">
            <w:pPr>
              <w:widowControl/>
              <w:jc w:val="center"/>
              <w:textAlignment w:val="center"/>
              <w:rPr>
                <w:rFonts w:ascii="宋体" w:cs="宋体"/>
                <w:color w:val="000000"/>
                <w:sz w:val="24"/>
              </w:rPr>
            </w:pP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24BA93">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AB7CE">
            <w:pPr>
              <w:widowControl/>
              <w:jc w:val="center"/>
              <w:textAlignment w:val="center"/>
              <w:rPr>
                <w:rFonts w:ascii="宋体" w:cs="宋体"/>
                <w:color w:val="000000"/>
                <w:sz w:val="24"/>
              </w:rPr>
            </w:pPr>
            <w:r>
              <w:rPr>
                <w:rFonts w:hint="eastAsia" w:ascii="宋体" w:hAnsi="宋体" w:cs="宋体"/>
                <w:color w:val="000000"/>
                <w:kern w:val="0"/>
                <w:sz w:val="24"/>
              </w:rPr>
              <w:t>满意度</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D835C">
            <w:pPr>
              <w:widowControl/>
              <w:jc w:val="center"/>
              <w:textAlignment w:val="center"/>
              <w:rPr>
                <w:rFonts w:ascii="宋体" w:cs="宋体"/>
                <w:color w:val="000000"/>
                <w:sz w:val="24"/>
              </w:rPr>
            </w:pPr>
            <w:r>
              <w:rPr>
                <w:rFonts w:hint="eastAsia" w:ascii="宋体" w:cs="宋体"/>
                <w:color w:val="000000"/>
                <w:sz w:val="24"/>
              </w:rPr>
              <w:t>增强主动参军意识</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1E1342">
            <w:pPr>
              <w:widowControl/>
              <w:textAlignment w:val="center"/>
              <w:rPr>
                <w:rFonts w:ascii="宋体" w:cs="宋体"/>
                <w:color w:val="000000"/>
                <w:sz w:val="24"/>
              </w:rPr>
            </w:pPr>
            <w:r>
              <w:rPr>
                <w:rFonts w:hint="eastAsia" w:ascii="宋体" w:cs="宋体"/>
                <w:color w:val="000000"/>
                <w:sz w:val="24"/>
              </w:rPr>
              <w:t>增强群众的主动参军意识，提高民兵综合素质</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7B1C93">
            <w:pPr>
              <w:widowControl/>
              <w:jc w:val="center"/>
              <w:textAlignment w:val="center"/>
              <w:rPr>
                <w:rFonts w:ascii="宋体" w:cs="宋体"/>
                <w:color w:val="000000"/>
                <w:sz w:val="24"/>
              </w:rPr>
            </w:pPr>
            <w:r>
              <w:rPr>
                <w:rFonts w:hint="eastAsia" w:ascii="宋体" w:cs="宋体"/>
                <w:color w:val="000000"/>
                <w:sz w:val="24"/>
              </w:rPr>
              <w:t>增强群众的主动参军意识，提高民兵综合素质</w:t>
            </w:r>
          </w:p>
        </w:tc>
      </w:tr>
    </w:tbl>
    <w:p w14:paraId="6C249FB2">
      <w:pPr>
        <w:ind w:left="630"/>
        <w:rPr>
          <w:rFonts w:ascii="楷体_GB2312" w:hAnsi="楷体_GB2312" w:eastAsia="楷体_GB2312" w:cs="楷体_GB2312"/>
          <w:sz w:val="32"/>
          <w:szCs w:val="32"/>
        </w:rPr>
      </w:pPr>
    </w:p>
    <w:tbl>
      <w:tblPr>
        <w:tblStyle w:val="13"/>
        <w:tblpPr w:leftFromText="180" w:rightFromText="180" w:vertAnchor="text" w:horzAnchor="page" w:tblpXSpec="center" w:tblpY="423"/>
        <w:tblOverlap w:val="never"/>
        <w:tblW w:w="9977" w:type="dxa"/>
        <w:jc w:val="center"/>
        <w:tblLayout w:type="fixed"/>
        <w:tblCellMar>
          <w:top w:w="0" w:type="dxa"/>
          <w:left w:w="0" w:type="dxa"/>
          <w:bottom w:w="0" w:type="dxa"/>
          <w:right w:w="0" w:type="dxa"/>
        </w:tblCellMar>
      </w:tblPr>
      <w:tblGrid>
        <w:gridCol w:w="391"/>
        <w:gridCol w:w="1369"/>
        <w:gridCol w:w="1027"/>
        <w:gridCol w:w="2396"/>
        <w:gridCol w:w="2398"/>
        <w:gridCol w:w="2396"/>
      </w:tblGrid>
      <w:tr w14:paraId="2021A458">
        <w:tblPrEx>
          <w:tblCellMar>
            <w:top w:w="0" w:type="dxa"/>
            <w:left w:w="0" w:type="dxa"/>
            <w:bottom w:w="0" w:type="dxa"/>
            <w:right w:w="0" w:type="dxa"/>
          </w:tblCellMar>
        </w:tblPrEx>
        <w:trPr>
          <w:trHeight w:val="1041" w:hRule="atLeast"/>
          <w:jc w:val="center"/>
        </w:trPr>
        <w:tc>
          <w:tcPr>
            <w:tcW w:w="9977" w:type="dxa"/>
            <w:gridSpan w:val="6"/>
            <w:tcBorders>
              <w:top w:val="nil"/>
              <w:left w:val="nil"/>
              <w:bottom w:val="nil"/>
              <w:right w:val="nil"/>
            </w:tcBorders>
            <w:tcMar>
              <w:top w:w="15" w:type="dxa"/>
              <w:left w:w="15" w:type="dxa"/>
              <w:right w:w="15" w:type="dxa"/>
            </w:tcMar>
            <w:vAlign w:val="center"/>
          </w:tcPr>
          <w:p w14:paraId="2824A434">
            <w:pPr>
              <w:widowControl/>
              <w:jc w:val="center"/>
              <w:textAlignment w:val="center"/>
              <w:rPr>
                <w:rFonts w:ascii="黑体" w:hAnsi="黑体" w:eastAsia="黑体" w:cs="宋体"/>
                <w:color w:val="000000"/>
                <w:sz w:val="32"/>
                <w:szCs w:val="32"/>
              </w:rPr>
            </w:pPr>
            <w:r>
              <w:rPr>
                <w:rFonts w:hint="eastAsia" w:ascii="黑体" w:hAnsi="黑体" w:eastAsia="黑体" w:cs="宋体"/>
                <w:b/>
                <w:bCs/>
                <w:color w:val="000000"/>
                <w:kern w:val="0"/>
                <w:sz w:val="32"/>
                <w:szCs w:val="32"/>
              </w:rPr>
              <w:t>项目绩效目标完成情况表</w:t>
            </w:r>
            <w:r>
              <w:rPr>
                <w:rFonts w:ascii="黑体" w:hAnsi="黑体" w:eastAsia="黑体" w:cs="宋体"/>
                <w:b/>
                <w:bCs/>
                <w:color w:val="000000"/>
                <w:kern w:val="0"/>
                <w:sz w:val="32"/>
                <w:szCs w:val="32"/>
              </w:rPr>
              <w:br w:type="textWrapping"/>
            </w:r>
            <w:r>
              <w:rPr>
                <w:rFonts w:ascii="黑体" w:hAnsi="黑体" w:eastAsia="黑体" w:cs="宋体"/>
                <w:color w:val="000000"/>
                <w:kern w:val="0"/>
                <w:sz w:val="32"/>
                <w:szCs w:val="32"/>
              </w:rPr>
              <w:t xml:space="preserve">(2019 </w:t>
            </w:r>
            <w:r>
              <w:rPr>
                <w:rFonts w:hint="eastAsia" w:ascii="黑体" w:hAnsi="黑体" w:eastAsia="黑体" w:cs="宋体"/>
                <w:color w:val="000000"/>
                <w:kern w:val="0"/>
                <w:sz w:val="32"/>
                <w:szCs w:val="32"/>
              </w:rPr>
              <w:t>年度</w:t>
            </w:r>
            <w:r>
              <w:rPr>
                <w:rFonts w:ascii="黑体" w:hAnsi="黑体" w:eastAsia="黑体" w:cs="宋体"/>
                <w:color w:val="000000"/>
                <w:kern w:val="0"/>
                <w:sz w:val="32"/>
                <w:szCs w:val="32"/>
              </w:rPr>
              <w:t>)</w:t>
            </w:r>
          </w:p>
        </w:tc>
      </w:tr>
      <w:tr w14:paraId="07B7AAE7">
        <w:tblPrEx>
          <w:tblCellMar>
            <w:top w:w="0" w:type="dxa"/>
            <w:left w:w="0" w:type="dxa"/>
            <w:bottom w:w="0" w:type="dxa"/>
            <w:right w:w="0" w:type="dxa"/>
          </w:tblCellMar>
        </w:tblPrEx>
        <w:trPr>
          <w:trHeight w:val="278" w:hRule="atLeast"/>
          <w:jc w:val="center"/>
        </w:trPr>
        <w:tc>
          <w:tcPr>
            <w:tcW w:w="27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08F192">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1F1B4A">
            <w:pPr>
              <w:widowControl/>
              <w:jc w:val="center"/>
              <w:textAlignment w:val="center"/>
              <w:rPr>
                <w:rFonts w:ascii="宋体" w:cs="宋体"/>
                <w:color w:val="000000"/>
                <w:sz w:val="24"/>
              </w:rPr>
            </w:pPr>
            <w:r>
              <w:rPr>
                <w:rFonts w:hint="eastAsia" w:ascii="仿宋_GB2312" w:hAnsi="仿宋_GB2312" w:eastAsia="仿宋_GB2312" w:cs="仿宋_GB2312"/>
                <w:sz w:val="32"/>
                <w:szCs w:val="32"/>
              </w:rPr>
              <w:t>纾难解困经费</w:t>
            </w:r>
          </w:p>
        </w:tc>
      </w:tr>
      <w:tr w14:paraId="4928031F">
        <w:tblPrEx>
          <w:tblCellMar>
            <w:top w:w="0" w:type="dxa"/>
            <w:left w:w="0" w:type="dxa"/>
            <w:bottom w:w="0" w:type="dxa"/>
            <w:right w:w="0" w:type="dxa"/>
          </w:tblCellMar>
        </w:tblPrEx>
        <w:trPr>
          <w:trHeight w:val="278" w:hRule="atLeast"/>
          <w:jc w:val="center"/>
        </w:trPr>
        <w:tc>
          <w:tcPr>
            <w:tcW w:w="27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AD0E5A">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E329BB">
            <w:pPr>
              <w:widowControl/>
              <w:jc w:val="center"/>
              <w:textAlignment w:val="center"/>
              <w:rPr>
                <w:rFonts w:ascii="宋体" w:cs="宋体"/>
                <w:color w:val="000000"/>
                <w:sz w:val="24"/>
              </w:rPr>
            </w:pPr>
            <w:r>
              <w:rPr>
                <w:rFonts w:hint="eastAsia" w:ascii="宋体" w:cs="宋体"/>
                <w:color w:val="000000"/>
                <w:sz w:val="24"/>
              </w:rPr>
              <w:t>峨眉山市胜利镇人民政府</w:t>
            </w:r>
          </w:p>
        </w:tc>
      </w:tr>
      <w:tr w14:paraId="44F5680E">
        <w:tblPrEx>
          <w:tblCellMar>
            <w:top w:w="0" w:type="dxa"/>
            <w:left w:w="0" w:type="dxa"/>
            <w:bottom w:w="0" w:type="dxa"/>
            <w:right w:w="0" w:type="dxa"/>
          </w:tblCellMar>
        </w:tblPrEx>
        <w:trPr>
          <w:trHeight w:val="278" w:hRule="atLeast"/>
          <w:jc w:val="center"/>
        </w:trPr>
        <w:tc>
          <w:tcPr>
            <w:tcW w:w="3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B8252D">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D6FD60">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798643">
            <w:pPr>
              <w:widowControl/>
              <w:jc w:val="center"/>
              <w:textAlignment w:val="center"/>
              <w:rPr>
                <w:rFonts w:ascii="宋体" w:cs="宋体"/>
                <w:color w:val="000000"/>
                <w:sz w:val="24"/>
              </w:rPr>
            </w:pPr>
            <w:r>
              <w:rPr>
                <w:rFonts w:ascii="宋体" w:cs="宋体"/>
                <w:color w:val="000000"/>
                <w:sz w:val="24"/>
              </w:rPr>
              <w:t>33</w:t>
            </w:r>
            <w:r>
              <w:rPr>
                <w:rFonts w:hint="eastAsia" w:ascii="宋体" w:cs="宋体"/>
                <w:color w:val="000000"/>
                <w:sz w:val="24"/>
              </w:rPr>
              <w:t>万元</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9391EC">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72942">
            <w:pPr>
              <w:widowControl/>
              <w:jc w:val="center"/>
              <w:textAlignment w:val="center"/>
              <w:rPr>
                <w:rFonts w:ascii="宋体" w:cs="宋体"/>
                <w:color w:val="000000"/>
                <w:sz w:val="24"/>
              </w:rPr>
            </w:pPr>
            <w:r>
              <w:rPr>
                <w:rFonts w:ascii="宋体" w:cs="宋体"/>
                <w:color w:val="000000"/>
                <w:sz w:val="24"/>
              </w:rPr>
              <w:t>5.74</w:t>
            </w:r>
            <w:r>
              <w:rPr>
                <w:rFonts w:hint="eastAsia" w:ascii="宋体" w:cs="宋体"/>
                <w:color w:val="000000"/>
                <w:sz w:val="24"/>
              </w:rPr>
              <w:t>万元</w:t>
            </w:r>
          </w:p>
        </w:tc>
      </w:tr>
      <w:tr w14:paraId="059755F7">
        <w:tblPrEx>
          <w:tblCellMar>
            <w:top w:w="0" w:type="dxa"/>
            <w:left w:w="0" w:type="dxa"/>
            <w:bottom w:w="0" w:type="dxa"/>
            <w:right w:w="0" w:type="dxa"/>
          </w:tblCellMar>
        </w:tblPrEx>
        <w:trPr>
          <w:trHeight w:val="278" w:hRule="atLeast"/>
          <w:jc w:val="center"/>
        </w:trPr>
        <w:tc>
          <w:tcPr>
            <w:tcW w:w="3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BF1C15">
            <w:pPr>
              <w:jc w:val="center"/>
              <w:rPr>
                <w:rFonts w:ascii="宋体" w:cs="宋体"/>
                <w:color w:val="000000"/>
                <w:sz w:val="24"/>
              </w:rPr>
            </w:pPr>
          </w:p>
        </w:tc>
        <w:tc>
          <w:tcPr>
            <w:tcW w:w="23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760970">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5099E">
            <w:pPr>
              <w:widowControl/>
              <w:jc w:val="center"/>
              <w:textAlignment w:val="center"/>
              <w:rPr>
                <w:rFonts w:ascii="宋体" w:cs="宋体"/>
                <w:color w:val="000000"/>
                <w:sz w:val="24"/>
              </w:rPr>
            </w:pPr>
            <w:r>
              <w:rPr>
                <w:rFonts w:ascii="宋体" w:cs="宋体"/>
                <w:color w:val="000000"/>
                <w:sz w:val="24"/>
              </w:rPr>
              <w:t>33</w:t>
            </w:r>
            <w:r>
              <w:rPr>
                <w:rFonts w:hint="eastAsia" w:ascii="宋体" w:cs="宋体"/>
                <w:color w:val="000000"/>
                <w:sz w:val="24"/>
              </w:rPr>
              <w:t>万元</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246BBD">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09D5B">
            <w:pPr>
              <w:widowControl/>
              <w:jc w:val="center"/>
              <w:textAlignment w:val="center"/>
              <w:rPr>
                <w:rFonts w:ascii="宋体" w:cs="宋体"/>
                <w:color w:val="000000"/>
                <w:sz w:val="24"/>
              </w:rPr>
            </w:pPr>
            <w:r>
              <w:rPr>
                <w:rFonts w:ascii="宋体" w:cs="宋体"/>
                <w:color w:val="000000"/>
                <w:sz w:val="24"/>
              </w:rPr>
              <w:t>5.74</w:t>
            </w:r>
            <w:r>
              <w:rPr>
                <w:rFonts w:hint="eastAsia" w:ascii="宋体" w:cs="宋体"/>
                <w:color w:val="000000"/>
                <w:sz w:val="24"/>
              </w:rPr>
              <w:t>万元</w:t>
            </w:r>
          </w:p>
        </w:tc>
      </w:tr>
      <w:tr w14:paraId="52BDCD4A">
        <w:tblPrEx>
          <w:tblCellMar>
            <w:top w:w="0" w:type="dxa"/>
            <w:left w:w="0" w:type="dxa"/>
            <w:bottom w:w="0" w:type="dxa"/>
            <w:right w:w="0" w:type="dxa"/>
          </w:tblCellMar>
        </w:tblPrEx>
        <w:trPr>
          <w:trHeight w:val="1522" w:hRule="atLeast"/>
          <w:jc w:val="center"/>
        </w:trPr>
        <w:tc>
          <w:tcPr>
            <w:tcW w:w="3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16C912">
            <w:pPr>
              <w:jc w:val="center"/>
              <w:rPr>
                <w:rFonts w:ascii="宋体" w:cs="宋体"/>
                <w:color w:val="000000"/>
                <w:sz w:val="24"/>
              </w:rPr>
            </w:pPr>
          </w:p>
        </w:tc>
        <w:tc>
          <w:tcPr>
            <w:tcW w:w="23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EF1298">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46E96">
            <w:pPr>
              <w:widowControl/>
              <w:jc w:val="center"/>
              <w:textAlignment w:val="center"/>
              <w:rPr>
                <w:rFonts w:ascii="宋体" w:cs="宋体"/>
                <w:color w:val="000000"/>
                <w:sz w:val="24"/>
              </w:rPr>
            </w:pPr>
            <w:r>
              <w:rPr>
                <w:rFonts w:ascii="宋体" w:cs="宋体"/>
                <w:color w:val="000000"/>
                <w:sz w:val="24"/>
              </w:rPr>
              <w:t>0</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4E696F">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09485B">
            <w:pPr>
              <w:jc w:val="center"/>
              <w:rPr>
                <w:rFonts w:ascii="宋体" w:cs="宋体"/>
                <w:color w:val="000000"/>
                <w:sz w:val="24"/>
              </w:rPr>
            </w:pPr>
            <w:r>
              <w:rPr>
                <w:rFonts w:ascii="宋体" w:cs="宋体"/>
                <w:color w:val="000000"/>
                <w:sz w:val="24"/>
              </w:rPr>
              <w:t>0</w:t>
            </w:r>
          </w:p>
        </w:tc>
      </w:tr>
      <w:tr w14:paraId="5050528B">
        <w:tblPrEx>
          <w:tblCellMar>
            <w:top w:w="0" w:type="dxa"/>
            <w:left w:w="0" w:type="dxa"/>
            <w:bottom w:w="0" w:type="dxa"/>
            <w:right w:w="0" w:type="dxa"/>
          </w:tblCellMar>
        </w:tblPrEx>
        <w:trPr>
          <w:trHeight w:val="278" w:hRule="atLeast"/>
          <w:jc w:val="center"/>
        </w:trPr>
        <w:tc>
          <w:tcPr>
            <w:tcW w:w="3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8C0BFB">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A5F32">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E0439">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14:paraId="5BB8B245">
        <w:tblPrEx>
          <w:tblCellMar>
            <w:top w:w="0" w:type="dxa"/>
            <w:left w:w="0" w:type="dxa"/>
            <w:bottom w:w="0" w:type="dxa"/>
            <w:right w:w="0" w:type="dxa"/>
          </w:tblCellMar>
        </w:tblPrEx>
        <w:trPr>
          <w:trHeight w:val="1167" w:hRule="atLeast"/>
          <w:jc w:val="center"/>
        </w:trPr>
        <w:tc>
          <w:tcPr>
            <w:tcW w:w="3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ED162B">
            <w:pPr>
              <w:jc w:val="center"/>
              <w:rPr>
                <w:rFonts w:ascii="宋体" w:cs="宋体"/>
                <w:color w:val="000000"/>
                <w:sz w:val="24"/>
              </w:rPr>
            </w:pPr>
          </w:p>
        </w:tc>
        <w:tc>
          <w:tcPr>
            <w:tcW w:w="47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7B662">
            <w:pPr>
              <w:widowControl/>
              <w:textAlignment w:val="center"/>
              <w:rPr>
                <w:rFonts w:ascii="宋体" w:cs="宋体"/>
                <w:color w:val="000000"/>
                <w:sz w:val="24"/>
                <w:szCs w:val="24"/>
              </w:rPr>
            </w:pPr>
            <w:r>
              <w:rPr>
                <w:rFonts w:hint="eastAsia" w:ascii="宋体" w:hAnsi="宋体"/>
                <w:sz w:val="24"/>
                <w:szCs w:val="24"/>
              </w:rPr>
              <w:t>群众最关心、最直接、最现实的问题，进一步提升群众的获得感、幸福感和满意度</w:t>
            </w:r>
          </w:p>
        </w:tc>
        <w:tc>
          <w:tcPr>
            <w:tcW w:w="47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5B08CD">
            <w:pPr>
              <w:widowControl/>
              <w:textAlignment w:val="center"/>
              <w:rPr>
                <w:rFonts w:ascii="宋体" w:cs="宋体"/>
                <w:color w:val="000000"/>
                <w:sz w:val="24"/>
                <w:szCs w:val="24"/>
              </w:rPr>
            </w:pPr>
            <w:r>
              <w:rPr>
                <w:rFonts w:hint="eastAsia" w:ascii="宋体" w:hAnsi="宋体"/>
                <w:sz w:val="24"/>
                <w:szCs w:val="24"/>
              </w:rPr>
              <w:t>群众最关心、最直接、最现实的问题，进一步提升群众的获得感、幸福感和满意度</w:t>
            </w:r>
          </w:p>
        </w:tc>
      </w:tr>
      <w:tr w14:paraId="392CA490">
        <w:tblPrEx>
          <w:tblCellMar>
            <w:top w:w="0" w:type="dxa"/>
            <w:left w:w="0" w:type="dxa"/>
            <w:bottom w:w="0" w:type="dxa"/>
            <w:right w:w="0" w:type="dxa"/>
          </w:tblCellMar>
        </w:tblPrEx>
        <w:trPr>
          <w:trHeight w:val="1049" w:hRule="atLeast"/>
          <w:jc w:val="center"/>
        </w:trPr>
        <w:tc>
          <w:tcPr>
            <w:tcW w:w="39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254356E">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8836E">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A63C1E">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7FE66">
            <w:pPr>
              <w:widowControl/>
              <w:jc w:val="center"/>
              <w:textAlignment w:val="center"/>
              <w:rPr>
                <w:rFonts w:ascii="宋体" w:cs="宋体"/>
                <w:color w:val="000000"/>
                <w:sz w:val="24"/>
                <w:szCs w:val="24"/>
              </w:rPr>
            </w:pPr>
            <w:r>
              <w:rPr>
                <w:rFonts w:hint="eastAsia" w:ascii="宋体" w:hAnsi="宋体" w:cs="宋体"/>
                <w:color w:val="000000"/>
                <w:kern w:val="0"/>
                <w:sz w:val="24"/>
                <w:szCs w:val="24"/>
              </w:rPr>
              <w:t>三级指标</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FED15">
            <w:pPr>
              <w:widowControl/>
              <w:jc w:val="center"/>
              <w:textAlignment w:val="center"/>
              <w:rPr>
                <w:rFonts w:ascii="宋体" w:cs="宋体"/>
                <w:color w:val="000000"/>
                <w:sz w:val="24"/>
                <w:szCs w:val="24"/>
              </w:rPr>
            </w:pPr>
            <w:r>
              <w:rPr>
                <w:rFonts w:hint="eastAsia" w:ascii="宋体" w:hAnsi="宋体" w:cs="宋体"/>
                <w:color w:val="000000"/>
                <w:kern w:val="0"/>
                <w:sz w:val="24"/>
                <w:szCs w:val="24"/>
              </w:rPr>
              <w:t>预期指标值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D3E3E8">
            <w:pPr>
              <w:widowControl/>
              <w:jc w:val="center"/>
              <w:textAlignment w:val="center"/>
              <w:rPr>
                <w:rFonts w:ascii="宋体" w:cs="宋体"/>
                <w:color w:val="000000"/>
                <w:sz w:val="24"/>
                <w:szCs w:val="24"/>
              </w:rPr>
            </w:pPr>
            <w:r>
              <w:rPr>
                <w:rFonts w:hint="eastAsia" w:ascii="宋体" w:hAnsi="宋体" w:cs="宋体"/>
                <w:color w:val="000000"/>
                <w:kern w:val="0"/>
                <w:sz w:val="24"/>
                <w:szCs w:val="24"/>
              </w:rPr>
              <w:t>实际完成指标值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r>
      <w:tr w14:paraId="31866C59">
        <w:tblPrEx>
          <w:tblCellMar>
            <w:top w:w="0" w:type="dxa"/>
            <w:left w:w="0" w:type="dxa"/>
            <w:bottom w:w="0" w:type="dxa"/>
            <w:right w:w="0" w:type="dxa"/>
          </w:tblCellMar>
        </w:tblPrEx>
        <w:trPr>
          <w:trHeight w:val="960" w:hRule="atLeast"/>
          <w:jc w:val="center"/>
        </w:trPr>
        <w:tc>
          <w:tcPr>
            <w:tcW w:w="391" w:type="dxa"/>
            <w:vMerge w:val="continue"/>
            <w:tcBorders>
              <w:left w:val="single" w:color="000000" w:sz="4" w:space="0"/>
              <w:right w:val="single" w:color="000000" w:sz="4" w:space="0"/>
            </w:tcBorders>
            <w:tcMar>
              <w:top w:w="15" w:type="dxa"/>
              <w:left w:w="15" w:type="dxa"/>
              <w:right w:w="15" w:type="dxa"/>
            </w:tcMar>
            <w:vAlign w:val="center"/>
          </w:tcPr>
          <w:p w14:paraId="27F37B94">
            <w:pPr>
              <w:widowControl/>
              <w:jc w:val="center"/>
              <w:textAlignment w:val="center"/>
              <w:rPr>
                <w:rFonts w:ascii="宋体" w:cs="宋体"/>
                <w:color w:val="000000"/>
                <w:sz w:val="24"/>
              </w:rPr>
            </w:pP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473740">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F744DD">
            <w:pPr>
              <w:widowControl/>
              <w:jc w:val="center"/>
              <w:textAlignment w:val="center"/>
              <w:rPr>
                <w:rFonts w:ascii="宋体" w:cs="宋体"/>
                <w:color w:val="000000"/>
                <w:sz w:val="24"/>
              </w:rPr>
            </w:pPr>
            <w:r>
              <w:rPr>
                <w:rFonts w:hint="eastAsia" w:ascii="宋体" w:hAnsi="宋体" w:cs="宋体"/>
                <w:color w:val="000000"/>
                <w:kern w:val="0"/>
                <w:sz w:val="24"/>
              </w:rPr>
              <w:t>数量指标</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666B82">
            <w:pPr>
              <w:widowControl/>
              <w:textAlignment w:val="center"/>
              <w:rPr>
                <w:rFonts w:ascii="宋体" w:cs="宋体"/>
                <w:color w:val="000000"/>
                <w:sz w:val="24"/>
                <w:szCs w:val="24"/>
              </w:rPr>
            </w:pPr>
            <w:r>
              <w:rPr>
                <w:rFonts w:hint="eastAsia" w:ascii="宋体" w:cs="宋体"/>
                <w:color w:val="000000"/>
                <w:sz w:val="24"/>
                <w:szCs w:val="24"/>
              </w:rPr>
              <w:t>全年走访群众</w:t>
            </w:r>
            <w:r>
              <w:rPr>
                <w:rFonts w:ascii="宋体" w:cs="宋体"/>
                <w:color w:val="000000"/>
                <w:sz w:val="24"/>
                <w:szCs w:val="24"/>
              </w:rPr>
              <w:t>4</w:t>
            </w:r>
            <w:r>
              <w:rPr>
                <w:rFonts w:hint="eastAsia" w:ascii="宋体" w:cs="宋体"/>
                <w:color w:val="000000"/>
                <w:sz w:val="24"/>
                <w:szCs w:val="24"/>
              </w:rPr>
              <w:t>次</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1E59A9">
            <w:pPr>
              <w:widowControl/>
              <w:textAlignment w:val="center"/>
              <w:rPr>
                <w:rFonts w:ascii="宋体" w:cs="宋体"/>
                <w:color w:val="000000"/>
                <w:sz w:val="24"/>
                <w:szCs w:val="24"/>
              </w:rPr>
            </w:pPr>
            <w:r>
              <w:rPr>
                <w:rFonts w:hint="eastAsia" w:ascii="宋体" w:cs="宋体"/>
                <w:color w:val="000000"/>
                <w:sz w:val="24"/>
                <w:szCs w:val="24"/>
              </w:rPr>
              <w:t>完成走访入户</w:t>
            </w:r>
            <w:r>
              <w:rPr>
                <w:rFonts w:ascii="宋体" w:cs="宋体"/>
                <w:color w:val="000000"/>
                <w:sz w:val="24"/>
                <w:szCs w:val="24"/>
              </w:rPr>
              <w:t>4</w:t>
            </w:r>
            <w:r>
              <w:rPr>
                <w:rFonts w:hint="eastAsia" w:ascii="宋体" w:cs="宋体"/>
                <w:color w:val="000000"/>
                <w:sz w:val="24"/>
                <w:szCs w:val="24"/>
              </w:rPr>
              <w:t>次</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6DA441">
            <w:pPr>
              <w:widowControl/>
              <w:textAlignment w:val="center"/>
              <w:rPr>
                <w:rFonts w:ascii="宋体" w:cs="宋体"/>
                <w:color w:val="000000"/>
                <w:sz w:val="24"/>
                <w:szCs w:val="24"/>
              </w:rPr>
            </w:pPr>
            <w:r>
              <w:rPr>
                <w:rFonts w:hint="eastAsia" w:ascii="宋体" w:cs="宋体"/>
                <w:color w:val="000000"/>
                <w:sz w:val="24"/>
                <w:szCs w:val="24"/>
              </w:rPr>
              <w:t>完成走访入户</w:t>
            </w:r>
            <w:r>
              <w:rPr>
                <w:rFonts w:ascii="宋体" w:cs="宋体"/>
                <w:color w:val="000000"/>
                <w:sz w:val="24"/>
                <w:szCs w:val="24"/>
              </w:rPr>
              <w:t>4</w:t>
            </w:r>
            <w:r>
              <w:rPr>
                <w:rFonts w:hint="eastAsia" w:ascii="宋体" w:cs="宋体"/>
                <w:color w:val="000000"/>
                <w:sz w:val="24"/>
                <w:szCs w:val="24"/>
              </w:rPr>
              <w:t>次</w:t>
            </w:r>
          </w:p>
        </w:tc>
      </w:tr>
      <w:tr w14:paraId="6D287AED">
        <w:tblPrEx>
          <w:tblCellMar>
            <w:top w:w="0" w:type="dxa"/>
            <w:left w:w="0" w:type="dxa"/>
            <w:bottom w:w="0" w:type="dxa"/>
            <w:right w:w="0" w:type="dxa"/>
          </w:tblCellMar>
        </w:tblPrEx>
        <w:trPr>
          <w:trHeight w:val="1057" w:hRule="atLeast"/>
          <w:jc w:val="center"/>
        </w:trPr>
        <w:tc>
          <w:tcPr>
            <w:tcW w:w="391" w:type="dxa"/>
            <w:vMerge w:val="continue"/>
            <w:tcBorders>
              <w:left w:val="single" w:color="000000" w:sz="4" w:space="0"/>
              <w:right w:val="single" w:color="000000" w:sz="4" w:space="0"/>
            </w:tcBorders>
            <w:tcMar>
              <w:top w:w="15" w:type="dxa"/>
              <w:left w:w="15" w:type="dxa"/>
              <w:right w:w="15" w:type="dxa"/>
            </w:tcMar>
            <w:vAlign w:val="center"/>
          </w:tcPr>
          <w:p w14:paraId="71A9835B">
            <w:pPr>
              <w:widowControl/>
              <w:jc w:val="center"/>
              <w:textAlignment w:val="center"/>
              <w:rPr>
                <w:rFonts w:ascii="宋体" w:cs="宋体"/>
                <w:color w:val="000000"/>
                <w:sz w:val="24"/>
              </w:rPr>
            </w:pPr>
          </w:p>
        </w:tc>
        <w:tc>
          <w:tcPr>
            <w:tcW w:w="13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9D7ECA">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AFDA7D">
            <w:pPr>
              <w:widowControl/>
              <w:jc w:val="center"/>
              <w:textAlignment w:val="center"/>
              <w:rPr>
                <w:rFonts w:ascii="宋体" w:cs="宋体"/>
                <w:color w:val="000000"/>
                <w:sz w:val="24"/>
              </w:rPr>
            </w:pPr>
            <w:r>
              <w:rPr>
                <w:rFonts w:hint="eastAsia" w:ascii="宋体" w:hAnsi="宋体" w:cs="宋体"/>
                <w:color w:val="000000"/>
                <w:kern w:val="0"/>
                <w:sz w:val="24"/>
              </w:rPr>
              <w:t>满意度</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29D8D4">
            <w:pPr>
              <w:widowControl/>
              <w:textAlignment w:val="center"/>
              <w:rPr>
                <w:rFonts w:ascii="宋体" w:cs="宋体"/>
                <w:color w:val="000000"/>
                <w:sz w:val="24"/>
                <w:szCs w:val="24"/>
              </w:rPr>
            </w:pPr>
            <w:r>
              <w:rPr>
                <w:rFonts w:hint="eastAsia" w:ascii="仿宋_GB2312" w:hAnsi="宋体" w:eastAsia="仿宋_GB2312"/>
                <w:sz w:val="24"/>
                <w:szCs w:val="24"/>
              </w:rPr>
              <w:t>提升群众的获得感、幸福感和满意度</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A31FE4">
            <w:pPr>
              <w:widowControl/>
              <w:jc w:val="center"/>
              <w:textAlignment w:val="center"/>
              <w:rPr>
                <w:rFonts w:ascii="宋体" w:cs="宋体"/>
                <w:color w:val="000000"/>
                <w:sz w:val="24"/>
                <w:szCs w:val="24"/>
              </w:rPr>
            </w:pPr>
            <w:r>
              <w:rPr>
                <w:rFonts w:ascii="宋体" w:cs="宋体"/>
                <w:color w:val="000000"/>
                <w:sz w:val="24"/>
                <w:szCs w:val="24"/>
              </w:rPr>
              <w:t>95%</w:t>
            </w:r>
          </w:p>
        </w:tc>
        <w:tc>
          <w:tcPr>
            <w:tcW w:w="2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FBD90">
            <w:pPr>
              <w:widowControl/>
              <w:jc w:val="center"/>
              <w:textAlignment w:val="center"/>
              <w:rPr>
                <w:rFonts w:ascii="宋体" w:cs="宋体"/>
                <w:color w:val="000000"/>
                <w:sz w:val="24"/>
                <w:szCs w:val="24"/>
              </w:rPr>
            </w:pPr>
            <w:r>
              <w:rPr>
                <w:rFonts w:ascii="宋体" w:cs="宋体"/>
                <w:color w:val="000000"/>
                <w:sz w:val="24"/>
                <w:szCs w:val="24"/>
              </w:rPr>
              <w:t>96%</w:t>
            </w:r>
            <w:r>
              <w:rPr>
                <w:rFonts w:hint="eastAsia" w:ascii="宋体" w:cs="宋体"/>
                <w:color w:val="000000"/>
                <w:sz w:val="24"/>
                <w:szCs w:val="24"/>
              </w:rPr>
              <w:t>以上</w:t>
            </w:r>
          </w:p>
        </w:tc>
      </w:tr>
    </w:tbl>
    <w:p w14:paraId="05320F7C">
      <w:pPr>
        <w:ind w:left="630"/>
        <w:rPr>
          <w:rFonts w:ascii="楷体_GB2312" w:hAnsi="楷体_GB2312" w:eastAsia="楷体_GB2312" w:cs="楷体_GB2312"/>
          <w:sz w:val="32"/>
          <w:szCs w:val="32"/>
        </w:rPr>
      </w:pPr>
    </w:p>
    <w:p w14:paraId="5A595FAB">
      <w:pPr>
        <w:ind w:left="630"/>
        <w:rPr>
          <w:rFonts w:ascii="楷体_GB2312" w:hAnsi="楷体_GB2312" w:eastAsia="楷体_GB2312" w:cs="楷体_GB2312"/>
          <w:sz w:val="32"/>
          <w:szCs w:val="32"/>
        </w:rPr>
      </w:pPr>
    </w:p>
    <w:p w14:paraId="2B963DBD">
      <w:pPr>
        <w:ind w:left="630"/>
        <w:rPr>
          <w:rFonts w:ascii="楷体_GB2312" w:hAnsi="楷体_GB2312" w:eastAsia="楷体_GB2312" w:cs="楷体_GB2312"/>
          <w:sz w:val="32"/>
          <w:szCs w:val="32"/>
        </w:rPr>
      </w:pPr>
    </w:p>
    <w:p w14:paraId="3E217BEB">
      <w:pPr>
        <w:ind w:left="630"/>
        <w:rPr>
          <w:rFonts w:ascii="楷体_GB2312" w:hAnsi="楷体_GB2312" w:eastAsia="楷体_GB2312" w:cs="楷体_GB2312"/>
          <w:sz w:val="32"/>
          <w:szCs w:val="32"/>
        </w:rPr>
      </w:pPr>
    </w:p>
    <w:p w14:paraId="446B4A00">
      <w:pPr>
        <w:rPr>
          <w:rFonts w:ascii="楷体_GB2312" w:hAnsi="楷体_GB2312" w:eastAsia="楷体_GB2312" w:cs="楷体_GB2312"/>
          <w:sz w:val="32"/>
          <w:szCs w:val="32"/>
        </w:rPr>
      </w:pPr>
    </w:p>
    <w:p w14:paraId="6FFB6C25">
      <w:pPr>
        <w:ind w:left="630"/>
        <w:rPr>
          <w:rFonts w:hint="eastAsia" w:ascii="仿宋_GB2312" w:hAnsi="仿宋_GB2312" w:eastAsia="仿宋_GB2312" w:cs="仿宋_GB2312"/>
          <w:sz w:val="32"/>
          <w:szCs w:val="32"/>
        </w:rPr>
      </w:pPr>
      <w:r>
        <w:rPr>
          <w:rFonts w:hint="eastAsia" w:ascii="仿宋_GB2312" w:hAnsi="楷体_GB2312" w:eastAsia="仿宋_GB2312" w:cs="楷体_GB2312"/>
          <w:sz w:val="32"/>
          <w:szCs w:val="32"/>
        </w:rPr>
        <w:t>2.部门绩效评价结果。</w:t>
      </w:r>
    </w:p>
    <w:p w14:paraId="02FCF71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胜利镇人民政府按要求对2019年部门整体支出绩效评价情况开展自评，《原胜利镇人民政府2019年部门整体支出绩效评价报告》见附件（附件1）。</w:t>
      </w:r>
    </w:p>
    <w:p w14:paraId="0C923133">
      <w:pPr>
        <w:widowControl/>
        <w:jc w:val="left"/>
        <w:rPr>
          <w:rFonts w:hint="eastAsia" w:ascii="仿宋_GB2312" w:eastAsia="仿宋_GB2312"/>
          <w:b/>
          <w:color w:val="000000"/>
          <w:sz w:val="32"/>
          <w:szCs w:val="32"/>
        </w:rPr>
      </w:pPr>
    </w:p>
    <w:p w14:paraId="2417E9AD">
      <w:pPr>
        <w:widowControl/>
        <w:jc w:val="left"/>
        <w:rPr>
          <w:rFonts w:hint="eastAsia" w:ascii="仿宋_GB2312" w:eastAsia="仿宋_GB2312"/>
          <w:b/>
          <w:color w:val="000000"/>
          <w:sz w:val="32"/>
          <w:szCs w:val="32"/>
        </w:rPr>
      </w:pPr>
    </w:p>
    <w:p w14:paraId="44441732">
      <w:pPr>
        <w:widowControl/>
        <w:jc w:val="left"/>
        <w:rPr>
          <w:rFonts w:hint="eastAsia" w:ascii="仿宋_GB2312" w:eastAsia="仿宋_GB2312"/>
          <w:b/>
          <w:color w:val="000000"/>
          <w:sz w:val="32"/>
          <w:szCs w:val="32"/>
        </w:rPr>
      </w:pPr>
    </w:p>
    <w:p w14:paraId="7535D6B5">
      <w:pPr>
        <w:widowControl/>
        <w:jc w:val="left"/>
        <w:rPr>
          <w:rFonts w:hint="eastAsia" w:ascii="仿宋_GB2312" w:eastAsia="仿宋_GB2312"/>
          <w:b/>
          <w:color w:val="000000"/>
          <w:sz w:val="32"/>
          <w:szCs w:val="32"/>
        </w:rPr>
      </w:pPr>
    </w:p>
    <w:p w14:paraId="3B2299E5">
      <w:pPr>
        <w:widowControl/>
        <w:jc w:val="left"/>
        <w:rPr>
          <w:rFonts w:hint="eastAsia" w:ascii="仿宋_GB2312" w:eastAsia="仿宋_GB2312"/>
          <w:b/>
          <w:color w:val="000000"/>
          <w:sz w:val="32"/>
          <w:szCs w:val="32"/>
        </w:rPr>
      </w:pPr>
    </w:p>
    <w:p w14:paraId="316C7AEA">
      <w:pPr>
        <w:widowControl/>
        <w:jc w:val="left"/>
        <w:rPr>
          <w:rFonts w:hint="eastAsia" w:ascii="仿宋_GB2312" w:eastAsia="仿宋_GB2312"/>
          <w:b/>
          <w:color w:val="000000"/>
          <w:sz w:val="32"/>
          <w:szCs w:val="32"/>
        </w:rPr>
      </w:pPr>
    </w:p>
    <w:p w14:paraId="5AC543C9">
      <w:pPr>
        <w:widowControl/>
        <w:jc w:val="left"/>
        <w:rPr>
          <w:rFonts w:hint="eastAsia" w:ascii="仿宋_GB2312" w:eastAsia="仿宋_GB2312"/>
          <w:b/>
          <w:color w:val="000000"/>
          <w:sz w:val="32"/>
          <w:szCs w:val="32"/>
        </w:rPr>
      </w:pPr>
    </w:p>
    <w:p w14:paraId="0E108E17">
      <w:pPr>
        <w:widowControl/>
        <w:jc w:val="left"/>
        <w:rPr>
          <w:rFonts w:hint="eastAsia" w:ascii="仿宋_GB2312" w:eastAsia="仿宋_GB2312"/>
          <w:b/>
          <w:color w:val="000000"/>
          <w:sz w:val="32"/>
          <w:szCs w:val="32"/>
        </w:rPr>
      </w:pPr>
    </w:p>
    <w:p w14:paraId="30370315">
      <w:pPr>
        <w:widowControl/>
        <w:jc w:val="left"/>
        <w:rPr>
          <w:rFonts w:hint="eastAsia" w:ascii="仿宋_GB2312" w:eastAsia="仿宋_GB2312"/>
          <w:b/>
          <w:color w:val="000000"/>
          <w:sz w:val="32"/>
          <w:szCs w:val="32"/>
        </w:rPr>
      </w:pPr>
    </w:p>
    <w:p w14:paraId="7456860D">
      <w:pPr>
        <w:widowControl/>
        <w:jc w:val="left"/>
        <w:rPr>
          <w:rFonts w:hint="eastAsia" w:ascii="仿宋_GB2312" w:eastAsia="仿宋_GB2312"/>
          <w:b/>
          <w:color w:val="000000"/>
          <w:sz w:val="32"/>
          <w:szCs w:val="32"/>
        </w:rPr>
      </w:pPr>
    </w:p>
    <w:p w14:paraId="405DBE77">
      <w:pPr>
        <w:widowControl/>
        <w:jc w:val="left"/>
        <w:rPr>
          <w:rFonts w:hint="eastAsia" w:ascii="仿宋_GB2312" w:eastAsia="仿宋_GB2312"/>
          <w:b/>
          <w:color w:val="000000"/>
          <w:sz w:val="32"/>
          <w:szCs w:val="32"/>
        </w:rPr>
      </w:pPr>
    </w:p>
    <w:p w14:paraId="7691537B">
      <w:pPr>
        <w:widowControl/>
        <w:jc w:val="left"/>
        <w:rPr>
          <w:rFonts w:hint="eastAsia" w:ascii="仿宋_GB2312" w:eastAsia="仿宋_GB2312"/>
          <w:b/>
          <w:color w:val="000000"/>
          <w:sz w:val="32"/>
          <w:szCs w:val="32"/>
        </w:rPr>
      </w:pPr>
    </w:p>
    <w:p w14:paraId="544691FD">
      <w:pPr>
        <w:widowControl/>
        <w:jc w:val="left"/>
        <w:rPr>
          <w:rFonts w:hint="eastAsia" w:ascii="仿宋_GB2312" w:eastAsia="仿宋_GB2312"/>
          <w:b/>
          <w:color w:val="000000"/>
          <w:sz w:val="32"/>
          <w:szCs w:val="32"/>
        </w:rPr>
      </w:pPr>
    </w:p>
    <w:p w14:paraId="765A4E1C">
      <w:pPr>
        <w:widowControl/>
        <w:jc w:val="left"/>
        <w:rPr>
          <w:rFonts w:hint="eastAsia" w:ascii="仿宋_GB2312" w:eastAsia="仿宋_GB2312"/>
          <w:b/>
          <w:color w:val="000000"/>
          <w:sz w:val="32"/>
          <w:szCs w:val="32"/>
        </w:rPr>
      </w:pPr>
    </w:p>
    <w:p w14:paraId="32711DBE">
      <w:pPr>
        <w:widowControl/>
        <w:jc w:val="left"/>
        <w:rPr>
          <w:rFonts w:hint="eastAsia" w:ascii="仿宋_GB2312" w:eastAsia="仿宋_GB2312"/>
          <w:b/>
          <w:color w:val="000000"/>
          <w:sz w:val="32"/>
          <w:szCs w:val="32"/>
        </w:rPr>
      </w:pPr>
    </w:p>
    <w:p w14:paraId="6D0C6670">
      <w:pPr>
        <w:widowControl/>
        <w:jc w:val="left"/>
        <w:rPr>
          <w:rFonts w:hint="eastAsia" w:ascii="仿宋_GB2312" w:eastAsia="仿宋_GB2312"/>
          <w:b/>
          <w:color w:val="000000"/>
          <w:sz w:val="32"/>
          <w:szCs w:val="32"/>
        </w:rPr>
      </w:pPr>
    </w:p>
    <w:p w14:paraId="02B442BD">
      <w:pPr>
        <w:widowControl/>
        <w:jc w:val="left"/>
        <w:rPr>
          <w:rFonts w:hint="eastAsia" w:ascii="仿宋_GB2312" w:eastAsia="仿宋_GB2312"/>
          <w:b/>
          <w:color w:val="000000"/>
          <w:sz w:val="32"/>
          <w:szCs w:val="32"/>
        </w:rPr>
      </w:pPr>
    </w:p>
    <w:p w14:paraId="500E1DDE">
      <w:pPr>
        <w:widowControl/>
        <w:jc w:val="left"/>
        <w:rPr>
          <w:rFonts w:hint="eastAsia" w:ascii="仿宋_GB2312" w:eastAsia="仿宋_GB2312"/>
          <w:b/>
          <w:color w:val="000000"/>
          <w:sz w:val="32"/>
          <w:szCs w:val="32"/>
        </w:rPr>
      </w:pPr>
    </w:p>
    <w:p w14:paraId="35379B78">
      <w:pPr>
        <w:widowControl/>
        <w:jc w:val="left"/>
        <w:rPr>
          <w:rFonts w:hint="eastAsia" w:ascii="仿宋_GB2312" w:eastAsia="仿宋_GB2312"/>
          <w:b/>
          <w:color w:val="000000"/>
          <w:sz w:val="32"/>
          <w:szCs w:val="32"/>
        </w:rPr>
      </w:pPr>
    </w:p>
    <w:p w14:paraId="033BDC14">
      <w:pPr>
        <w:numPr>
          <w:ilvl w:val="0"/>
          <w:numId w:val="3"/>
        </w:numPr>
        <w:ind w:firstLine="660" w:firstLineChars="150"/>
        <w:jc w:val="center"/>
        <w:outlineLvl w:val="0"/>
        <w:rPr>
          <w:rStyle w:val="17"/>
          <w:rFonts w:hint="eastAsia" w:ascii="方正小标宋简体" w:hAnsi="黑体" w:eastAsia="方正小标宋简体"/>
          <w:b w:val="0"/>
        </w:rPr>
      </w:pPr>
      <w:r>
        <w:rPr>
          <w:rFonts w:hint="eastAsia" w:ascii="方正小标宋简体" w:hAnsi="黑体" w:eastAsia="方正小标宋简体"/>
          <w:color w:val="000000"/>
          <w:sz w:val="44"/>
          <w:szCs w:val="44"/>
        </w:rPr>
        <w:t>名</w:t>
      </w:r>
      <w:r>
        <w:rPr>
          <w:rStyle w:val="17"/>
          <w:rFonts w:hint="eastAsia" w:ascii="方正小标宋简体" w:hAnsi="黑体" w:eastAsia="方正小标宋简体"/>
        </w:rPr>
        <w:t>词解释</w:t>
      </w:r>
    </w:p>
    <w:p w14:paraId="01DEC3E9">
      <w:pPr>
        <w:ind w:left="663"/>
        <w:outlineLvl w:val="0"/>
        <w:rPr>
          <w:rStyle w:val="17"/>
          <w:rFonts w:hint="eastAsia" w:ascii="仿宋_GB2312" w:hAnsi="黑体" w:eastAsia="仿宋_GB2312"/>
          <w:b w:val="0"/>
          <w:sz w:val="32"/>
          <w:szCs w:val="32"/>
        </w:rPr>
      </w:pPr>
    </w:p>
    <w:p w14:paraId="7F275886">
      <w:pPr>
        <w:pStyle w:val="28"/>
        <w:ind w:firstLine="640" w:firstLineChars="200"/>
        <w:rPr>
          <w:rFonts w:hint="eastAsia" w:ascii="仿宋_GB2312" w:eastAsia="仿宋_GB2312"/>
          <w:sz w:val="32"/>
          <w:szCs w:val="32"/>
        </w:rPr>
      </w:pPr>
      <w:r>
        <w:rPr>
          <w:rFonts w:hint="eastAsia" w:ascii="仿宋_GB2312" w:eastAsia="仿宋_GB2312"/>
          <w:sz w:val="32"/>
          <w:szCs w:val="32"/>
        </w:rPr>
        <w:t xml:space="preserve">1.财政拨款收入：指省级财政当年拨付的资金。 </w:t>
      </w:r>
    </w:p>
    <w:p w14:paraId="7E479C51">
      <w:pPr>
        <w:pStyle w:val="28"/>
        <w:ind w:firstLine="640" w:firstLineChars="200"/>
        <w:rPr>
          <w:rFonts w:hint="eastAsia" w:ascii="仿宋_GB2312" w:eastAsia="仿宋_GB2312"/>
          <w:sz w:val="32"/>
          <w:szCs w:val="32"/>
        </w:rPr>
      </w:pPr>
      <w:r>
        <w:rPr>
          <w:rFonts w:hint="eastAsia" w:ascii="仿宋_GB2312" w:eastAsia="仿宋_GB2312"/>
          <w:sz w:val="32"/>
          <w:szCs w:val="32"/>
        </w:rPr>
        <w:t xml:space="preserve">2.其他收入：指除上述“财政拨款收入”、“事业收入”、“经营收入”等以外的收入。 </w:t>
      </w:r>
    </w:p>
    <w:p w14:paraId="698A08A5">
      <w:pPr>
        <w:pStyle w:val="28"/>
        <w:ind w:firstLine="640" w:firstLineChars="200"/>
        <w:rPr>
          <w:rFonts w:hint="eastAsia" w:ascii="仿宋_GB2312" w:eastAsia="仿宋_GB2312"/>
          <w:sz w:val="32"/>
          <w:szCs w:val="32"/>
        </w:rPr>
      </w:pPr>
      <w:r>
        <w:rPr>
          <w:rFonts w:hint="eastAsia" w:ascii="仿宋_GB2312" w:eastAsia="仿宋_GB2312"/>
          <w:sz w:val="32"/>
          <w:szCs w:val="32"/>
        </w:rPr>
        <w:t xml:space="preserve">3.年初结转和结余：指以前年度尚未完成、结转到本年按有关规定继续使用的资金。 </w:t>
      </w:r>
    </w:p>
    <w:p w14:paraId="28CBDA39">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4.</w:t>
      </w:r>
      <w:r>
        <w:rPr>
          <w:rStyle w:val="15"/>
          <w:rFonts w:hint="eastAsia" w:ascii="仿宋_GB2312" w:eastAsia="仿宋_GB2312"/>
          <w:b w:val="0"/>
          <w:color w:val="000000"/>
          <w:sz w:val="32"/>
          <w:szCs w:val="32"/>
        </w:rPr>
        <w:t>一般公共服务（类）政府办公厅（室）及相关机关机构事务（款）行政运行（项）</w:t>
      </w:r>
      <w:r>
        <w:rPr>
          <w:rFonts w:hint="eastAsia" w:ascii="仿宋_GB2312" w:eastAsia="仿宋_GB2312"/>
          <w:color w:val="000000"/>
          <w:sz w:val="32"/>
          <w:szCs w:val="32"/>
        </w:rPr>
        <w:t>：指反映行政单位（包括实行公务员管理的事业单位）的基本支出。</w:t>
      </w:r>
    </w:p>
    <w:p w14:paraId="7A681B22">
      <w:pPr>
        <w:ind w:firstLine="640" w:firstLineChars="200"/>
        <w:rPr>
          <w:rStyle w:val="15"/>
          <w:rFonts w:hint="eastAsia" w:ascii="仿宋_GB2312" w:eastAsia="仿宋_GB2312"/>
          <w:b w:val="0"/>
          <w:color w:val="000000"/>
          <w:sz w:val="32"/>
          <w:szCs w:val="32"/>
        </w:rPr>
      </w:pPr>
      <w:r>
        <w:rPr>
          <w:rFonts w:hint="eastAsia" w:ascii="仿宋_GB2312" w:eastAsia="仿宋_GB2312"/>
          <w:color w:val="000000"/>
          <w:sz w:val="32"/>
          <w:szCs w:val="32"/>
        </w:rPr>
        <w:t>5.</w:t>
      </w:r>
      <w:r>
        <w:rPr>
          <w:rStyle w:val="15"/>
          <w:rFonts w:hint="eastAsia" w:ascii="仿宋_GB2312" w:eastAsia="仿宋_GB2312"/>
          <w:b w:val="0"/>
          <w:color w:val="000000"/>
          <w:sz w:val="32"/>
          <w:szCs w:val="32"/>
        </w:rPr>
        <w:t>一般公共服务（类）政府办公厅（室）及相关机关机构事务（款）一般行政管理事务（项）：指反映行政单位（包括实行公务员管理的事业单位）未单独设置项级科目的其他项目支出。</w:t>
      </w:r>
    </w:p>
    <w:p w14:paraId="6E577BFC">
      <w:pPr>
        <w:ind w:firstLine="640" w:firstLineChars="200"/>
        <w:rPr>
          <w:rFonts w:hint="eastAsia" w:ascii="仿宋_GB2312" w:eastAsia="仿宋_GB2312"/>
          <w:color w:val="000000"/>
          <w:sz w:val="32"/>
          <w:szCs w:val="32"/>
        </w:rPr>
      </w:pPr>
      <w:r>
        <w:rPr>
          <w:rStyle w:val="15"/>
          <w:rFonts w:hint="eastAsia" w:ascii="仿宋_GB2312" w:eastAsia="仿宋_GB2312"/>
          <w:b w:val="0"/>
          <w:color w:val="000000"/>
          <w:sz w:val="32"/>
          <w:szCs w:val="32"/>
        </w:rPr>
        <w:t>6.一般公共服务（类）财政事务（款）行政运行（项）:</w:t>
      </w:r>
      <w:r>
        <w:rPr>
          <w:rFonts w:hint="eastAsia" w:ascii="仿宋_GB2312" w:eastAsia="仿宋_GB2312"/>
          <w:color w:val="000000"/>
          <w:sz w:val="32"/>
          <w:szCs w:val="32"/>
        </w:rPr>
        <w:t>指反映行政单位（包括实行公务员管理的事业单位）的基本支出。</w:t>
      </w:r>
    </w:p>
    <w:p w14:paraId="3DD59004">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7.</w:t>
      </w:r>
      <w:r>
        <w:rPr>
          <w:rStyle w:val="15"/>
          <w:rFonts w:hint="eastAsia" w:ascii="仿宋_GB2312" w:eastAsia="仿宋_GB2312"/>
          <w:b w:val="0"/>
          <w:color w:val="000000"/>
          <w:sz w:val="32"/>
          <w:szCs w:val="32"/>
        </w:rPr>
        <w:t>一般公共服务（类）财政事务（款）事业运行（项）:</w:t>
      </w:r>
      <w:r>
        <w:rPr>
          <w:rFonts w:hint="eastAsia" w:ascii="仿宋_GB2312" w:eastAsia="仿宋_GB2312"/>
          <w:color w:val="000000"/>
          <w:sz w:val="32"/>
          <w:szCs w:val="32"/>
        </w:rPr>
        <w:t>指反映事业单位的基本支出，不包括行政单位（包括实行公务员管理的事业单位）后勤服务中心、医务室等附属事业单位。</w:t>
      </w:r>
    </w:p>
    <w:p w14:paraId="786F17EE">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8.</w:t>
      </w:r>
      <w:r>
        <w:rPr>
          <w:rStyle w:val="15"/>
          <w:rFonts w:hint="eastAsia" w:ascii="仿宋_GB2312" w:eastAsia="仿宋_GB2312"/>
          <w:b w:val="0"/>
          <w:color w:val="000000"/>
          <w:sz w:val="32"/>
          <w:szCs w:val="32"/>
        </w:rPr>
        <w:t>一般公共服务（类）人力资源（款）其他人力资源事务支出（项）:</w:t>
      </w:r>
      <w:r>
        <w:rPr>
          <w:rFonts w:hint="eastAsia" w:ascii="仿宋_GB2312" w:eastAsia="仿宋_GB2312"/>
          <w:color w:val="000000"/>
          <w:sz w:val="32"/>
          <w:szCs w:val="32"/>
        </w:rPr>
        <w:t>指反映除上述项目以外其他人力资源事务方面的支出。</w:t>
      </w:r>
    </w:p>
    <w:p w14:paraId="3B3AAB60">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9.</w:t>
      </w:r>
      <w:r>
        <w:rPr>
          <w:rStyle w:val="15"/>
          <w:rFonts w:hint="eastAsia" w:ascii="仿宋_GB2312" w:eastAsia="仿宋_GB2312"/>
          <w:b w:val="0"/>
          <w:color w:val="000000"/>
          <w:sz w:val="32"/>
          <w:szCs w:val="32"/>
        </w:rPr>
        <w:t>国防支出（类）国防动员（款）预备役部队（项）:</w:t>
      </w:r>
      <w:r>
        <w:rPr>
          <w:rFonts w:hint="eastAsia" w:ascii="仿宋_GB2312" w:eastAsia="仿宋_GB2312"/>
          <w:color w:val="000000"/>
          <w:sz w:val="32"/>
          <w:szCs w:val="32"/>
        </w:rPr>
        <w:t>指反映用于国防动员方面的支出。</w:t>
      </w:r>
    </w:p>
    <w:p w14:paraId="425461DF">
      <w:pPr>
        <w:ind w:firstLine="640" w:firstLineChars="200"/>
        <w:rPr>
          <w:rFonts w:hint="eastAsia" w:ascii="仿宋_GB2312" w:eastAsia="仿宋_GB2312"/>
          <w:color w:val="000000"/>
          <w:sz w:val="32"/>
          <w:szCs w:val="32"/>
        </w:rPr>
      </w:pPr>
      <w:r>
        <w:rPr>
          <w:rStyle w:val="15"/>
          <w:rFonts w:hint="eastAsia" w:ascii="仿宋_GB2312" w:eastAsia="仿宋_GB2312"/>
          <w:b w:val="0"/>
          <w:color w:val="000000"/>
          <w:sz w:val="32"/>
          <w:szCs w:val="32"/>
        </w:rPr>
        <w:t>10.文化体育与传媒（类）文化（款）群众文化（项）:</w:t>
      </w:r>
      <w:r>
        <w:rPr>
          <w:rFonts w:hint="eastAsia" w:ascii="仿宋_GB2312" w:eastAsia="仿宋_GB2312"/>
          <w:color w:val="000000"/>
          <w:sz w:val="32"/>
          <w:szCs w:val="32"/>
        </w:rPr>
        <w:t>指群众文化方面的支出，包括基层文化馆（部）、群众艺术馆支出等。</w:t>
      </w:r>
    </w:p>
    <w:p w14:paraId="68A46997">
      <w:pPr>
        <w:ind w:firstLine="640" w:firstLineChars="200"/>
        <w:rPr>
          <w:rFonts w:hint="eastAsia" w:ascii="仿宋_GB2312" w:eastAsia="仿宋_GB2312"/>
          <w:color w:val="000000"/>
          <w:sz w:val="32"/>
          <w:szCs w:val="32"/>
        </w:rPr>
      </w:pPr>
      <w:r>
        <w:rPr>
          <w:rStyle w:val="15"/>
          <w:rFonts w:hint="eastAsia" w:ascii="仿宋_GB2312" w:eastAsia="仿宋_GB2312"/>
          <w:b w:val="0"/>
          <w:color w:val="000000"/>
          <w:sz w:val="32"/>
          <w:szCs w:val="32"/>
        </w:rPr>
        <w:t>11.文化体育与传媒（类）文化（款）其他文化支出（项）:</w:t>
      </w:r>
      <w:r>
        <w:rPr>
          <w:rFonts w:hint="eastAsia" w:ascii="仿宋_GB2312" w:eastAsia="仿宋_GB2312"/>
          <w:color w:val="000000"/>
          <w:sz w:val="32"/>
          <w:szCs w:val="32"/>
        </w:rPr>
        <w:t>指反映他用于文化方面的支出。</w:t>
      </w:r>
    </w:p>
    <w:p w14:paraId="20DDB753">
      <w:pPr>
        <w:ind w:firstLine="640" w:firstLineChars="200"/>
        <w:rPr>
          <w:rFonts w:hint="eastAsia" w:ascii="仿宋_GB2312" w:eastAsia="仿宋_GB2312"/>
          <w:color w:val="000000"/>
          <w:sz w:val="32"/>
          <w:szCs w:val="32"/>
        </w:rPr>
      </w:pPr>
      <w:r>
        <w:rPr>
          <w:rStyle w:val="15"/>
          <w:rFonts w:hint="eastAsia" w:ascii="仿宋_GB2312" w:eastAsia="仿宋_GB2312"/>
          <w:b w:val="0"/>
          <w:color w:val="000000"/>
          <w:sz w:val="32"/>
          <w:szCs w:val="32"/>
        </w:rPr>
        <w:t>12.文化体育与传媒（类）其他文化体育与传媒支出（款）其他文化体育与传媒支出（项）:</w:t>
      </w:r>
      <w:r>
        <w:rPr>
          <w:rFonts w:hint="eastAsia" w:ascii="仿宋_GB2312" w:eastAsia="仿宋_GB2312"/>
          <w:color w:val="000000"/>
          <w:sz w:val="32"/>
          <w:szCs w:val="32"/>
        </w:rPr>
        <w:t>指除其他文化体育与传媒方面的支出。</w:t>
      </w:r>
    </w:p>
    <w:p w14:paraId="73242B85">
      <w:pPr>
        <w:ind w:firstLine="640" w:firstLineChars="200"/>
        <w:rPr>
          <w:rFonts w:hint="eastAsia" w:ascii="仿宋_GB2312" w:eastAsia="仿宋_GB2312"/>
          <w:color w:val="000000"/>
          <w:sz w:val="32"/>
          <w:szCs w:val="32"/>
        </w:rPr>
      </w:pPr>
      <w:r>
        <w:rPr>
          <w:rStyle w:val="15"/>
          <w:rFonts w:hint="eastAsia" w:ascii="仿宋_GB2312" w:eastAsia="仿宋_GB2312"/>
          <w:b w:val="0"/>
          <w:color w:val="000000"/>
          <w:sz w:val="32"/>
          <w:szCs w:val="32"/>
        </w:rPr>
        <w:t>13.社会保障和就业（类）人力资源和社会保障管理事务（款）劳动保障监察（项）:</w:t>
      </w:r>
      <w:r>
        <w:rPr>
          <w:rFonts w:hint="eastAsia" w:ascii="仿宋_GB2312" w:eastAsia="仿宋_GB2312"/>
          <w:color w:val="000000"/>
          <w:sz w:val="32"/>
          <w:szCs w:val="32"/>
        </w:rPr>
        <w:t>指反映劳动保障监察事务支出。</w:t>
      </w:r>
    </w:p>
    <w:p w14:paraId="1CF88DC0">
      <w:pPr>
        <w:ind w:firstLine="640" w:firstLineChars="200"/>
        <w:rPr>
          <w:rFonts w:hint="eastAsia" w:ascii="仿宋_GB2312" w:eastAsia="仿宋_GB2312"/>
          <w:color w:val="000000"/>
          <w:sz w:val="32"/>
          <w:szCs w:val="32"/>
        </w:rPr>
      </w:pPr>
      <w:r>
        <w:rPr>
          <w:rStyle w:val="15"/>
          <w:rFonts w:hint="eastAsia" w:ascii="仿宋_GB2312" w:eastAsia="仿宋_GB2312"/>
          <w:b w:val="0"/>
          <w:color w:val="000000"/>
          <w:sz w:val="32"/>
          <w:szCs w:val="32"/>
        </w:rPr>
        <w:t>14.社会保障和就业（类）民政管理事务（款）基层政权和社区建设（项）:</w:t>
      </w:r>
      <w:r>
        <w:rPr>
          <w:rFonts w:hint="eastAsia" w:ascii="仿宋_GB2312" w:eastAsia="仿宋_GB2312"/>
          <w:color w:val="000000"/>
          <w:sz w:val="32"/>
          <w:szCs w:val="32"/>
        </w:rPr>
        <w:t>反映开展村民自治、村务公开等基层政权和社区建设工作的支出。</w:t>
      </w:r>
    </w:p>
    <w:p w14:paraId="29EB5417">
      <w:pPr>
        <w:ind w:firstLine="640" w:firstLineChars="200"/>
        <w:rPr>
          <w:rFonts w:hint="eastAsia" w:ascii="仿宋_GB2312" w:eastAsia="仿宋_GB2312"/>
          <w:color w:val="000000"/>
          <w:sz w:val="32"/>
          <w:szCs w:val="32"/>
        </w:rPr>
      </w:pPr>
      <w:r>
        <w:rPr>
          <w:rStyle w:val="15"/>
          <w:rFonts w:hint="eastAsia" w:ascii="仿宋_GB2312" w:eastAsia="仿宋_GB2312"/>
          <w:b w:val="0"/>
          <w:color w:val="000000"/>
          <w:sz w:val="32"/>
          <w:szCs w:val="32"/>
        </w:rPr>
        <w:t>15.社会保障和就业（类）行政事业单位离退休（款）机关事业单位基本养老保险缴费支出（项）:反映机关事业单位实施养老保险制度由单位缴纳的养老保险费支出。</w:t>
      </w:r>
    </w:p>
    <w:p w14:paraId="370A044A">
      <w:pPr>
        <w:ind w:firstLine="640" w:firstLineChars="200"/>
        <w:rPr>
          <w:rStyle w:val="15"/>
          <w:rFonts w:hint="eastAsia" w:ascii="仿宋_GB2312" w:eastAsia="仿宋_GB2312"/>
          <w:b w:val="0"/>
          <w:color w:val="000000"/>
          <w:sz w:val="32"/>
          <w:szCs w:val="32"/>
        </w:rPr>
      </w:pPr>
      <w:r>
        <w:rPr>
          <w:rStyle w:val="15"/>
          <w:rFonts w:hint="eastAsia" w:ascii="仿宋_GB2312" w:eastAsia="仿宋_GB2312"/>
          <w:b w:val="0"/>
          <w:color w:val="000000"/>
          <w:sz w:val="32"/>
          <w:szCs w:val="32"/>
        </w:rPr>
        <w:t xml:space="preserve"> 16.社会保障和就业（类）行政事业单位离退休（款）机关事业单位职业年金缴费支出（项）：反映事业单位实施养老保险制度由单位实际缴纳的职业年金支出。</w:t>
      </w:r>
    </w:p>
    <w:p w14:paraId="622843CF">
      <w:pPr>
        <w:ind w:firstLine="640" w:firstLineChars="200"/>
        <w:rPr>
          <w:rFonts w:hint="eastAsia" w:ascii="仿宋_GB2312" w:eastAsia="仿宋_GB2312"/>
          <w:color w:val="000000"/>
          <w:sz w:val="32"/>
          <w:szCs w:val="32"/>
        </w:rPr>
      </w:pPr>
      <w:r>
        <w:rPr>
          <w:rStyle w:val="15"/>
          <w:rFonts w:hint="eastAsia" w:ascii="仿宋_GB2312" w:eastAsia="仿宋_GB2312"/>
          <w:b w:val="0"/>
          <w:color w:val="000000"/>
          <w:sz w:val="32"/>
          <w:szCs w:val="32"/>
        </w:rPr>
        <w:t>17.社会保障和就业（类）抚恤（款）死亡抚恤（项）:</w:t>
      </w:r>
      <w:r>
        <w:rPr>
          <w:rFonts w:hint="eastAsia" w:ascii="仿宋_GB2312" w:eastAsia="仿宋_GB2312"/>
          <w:color w:val="000000"/>
          <w:sz w:val="32"/>
          <w:szCs w:val="32"/>
        </w:rPr>
        <w:t>反映按规定用于烈士和特征、病故人员家属的一次性和定期抚恤金以及丧葬补助费。</w:t>
      </w:r>
    </w:p>
    <w:p w14:paraId="7E16FD0E">
      <w:pPr>
        <w:ind w:firstLine="640" w:firstLineChars="200"/>
        <w:rPr>
          <w:rFonts w:hint="eastAsia" w:ascii="仿宋_GB2312" w:eastAsia="仿宋_GB2312"/>
          <w:color w:val="000000"/>
          <w:sz w:val="32"/>
          <w:szCs w:val="32"/>
        </w:rPr>
      </w:pPr>
      <w:r>
        <w:rPr>
          <w:rStyle w:val="15"/>
          <w:rFonts w:hint="eastAsia" w:ascii="仿宋_GB2312" w:eastAsia="仿宋_GB2312"/>
          <w:b w:val="0"/>
          <w:color w:val="000000"/>
          <w:sz w:val="32"/>
          <w:szCs w:val="32"/>
        </w:rPr>
        <w:t>18.社会保障和就业（类）自然灾害生活救助（款）地方自然灾害生活补助（项）:</w:t>
      </w:r>
      <w:r>
        <w:rPr>
          <w:rFonts w:hint="eastAsia" w:ascii="仿宋_GB2312" w:eastAsia="仿宋_GB2312"/>
          <w:color w:val="000000"/>
          <w:sz w:val="32"/>
          <w:szCs w:val="32"/>
        </w:rPr>
        <w:t>指反映地方预算安排的解决受灾群众吃、穿、住等困难的救济费和发生自然灾害时的抢救、转移、安置、治病等支出，以及为抵御自然灾害而设立的地方救灾储备物资采购资金我。</w:t>
      </w:r>
    </w:p>
    <w:p w14:paraId="1083764B">
      <w:pPr>
        <w:ind w:firstLine="640" w:firstLineChars="200"/>
        <w:rPr>
          <w:rFonts w:hint="eastAsia" w:ascii="仿宋_GB2312" w:eastAsia="仿宋_GB2312"/>
          <w:color w:val="000000"/>
          <w:sz w:val="32"/>
          <w:szCs w:val="32"/>
        </w:rPr>
      </w:pPr>
      <w:r>
        <w:rPr>
          <w:rStyle w:val="15"/>
          <w:rFonts w:hint="eastAsia" w:ascii="仿宋_GB2312" w:eastAsia="仿宋_GB2312"/>
          <w:b w:val="0"/>
          <w:color w:val="000000"/>
          <w:sz w:val="32"/>
          <w:szCs w:val="32"/>
        </w:rPr>
        <w:t>19.医疗卫生与计划生育（类）医疗保障（款）行政单位医疗（项）:</w:t>
      </w:r>
      <w:r>
        <w:rPr>
          <w:rFonts w:hint="eastAsia" w:ascii="仿宋_GB2312" w:eastAsia="仿宋_GB2312"/>
          <w:color w:val="000000"/>
          <w:sz w:val="32"/>
          <w:szCs w:val="32"/>
        </w:rPr>
        <w:t>指反映财政部门集中安排的行政单位基本医疗保险缴费经费。</w:t>
      </w:r>
    </w:p>
    <w:p w14:paraId="00E77E68">
      <w:pPr>
        <w:ind w:firstLine="640" w:firstLineChars="200"/>
        <w:rPr>
          <w:rFonts w:hint="eastAsia" w:ascii="仿宋_GB2312" w:eastAsia="仿宋_GB2312"/>
          <w:color w:val="000000"/>
          <w:sz w:val="32"/>
          <w:szCs w:val="32"/>
        </w:rPr>
      </w:pPr>
      <w:r>
        <w:rPr>
          <w:rStyle w:val="15"/>
          <w:rFonts w:hint="eastAsia" w:ascii="仿宋_GB2312" w:eastAsia="仿宋_GB2312"/>
          <w:b w:val="0"/>
          <w:color w:val="000000"/>
          <w:sz w:val="32"/>
          <w:szCs w:val="32"/>
        </w:rPr>
        <w:t>20.医疗卫生与计划生育（类）计划生育事务（款）其他计划生育事务支出（项）:</w:t>
      </w:r>
      <w:r>
        <w:rPr>
          <w:rFonts w:hint="eastAsia" w:ascii="仿宋_GB2312" w:eastAsia="仿宋_GB2312"/>
          <w:color w:val="000000"/>
          <w:sz w:val="32"/>
          <w:szCs w:val="32"/>
        </w:rPr>
        <w:t>指用于计划生育管理事务方面的支出。</w:t>
      </w:r>
    </w:p>
    <w:p w14:paraId="684AD34A">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21.节能环保支出（类）污染防治（款）其他污染防治支出（项）：反映除上述项目以外用于自然生态保护方面的支出。</w:t>
      </w:r>
    </w:p>
    <w:p w14:paraId="54CC37CD">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22.城乡社区支出（类）城乡社区环境卫生（款）城乡社区环境卫生（项）：反映城乡社区道路清扫、垃圾清运与处理、公布建设与维护、园林绿化等方面的支出。</w:t>
      </w:r>
    </w:p>
    <w:p w14:paraId="1B8A3E17">
      <w:pPr>
        <w:ind w:firstLine="640" w:firstLineChars="200"/>
        <w:rPr>
          <w:rFonts w:hint="eastAsia" w:ascii="仿宋_GB2312" w:eastAsia="仿宋_GB2312"/>
          <w:color w:val="000000"/>
          <w:sz w:val="32"/>
          <w:szCs w:val="32"/>
        </w:rPr>
      </w:pPr>
      <w:r>
        <w:rPr>
          <w:rStyle w:val="15"/>
          <w:rFonts w:hint="eastAsia" w:ascii="仿宋_GB2312" w:eastAsia="仿宋_GB2312"/>
          <w:b w:val="0"/>
          <w:color w:val="000000"/>
          <w:sz w:val="32"/>
          <w:szCs w:val="32"/>
        </w:rPr>
        <w:t>23.农林水（类）农业（款）事业运行（项）:指反映用于农业事业单位基本支出，事业单位设施、系统运行与资产维护等方面的支出。</w:t>
      </w:r>
    </w:p>
    <w:p w14:paraId="69E23440">
      <w:pPr>
        <w:ind w:firstLine="640" w:firstLineChars="200"/>
        <w:rPr>
          <w:rFonts w:hint="eastAsia" w:ascii="仿宋_GB2312" w:eastAsia="仿宋_GB2312"/>
          <w:color w:val="000000"/>
          <w:sz w:val="32"/>
          <w:szCs w:val="32"/>
        </w:rPr>
      </w:pPr>
      <w:r>
        <w:rPr>
          <w:rStyle w:val="15"/>
          <w:rFonts w:hint="eastAsia" w:ascii="仿宋_GB2312" w:eastAsia="仿宋_GB2312"/>
          <w:b w:val="0"/>
          <w:color w:val="000000"/>
          <w:sz w:val="32"/>
          <w:szCs w:val="32"/>
        </w:rPr>
        <w:t>24.农林水（类）农业（款）农村道路建设（项）:</w:t>
      </w:r>
      <w:r>
        <w:rPr>
          <w:rFonts w:hint="eastAsia" w:ascii="仿宋_GB2312" w:eastAsia="仿宋_GB2312"/>
          <w:color w:val="000000"/>
          <w:sz w:val="32"/>
          <w:szCs w:val="32"/>
        </w:rPr>
        <w:t>指用于农村公路、乡村道路建设方面的支出。</w:t>
      </w:r>
    </w:p>
    <w:p w14:paraId="6E99C0DC">
      <w:pPr>
        <w:ind w:firstLine="640" w:firstLineChars="200"/>
        <w:rPr>
          <w:rFonts w:hint="eastAsia" w:ascii="仿宋_GB2312" w:eastAsia="仿宋_GB2312"/>
          <w:color w:val="000000"/>
          <w:sz w:val="32"/>
          <w:szCs w:val="32"/>
        </w:rPr>
      </w:pPr>
      <w:r>
        <w:rPr>
          <w:rStyle w:val="15"/>
          <w:rFonts w:hint="eastAsia" w:ascii="仿宋_GB2312" w:eastAsia="仿宋_GB2312"/>
          <w:b w:val="0"/>
          <w:color w:val="000000"/>
          <w:sz w:val="32"/>
          <w:szCs w:val="32"/>
        </w:rPr>
        <w:t>25.农林水（类）农业（款）对高校毕业到基层任职补助（项）:</w:t>
      </w:r>
      <w:r>
        <w:rPr>
          <w:rFonts w:hint="eastAsia" w:ascii="仿宋_GB2312" w:eastAsia="仿宋_GB2312"/>
          <w:color w:val="000000"/>
          <w:sz w:val="32"/>
          <w:szCs w:val="32"/>
        </w:rPr>
        <w:t>指反映按规定对高校毕业生到基层任职的补助支出。</w:t>
      </w:r>
    </w:p>
    <w:p w14:paraId="3B952F32">
      <w:pPr>
        <w:ind w:firstLine="640" w:firstLineChars="200"/>
        <w:rPr>
          <w:rFonts w:hint="eastAsia" w:ascii="仿宋_GB2312" w:eastAsia="仿宋_GB2312"/>
          <w:color w:val="000000"/>
          <w:sz w:val="32"/>
          <w:szCs w:val="32"/>
        </w:rPr>
      </w:pPr>
      <w:r>
        <w:rPr>
          <w:rStyle w:val="15"/>
          <w:rFonts w:hint="eastAsia" w:ascii="仿宋_GB2312" w:eastAsia="仿宋_GB2312"/>
          <w:b w:val="0"/>
          <w:color w:val="000000"/>
          <w:sz w:val="32"/>
          <w:szCs w:val="32"/>
        </w:rPr>
        <w:t>26.农林水（类）农业（款）其他农业支出（项）:</w:t>
      </w:r>
      <w:r>
        <w:rPr>
          <w:rFonts w:hint="eastAsia" w:ascii="仿宋_GB2312" w:eastAsia="仿宋_GB2312"/>
          <w:color w:val="000000"/>
          <w:sz w:val="32"/>
          <w:szCs w:val="32"/>
        </w:rPr>
        <w:t>指其他用于农业方面的支出。</w:t>
      </w:r>
    </w:p>
    <w:p w14:paraId="72E1483F">
      <w:pPr>
        <w:ind w:firstLine="640" w:firstLineChars="200"/>
        <w:rPr>
          <w:rFonts w:hint="eastAsia" w:ascii="仿宋_GB2312" w:eastAsia="仿宋_GB2312"/>
          <w:color w:val="000000"/>
          <w:sz w:val="32"/>
          <w:szCs w:val="32"/>
        </w:rPr>
      </w:pPr>
      <w:r>
        <w:rPr>
          <w:rStyle w:val="15"/>
          <w:rFonts w:hint="eastAsia" w:ascii="仿宋_GB2312" w:eastAsia="仿宋_GB2312"/>
          <w:b w:val="0"/>
          <w:color w:val="000000"/>
          <w:sz w:val="32"/>
          <w:szCs w:val="32"/>
        </w:rPr>
        <w:t>27.农林水（类）农业（款）社会发展（项）:</w:t>
      </w:r>
      <w:r>
        <w:rPr>
          <w:rFonts w:hint="eastAsia" w:ascii="仿宋_GB2312" w:eastAsia="仿宋_GB2312"/>
          <w:color w:val="000000"/>
          <w:sz w:val="32"/>
          <w:szCs w:val="32"/>
        </w:rPr>
        <w:t>反映用于农村贫困地区中小学教育、文化、广播、电视、医疗、卫生等方面的项目支出。</w:t>
      </w:r>
    </w:p>
    <w:p w14:paraId="28A49C35">
      <w:pPr>
        <w:ind w:firstLine="640" w:firstLineChars="200"/>
        <w:rPr>
          <w:rFonts w:hint="eastAsia" w:ascii="仿宋_GB2312" w:eastAsia="仿宋_GB2312"/>
          <w:color w:val="000000"/>
          <w:sz w:val="32"/>
          <w:szCs w:val="32"/>
        </w:rPr>
      </w:pPr>
      <w:r>
        <w:rPr>
          <w:rStyle w:val="15"/>
          <w:rFonts w:hint="eastAsia" w:ascii="仿宋_GB2312" w:eastAsia="仿宋_GB2312"/>
          <w:b w:val="0"/>
          <w:color w:val="000000"/>
          <w:sz w:val="32"/>
          <w:szCs w:val="32"/>
        </w:rPr>
        <w:t>28.农林水（类）扶贫（款）其他扶贫支出（项）:</w:t>
      </w:r>
      <w:r>
        <w:rPr>
          <w:rFonts w:hint="eastAsia" w:ascii="仿宋_GB2312" w:eastAsia="仿宋_GB2312"/>
          <w:color w:val="000000"/>
          <w:sz w:val="32"/>
          <w:szCs w:val="32"/>
        </w:rPr>
        <w:t>指其他用于扶贫方面的支出。</w:t>
      </w:r>
    </w:p>
    <w:p w14:paraId="3949B581">
      <w:pPr>
        <w:ind w:firstLine="640" w:firstLineChars="200"/>
        <w:rPr>
          <w:rStyle w:val="15"/>
          <w:rFonts w:hint="eastAsia" w:ascii="仿宋_GB2312" w:eastAsia="仿宋_GB2312"/>
          <w:b w:val="0"/>
          <w:color w:val="000000"/>
          <w:sz w:val="32"/>
          <w:szCs w:val="32"/>
        </w:rPr>
      </w:pPr>
      <w:r>
        <w:rPr>
          <w:rStyle w:val="15"/>
          <w:rFonts w:hint="eastAsia" w:ascii="仿宋_GB2312" w:eastAsia="仿宋_GB2312"/>
          <w:b w:val="0"/>
          <w:color w:val="000000"/>
          <w:sz w:val="32"/>
          <w:szCs w:val="32"/>
        </w:rPr>
        <w:t>29.农林水（类）农村综合改革（款）对村集体经济组织的补助（项）:反映各级财政对农村改革示范试点、新型农业社会化服务体系建设等补助支出。</w:t>
      </w:r>
    </w:p>
    <w:p w14:paraId="6FB0F50F">
      <w:pPr>
        <w:ind w:firstLine="640" w:firstLineChars="200"/>
        <w:rPr>
          <w:rFonts w:hint="eastAsia" w:ascii="仿宋_GB2312" w:eastAsia="仿宋_GB2312"/>
          <w:color w:val="000000"/>
          <w:sz w:val="32"/>
          <w:szCs w:val="32"/>
        </w:rPr>
      </w:pPr>
      <w:r>
        <w:rPr>
          <w:rStyle w:val="15"/>
          <w:rFonts w:hint="eastAsia" w:ascii="仿宋_GB2312" w:eastAsia="仿宋_GB2312"/>
          <w:b w:val="0"/>
          <w:color w:val="000000"/>
          <w:sz w:val="32"/>
          <w:szCs w:val="32"/>
        </w:rPr>
        <w:t>30.农林水（类）农村综合改革（款）对村民委员会和村党支部的补助（项）:</w:t>
      </w:r>
      <w:r>
        <w:rPr>
          <w:rFonts w:hint="eastAsia" w:ascii="仿宋_GB2312" w:eastAsia="仿宋_GB2312"/>
          <w:color w:val="000000"/>
          <w:sz w:val="32"/>
          <w:szCs w:val="32"/>
        </w:rPr>
        <w:t>指反映各级财政对村民委员会村党支部的补助支出，以及支持建设县级基本财力保障机制安排村级组织运转奖补资金。</w:t>
      </w:r>
    </w:p>
    <w:p w14:paraId="6E5D86AC">
      <w:pPr>
        <w:ind w:firstLine="640" w:firstLineChars="200"/>
        <w:rPr>
          <w:rFonts w:hint="eastAsia" w:ascii="仿宋_GB2312" w:eastAsia="仿宋_GB2312"/>
          <w:color w:val="000000"/>
          <w:sz w:val="32"/>
          <w:szCs w:val="32"/>
        </w:rPr>
      </w:pPr>
      <w:r>
        <w:rPr>
          <w:rStyle w:val="15"/>
          <w:rFonts w:hint="eastAsia" w:ascii="仿宋_GB2312" w:eastAsia="仿宋_GB2312"/>
          <w:b w:val="0"/>
          <w:color w:val="000000"/>
          <w:sz w:val="32"/>
          <w:szCs w:val="32"/>
        </w:rPr>
        <w:t>31.农林水（类）农村综合改革（款）农村综合改革示范点补助（项）:</w:t>
      </w:r>
      <w:r>
        <w:rPr>
          <w:rFonts w:hint="eastAsia" w:ascii="仿宋_GB2312" w:eastAsia="仿宋_GB2312"/>
          <w:color w:val="000000"/>
          <w:sz w:val="32"/>
          <w:szCs w:val="32"/>
        </w:rPr>
        <w:t>指反映各级财政对农村综合改革示范试点、新型农业社会化服务体系建设等补助支出。</w:t>
      </w:r>
    </w:p>
    <w:p w14:paraId="0C334D35">
      <w:pPr>
        <w:ind w:firstLine="640" w:firstLineChars="200"/>
        <w:rPr>
          <w:rFonts w:hint="eastAsia" w:ascii="仿宋_GB2312" w:eastAsia="仿宋_GB2312"/>
          <w:color w:val="000000"/>
          <w:sz w:val="32"/>
          <w:szCs w:val="32"/>
        </w:rPr>
      </w:pPr>
      <w:r>
        <w:rPr>
          <w:rStyle w:val="15"/>
          <w:rFonts w:hint="eastAsia" w:ascii="仿宋_GB2312" w:eastAsia="仿宋_GB2312"/>
          <w:b w:val="0"/>
          <w:color w:val="000000"/>
          <w:sz w:val="32"/>
          <w:szCs w:val="32"/>
        </w:rPr>
        <w:t>32.住房保障（类）住房改革支出（款）住房公积金（项）:</w:t>
      </w:r>
      <w:r>
        <w:rPr>
          <w:rFonts w:hint="eastAsia" w:ascii="仿宋_GB2312" w:eastAsia="仿宋_GB2312"/>
          <w:color w:val="000000"/>
          <w:sz w:val="32"/>
          <w:szCs w:val="32"/>
        </w:rPr>
        <w:t>指反映行政事业按人力资源和社会保障部、财政部规定的基本工资和津贴补贴以及规定比例为职工缴纳的住房公积金。</w:t>
      </w:r>
    </w:p>
    <w:p w14:paraId="4FB78D02">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33.结余分配：指事业单位按规定提取的职工福利基金、事业基金和缴纳的所得税，以及建设单位按规定应交回的基本建设竣工项目结余资金。</w:t>
      </w:r>
    </w:p>
    <w:p w14:paraId="724ED1D0">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34.年末结转和结余：指本年度或以前年度预算安排、因客观条件发生变化无法按原计划实施，需延迟到以后年度按有关规定继续使用的资金。</w:t>
      </w:r>
    </w:p>
    <w:p w14:paraId="1F7F105D">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35.基本支出：指为保障机构正常运转、完成日常工作任务而发生的人员支出和公用支出。</w:t>
      </w:r>
    </w:p>
    <w:p w14:paraId="29674D8D">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36.项目支出：指在基本支出之外为完成特定行政任务和事业发展目标所发生的支出。 </w:t>
      </w:r>
    </w:p>
    <w:p w14:paraId="694879A8">
      <w:pPr>
        <w:pStyle w:val="28"/>
        <w:ind w:firstLine="640" w:firstLineChars="200"/>
        <w:rPr>
          <w:rFonts w:hint="eastAsia" w:ascii="仿宋_GB2312" w:eastAsia="仿宋_GB2312"/>
          <w:sz w:val="32"/>
          <w:szCs w:val="32"/>
        </w:rPr>
      </w:pPr>
      <w:r>
        <w:rPr>
          <w:rFonts w:hint="eastAsia" w:ascii="仿宋_GB2312" w:eastAsia="仿宋_GB2312"/>
          <w:sz w:val="32"/>
          <w:szCs w:val="32"/>
        </w:rPr>
        <w:t>37.“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363F6F66">
      <w:pPr>
        <w:ind w:firstLine="640"/>
        <w:rPr>
          <w:rFonts w:hint="eastAsia" w:ascii="仿宋_GB2312" w:eastAsia="仿宋_GB2312"/>
          <w:i/>
          <w:color w:val="404040"/>
          <w:sz w:val="32"/>
          <w:szCs w:val="32"/>
        </w:rPr>
      </w:pPr>
      <w:r>
        <w:rPr>
          <w:rFonts w:hint="eastAsia" w:ascii="仿宋_GB2312" w:eastAsia="仿宋_GB2312"/>
          <w:sz w:val="32"/>
          <w:szCs w:val="32"/>
        </w:rPr>
        <w:t>38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w:t>
      </w:r>
    </w:p>
    <w:p w14:paraId="1E067991">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39.结余分配：指事业单位按规定提取的职工福利基金、事业基金和缴纳的所得税，以及建设单位按规定应交回的基本建设竣工项目结余资金。</w:t>
      </w:r>
    </w:p>
    <w:p w14:paraId="50A2144D">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40.年末结转和结余：指本年度或以前年度预算安排、因客观条件发生变化无法按原计划实施，需延迟到以后年度按有关规定继续使用的资金。</w:t>
      </w:r>
    </w:p>
    <w:p w14:paraId="723F3CB7">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41.基本支出：指为保障机构正常运转、完成日常工作任务而发生的人员支出和公用支出。</w:t>
      </w:r>
    </w:p>
    <w:p w14:paraId="01C9828A">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42.项目支出：指在基本支出之外为完成特定行政任务和事业发展目标所发生的支出。 </w:t>
      </w:r>
    </w:p>
    <w:p w14:paraId="14BF729F">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43.经营支出：指事业单位在专业业务活动及其辅助活动之外开展非独立核算经营活动发生的支出。</w:t>
      </w:r>
    </w:p>
    <w:p w14:paraId="2FF4E978">
      <w:pPr>
        <w:pStyle w:val="28"/>
        <w:ind w:firstLine="640" w:firstLineChars="200"/>
        <w:rPr>
          <w:rFonts w:hint="eastAsia" w:ascii="仿宋_GB2312" w:eastAsia="仿宋_GB2312"/>
          <w:sz w:val="32"/>
          <w:szCs w:val="32"/>
        </w:rPr>
      </w:pPr>
      <w:r>
        <w:rPr>
          <w:rFonts w:hint="eastAsia" w:ascii="仿宋_GB2312" w:eastAsia="仿宋_GB2312"/>
          <w:sz w:val="32"/>
          <w:szCs w:val="32"/>
        </w:rPr>
        <w:t>44.“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67F8BC0">
      <w:pPr>
        <w:pStyle w:val="28"/>
        <w:ind w:firstLine="640" w:firstLineChars="200"/>
        <w:rPr>
          <w:rFonts w:hint="eastAsia" w:ascii="仿宋_GB2312" w:eastAsia="仿宋_GB2312"/>
          <w:sz w:val="32"/>
          <w:szCs w:val="32"/>
        </w:rPr>
      </w:pPr>
      <w:r>
        <w:rPr>
          <w:rFonts w:hint="eastAsia" w:ascii="仿宋_GB2312" w:eastAsia="仿宋_GB2312"/>
          <w:sz w:val="32"/>
          <w:szCs w:val="32"/>
        </w:rPr>
        <w:t>45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5FB8BFD">
      <w:pPr>
        <w:pStyle w:val="28"/>
        <w:ind w:firstLine="640" w:firstLineChars="200"/>
        <w:rPr>
          <w:rFonts w:hint="eastAsia" w:ascii="仿宋_GB2312" w:eastAsia="仿宋_GB2312"/>
          <w:sz w:val="32"/>
          <w:szCs w:val="32"/>
        </w:rPr>
      </w:pPr>
    </w:p>
    <w:p w14:paraId="73F66FAD">
      <w:pPr>
        <w:outlineLvl w:val="0"/>
        <w:rPr>
          <w:rStyle w:val="17"/>
          <w:rFonts w:hint="eastAsia" w:ascii="仿宋_GB2312" w:hAnsi="黑体" w:eastAsia="仿宋_GB2312"/>
          <w:b w:val="0"/>
          <w:sz w:val="32"/>
          <w:szCs w:val="32"/>
        </w:rPr>
      </w:pPr>
    </w:p>
    <w:p w14:paraId="5FB907B2">
      <w:pPr>
        <w:jc w:val="left"/>
        <w:rPr>
          <w:rFonts w:hint="eastAsia" w:ascii="仿宋_GB2312" w:eastAsia="仿宋_GB2312"/>
          <w:b/>
          <w:color w:val="000000"/>
          <w:sz w:val="32"/>
          <w:szCs w:val="32"/>
        </w:rPr>
      </w:pPr>
    </w:p>
    <w:p w14:paraId="67AD81C0">
      <w:pPr>
        <w:pStyle w:val="28"/>
        <w:ind w:firstLine="640" w:firstLineChars="200"/>
        <w:rPr>
          <w:rFonts w:hint="eastAsia" w:ascii="仿宋_GB2312" w:eastAsia="仿宋_GB2312" w:cs="黑体"/>
          <w:sz w:val="32"/>
          <w:szCs w:val="32"/>
        </w:rPr>
      </w:pPr>
    </w:p>
    <w:p w14:paraId="6709828E">
      <w:pPr>
        <w:jc w:val="center"/>
        <w:outlineLvl w:val="0"/>
        <w:rPr>
          <w:rStyle w:val="17"/>
          <w:rFonts w:hint="eastAsia" w:ascii="方正小标宋简体" w:hAnsi="黑体" w:eastAsia="方正小标宋简体"/>
        </w:rPr>
      </w:pPr>
      <w:r>
        <w:rPr>
          <w:rFonts w:hint="eastAsia" w:ascii="仿宋_GB2312" w:eastAsia="仿宋_GB2312"/>
          <w:b/>
          <w:color w:val="000000"/>
          <w:sz w:val="32"/>
          <w:szCs w:val="32"/>
        </w:rPr>
        <w:br w:type="page"/>
      </w:r>
      <w:r>
        <w:rPr>
          <w:rFonts w:hint="eastAsia" w:ascii="方正小标宋简体" w:hAnsi="黑体" w:eastAsia="方正小标宋简体"/>
          <w:color w:val="000000"/>
          <w:sz w:val="44"/>
          <w:szCs w:val="44"/>
        </w:rPr>
        <w:t>第</w:t>
      </w:r>
      <w:r>
        <w:rPr>
          <w:rStyle w:val="17"/>
          <w:rFonts w:hint="eastAsia" w:ascii="方正小标宋简体" w:hAnsi="黑体" w:eastAsia="方正小标宋简体"/>
        </w:rPr>
        <w:t>四部分 附件</w:t>
      </w:r>
    </w:p>
    <w:p w14:paraId="5B207D4C">
      <w:pPr>
        <w:jc w:val="left"/>
        <w:outlineLvl w:val="0"/>
        <w:rPr>
          <w:rFonts w:hint="eastAsia" w:ascii="仿宋_GB2312" w:hAnsi="方正小标宋简体" w:eastAsia="仿宋_GB2312" w:cs="方正小标宋简体"/>
          <w:sz w:val="32"/>
          <w:szCs w:val="32"/>
        </w:rPr>
      </w:pPr>
      <w:r>
        <w:rPr>
          <w:rFonts w:hint="eastAsia" w:ascii="仿宋_GB2312" w:hAnsi="黑体" w:eastAsia="仿宋_GB2312" w:cs="黑体"/>
          <w:sz w:val="32"/>
          <w:szCs w:val="32"/>
        </w:rPr>
        <w:t>附件1</w:t>
      </w:r>
    </w:p>
    <w:p w14:paraId="2E11B19B">
      <w:pPr>
        <w:jc w:val="center"/>
        <w:rPr>
          <w:rFonts w:hint="eastAsia" w:ascii="方正小标宋简体" w:hAnsi="黑体" w:eastAsia="方正小标宋简体"/>
          <w:color w:val="000000"/>
          <w:kern w:val="0"/>
          <w:sz w:val="44"/>
          <w:szCs w:val="44"/>
          <w:lang w:val="zh-CN"/>
        </w:rPr>
      </w:pPr>
      <w:r>
        <w:rPr>
          <w:rFonts w:hint="eastAsia" w:ascii="方正小标宋简体" w:hAnsi="黑体" w:eastAsia="方正小标宋简体"/>
          <w:color w:val="000000"/>
          <w:kern w:val="0"/>
          <w:sz w:val="44"/>
          <w:szCs w:val="44"/>
        </w:rPr>
        <w:t>峨眉山市胜利镇2019年部门</w:t>
      </w:r>
      <w:r>
        <w:rPr>
          <w:rFonts w:hint="eastAsia" w:ascii="方正小标宋简体" w:hAnsi="黑体" w:eastAsia="方正小标宋简体"/>
          <w:color w:val="000000"/>
          <w:kern w:val="0"/>
          <w:sz w:val="44"/>
          <w:szCs w:val="44"/>
          <w:lang w:val="zh-CN"/>
        </w:rPr>
        <w:t>整体支出</w:t>
      </w:r>
    </w:p>
    <w:p w14:paraId="4C0F27E6">
      <w:pPr>
        <w:jc w:val="center"/>
        <w:rPr>
          <w:rFonts w:hint="eastAsia" w:ascii="方正小标宋简体" w:hAnsi="黑体" w:eastAsia="方正小标宋简体"/>
          <w:color w:val="000000"/>
          <w:kern w:val="0"/>
          <w:sz w:val="44"/>
          <w:szCs w:val="44"/>
          <w:lang w:val="zh-CN"/>
        </w:rPr>
      </w:pPr>
      <w:r>
        <w:rPr>
          <w:rFonts w:hint="eastAsia" w:ascii="方正小标宋简体" w:hAnsi="黑体" w:eastAsia="方正小标宋简体"/>
          <w:color w:val="000000"/>
          <w:kern w:val="0"/>
          <w:sz w:val="44"/>
          <w:szCs w:val="44"/>
          <w:lang w:val="zh-CN"/>
        </w:rPr>
        <w:t>绩效评价报告</w:t>
      </w:r>
    </w:p>
    <w:p w14:paraId="77D7361F">
      <w:pPr>
        <w:widowControl/>
        <w:adjustRightInd w:val="0"/>
        <w:ind w:firstLine="640" w:firstLineChars="200"/>
        <w:jc w:val="left"/>
        <w:rPr>
          <w:rFonts w:hint="eastAsia"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rPr>
        <w:t>一、</w:t>
      </w:r>
      <w:r>
        <w:rPr>
          <w:rFonts w:hint="eastAsia" w:ascii="黑体" w:hAnsi="黑体" w:eastAsia="黑体" w:cs="宋体"/>
          <w:color w:val="000000"/>
          <w:kern w:val="0"/>
          <w:sz w:val="32"/>
          <w:szCs w:val="32"/>
          <w:shd w:val="clear" w:color="auto" w:fill="FFFFFF"/>
          <w:lang w:val="zh-CN"/>
        </w:rPr>
        <w:t>部门（单位）概况</w:t>
      </w:r>
    </w:p>
    <w:p w14:paraId="16EA23E1">
      <w:pPr>
        <w:widowControl/>
        <w:adjustRightInd w:val="0"/>
        <w:ind w:firstLine="640" w:firstLineChars="200"/>
        <w:jc w:val="left"/>
        <w:rPr>
          <w:rFonts w:hint="eastAsia" w:ascii="楷体" w:hAnsi="楷体" w:eastAsia="楷体" w:cs="仿宋"/>
          <w:color w:val="000000"/>
          <w:kern w:val="0"/>
          <w:sz w:val="32"/>
          <w:szCs w:val="32"/>
        </w:rPr>
      </w:pPr>
      <w:r>
        <w:rPr>
          <w:rFonts w:hint="eastAsia" w:ascii="楷体" w:hAnsi="楷体" w:eastAsia="楷体" w:cs="仿宋"/>
          <w:color w:val="000000"/>
          <w:kern w:val="0"/>
          <w:sz w:val="32"/>
          <w:szCs w:val="32"/>
        </w:rPr>
        <w:t>（一）机构组成。</w:t>
      </w:r>
    </w:p>
    <w:p w14:paraId="561BB574">
      <w:pPr>
        <w:pStyle w:val="5"/>
        <w:adjustRightInd w:val="0"/>
        <w:spacing w:beforeLines="0"/>
        <w:ind w:firstLine="672" w:firstLineChars="210"/>
        <w:rPr>
          <w:rFonts w:hint="eastAsia" w:hAnsi="仿宋" w:cs="仿宋"/>
          <w:color w:val="000000"/>
          <w:sz w:val="32"/>
          <w:szCs w:val="32"/>
        </w:rPr>
      </w:pPr>
      <w:r>
        <w:rPr>
          <w:rFonts w:hint="eastAsia" w:hAnsi="仿宋" w:cs="仿宋"/>
          <w:color w:val="000000"/>
          <w:sz w:val="32"/>
          <w:szCs w:val="32"/>
        </w:rPr>
        <w:t>胜利镇人民政府属一级预算单位，其中行政单位1个，参照公务员法管理的事业单位0个，其他事业单位2个，分别是农业持技术服务中心和社会事业服务中心。</w:t>
      </w:r>
    </w:p>
    <w:p w14:paraId="48073EC3">
      <w:pPr>
        <w:widowControl/>
        <w:adjustRightInd w:val="0"/>
        <w:ind w:firstLine="640" w:firstLineChars="200"/>
        <w:jc w:val="left"/>
        <w:rPr>
          <w:rFonts w:hint="eastAsia" w:ascii="楷体" w:hAnsi="楷体" w:eastAsia="楷体" w:cs="仿宋"/>
          <w:color w:val="000000"/>
          <w:kern w:val="0"/>
          <w:sz w:val="32"/>
          <w:szCs w:val="32"/>
        </w:rPr>
      </w:pPr>
      <w:r>
        <w:rPr>
          <w:rFonts w:hint="eastAsia" w:ascii="楷体" w:hAnsi="楷体" w:eastAsia="楷体" w:cs="仿宋"/>
          <w:color w:val="000000"/>
          <w:kern w:val="0"/>
          <w:sz w:val="32"/>
          <w:szCs w:val="32"/>
        </w:rPr>
        <w:t>（二）机构职能。</w:t>
      </w:r>
    </w:p>
    <w:p w14:paraId="512EB2AE">
      <w:pPr>
        <w:ind w:firstLine="800" w:firstLineChars="25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1、镇党委工作职责</w:t>
      </w:r>
    </w:p>
    <w:p w14:paraId="659373DB">
      <w:pPr>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（1）、保证党的路线、方针、政策的坚决贯彻执行。</w:t>
      </w:r>
    </w:p>
    <w:p w14:paraId="3C6C746F">
      <w:pPr>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（2）、保证监督职能。</w:t>
      </w:r>
    </w:p>
    <w:p w14:paraId="667D5E78">
      <w:pPr>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（3）、教育和管理职能。</w:t>
      </w:r>
    </w:p>
    <w:p w14:paraId="730A3858">
      <w:pPr>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（4）、服从和服务于经济建设的职能。</w:t>
      </w:r>
    </w:p>
    <w:p w14:paraId="00AED224">
      <w:pPr>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（5）、负责抓好本镇党建工作、群团工作、精神文明建设工作、新闻宣传工作。</w:t>
      </w:r>
    </w:p>
    <w:p w14:paraId="05BBEC95">
      <w:pPr>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（6）、完成市委、市政府交给的其他工作任务。</w:t>
      </w:r>
    </w:p>
    <w:p w14:paraId="345A7B18">
      <w:pPr>
        <w:ind w:firstLine="800" w:firstLineChars="25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2、镇政府工作职责</w:t>
      </w:r>
    </w:p>
    <w:p w14:paraId="347A7B69">
      <w:pPr>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14:paraId="24117084">
      <w:pPr>
        <w:ind w:firstLine="480" w:firstLineChars="15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（2）、制定并组织实施村镇建设规划，部署重点工程建设，地方道路建设及公共设施，水利设施的管理，负责土地、林木、水等自然资源和生态环境的保护，做好护林防火工作。</w:t>
      </w:r>
    </w:p>
    <w:p w14:paraId="5761A21A">
      <w:pPr>
        <w:ind w:firstLine="480" w:firstLineChars="15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14:paraId="77342D63">
      <w:pPr>
        <w:ind w:firstLine="480" w:firstLineChars="15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（4）、按计划组织本级财政收入和地方税的征收，完成国家财政计划，不断培植税源，管好财政资金，增强财政实力。</w:t>
      </w:r>
    </w:p>
    <w:p w14:paraId="642E8AC2">
      <w:pPr>
        <w:ind w:firstLine="480" w:firstLineChars="15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（5）、抓好精神文明建设，丰富群众文化生活，提倡移风易俗，反对封建迷信，破除陈规陋习，树立社会主义新风尚。</w:t>
      </w:r>
    </w:p>
    <w:p w14:paraId="2007FAF8">
      <w:pPr>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（6）、完成上级政府交办的其它事项。</w:t>
      </w:r>
    </w:p>
    <w:p w14:paraId="6D96C243">
      <w:pPr>
        <w:widowControl/>
        <w:adjustRightInd w:val="0"/>
        <w:ind w:firstLine="640" w:firstLineChars="200"/>
        <w:jc w:val="left"/>
        <w:rPr>
          <w:rFonts w:hint="eastAsia" w:ascii="楷体" w:hAnsi="楷体" w:eastAsia="楷体" w:cs="仿宋"/>
          <w:color w:val="000000"/>
          <w:kern w:val="0"/>
          <w:sz w:val="32"/>
          <w:szCs w:val="32"/>
        </w:rPr>
      </w:pPr>
      <w:r>
        <w:rPr>
          <w:rFonts w:hint="eastAsia" w:ascii="楷体" w:hAnsi="楷体" w:eastAsia="楷体" w:cs="仿宋"/>
          <w:color w:val="000000"/>
          <w:kern w:val="0"/>
          <w:sz w:val="32"/>
          <w:szCs w:val="32"/>
        </w:rPr>
        <w:t>（三）人员概况。</w:t>
      </w:r>
    </w:p>
    <w:p w14:paraId="3D19D572">
      <w:pPr>
        <w:widowControl/>
        <w:adjustRightInd w:val="0"/>
        <w:ind w:firstLine="640" w:firstLineChars="200"/>
        <w:jc w:val="left"/>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本年机关人员编制核定为25名，机关后勤编制2人，实有行政人员20人，机关后勤人员2人。（核定事业单位事业人员编制14名，现在14人。）2019年转业士官安置1名，行政退休2名。</w:t>
      </w:r>
    </w:p>
    <w:p w14:paraId="78C068A2">
      <w:pPr>
        <w:widowControl/>
        <w:adjustRightInd w:val="0"/>
        <w:ind w:firstLine="640" w:firstLineChars="200"/>
        <w:jc w:val="left"/>
        <w:rPr>
          <w:rFonts w:hint="eastAsia" w:ascii="黑体" w:hAnsi="黑体" w:eastAsia="黑体" w:cs="仿宋"/>
          <w:color w:val="000000"/>
          <w:kern w:val="0"/>
          <w:sz w:val="32"/>
          <w:szCs w:val="32"/>
        </w:rPr>
      </w:pPr>
      <w:r>
        <w:rPr>
          <w:rFonts w:hint="eastAsia" w:ascii="黑体" w:hAnsi="黑体" w:eastAsia="黑体" w:cs="仿宋"/>
          <w:color w:val="000000"/>
          <w:kern w:val="0"/>
          <w:sz w:val="32"/>
          <w:szCs w:val="32"/>
        </w:rPr>
        <w:t>二、部门财政资金收支情况</w:t>
      </w:r>
    </w:p>
    <w:p w14:paraId="0FC7B909">
      <w:pPr>
        <w:widowControl/>
        <w:adjustRightInd w:val="0"/>
        <w:ind w:firstLine="640" w:firstLineChars="200"/>
        <w:jc w:val="left"/>
        <w:rPr>
          <w:rFonts w:hint="eastAsia" w:ascii="楷体" w:hAnsi="楷体" w:eastAsia="楷体" w:cs="仿宋"/>
          <w:color w:val="000000"/>
          <w:kern w:val="0"/>
          <w:sz w:val="32"/>
          <w:szCs w:val="32"/>
        </w:rPr>
      </w:pPr>
      <w:r>
        <w:rPr>
          <w:rFonts w:hint="eastAsia" w:ascii="楷体" w:hAnsi="楷体" w:eastAsia="楷体" w:cs="仿宋"/>
          <w:color w:val="000000"/>
          <w:kern w:val="0"/>
          <w:sz w:val="32"/>
          <w:szCs w:val="32"/>
        </w:rPr>
        <w:t>（一）部门财政资金收入情况</w:t>
      </w:r>
    </w:p>
    <w:p w14:paraId="5EC5B085">
      <w:pPr>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财政资金收入合计5244.61万元，其中本年公共预算财政拨款1349.25万元，政府性基金预算财政拨款收入3895.37万元，上年结转1000.4万元。</w:t>
      </w:r>
    </w:p>
    <w:p w14:paraId="7BAB712F">
      <w:pPr>
        <w:widowControl/>
        <w:adjustRightInd w:val="0"/>
        <w:ind w:firstLine="640" w:firstLineChars="200"/>
        <w:jc w:val="left"/>
        <w:rPr>
          <w:rFonts w:hint="eastAsia" w:ascii="楷体" w:hAnsi="楷体" w:eastAsia="楷体" w:cs="仿宋"/>
          <w:color w:val="000000"/>
          <w:kern w:val="0"/>
          <w:sz w:val="32"/>
          <w:szCs w:val="32"/>
        </w:rPr>
      </w:pPr>
      <w:r>
        <w:rPr>
          <w:rFonts w:hint="eastAsia" w:ascii="楷体" w:hAnsi="楷体" w:eastAsia="楷体" w:cs="仿宋"/>
          <w:color w:val="000000"/>
          <w:kern w:val="0"/>
          <w:sz w:val="32"/>
          <w:szCs w:val="32"/>
        </w:rPr>
        <w:t>（二）部门财政资金支出情况</w:t>
      </w:r>
    </w:p>
    <w:p w14:paraId="772D178F">
      <w:pPr>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财政资金支出合计6245.01元，其中基本支出661.49万元，项目支出5347.47万元，结转236.05万元。</w:t>
      </w:r>
    </w:p>
    <w:p w14:paraId="450D6A3C">
      <w:pPr>
        <w:widowControl/>
        <w:adjustRightInd w:val="0"/>
        <w:ind w:firstLine="640" w:firstLineChars="200"/>
        <w:jc w:val="left"/>
        <w:rPr>
          <w:rFonts w:hint="eastAsia" w:ascii="黑体" w:hAnsi="黑体" w:eastAsia="黑体" w:cs="仿宋"/>
          <w:color w:val="000000"/>
          <w:kern w:val="0"/>
          <w:sz w:val="32"/>
          <w:szCs w:val="32"/>
        </w:rPr>
      </w:pPr>
      <w:r>
        <w:rPr>
          <w:rFonts w:hint="eastAsia" w:ascii="黑体" w:hAnsi="黑体" w:eastAsia="黑体" w:cs="仿宋"/>
          <w:color w:val="000000"/>
          <w:kern w:val="0"/>
          <w:sz w:val="32"/>
          <w:szCs w:val="32"/>
        </w:rPr>
        <w:t>三、部门整体预算绩效管理情况</w:t>
      </w:r>
    </w:p>
    <w:p w14:paraId="7A2B147C">
      <w:pPr>
        <w:ind w:firstLine="640" w:firstLineChars="200"/>
        <w:rPr>
          <w:rFonts w:hint="eastAsia" w:ascii="楷体" w:hAnsi="楷体" w:eastAsia="楷体" w:cs="仿宋"/>
          <w:color w:val="000000"/>
          <w:kern w:val="0"/>
          <w:sz w:val="32"/>
          <w:szCs w:val="32"/>
        </w:rPr>
      </w:pPr>
      <w:r>
        <w:rPr>
          <w:rFonts w:hint="eastAsia" w:ascii="楷体" w:hAnsi="楷体" w:eastAsia="楷体" w:cs="仿宋"/>
          <w:color w:val="000000"/>
          <w:kern w:val="0"/>
          <w:sz w:val="32"/>
          <w:szCs w:val="32"/>
        </w:rPr>
        <w:t>（一）预决算编制情况</w:t>
      </w:r>
    </w:p>
    <w:p w14:paraId="61BA57AD">
      <w:pPr>
        <w:adjustRightInd w:val="0"/>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1、按照峨眉山市财政局关于编制2019年部门预算的通知和有关要求，按时完成基础款项、项目库报送工作，按时完成预算编制工作并提交部门预算草案。</w:t>
      </w:r>
    </w:p>
    <w:p w14:paraId="67F44258">
      <w:pPr>
        <w:adjustRightInd w:val="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 xml:space="preserve">    2、胜利街道办部门预算的编制符合《中华人民共和国预算法》和国家其他法律、法规的要求，对每一收支项目的数字指标进行认真测算，力求各项收支数据真实准确。对单位的各项财政资金和其他收入，统一管理，统筹安排，统一编制综合财政预算。</w:t>
      </w:r>
    </w:p>
    <w:p w14:paraId="56DC7F6D">
      <w:pPr>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3、进一步强化绩效理念，健全管理制度，提高绩效评价工作质量，细化部门预算编制。</w:t>
      </w:r>
    </w:p>
    <w:p w14:paraId="4F74C0BE">
      <w:pPr>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4、在财政部门批复后二十日内向社会公开本部门预算，包括财政资金安排的“三公经费”、机关运行经费的安排、使用情况等。</w:t>
      </w:r>
    </w:p>
    <w:p w14:paraId="7DE5D17D">
      <w:pPr>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5、认真编报决算报表，无应编未编、虚假混编等现象。并按要求对重点支出项目、三公经费及结余结转情况进行公开。</w:t>
      </w:r>
    </w:p>
    <w:p w14:paraId="672396DA">
      <w:pPr>
        <w:ind w:firstLine="640" w:firstLineChars="200"/>
        <w:rPr>
          <w:rFonts w:hint="eastAsia" w:ascii="楷体" w:hAnsi="楷体" w:eastAsia="楷体" w:cs="仿宋"/>
          <w:color w:val="000000"/>
          <w:kern w:val="0"/>
          <w:sz w:val="32"/>
          <w:szCs w:val="32"/>
        </w:rPr>
      </w:pPr>
      <w:r>
        <w:rPr>
          <w:rFonts w:hint="eastAsia" w:ascii="楷体" w:hAnsi="楷体" w:eastAsia="楷体" w:cs="仿宋"/>
          <w:color w:val="000000"/>
          <w:kern w:val="0"/>
          <w:sz w:val="32"/>
          <w:szCs w:val="32"/>
        </w:rPr>
        <w:t>（二）执行管理情况</w:t>
      </w:r>
    </w:p>
    <w:p w14:paraId="3691F6C2">
      <w:pPr>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本单位的资金使用严格遵循财经制度的规定，有严格的财政资金拨付程序，项目资金严格按照项目开展进度拨款支付，6、9、12月均达到执行进度</w:t>
      </w:r>
    </w:p>
    <w:p w14:paraId="7CE638F7">
      <w:pPr>
        <w:ind w:firstLine="480" w:firstLineChars="150"/>
        <w:rPr>
          <w:rFonts w:hint="eastAsia" w:ascii="楷体" w:hAnsi="楷体" w:eastAsia="楷体" w:cs="仿宋"/>
          <w:color w:val="000000"/>
          <w:kern w:val="0"/>
          <w:sz w:val="32"/>
          <w:szCs w:val="32"/>
        </w:rPr>
      </w:pPr>
      <w:r>
        <w:rPr>
          <w:rFonts w:hint="eastAsia" w:ascii="楷体" w:hAnsi="楷体" w:eastAsia="楷体" w:cs="仿宋"/>
          <w:color w:val="000000"/>
          <w:kern w:val="0"/>
          <w:sz w:val="32"/>
          <w:szCs w:val="32"/>
        </w:rPr>
        <w:t>（三）支出绩效情况</w:t>
      </w:r>
    </w:p>
    <w:p w14:paraId="30735848">
      <w:pPr>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1、行政运转保障及财务管理情况</w:t>
      </w:r>
    </w:p>
    <w:p w14:paraId="7566AB01">
      <w:pPr>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严格执行行政事业单位会计制度，制定并严格执行业务工作规程、内部权力运行流程，有严格的财政资金拨付程序和资产管理、现金管理、票据管理、资金监管等制度，严格做到不相容岗位分设，明确各个岗位职责和权限，分工合理，相互牵制。将“财政管理约法十章”挂牌上墙、公开公示。会计核算符合相关规定，资金专款专用，资金支付依据和开支标准合法合规。</w:t>
      </w:r>
    </w:p>
    <w:p w14:paraId="6B159096">
      <w:pPr>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2、机关厉行节约</w:t>
      </w:r>
    </w:p>
    <w:p w14:paraId="2C67C021">
      <w:pPr>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认真贯彻执行中央八项规定，厉行节约，严格控制“三公”经费，预算在上年基础上缩减10%。无因公出国（境）经费预算和车辆购置预算，无公务接待费。</w:t>
      </w:r>
    </w:p>
    <w:p w14:paraId="56EE3140">
      <w:pPr>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3、机关节能降耗</w:t>
      </w:r>
    </w:p>
    <w:p w14:paraId="783013E6">
      <w:pPr>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建设节约型政府，降低行政成本，全年机关水、电、气开支共计5.06万元。</w:t>
      </w:r>
    </w:p>
    <w:p w14:paraId="637FD8C6">
      <w:pPr>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4、绩效管理工作开展情况</w:t>
      </w:r>
    </w:p>
    <w:p w14:paraId="6AAA091A">
      <w:pPr>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按照文件精神要求，结合年初工作计划及财政预算，开展绩效管理自评工作。成立了以镇长为组长，财政所工作人员和镇纪检部门纪检委员为主要成员的工作小组，通过部门自查、领导小组督查、文件资料检查等方式加强对支出绩效，特别是资金量较大的财政支出的评价工作。经自查，我单位在财政资金的管理使用中严格按照财政资金拨付流程和审批程序进行，不存在违法违纪行为。</w:t>
      </w:r>
    </w:p>
    <w:p w14:paraId="328BD476">
      <w:pPr>
        <w:ind w:left="481" w:leftChars="229" w:firstLine="156" w:firstLineChars="49"/>
        <w:rPr>
          <w:rFonts w:hint="eastAsia" w:ascii="黑体" w:hAnsi="黑体" w:eastAsia="黑体" w:cs="仿宋"/>
          <w:color w:val="000000"/>
          <w:kern w:val="0"/>
          <w:sz w:val="32"/>
          <w:szCs w:val="32"/>
        </w:rPr>
      </w:pPr>
      <w:r>
        <w:rPr>
          <w:rFonts w:hint="eastAsia" w:ascii="黑体" w:hAnsi="黑体" w:eastAsia="黑体" w:cs="仿宋"/>
          <w:color w:val="000000"/>
          <w:kern w:val="0"/>
          <w:sz w:val="32"/>
          <w:szCs w:val="32"/>
        </w:rPr>
        <w:t>四、评价结论及建议</w:t>
      </w:r>
    </w:p>
    <w:p w14:paraId="5F34D327">
      <w:pPr>
        <w:ind w:firstLine="640" w:firstLineChars="200"/>
        <w:rPr>
          <w:rFonts w:hint="eastAsia" w:ascii="仿宋_GB2312" w:eastAsia="仿宋_GB2312" w:cs="仿宋"/>
          <w:color w:val="000000"/>
          <w:kern w:val="0"/>
          <w:sz w:val="32"/>
          <w:szCs w:val="32"/>
        </w:rPr>
      </w:pPr>
      <w:r>
        <w:rPr>
          <w:rFonts w:hint="eastAsia" w:ascii="楷体" w:hAnsi="楷体" w:eastAsia="楷体" w:cs="仿宋"/>
          <w:color w:val="000000"/>
          <w:kern w:val="0"/>
          <w:sz w:val="32"/>
          <w:szCs w:val="32"/>
        </w:rPr>
        <w:t>（一）评价结论。</w:t>
      </w:r>
      <w:r>
        <w:rPr>
          <w:rFonts w:hint="eastAsia" w:ascii="仿宋_GB2312" w:eastAsia="仿宋_GB2312" w:cs="仿宋"/>
          <w:color w:val="000000"/>
          <w:kern w:val="0"/>
          <w:sz w:val="32"/>
          <w:szCs w:val="32"/>
        </w:rPr>
        <w:t>2019年原胜利镇人民政府加强部门预算管理，努力提高财政资金使用效益，取得了较好的成绩，部门支出绩效评价得分93分。主要表现在：及时、准确、优质地完成预算编制；支出规范，资金管理制度较为完善，会计核算和账务处理规范，会计资料完整；预算执行情况良好，资金合理使用。</w:t>
      </w:r>
    </w:p>
    <w:p w14:paraId="6B80FAFB">
      <w:pPr>
        <w:ind w:firstLine="640" w:firstLineChars="200"/>
        <w:rPr>
          <w:rFonts w:hint="eastAsia" w:ascii="仿宋_GB2312" w:eastAsia="仿宋_GB2312" w:cs="仿宋"/>
          <w:color w:val="000000"/>
          <w:kern w:val="0"/>
          <w:sz w:val="32"/>
          <w:szCs w:val="32"/>
        </w:rPr>
      </w:pPr>
      <w:r>
        <w:rPr>
          <w:rFonts w:hint="eastAsia" w:ascii="楷体" w:hAnsi="楷体" w:eastAsia="楷体" w:cs="仿宋"/>
          <w:color w:val="000000"/>
          <w:kern w:val="0"/>
          <w:sz w:val="32"/>
          <w:szCs w:val="32"/>
        </w:rPr>
        <w:t>（二）存在问题和措施。</w:t>
      </w:r>
      <w:r>
        <w:rPr>
          <w:rFonts w:hint="eastAsia" w:ascii="仿宋_GB2312" w:eastAsia="仿宋_GB2312" w:cs="仿宋"/>
          <w:color w:val="000000"/>
          <w:kern w:val="0"/>
          <w:sz w:val="32"/>
          <w:szCs w:val="32"/>
        </w:rPr>
        <w:t>一是绩效评价体系还待进一步完善；二是财务精细化管理水平还有较大提升空间；三是财务人员综合素质需大力提升。</w:t>
      </w:r>
    </w:p>
    <w:p w14:paraId="6D3288D6">
      <w:pPr>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（三）建议。无</w:t>
      </w:r>
    </w:p>
    <w:p w14:paraId="135B6D84">
      <w:pPr>
        <w:outlineLvl w:val="0"/>
        <w:rPr>
          <w:rStyle w:val="17"/>
          <w:rFonts w:hint="eastAsia" w:ascii="仿宋_GB2312" w:hAnsi="黑体" w:eastAsia="仿宋_GB2312"/>
          <w:b w:val="0"/>
          <w:sz w:val="32"/>
          <w:szCs w:val="32"/>
        </w:rPr>
      </w:pPr>
    </w:p>
    <w:p w14:paraId="6692DB8D">
      <w:pPr>
        <w:outlineLvl w:val="0"/>
        <w:rPr>
          <w:rFonts w:hint="eastAsia" w:ascii="仿宋_GB2312" w:hAnsi="黑体" w:eastAsia="仿宋_GB2312"/>
          <w:color w:val="000000"/>
          <w:sz w:val="32"/>
          <w:szCs w:val="32"/>
        </w:rPr>
      </w:pPr>
      <w:r>
        <w:rPr>
          <w:rFonts w:hint="eastAsia" w:ascii="仿宋_GB2312" w:hAnsi="黑体" w:eastAsia="仿宋_GB2312"/>
          <w:color w:val="000000"/>
          <w:sz w:val="32"/>
          <w:szCs w:val="32"/>
        </w:rPr>
        <w:t>附件2</w:t>
      </w:r>
    </w:p>
    <w:p w14:paraId="378FB2C7">
      <w:pPr>
        <w:jc w:val="center"/>
        <w:outlineLvl w:val="0"/>
        <w:rPr>
          <w:rFonts w:hint="eastAsia" w:ascii="方正小标宋简体" w:hAnsi="仿宋_GB2312" w:eastAsia="方正小标宋简体" w:cs="仿宋_GB2312"/>
          <w:b/>
          <w:sz w:val="44"/>
          <w:szCs w:val="44"/>
        </w:rPr>
      </w:pPr>
      <w:r>
        <w:rPr>
          <w:rFonts w:hint="eastAsia" w:ascii="方正小标宋简体" w:hAnsi="仿宋_GB2312" w:eastAsia="方正小标宋简体" w:cs="仿宋_GB2312"/>
          <w:b/>
          <w:sz w:val="44"/>
          <w:szCs w:val="44"/>
        </w:rPr>
        <w:t>集镇公共设施运行维护项目2019年</w:t>
      </w:r>
    </w:p>
    <w:p w14:paraId="4D781C4E">
      <w:pPr>
        <w:jc w:val="center"/>
        <w:outlineLvl w:val="0"/>
        <w:rPr>
          <w:rFonts w:hint="eastAsia" w:ascii="方正小标宋简体" w:hAnsi="黑体" w:eastAsia="方正小标宋简体"/>
          <w:b/>
          <w:color w:val="000000"/>
          <w:sz w:val="44"/>
          <w:szCs w:val="44"/>
        </w:rPr>
      </w:pPr>
      <w:r>
        <w:rPr>
          <w:rFonts w:hint="eastAsia" w:ascii="方正小标宋简体" w:hAnsi="仿宋_GB2312" w:eastAsia="方正小标宋简体" w:cs="仿宋_GB2312"/>
          <w:b/>
          <w:sz w:val="44"/>
          <w:szCs w:val="44"/>
        </w:rPr>
        <w:t>绩效评价报告</w:t>
      </w:r>
    </w:p>
    <w:p w14:paraId="3BCD523D">
      <w:pPr>
        <w:adjustRightInd w:val="0"/>
        <w:snapToGrid w:val="0"/>
        <w:spacing w:line="560" w:lineRule="exact"/>
        <w:ind w:firstLine="720"/>
        <w:rPr>
          <w:rFonts w:hint="eastAsia" w:ascii="黑体" w:hAnsi="黑体" w:eastAsia="黑体"/>
          <w:sz w:val="32"/>
          <w:szCs w:val="32"/>
          <w:lang w:val="zh-CN"/>
        </w:rPr>
      </w:pPr>
      <w:r>
        <w:rPr>
          <w:rFonts w:hint="eastAsia" w:ascii="黑体" w:hAnsi="黑体" w:eastAsia="黑体"/>
          <w:sz w:val="32"/>
          <w:szCs w:val="32"/>
        </w:rPr>
        <w:t>一、</w:t>
      </w:r>
      <w:r>
        <w:rPr>
          <w:rFonts w:hint="eastAsia" w:ascii="黑体" w:hAnsi="黑体" w:eastAsia="黑体"/>
          <w:sz w:val="32"/>
          <w:szCs w:val="32"/>
          <w:lang w:val="zh-CN"/>
        </w:rPr>
        <w:t>项目概况</w:t>
      </w:r>
    </w:p>
    <w:p w14:paraId="5F5A8B25">
      <w:pPr>
        <w:adjustRightInd w:val="0"/>
        <w:snapToGrid w:val="0"/>
        <w:spacing w:line="560" w:lineRule="exact"/>
        <w:ind w:firstLine="720"/>
        <w:rPr>
          <w:rFonts w:hint="eastAsia" w:ascii="楷体" w:hAnsi="楷体" w:eastAsia="楷体"/>
          <w:b/>
          <w:sz w:val="32"/>
          <w:szCs w:val="32"/>
          <w:lang w:val="zh-CN"/>
        </w:rPr>
      </w:pPr>
      <w:r>
        <w:rPr>
          <w:rFonts w:hint="eastAsia" w:ascii="楷体" w:hAnsi="楷体" w:eastAsia="楷体"/>
          <w:b/>
          <w:sz w:val="32"/>
          <w:szCs w:val="32"/>
          <w:lang w:val="zh-CN"/>
        </w:rPr>
        <w:t>（一）项目基本情况</w:t>
      </w:r>
    </w:p>
    <w:p w14:paraId="617D78AE">
      <w:pPr>
        <w:adjustRightInd w:val="0"/>
        <w:snapToGrid w:val="0"/>
        <w:spacing w:line="56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1、按照市委市政府要求，我镇加强对集镇公共设施的运行维护，目标是规范集镇农贸市场以及群众生活生产的相关事项，如及时对损坏的集镇公共设施进行维修、更换，维护集镇秩序，清理集镇垃圾等，最终为群众营造良好的生活、生产环境。</w:t>
      </w:r>
    </w:p>
    <w:p w14:paraId="25BA5704">
      <w:pPr>
        <w:adjustRightInd w:val="0"/>
        <w:snapToGrid w:val="0"/>
        <w:spacing w:line="56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2、2019年初我镇按严格预算编制要求，对集镇公共设施运维费进行预算编制，经市政府同意，报峨眉山市人民代表大会会议批准通过。</w:t>
      </w:r>
    </w:p>
    <w:p w14:paraId="325985B5">
      <w:pPr>
        <w:adjustRightInd w:val="0"/>
        <w:snapToGrid w:val="0"/>
        <w:spacing w:line="560" w:lineRule="exact"/>
        <w:ind w:firstLine="720"/>
        <w:rPr>
          <w:rFonts w:hint="eastAsia" w:ascii="楷体" w:hAnsi="楷体" w:eastAsia="楷体"/>
          <w:b/>
          <w:sz w:val="32"/>
          <w:szCs w:val="32"/>
          <w:lang w:val="zh-CN"/>
        </w:rPr>
      </w:pPr>
      <w:r>
        <w:rPr>
          <w:rFonts w:hint="eastAsia" w:ascii="楷体" w:hAnsi="楷体" w:eastAsia="楷体"/>
          <w:b/>
          <w:sz w:val="32"/>
          <w:szCs w:val="32"/>
          <w:lang w:val="zh-CN"/>
        </w:rPr>
        <w:t>（二）项目绩效目标</w:t>
      </w:r>
    </w:p>
    <w:p w14:paraId="57311D9E">
      <w:pPr>
        <w:adjustRightInd w:val="0"/>
        <w:snapToGrid w:val="0"/>
        <w:spacing w:line="56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通过预算编制，规划绩效目标：1、雨污管网的排查；2、规范集镇停车位的划线；3、对胜利农贸市场整改提升； 4、集镇垃圾清理及转运； 5、其他公共设施的维护。</w:t>
      </w:r>
    </w:p>
    <w:p w14:paraId="0081E943">
      <w:pPr>
        <w:adjustRightInd w:val="0"/>
        <w:snapToGrid w:val="0"/>
        <w:spacing w:line="560" w:lineRule="exact"/>
        <w:ind w:firstLine="720"/>
        <w:rPr>
          <w:rFonts w:hint="eastAsia" w:ascii="楷体" w:hAnsi="楷体" w:eastAsia="楷体"/>
          <w:b/>
          <w:sz w:val="32"/>
          <w:szCs w:val="32"/>
          <w:lang w:val="zh-CN"/>
        </w:rPr>
      </w:pPr>
      <w:r>
        <w:rPr>
          <w:rFonts w:hint="eastAsia" w:ascii="楷体" w:hAnsi="楷体" w:eastAsia="楷体"/>
          <w:b/>
          <w:sz w:val="32"/>
          <w:szCs w:val="32"/>
          <w:lang w:val="zh-CN"/>
        </w:rPr>
        <w:t>（三）项目资金申报相符性</w:t>
      </w:r>
    </w:p>
    <w:p w14:paraId="2EB23FA1">
      <w:pPr>
        <w:adjustRightInd w:val="0"/>
        <w:snapToGrid w:val="0"/>
        <w:spacing w:line="56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集镇公共设施运维推进可以规范集镇秩序，优化集镇环境，同时也服务当地人民群众，申报内容与实际相符，申报目标合理。</w:t>
      </w:r>
    </w:p>
    <w:p w14:paraId="0AD9AD46">
      <w:pPr>
        <w:adjustRightInd w:val="0"/>
        <w:snapToGrid w:val="0"/>
        <w:spacing w:line="560" w:lineRule="exact"/>
        <w:ind w:firstLine="720"/>
        <w:rPr>
          <w:rFonts w:hint="eastAsia" w:ascii="黑体" w:hAnsi="黑体" w:eastAsia="黑体"/>
          <w:sz w:val="32"/>
          <w:szCs w:val="32"/>
        </w:rPr>
      </w:pPr>
      <w:r>
        <w:rPr>
          <w:rFonts w:hint="eastAsia" w:ascii="黑体" w:hAnsi="黑体" w:eastAsia="黑体"/>
          <w:sz w:val="32"/>
          <w:szCs w:val="32"/>
        </w:rPr>
        <w:t>二、项目实施及管理情况</w:t>
      </w:r>
    </w:p>
    <w:p w14:paraId="6756673E">
      <w:pPr>
        <w:adjustRightInd w:val="0"/>
        <w:snapToGrid w:val="0"/>
        <w:spacing w:line="560" w:lineRule="exact"/>
        <w:ind w:firstLine="720"/>
        <w:rPr>
          <w:rFonts w:hint="eastAsia" w:ascii="楷体" w:hAnsi="楷体" w:eastAsia="楷体"/>
          <w:b/>
          <w:sz w:val="32"/>
          <w:szCs w:val="32"/>
          <w:lang w:val="zh-CN"/>
        </w:rPr>
      </w:pPr>
      <w:r>
        <w:rPr>
          <w:rFonts w:hint="eastAsia" w:ascii="楷体" w:hAnsi="楷体" w:eastAsia="楷体"/>
          <w:sz w:val="32"/>
          <w:szCs w:val="32"/>
          <w:lang w:val="zh-CN"/>
        </w:rPr>
        <w:tab/>
      </w:r>
      <w:r>
        <w:rPr>
          <w:rFonts w:hint="eastAsia" w:ascii="楷体" w:hAnsi="楷体" w:eastAsia="楷体"/>
          <w:b/>
          <w:sz w:val="32"/>
          <w:szCs w:val="32"/>
          <w:lang w:val="zh-CN"/>
        </w:rPr>
        <w:t>（一）资金计划、到位及使用情况。</w:t>
      </w:r>
    </w:p>
    <w:p w14:paraId="1D457DAB">
      <w:pPr>
        <w:adjustRightInd w:val="0"/>
        <w:snapToGrid w:val="0"/>
        <w:spacing w:line="560" w:lineRule="exact"/>
        <w:ind w:firstLine="720"/>
        <w:rPr>
          <w:rFonts w:hint="eastAsia" w:ascii="仿宋_GB2312" w:hAnsi="宋体" w:eastAsia="仿宋_GB2312"/>
          <w:color w:val="000000"/>
          <w:sz w:val="32"/>
          <w:szCs w:val="32"/>
          <w:lang w:val="zh-CN"/>
        </w:rPr>
      </w:pPr>
      <w:r>
        <w:rPr>
          <w:rFonts w:hint="eastAsia" w:ascii="仿宋_GB2312" w:hAnsi="宋体" w:eastAsia="仿宋_GB2312"/>
          <w:color w:val="000000"/>
          <w:sz w:val="32"/>
          <w:szCs w:val="32"/>
          <w:lang w:val="zh-CN"/>
        </w:rPr>
        <w:t>集镇公共设施运维资金总投资15万元，实际财政资金到为15万元，到位率100%。2019年，我镇根据经党委会研究决定，相关部门实施，分管领导签字，主要领导同意后将资金分次支付项目实施各相关单位或个人，其中对农贸市场整治、集镇内雨污管网排查误工、清理散乱垃圾人工费和合计15万元，支付率达到100%，对财政资金的使用符合规定。</w:t>
      </w:r>
    </w:p>
    <w:p w14:paraId="58ABF891">
      <w:pPr>
        <w:adjustRightInd w:val="0"/>
        <w:snapToGrid w:val="0"/>
        <w:spacing w:line="560" w:lineRule="exact"/>
        <w:ind w:firstLine="720"/>
        <w:rPr>
          <w:rFonts w:hint="eastAsia" w:ascii="楷体" w:hAnsi="楷体" w:eastAsia="楷体"/>
          <w:b/>
          <w:sz w:val="32"/>
          <w:szCs w:val="32"/>
          <w:lang w:val="zh-CN"/>
        </w:rPr>
      </w:pPr>
      <w:r>
        <w:rPr>
          <w:rFonts w:hint="eastAsia" w:ascii="楷体" w:hAnsi="楷体" w:eastAsia="楷体"/>
          <w:b/>
          <w:sz w:val="32"/>
          <w:szCs w:val="32"/>
          <w:lang w:val="zh-CN"/>
        </w:rPr>
        <w:t>（二）项目财务管理情况。</w:t>
      </w:r>
    </w:p>
    <w:p w14:paraId="692429A0">
      <w:pPr>
        <w:adjustRightInd w:val="0"/>
        <w:snapToGrid w:val="0"/>
        <w:spacing w:line="56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我单位财务管理制度健全，严格执行国家法律、法规，按照《会计法》财务规则制度，科学、合理的使用该笔资金，及时处理各笔款项，会计核算规范。</w:t>
      </w:r>
    </w:p>
    <w:p w14:paraId="4B6AE165">
      <w:pPr>
        <w:adjustRightInd w:val="0"/>
        <w:snapToGrid w:val="0"/>
        <w:spacing w:line="560" w:lineRule="exact"/>
        <w:ind w:firstLine="720"/>
        <w:rPr>
          <w:rFonts w:hint="eastAsia" w:ascii="楷体" w:hAnsi="楷体" w:eastAsia="楷体"/>
          <w:b/>
          <w:sz w:val="32"/>
          <w:szCs w:val="32"/>
          <w:lang w:val="zh-CN"/>
        </w:rPr>
      </w:pPr>
      <w:r>
        <w:rPr>
          <w:rFonts w:hint="eastAsia" w:ascii="楷体" w:hAnsi="楷体" w:eastAsia="楷体"/>
          <w:b/>
          <w:sz w:val="32"/>
          <w:szCs w:val="32"/>
          <w:lang w:val="zh-CN"/>
        </w:rPr>
        <w:t>（三）项目组织实施情况</w:t>
      </w:r>
    </w:p>
    <w:p w14:paraId="73DD2F1B">
      <w:pPr>
        <w:adjustRightInd w:val="0"/>
        <w:snapToGrid w:val="0"/>
        <w:spacing w:line="56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我镇所有集镇公共设施运维相关事宜均通过党委会研究提出解决方案，由党委集体研究方案可行性，最终通过表决确定项目实施单位或者个人。</w:t>
      </w:r>
    </w:p>
    <w:p w14:paraId="085000E0">
      <w:pPr>
        <w:adjustRightInd w:val="0"/>
        <w:snapToGrid w:val="0"/>
        <w:spacing w:line="560" w:lineRule="exact"/>
        <w:ind w:firstLine="720"/>
        <w:rPr>
          <w:rFonts w:hint="eastAsia" w:ascii="黑体" w:hAnsi="黑体" w:eastAsia="黑体"/>
          <w:sz w:val="32"/>
          <w:szCs w:val="32"/>
        </w:rPr>
      </w:pPr>
      <w:r>
        <w:rPr>
          <w:rFonts w:hint="eastAsia" w:ascii="黑体" w:hAnsi="黑体" w:eastAsia="黑体"/>
          <w:sz w:val="32"/>
          <w:szCs w:val="32"/>
        </w:rPr>
        <w:t>三、目标完成情况及项目效益情况</w:t>
      </w:r>
    </w:p>
    <w:p w14:paraId="71102B5B">
      <w:pPr>
        <w:adjustRightInd w:val="0"/>
        <w:snapToGrid w:val="0"/>
        <w:spacing w:line="56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集镇公共设施维护以来成效明显：1、对胜利村农贸市场进行整改提升。2、集镇农贸市场外周围街道散户菜贩摊位和水果摊位严格按照划分区域有序摆放，车辆摆放规范，之前散乱脏的现象得到了有效整治， 3、安排专人清理转运集镇垃圾，</w:t>
      </w:r>
      <w:r>
        <w:rPr>
          <w:rFonts w:hint="eastAsia" w:ascii="仿宋_GB2312" w:hAnsi="宋体" w:eastAsia="仿宋_GB2312"/>
          <w:color w:val="000000"/>
          <w:sz w:val="32"/>
          <w:szCs w:val="32"/>
          <w:lang w:val="zh-CN"/>
        </w:rPr>
        <w:t>每天转运垃圾4次；</w:t>
      </w:r>
      <w:r>
        <w:rPr>
          <w:rFonts w:hint="eastAsia" w:ascii="仿宋_GB2312" w:hAnsi="宋体" w:eastAsia="仿宋_GB2312"/>
          <w:sz w:val="32"/>
          <w:szCs w:val="32"/>
          <w:lang w:val="zh-CN"/>
        </w:rPr>
        <w:t xml:space="preserve"> 4、集镇其他地方散乱垃圾的清理。5、对集镇内雨污管网的排查整治。集镇公共设施运维的实施有效改善集镇环境，促进区域经济发展，受到群众的一致好评。</w:t>
      </w:r>
    </w:p>
    <w:p w14:paraId="0B1DA8AF">
      <w:pPr>
        <w:adjustRightInd w:val="0"/>
        <w:snapToGrid w:val="0"/>
        <w:spacing w:line="560" w:lineRule="exact"/>
        <w:ind w:firstLine="720"/>
        <w:rPr>
          <w:rFonts w:hint="eastAsia" w:ascii="仿宋_GB2312" w:hAnsi="宋体" w:eastAsia="仿宋_GB2312"/>
          <w:sz w:val="32"/>
          <w:szCs w:val="32"/>
          <w:lang w:val="zh-CN"/>
        </w:rPr>
      </w:pPr>
    </w:p>
    <w:p w14:paraId="7B0C82BA">
      <w:pPr>
        <w:adjustRightInd w:val="0"/>
        <w:snapToGrid w:val="0"/>
        <w:spacing w:line="560" w:lineRule="exact"/>
        <w:ind w:firstLine="720"/>
        <w:rPr>
          <w:rFonts w:hint="eastAsia" w:ascii="黑体" w:hAnsi="黑体" w:eastAsia="黑体"/>
          <w:sz w:val="32"/>
          <w:szCs w:val="32"/>
        </w:rPr>
      </w:pPr>
      <w:r>
        <w:rPr>
          <w:rFonts w:hint="eastAsia" w:ascii="黑体" w:hAnsi="黑体" w:eastAsia="黑体"/>
          <w:sz w:val="32"/>
          <w:szCs w:val="32"/>
        </w:rPr>
        <w:t>四、评价及建议</w:t>
      </w:r>
    </w:p>
    <w:p w14:paraId="65C5CAD7">
      <w:pPr>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通过项目绩效管理自评，我镇在项目支出中不存在违法违纪行为，做到及时支付，专款专用。建议完善加强集镇公共设施运维力度，特别加强集镇个别停车位标示标牌的完善，规范乱停乱放现象，从而进一步改善人居环境。</w:t>
      </w:r>
    </w:p>
    <w:p w14:paraId="7BEF199A">
      <w:pPr>
        <w:snapToGrid w:val="0"/>
        <w:spacing w:line="580" w:lineRule="exact"/>
        <w:ind w:firstLine="640" w:firstLineChars="200"/>
        <w:rPr>
          <w:rFonts w:hint="eastAsia" w:ascii="仿宋_GB2312" w:eastAsia="仿宋_GB2312"/>
          <w:sz w:val="32"/>
          <w:szCs w:val="32"/>
        </w:rPr>
      </w:pPr>
    </w:p>
    <w:p w14:paraId="491207EB">
      <w:pPr>
        <w:snapToGrid w:val="0"/>
        <w:spacing w:line="580" w:lineRule="exact"/>
        <w:ind w:firstLine="640" w:firstLineChars="200"/>
        <w:rPr>
          <w:rFonts w:hint="eastAsia" w:ascii="仿宋_GB2312" w:eastAsia="仿宋_GB2312"/>
          <w:sz w:val="32"/>
          <w:szCs w:val="32"/>
        </w:rPr>
      </w:pPr>
    </w:p>
    <w:p w14:paraId="4E06912A">
      <w:pPr>
        <w:snapToGrid w:val="0"/>
        <w:spacing w:line="580" w:lineRule="exact"/>
        <w:ind w:firstLine="640" w:firstLineChars="200"/>
        <w:rPr>
          <w:rFonts w:hint="eastAsia" w:ascii="仿宋_GB2312" w:eastAsia="仿宋_GB2312"/>
          <w:sz w:val="32"/>
          <w:szCs w:val="32"/>
        </w:rPr>
      </w:pPr>
    </w:p>
    <w:p w14:paraId="378CFAA8">
      <w:pPr>
        <w:snapToGrid w:val="0"/>
        <w:spacing w:line="580" w:lineRule="exact"/>
        <w:ind w:firstLine="640" w:firstLineChars="200"/>
        <w:rPr>
          <w:rFonts w:hint="eastAsia" w:ascii="仿宋_GB2312" w:eastAsia="仿宋_GB2312"/>
          <w:sz w:val="32"/>
          <w:szCs w:val="32"/>
        </w:rPr>
      </w:pPr>
    </w:p>
    <w:p w14:paraId="4497FF48">
      <w:pPr>
        <w:snapToGrid w:val="0"/>
        <w:spacing w:line="580" w:lineRule="exact"/>
        <w:ind w:firstLine="640" w:firstLineChars="200"/>
        <w:rPr>
          <w:rFonts w:hint="eastAsia" w:ascii="仿宋_GB2312" w:eastAsia="仿宋_GB2312"/>
          <w:sz w:val="32"/>
          <w:szCs w:val="32"/>
        </w:rPr>
      </w:pPr>
    </w:p>
    <w:p w14:paraId="1105E122">
      <w:pPr>
        <w:snapToGrid w:val="0"/>
        <w:spacing w:line="580" w:lineRule="exact"/>
        <w:ind w:firstLine="640" w:firstLineChars="200"/>
        <w:rPr>
          <w:rFonts w:hint="eastAsia" w:ascii="仿宋_GB2312" w:eastAsia="仿宋_GB2312"/>
          <w:sz w:val="32"/>
          <w:szCs w:val="32"/>
        </w:rPr>
      </w:pPr>
    </w:p>
    <w:p w14:paraId="1C47239C">
      <w:pPr>
        <w:snapToGrid w:val="0"/>
        <w:spacing w:line="580" w:lineRule="exact"/>
        <w:ind w:firstLine="640" w:firstLineChars="200"/>
        <w:rPr>
          <w:rFonts w:hint="eastAsia" w:ascii="仿宋_GB2312" w:eastAsia="仿宋_GB2312"/>
          <w:sz w:val="32"/>
          <w:szCs w:val="32"/>
        </w:rPr>
      </w:pPr>
    </w:p>
    <w:p w14:paraId="4F3ADE2F">
      <w:pPr>
        <w:snapToGrid w:val="0"/>
        <w:spacing w:line="580" w:lineRule="exact"/>
        <w:ind w:firstLine="640" w:firstLineChars="200"/>
        <w:rPr>
          <w:rFonts w:hint="eastAsia" w:ascii="仿宋_GB2312" w:eastAsia="仿宋_GB2312"/>
          <w:sz w:val="32"/>
          <w:szCs w:val="32"/>
        </w:rPr>
      </w:pPr>
    </w:p>
    <w:p w14:paraId="58ACDF20">
      <w:pPr>
        <w:snapToGrid w:val="0"/>
        <w:spacing w:line="580" w:lineRule="exact"/>
        <w:ind w:firstLine="640" w:firstLineChars="200"/>
        <w:rPr>
          <w:rFonts w:hint="eastAsia" w:ascii="仿宋_GB2312" w:eastAsia="仿宋_GB2312"/>
          <w:sz w:val="32"/>
          <w:szCs w:val="32"/>
        </w:rPr>
      </w:pPr>
    </w:p>
    <w:p w14:paraId="42201F33">
      <w:pPr>
        <w:snapToGrid w:val="0"/>
        <w:spacing w:line="580" w:lineRule="exact"/>
        <w:ind w:firstLine="640" w:firstLineChars="200"/>
        <w:rPr>
          <w:rFonts w:hint="eastAsia" w:ascii="仿宋_GB2312" w:eastAsia="仿宋_GB2312"/>
          <w:sz w:val="32"/>
          <w:szCs w:val="32"/>
        </w:rPr>
      </w:pPr>
    </w:p>
    <w:p w14:paraId="67D4BD84">
      <w:pPr>
        <w:snapToGrid w:val="0"/>
        <w:spacing w:line="580" w:lineRule="exact"/>
        <w:ind w:firstLine="640" w:firstLineChars="200"/>
        <w:rPr>
          <w:rFonts w:hint="eastAsia" w:ascii="仿宋_GB2312" w:eastAsia="仿宋_GB2312"/>
          <w:sz w:val="32"/>
          <w:szCs w:val="32"/>
        </w:rPr>
      </w:pPr>
    </w:p>
    <w:p w14:paraId="67983EC8">
      <w:pPr>
        <w:snapToGrid w:val="0"/>
        <w:spacing w:line="580" w:lineRule="exact"/>
        <w:ind w:firstLine="640" w:firstLineChars="200"/>
        <w:rPr>
          <w:rFonts w:hint="eastAsia" w:ascii="仿宋_GB2312" w:eastAsia="仿宋_GB2312"/>
          <w:sz w:val="32"/>
          <w:szCs w:val="32"/>
        </w:rPr>
      </w:pPr>
    </w:p>
    <w:p w14:paraId="05E1B2B4">
      <w:pPr>
        <w:snapToGrid w:val="0"/>
        <w:spacing w:line="580" w:lineRule="exact"/>
        <w:ind w:firstLine="640" w:firstLineChars="200"/>
        <w:rPr>
          <w:rFonts w:hint="eastAsia" w:ascii="仿宋_GB2312" w:eastAsia="仿宋_GB2312"/>
          <w:sz w:val="32"/>
          <w:szCs w:val="32"/>
        </w:rPr>
      </w:pPr>
    </w:p>
    <w:p w14:paraId="4B4D0E68">
      <w:pPr>
        <w:snapToGrid w:val="0"/>
        <w:spacing w:line="580" w:lineRule="exact"/>
        <w:ind w:firstLine="640" w:firstLineChars="200"/>
        <w:rPr>
          <w:rFonts w:hint="eastAsia" w:ascii="仿宋_GB2312" w:eastAsia="仿宋_GB2312"/>
          <w:sz w:val="32"/>
          <w:szCs w:val="32"/>
        </w:rPr>
      </w:pPr>
    </w:p>
    <w:p w14:paraId="5181EAA8">
      <w:pPr>
        <w:snapToGrid w:val="0"/>
        <w:spacing w:line="580" w:lineRule="exact"/>
        <w:ind w:firstLine="640" w:firstLineChars="200"/>
        <w:rPr>
          <w:rFonts w:hint="eastAsia" w:ascii="仿宋_GB2312" w:eastAsia="仿宋_GB2312"/>
          <w:sz w:val="32"/>
          <w:szCs w:val="32"/>
        </w:rPr>
      </w:pPr>
    </w:p>
    <w:p w14:paraId="13373A5F">
      <w:pPr>
        <w:snapToGrid w:val="0"/>
        <w:spacing w:line="580" w:lineRule="exact"/>
        <w:ind w:firstLine="640" w:firstLineChars="200"/>
        <w:rPr>
          <w:rFonts w:hint="eastAsia" w:ascii="仿宋_GB2312" w:eastAsia="仿宋_GB2312"/>
          <w:sz w:val="32"/>
          <w:szCs w:val="32"/>
        </w:rPr>
      </w:pPr>
    </w:p>
    <w:p w14:paraId="6BF7F137">
      <w:pPr>
        <w:snapToGrid w:val="0"/>
        <w:spacing w:line="580" w:lineRule="exact"/>
        <w:ind w:firstLine="640" w:firstLineChars="200"/>
        <w:rPr>
          <w:rFonts w:hint="eastAsia" w:ascii="仿宋_GB2312" w:eastAsia="仿宋_GB2312"/>
          <w:sz w:val="32"/>
          <w:szCs w:val="32"/>
        </w:rPr>
      </w:pPr>
    </w:p>
    <w:p w14:paraId="77771BAB">
      <w:pPr>
        <w:snapToGrid w:val="0"/>
        <w:spacing w:line="580" w:lineRule="exact"/>
        <w:ind w:firstLine="640" w:firstLineChars="200"/>
        <w:rPr>
          <w:rFonts w:hint="eastAsia" w:ascii="仿宋_GB2312" w:eastAsia="仿宋_GB2312"/>
          <w:sz w:val="32"/>
          <w:szCs w:val="32"/>
        </w:rPr>
      </w:pPr>
    </w:p>
    <w:p w14:paraId="7CAFD697">
      <w:pPr>
        <w:snapToGrid w:val="0"/>
        <w:spacing w:line="580" w:lineRule="exact"/>
        <w:ind w:firstLine="640" w:firstLineChars="200"/>
        <w:rPr>
          <w:rFonts w:hint="eastAsia" w:ascii="仿宋_GB2312" w:eastAsia="仿宋_GB2312"/>
          <w:sz w:val="32"/>
          <w:szCs w:val="32"/>
        </w:rPr>
      </w:pPr>
    </w:p>
    <w:p w14:paraId="7A565408">
      <w:pPr>
        <w:pStyle w:val="32"/>
        <w:spacing w:line="240" w:lineRule="auto"/>
        <w:jc w:val="center"/>
        <w:rPr>
          <w:rFonts w:hint="eastAsia" w:ascii="方正小标宋简体" w:hAnsi="黑体" w:eastAsia="方正小标宋简体"/>
          <w:b/>
          <w:sz w:val="44"/>
          <w:szCs w:val="44"/>
        </w:rPr>
      </w:pPr>
      <w:r>
        <w:rPr>
          <w:rFonts w:hint="eastAsia" w:ascii="方正小标宋简体" w:hAnsi="黑体" w:eastAsia="方正小标宋简体"/>
          <w:b/>
          <w:sz w:val="44"/>
          <w:szCs w:val="44"/>
        </w:rPr>
        <w:t>食品药品监管站工作经费项目2019年</w:t>
      </w:r>
    </w:p>
    <w:p w14:paraId="112B7160">
      <w:pPr>
        <w:pStyle w:val="32"/>
        <w:spacing w:line="240" w:lineRule="auto"/>
        <w:jc w:val="center"/>
        <w:rPr>
          <w:rFonts w:hint="eastAsia" w:ascii="方正小标宋简体" w:hAnsi="黑体" w:eastAsia="方正小标宋简体" w:cs="Times New Roman"/>
          <w:color w:val="auto"/>
          <w:kern w:val="2"/>
          <w:sz w:val="44"/>
          <w:szCs w:val="44"/>
        </w:rPr>
      </w:pPr>
      <w:r>
        <w:rPr>
          <w:rFonts w:hint="eastAsia" w:ascii="方正小标宋简体" w:hAnsi="黑体" w:eastAsia="方正小标宋简体"/>
          <w:b/>
          <w:sz w:val="44"/>
          <w:szCs w:val="44"/>
        </w:rPr>
        <w:t>绩效评价报告</w:t>
      </w:r>
    </w:p>
    <w:p w14:paraId="7499D6B3">
      <w:pPr>
        <w:adjustRightInd w:val="0"/>
        <w:snapToGrid w:val="0"/>
        <w:spacing w:line="560" w:lineRule="exact"/>
        <w:ind w:firstLine="960" w:firstLineChars="300"/>
        <w:rPr>
          <w:rFonts w:hint="eastAsia" w:ascii="黑体" w:hAnsi="黑体" w:eastAsia="黑体"/>
          <w:sz w:val="32"/>
          <w:szCs w:val="32"/>
          <w:lang w:val="zh-CN"/>
        </w:rPr>
      </w:pPr>
      <w:r>
        <w:rPr>
          <w:rFonts w:hint="eastAsia" w:ascii="黑体" w:hAnsi="黑体" w:eastAsia="黑体"/>
          <w:sz w:val="32"/>
          <w:szCs w:val="32"/>
        </w:rPr>
        <w:t>一、</w:t>
      </w:r>
      <w:r>
        <w:rPr>
          <w:rFonts w:hint="eastAsia" w:ascii="黑体" w:hAnsi="黑体" w:eastAsia="黑体"/>
          <w:sz w:val="32"/>
          <w:szCs w:val="32"/>
          <w:lang w:val="zh-CN"/>
        </w:rPr>
        <w:t>项目概况</w:t>
      </w:r>
    </w:p>
    <w:p w14:paraId="10393B18">
      <w:pPr>
        <w:adjustRightInd w:val="0"/>
        <w:snapToGrid w:val="0"/>
        <w:spacing w:line="560" w:lineRule="exact"/>
        <w:ind w:firstLine="720"/>
        <w:rPr>
          <w:rFonts w:hint="eastAsia" w:ascii="楷体" w:hAnsi="楷体" w:eastAsia="楷体"/>
          <w:b/>
          <w:sz w:val="32"/>
          <w:szCs w:val="32"/>
          <w:lang w:val="zh-CN"/>
        </w:rPr>
      </w:pPr>
      <w:r>
        <w:rPr>
          <w:rFonts w:hint="eastAsia" w:ascii="楷体" w:hAnsi="楷体" w:eastAsia="楷体"/>
          <w:b/>
          <w:sz w:val="32"/>
          <w:szCs w:val="32"/>
          <w:lang w:val="zh-CN"/>
        </w:rPr>
        <w:t>（一）项目基本情况</w:t>
      </w:r>
    </w:p>
    <w:p w14:paraId="6B4C0653">
      <w:pPr>
        <w:adjustRightInd w:val="0"/>
        <w:snapToGrid w:val="0"/>
        <w:spacing w:line="560" w:lineRule="exact"/>
        <w:ind w:firstLine="640" w:firstLineChars="200"/>
        <w:rPr>
          <w:rFonts w:hint="eastAsia" w:ascii="仿宋_GB2312" w:eastAsia="仿宋_GB2312"/>
          <w:sz w:val="32"/>
          <w:szCs w:val="32"/>
        </w:rPr>
      </w:pPr>
      <w:r>
        <w:rPr>
          <w:rFonts w:hint="eastAsia" w:ascii="仿宋_GB2312" w:hAnsi="宋体" w:eastAsia="仿宋_GB2312"/>
          <w:sz w:val="32"/>
          <w:szCs w:val="32"/>
        </w:rPr>
        <w:t>1、</w:t>
      </w:r>
      <w:r>
        <w:rPr>
          <w:rFonts w:hint="eastAsia" w:ascii="仿宋_GB2312" w:eastAsia="仿宋_GB2312"/>
          <w:sz w:val="32"/>
          <w:szCs w:val="32"/>
        </w:rPr>
        <w:t>全面贯彻实施“以人为本，安全第一，综合治理，保障平安”的方针，推进食品安全机制创新，构建最严格的监管体系。</w:t>
      </w:r>
    </w:p>
    <w:p w14:paraId="1FF43B7D">
      <w:pPr>
        <w:adjustRightInd w:val="0"/>
        <w:snapToGrid w:val="0"/>
        <w:spacing w:line="56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2、20</w:t>
      </w:r>
      <w:r>
        <w:rPr>
          <w:rFonts w:hint="eastAsia" w:ascii="仿宋_GB2312" w:hAnsi="宋体" w:eastAsia="仿宋_GB2312"/>
          <w:sz w:val="32"/>
          <w:szCs w:val="32"/>
        </w:rPr>
        <w:t>19</w:t>
      </w:r>
      <w:r>
        <w:rPr>
          <w:rFonts w:hint="eastAsia" w:ascii="仿宋_GB2312" w:hAnsi="宋体" w:eastAsia="仿宋_GB2312"/>
          <w:sz w:val="32"/>
          <w:szCs w:val="32"/>
          <w:lang w:val="zh-CN"/>
        </w:rPr>
        <w:t>年初我镇按严格预算编制要求，对食品药品监管站经费进行预算编制，经市政府同意，报峨眉山市人民代表大会会议批准通过</w:t>
      </w:r>
    </w:p>
    <w:p w14:paraId="134C32F0">
      <w:pPr>
        <w:adjustRightInd w:val="0"/>
        <w:snapToGrid w:val="0"/>
        <w:spacing w:line="560" w:lineRule="exact"/>
        <w:ind w:firstLine="643" w:firstLineChars="200"/>
        <w:rPr>
          <w:rFonts w:hint="eastAsia" w:ascii="楷体" w:hAnsi="楷体" w:eastAsia="楷体"/>
          <w:b/>
          <w:bCs/>
          <w:sz w:val="32"/>
          <w:szCs w:val="32"/>
          <w:lang w:val="zh-CN"/>
        </w:rPr>
      </w:pPr>
      <w:r>
        <w:rPr>
          <w:rFonts w:hint="eastAsia" w:ascii="楷体" w:hAnsi="楷体" w:eastAsia="楷体"/>
          <w:b/>
          <w:bCs/>
          <w:sz w:val="32"/>
          <w:szCs w:val="32"/>
          <w:lang w:val="zh-CN"/>
        </w:rPr>
        <w:t>（二）项目绩效目标</w:t>
      </w:r>
    </w:p>
    <w:p w14:paraId="61C3409C">
      <w:pPr>
        <w:adjustRightInd w:val="0"/>
        <w:snapToGrid w:val="0"/>
        <w:spacing w:line="560" w:lineRule="exact"/>
        <w:ind w:firstLine="960" w:firstLineChars="300"/>
        <w:rPr>
          <w:rFonts w:hint="eastAsia" w:ascii="仿宋_GB2312" w:hAnsi="宋体" w:eastAsia="仿宋_GB2312"/>
          <w:sz w:val="32"/>
          <w:szCs w:val="32"/>
          <w:lang w:val="zh-CN"/>
        </w:rPr>
      </w:pPr>
      <w:r>
        <w:rPr>
          <w:rFonts w:hint="eastAsia" w:ascii="仿宋_GB2312" w:hAnsi="宋体" w:eastAsia="仿宋_GB2312"/>
          <w:sz w:val="32"/>
          <w:szCs w:val="32"/>
        </w:rPr>
        <w:t>1、项目主要目标：</w:t>
      </w:r>
      <w:r>
        <w:rPr>
          <w:rFonts w:hint="eastAsia" w:ascii="仿宋_GB2312" w:hAnsi="宋体" w:eastAsia="仿宋_GB2312" w:cs="宋体"/>
          <w:color w:val="000000"/>
          <w:sz w:val="32"/>
          <w:szCs w:val="32"/>
        </w:rPr>
        <w:t>保障广大群众生命安全，提高消费者安全意识和自我保护能力，保护好儿童的生长发育。</w:t>
      </w:r>
    </w:p>
    <w:p w14:paraId="744FF419">
      <w:pPr>
        <w:spacing w:line="560" w:lineRule="exact"/>
        <w:ind w:firstLine="960" w:firstLineChars="300"/>
        <w:rPr>
          <w:rFonts w:hint="eastAsia" w:ascii="仿宋_GB2312" w:hAnsi="仿宋_GB2312" w:eastAsia="仿宋_GB2312" w:cs="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zh-CN"/>
        </w:rPr>
        <w:t>通过预算编制，规划绩效目标：（</w:t>
      </w:r>
      <w:r>
        <w:rPr>
          <w:rFonts w:hint="eastAsia" w:ascii="仿宋_GB2312" w:hAnsi="宋体" w:eastAsia="仿宋_GB2312"/>
          <w:sz w:val="32"/>
          <w:szCs w:val="32"/>
        </w:rPr>
        <w:t>1）、</w:t>
      </w:r>
      <w:r>
        <w:rPr>
          <w:rFonts w:hint="eastAsia" w:ascii="仿宋_GB2312" w:hAnsi="仿宋_GB2312" w:eastAsia="仿宋_GB2312" w:cs="仿宋_GB2312"/>
          <w:sz w:val="32"/>
          <w:szCs w:val="32"/>
        </w:rPr>
        <w:t>加强日常工作监管，（2）重视节日期间检查工作</w:t>
      </w:r>
      <w:r>
        <w:rPr>
          <w:rFonts w:hint="eastAsia" w:ascii="仿宋_GB2312" w:hAnsi="楷体_GB2312" w:eastAsia="仿宋_GB2312" w:cs="楷体_GB2312"/>
          <w:sz w:val="32"/>
          <w:szCs w:val="32"/>
        </w:rPr>
        <w:t>；（3）、</w:t>
      </w:r>
      <w:r>
        <w:rPr>
          <w:rFonts w:hint="eastAsia" w:ascii="仿宋_GB2312" w:hAnsi="仿宋_GB2312" w:eastAsia="仿宋_GB2312" w:cs="仿宋_GB2312"/>
          <w:sz w:val="32"/>
          <w:szCs w:val="32"/>
        </w:rPr>
        <w:t>扎实开展安全专项行动。</w:t>
      </w:r>
    </w:p>
    <w:p w14:paraId="08FFBE1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w:t>
      </w:r>
      <w:r>
        <w:rPr>
          <w:rFonts w:hint="eastAsia" w:ascii="仿宋_GB2312" w:eastAsia="仿宋_GB2312"/>
          <w:sz w:val="32"/>
          <w:szCs w:val="32"/>
        </w:rPr>
        <w:t>有组织、有步骤地深入开展食品安全工作，不折不扣落实防控各项措施，推进食品安全机制创新，构建最严格的监管体系，全镇食品安全工作取得了显著成绩。</w:t>
      </w:r>
    </w:p>
    <w:p w14:paraId="3740CAB8">
      <w:pPr>
        <w:adjustRightInd w:val="0"/>
        <w:snapToGrid w:val="0"/>
        <w:spacing w:line="560" w:lineRule="exact"/>
        <w:ind w:firstLine="643" w:firstLineChars="200"/>
        <w:rPr>
          <w:rFonts w:hint="eastAsia" w:ascii="黑体" w:hAnsi="黑体" w:eastAsia="黑体"/>
          <w:b/>
          <w:bCs/>
          <w:sz w:val="32"/>
          <w:szCs w:val="32"/>
          <w:lang w:val="zh-CN"/>
        </w:rPr>
      </w:pPr>
      <w:r>
        <w:rPr>
          <w:rFonts w:hint="eastAsia" w:ascii="黑体" w:hAnsi="黑体" w:eastAsia="黑体"/>
          <w:b/>
          <w:bCs/>
          <w:sz w:val="32"/>
          <w:szCs w:val="32"/>
          <w:lang w:val="zh-CN"/>
        </w:rPr>
        <w:t>二、项目资金申报及使用情况</w:t>
      </w:r>
    </w:p>
    <w:p w14:paraId="4B6F0BAB">
      <w:pPr>
        <w:adjustRightInd w:val="0"/>
        <w:snapToGrid w:val="0"/>
        <w:spacing w:line="560" w:lineRule="exact"/>
        <w:ind w:firstLine="640" w:firstLineChars="200"/>
        <w:rPr>
          <w:rFonts w:hint="eastAsia" w:ascii="仿宋_GB2312" w:hAnsi="宋体" w:eastAsia="仿宋_GB2312"/>
          <w:sz w:val="32"/>
          <w:szCs w:val="32"/>
        </w:rPr>
      </w:pPr>
      <w:r>
        <w:rPr>
          <w:rFonts w:hint="eastAsia" w:ascii="楷体" w:hAnsi="楷体" w:eastAsia="楷体"/>
          <w:sz w:val="32"/>
          <w:szCs w:val="32"/>
        </w:rPr>
        <w:t>（一）、资金到位</w:t>
      </w:r>
      <w:r>
        <w:rPr>
          <w:rFonts w:hint="eastAsia" w:ascii="仿宋_GB2312" w:hAnsi="宋体" w:eastAsia="仿宋_GB2312"/>
          <w:sz w:val="32"/>
          <w:szCs w:val="32"/>
        </w:rPr>
        <w:t>。</w:t>
      </w:r>
      <w:r>
        <w:rPr>
          <w:rFonts w:hint="eastAsia" w:ascii="仿宋_GB2312" w:hAnsi="宋体" w:eastAsia="仿宋_GB2312"/>
          <w:sz w:val="32"/>
          <w:szCs w:val="32"/>
          <w:lang w:val="zh-CN"/>
        </w:rPr>
        <w:t>食品药品监管经费财政拨款</w:t>
      </w:r>
      <w:r>
        <w:rPr>
          <w:rFonts w:hint="eastAsia" w:ascii="仿宋_GB2312" w:hAnsi="宋体" w:eastAsia="仿宋_GB2312"/>
          <w:sz w:val="32"/>
          <w:szCs w:val="32"/>
        </w:rPr>
        <w:t>2019年预算3万元，属本级人民政府预算专项资金，经市人代会会议结束后到位。</w:t>
      </w:r>
    </w:p>
    <w:p w14:paraId="1A0CC625">
      <w:pPr>
        <w:adjustRightInd w:val="0"/>
        <w:snapToGrid w:val="0"/>
        <w:spacing w:line="560" w:lineRule="exact"/>
        <w:ind w:firstLine="640" w:firstLineChars="200"/>
        <w:rPr>
          <w:rFonts w:hint="eastAsia" w:ascii="仿宋_GB2312" w:hAnsi="宋体" w:eastAsia="仿宋_GB2312"/>
          <w:sz w:val="32"/>
          <w:szCs w:val="32"/>
        </w:rPr>
      </w:pPr>
      <w:r>
        <w:rPr>
          <w:rFonts w:hint="eastAsia" w:ascii="楷体" w:hAnsi="楷体" w:eastAsia="楷体"/>
          <w:sz w:val="32"/>
          <w:szCs w:val="32"/>
        </w:rPr>
        <w:t>（二）、资金使用。</w:t>
      </w:r>
      <w:r>
        <w:rPr>
          <w:rFonts w:hint="eastAsia" w:ascii="仿宋_GB2312" w:hAnsi="宋体" w:eastAsia="仿宋_GB2312"/>
          <w:sz w:val="32"/>
          <w:szCs w:val="32"/>
        </w:rPr>
        <w:t>我镇</w:t>
      </w:r>
      <w:r>
        <w:rPr>
          <w:rFonts w:hint="eastAsia" w:ascii="仿宋_GB2312" w:hAnsi="宋体" w:eastAsia="仿宋_GB2312"/>
          <w:sz w:val="32"/>
          <w:szCs w:val="32"/>
          <w:lang w:val="zh-CN"/>
        </w:rPr>
        <w:t>食品药品监管经费</w:t>
      </w:r>
      <w:r>
        <w:rPr>
          <w:rFonts w:hint="eastAsia" w:ascii="仿宋_GB2312" w:hAnsi="宋体" w:eastAsia="仿宋_GB2312"/>
          <w:sz w:val="32"/>
          <w:szCs w:val="32"/>
        </w:rPr>
        <w:t>使用3万元，使用率100%，用于</w:t>
      </w:r>
      <w:r>
        <w:rPr>
          <w:rFonts w:hint="eastAsia" w:ascii="仿宋_GB2312" w:hAnsi="仿宋_GB2312" w:eastAsia="仿宋_GB2312" w:cs="仿宋_GB2312"/>
          <w:sz w:val="32"/>
          <w:szCs w:val="32"/>
        </w:rPr>
        <w:t>食品生产企业、学校食堂、劳动密集型企业食堂进行重点检查，对农村群体性聚餐工作进行重点监管</w:t>
      </w:r>
      <w:r>
        <w:rPr>
          <w:rFonts w:hint="eastAsia" w:ascii="仿宋_GB2312" w:hAnsi="宋体" w:eastAsia="仿宋_GB2312"/>
          <w:sz w:val="32"/>
          <w:szCs w:val="32"/>
        </w:rPr>
        <w:t>。</w:t>
      </w:r>
      <w:r>
        <w:rPr>
          <w:rFonts w:hint="eastAsia" w:ascii="仿宋_GB2312" w:hAnsi="仿宋_GB2312" w:eastAsia="仿宋_GB2312" w:cs="仿宋_GB2312"/>
          <w:sz w:val="32"/>
          <w:szCs w:val="32"/>
        </w:rPr>
        <w:t>在春节、“五一”、中秋、国庆等节日期间，组织人员对辖区的餐饮、超市、酒店等进行专项检查，确保群众饮食安全。多次开展校园周边食品安全专项检查，规范峨眉二中、小学外小摊贩。农村群体性聚餐申报监管。会计核算、现金管理、转账支付等均按规章制度执行，做到专款专用，资金支付依据齐全、开支标准合理合法、专项资金专项管理、专项使用，年初的绩效目标也基本完成</w:t>
      </w:r>
    </w:p>
    <w:p w14:paraId="2254FB9A">
      <w:pPr>
        <w:adjustRightInd w:val="0"/>
        <w:snapToGrid w:val="0"/>
        <w:spacing w:line="560" w:lineRule="exact"/>
        <w:ind w:firstLine="640" w:firstLineChars="200"/>
        <w:rPr>
          <w:rFonts w:hint="eastAsia" w:ascii="仿宋_GB2312" w:hAnsi="宋体" w:eastAsia="仿宋_GB2312"/>
          <w:sz w:val="32"/>
          <w:szCs w:val="32"/>
          <w:lang w:val="zh-CN"/>
        </w:rPr>
      </w:pPr>
      <w:r>
        <w:rPr>
          <w:rFonts w:hint="eastAsia" w:ascii="楷体" w:hAnsi="楷体" w:eastAsia="楷体"/>
          <w:sz w:val="32"/>
          <w:szCs w:val="32"/>
        </w:rPr>
        <w:t>（三）、</w:t>
      </w:r>
      <w:r>
        <w:rPr>
          <w:rFonts w:hint="eastAsia" w:ascii="楷体" w:hAnsi="楷体" w:eastAsia="楷体"/>
          <w:sz w:val="32"/>
          <w:szCs w:val="32"/>
          <w:lang w:val="zh-CN"/>
        </w:rPr>
        <w:t>项目财务管理情况。</w:t>
      </w:r>
      <w:r>
        <w:rPr>
          <w:rFonts w:hint="eastAsia" w:ascii="仿宋_GB2312" w:hAnsi="宋体" w:eastAsia="仿宋_GB2312"/>
          <w:sz w:val="32"/>
          <w:szCs w:val="32"/>
          <w:lang w:val="zh-CN"/>
        </w:rPr>
        <w:t>财务管理制度健全，严格执行财管管理制度，账务处理及时，会计核算规范。</w:t>
      </w:r>
    </w:p>
    <w:p w14:paraId="590FEF4C">
      <w:pPr>
        <w:adjustRightInd w:val="0"/>
        <w:snapToGrid w:val="0"/>
        <w:spacing w:line="560" w:lineRule="exact"/>
        <w:ind w:firstLine="643" w:firstLineChars="200"/>
        <w:rPr>
          <w:rFonts w:hint="eastAsia" w:ascii="黑体" w:hAnsi="黑体" w:eastAsia="黑体"/>
          <w:b/>
          <w:bCs/>
          <w:sz w:val="32"/>
          <w:szCs w:val="32"/>
          <w:lang w:val="zh-CN"/>
        </w:rPr>
      </w:pPr>
      <w:r>
        <w:rPr>
          <w:rFonts w:hint="eastAsia" w:ascii="黑体" w:hAnsi="黑体" w:eastAsia="黑体"/>
          <w:b/>
          <w:bCs/>
          <w:sz w:val="32"/>
          <w:szCs w:val="32"/>
          <w:lang w:val="zh-CN"/>
        </w:rPr>
        <w:t>三、项目实施及管理情况</w:t>
      </w:r>
    </w:p>
    <w:p w14:paraId="772A44CD">
      <w:pPr>
        <w:spacing w:line="560" w:lineRule="exact"/>
        <w:ind w:firstLine="640" w:firstLineChars="200"/>
        <w:rPr>
          <w:rFonts w:hint="eastAsia" w:ascii="仿宋_GB2312" w:hAnsi="楷体_GB2312" w:eastAsia="仿宋_GB2312" w:cs="楷体_GB2312"/>
          <w:sz w:val="32"/>
          <w:szCs w:val="32"/>
        </w:rPr>
      </w:pPr>
      <w:r>
        <w:rPr>
          <w:rFonts w:hint="eastAsia" w:ascii="仿宋_GB2312" w:hAnsi="宋体" w:eastAsia="仿宋_GB2312"/>
          <w:sz w:val="32"/>
          <w:szCs w:val="32"/>
        </w:rPr>
        <w:t>（一）、</w:t>
      </w:r>
      <w:r>
        <w:rPr>
          <w:rFonts w:hint="eastAsia" w:ascii="仿宋_GB2312" w:hAnsi="楷体_GB2312" w:eastAsia="仿宋_GB2312" w:cs="楷体_GB2312"/>
          <w:sz w:val="32"/>
          <w:szCs w:val="32"/>
        </w:rPr>
        <w:t>深入开展宣传活动，广泛宣传，营造氛围；（二）、</w:t>
      </w:r>
      <w:r>
        <w:rPr>
          <w:rFonts w:hint="eastAsia" w:ascii="仿宋_GB2312" w:hAnsi="仿宋_GB2312" w:eastAsia="仿宋_GB2312" w:cs="仿宋_GB2312"/>
          <w:sz w:val="32"/>
          <w:szCs w:val="32"/>
        </w:rPr>
        <w:t>开展夜市餐饮服务专项整治，做好食品小作坊、小经营店及摊贩登记备案工作；（三）、坚持农村家宴申报制度，由各村信息员收集信息及时上报镇食药监站，对农村家宴进行跟踪监控，并做好资料收集；（四）、联合镇安办、交警中队、派出所等部门开展校园及学校周边食品卫生安全专项检查。为切实保障广大师生的饮食安全，全面推进校园食品管理，构建校园食品安全监管长效机制。</w:t>
      </w:r>
    </w:p>
    <w:p w14:paraId="77275760">
      <w:pPr>
        <w:adjustRightInd w:val="0"/>
        <w:snapToGrid w:val="0"/>
        <w:spacing w:line="560" w:lineRule="exact"/>
        <w:ind w:firstLine="643" w:firstLineChars="200"/>
        <w:rPr>
          <w:rFonts w:hint="eastAsia" w:ascii="黑体" w:hAnsi="黑体" w:eastAsia="黑体"/>
          <w:b/>
          <w:bCs/>
          <w:sz w:val="32"/>
          <w:szCs w:val="32"/>
          <w:lang w:val="zh-CN"/>
        </w:rPr>
      </w:pPr>
      <w:r>
        <w:rPr>
          <w:rFonts w:hint="eastAsia" w:ascii="黑体" w:hAnsi="黑体" w:eastAsia="黑体"/>
          <w:b/>
          <w:bCs/>
          <w:sz w:val="32"/>
          <w:szCs w:val="32"/>
          <w:lang w:val="zh-CN"/>
        </w:rPr>
        <w:t>四、项目绩效目标</w:t>
      </w:r>
    </w:p>
    <w:p w14:paraId="212AC9A2">
      <w:pPr>
        <w:adjustRightInd w:val="0"/>
        <w:snapToGrid w:val="0"/>
        <w:spacing w:line="560" w:lineRule="exact"/>
        <w:ind w:firstLine="640" w:firstLineChars="200"/>
        <w:rPr>
          <w:rFonts w:hint="eastAsia" w:ascii="楷体" w:hAnsi="楷体" w:eastAsia="楷体"/>
          <w:sz w:val="32"/>
          <w:szCs w:val="32"/>
          <w:lang w:val="zh-CN"/>
        </w:rPr>
      </w:pPr>
      <w:r>
        <w:rPr>
          <w:rFonts w:hint="eastAsia" w:ascii="楷体" w:hAnsi="楷体" w:eastAsia="楷体"/>
          <w:sz w:val="32"/>
          <w:szCs w:val="32"/>
          <w:lang w:val="zh-CN"/>
        </w:rPr>
        <w:t>（一）、项目完成情况</w:t>
      </w:r>
    </w:p>
    <w:p w14:paraId="44BB7D61">
      <w:pPr>
        <w:widowControl/>
        <w:shd w:val="clear" w:color="auto" w:fill="FFFFFF"/>
        <w:spacing w:line="360" w:lineRule="auto"/>
        <w:ind w:firstLine="640"/>
        <w:jc w:val="left"/>
        <w:rPr>
          <w:rFonts w:hint="eastAsia"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充分依托村社干部深入群众、了解群众的优势，全年开展现场食品监管700起，其中，东胜社区、桑园社区、胜利村和十里村工作积极、成效明显。截止10月底，我镇将拿出专项资金近2万余元，结合各个村社的工作实绩，及时进行兑现。餐饮门店监管方面，结合今年“双创”3.15等时间节点，采取集中上门检查，拉网排查等办法，对我镇的食品经营门店开展全面检查，督促经营户办理经营许可证97个，为全镇群众食品消费增加了一份安全保障。</w:t>
      </w:r>
    </w:p>
    <w:p w14:paraId="71EE0234">
      <w:pPr>
        <w:adjustRightInd w:val="0"/>
        <w:snapToGrid w:val="0"/>
        <w:spacing w:line="560" w:lineRule="exact"/>
        <w:ind w:left="420" w:leftChars="200" w:firstLine="157" w:firstLineChars="49"/>
        <w:rPr>
          <w:rFonts w:hint="eastAsia" w:ascii="黑体" w:hAnsi="黑体" w:eastAsia="黑体"/>
          <w:b/>
          <w:bCs/>
          <w:sz w:val="32"/>
          <w:szCs w:val="32"/>
        </w:rPr>
      </w:pPr>
      <w:r>
        <w:rPr>
          <w:rFonts w:hint="eastAsia" w:ascii="黑体" w:hAnsi="黑体" w:eastAsia="黑体"/>
          <w:b/>
          <w:bCs/>
          <w:sz w:val="32"/>
          <w:szCs w:val="32"/>
        </w:rPr>
        <w:t>五、评价结论及建议</w:t>
      </w:r>
    </w:p>
    <w:p w14:paraId="0B26E75C">
      <w:pPr>
        <w:adjustRightInd w:val="0"/>
        <w:snapToGrid w:val="0"/>
        <w:spacing w:line="560" w:lineRule="exact"/>
        <w:ind w:left="420" w:leftChars="200" w:firstLine="160" w:firstLineChars="50"/>
        <w:rPr>
          <w:rFonts w:hint="eastAsia" w:ascii="楷体" w:hAnsi="楷体" w:eastAsia="楷体"/>
          <w:sz w:val="32"/>
          <w:szCs w:val="32"/>
        </w:rPr>
      </w:pPr>
      <w:r>
        <w:rPr>
          <w:rFonts w:hint="eastAsia" w:ascii="楷体" w:hAnsi="楷体" w:eastAsia="楷体"/>
          <w:sz w:val="32"/>
          <w:szCs w:val="32"/>
        </w:rPr>
        <w:t>（一）存在的问题</w:t>
      </w:r>
    </w:p>
    <w:p w14:paraId="273E40F3">
      <w:pPr>
        <w:adjustRightInd w:val="0"/>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由于人力的不够，对校园周边环境的食品安全整治不能形成常态化监督。</w:t>
      </w:r>
    </w:p>
    <w:p w14:paraId="1F50C026">
      <w:pPr>
        <w:adjustRightInd w:val="0"/>
        <w:snapToGrid w:val="0"/>
        <w:spacing w:line="560" w:lineRule="exact"/>
        <w:ind w:firstLine="640"/>
        <w:rPr>
          <w:rFonts w:hint="eastAsia" w:ascii="楷体" w:hAnsi="楷体" w:eastAsia="楷体"/>
          <w:sz w:val="32"/>
          <w:szCs w:val="32"/>
        </w:rPr>
      </w:pPr>
      <w:r>
        <w:rPr>
          <w:rFonts w:hint="eastAsia" w:ascii="楷体" w:hAnsi="楷体" w:eastAsia="楷体"/>
          <w:sz w:val="32"/>
          <w:szCs w:val="32"/>
        </w:rPr>
        <w:t>（二）相关建议</w:t>
      </w:r>
    </w:p>
    <w:p w14:paraId="3CB147E2">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eastAsia="仿宋_GB2312"/>
          <w:sz w:val="32"/>
          <w:szCs w:val="32"/>
        </w:rPr>
        <w:t>加强对食品的准入管理和日常监控，严格实行食品市场准入制度严格执行生产加工标准，配合相关部门严厉打击无证生产和冒用许可证违法行为，确保食品质量稳步提高。组织各村、组干部培训食品安全知识，知晓危害，提高认识，从思想上重视食品安全</w:t>
      </w:r>
      <w:r>
        <w:rPr>
          <w:rFonts w:hint="eastAsia" w:ascii="仿宋_GB2312" w:hAnsi="宋体" w:eastAsia="仿宋_GB2312"/>
          <w:sz w:val="32"/>
          <w:szCs w:val="32"/>
          <w:lang w:val="zh-CN"/>
        </w:rPr>
        <w:t>。</w:t>
      </w:r>
    </w:p>
    <w:p w14:paraId="50ABD256">
      <w:pPr>
        <w:jc w:val="center"/>
        <w:outlineLvl w:val="0"/>
        <w:rPr>
          <w:rFonts w:hint="eastAsia" w:ascii="仿宋_GB2312" w:hAnsi="黑体" w:eastAsia="仿宋_GB2312"/>
          <w:color w:val="000000"/>
          <w:sz w:val="32"/>
          <w:szCs w:val="32"/>
        </w:rPr>
      </w:pPr>
    </w:p>
    <w:p w14:paraId="72AF69F5">
      <w:pPr>
        <w:jc w:val="center"/>
        <w:outlineLvl w:val="0"/>
        <w:rPr>
          <w:rFonts w:hint="eastAsia" w:ascii="仿宋_GB2312" w:hAnsi="黑体" w:eastAsia="仿宋_GB2312"/>
          <w:color w:val="000000"/>
          <w:sz w:val="32"/>
          <w:szCs w:val="32"/>
        </w:rPr>
      </w:pPr>
    </w:p>
    <w:p w14:paraId="65888EC9">
      <w:pPr>
        <w:jc w:val="center"/>
        <w:outlineLvl w:val="0"/>
        <w:rPr>
          <w:rFonts w:hint="eastAsia" w:ascii="仿宋_GB2312" w:hAnsi="黑体" w:eastAsia="仿宋_GB2312"/>
          <w:color w:val="000000"/>
          <w:sz w:val="32"/>
          <w:szCs w:val="32"/>
        </w:rPr>
      </w:pPr>
    </w:p>
    <w:p w14:paraId="1B8D6CE6">
      <w:pPr>
        <w:jc w:val="center"/>
        <w:outlineLvl w:val="0"/>
        <w:rPr>
          <w:rFonts w:hint="eastAsia" w:ascii="仿宋_GB2312" w:hAnsi="黑体" w:eastAsia="仿宋_GB2312"/>
          <w:color w:val="000000"/>
          <w:sz w:val="32"/>
          <w:szCs w:val="32"/>
        </w:rPr>
      </w:pPr>
    </w:p>
    <w:p w14:paraId="35602E68">
      <w:pPr>
        <w:jc w:val="center"/>
        <w:outlineLvl w:val="0"/>
        <w:rPr>
          <w:rFonts w:hint="eastAsia" w:ascii="仿宋_GB2312" w:hAnsi="黑体" w:eastAsia="仿宋_GB2312"/>
          <w:color w:val="000000"/>
          <w:sz w:val="32"/>
          <w:szCs w:val="32"/>
        </w:rPr>
      </w:pPr>
    </w:p>
    <w:p w14:paraId="7E231638">
      <w:pPr>
        <w:jc w:val="center"/>
        <w:outlineLvl w:val="0"/>
        <w:rPr>
          <w:rFonts w:hint="eastAsia" w:ascii="仿宋_GB2312" w:hAnsi="黑体" w:eastAsia="仿宋_GB2312"/>
          <w:color w:val="000000"/>
          <w:sz w:val="32"/>
          <w:szCs w:val="32"/>
        </w:rPr>
      </w:pPr>
    </w:p>
    <w:p w14:paraId="7F887089">
      <w:pPr>
        <w:pStyle w:val="32"/>
        <w:spacing w:line="240" w:lineRule="auto"/>
        <w:jc w:val="center"/>
        <w:rPr>
          <w:rFonts w:hint="eastAsia" w:ascii="方正小标宋简体" w:hAnsi="宋体" w:eastAsia="方正小标宋简体"/>
          <w:b/>
          <w:sz w:val="44"/>
          <w:szCs w:val="44"/>
        </w:rPr>
      </w:pPr>
      <w:r>
        <w:rPr>
          <w:rFonts w:hint="eastAsia" w:ascii="方正小标宋简体" w:hAnsi="宋体" w:eastAsia="方正小标宋简体"/>
          <w:b/>
          <w:sz w:val="44"/>
          <w:szCs w:val="44"/>
        </w:rPr>
        <w:t>武装工作经费项目2019年绩效</w:t>
      </w:r>
    </w:p>
    <w:p w14:paraId="7782EAC7">
      <w:pPr>
        <w:pStyle w:val="32"/>
        <w:spacing w:line="240" w:lineRule="auto"/>
        <w:jc w:val="center"/>
        <w:rPr>
          <w:rFonts w:hint="eastAsia" w:ascii="方正小标宋简体" w:eastAsia="方正小标宋简体"/>
          <w:b/>
          <w:sz w:val="44"/>
          <w:szCs w:val="44"/>
        </w:rPr>
      </w:pPr>
      <w:r>
        <w:rPr>
          <w:rFonts w:hint="eastAsia" w:ascii="方正小标宋简体" w:hAnsi="宋体" w:eastAsia="方正小标宋简体"/>
          <w:b/>
          <w:sz w:val="44"/>
          <w:szCs w:val="44"/>
        </w:rPr>
        <w:t>评价报告</w:t>
      </w:r>
    </w:p>
    <w:p w14:paraId="41570979">
      <w:pPr>
        <w:adjustRightInd w:val="0"/>
        <w:snapToGrid w:val="0"/>
        <w:spacing w:line="560" w:lineRule="exact"/>
        <w:ind w:firstLine="960" w:firstLineChars="300"/>
        <w:rPr>
          <w:rFonts w:hint="eastAsia" w:ascii="黑体" w:hAnsi="黑体" w:eastAsia="黑体"/>
          <w:sz w:val="32"/>
          <w:szCs w:val="32"/>
          <w:lang w:val="zh-CN"/>
        </w:rPr>
      </w:pPr>
      <w:r>
        <w:rPr>
          <w:rFonts w:hint="eastAsia" w:ascii="黑体" w:hAnsi="黑体" w:eastAsia="黑体"/>
          <w:sz w:val="32"/>
          <w:szCs w:val="32"/>
        </w:rPr>
        <w:t>一、</w:t>
      </w:r>
      <w:r>
        <w:rPr>
          <w:rFonts w:hint="eastAsia" w:ascii="黑体" w:hAnsi="黑体" w:eastAsia="黑体"/>
          <w:sz w:val="32"/>
          <w:szCs w:val="32"/>
          <w:lang w:val="zh-CN"/>
        </w:rPr>
        <w:t>项目概况</w:t>
      </w:r>
    </w:p>
    <w:p w14:paraId="2D92D57C">
      <w:pPr>
        <w:adjustRightInd w:val="0"/>
        <w:snapToGrid w:val="0"/>
        <w:spacing w:line="560" w:lineRule="exact"/>
        <w:ind w:firstLine="720"/>
        <w:rPr>
          <w:rFonts w:hint="eastAsia" w:ascii="楷体" w:hAnsi="楷体" w:eastAsia="楷体"/>
          <w:b/>
          <w:sz w:val="32"/>
          <w:szCs w:val="32"/>
          <w:lang w:val="zh-CN"/>
        </w:rPr>
      </w:pPr>
      <w:r>
        <w:rPr>
          <w:rFonts w:hint="eastAsia" w:ascii="楷体" w:hAnsi="楷体" w:eastAsia="楷体"/>
          <w:b/>
          <w:sz w:val="32"/>
          <w:szCs w:val="32"/>
          <w:lang w:val="zh-CN"/>
        </w:rPr>
        <w:t>（一）项目基本情况</w:t>
      </w:r>
    </w:p>
    <w:p w14:paraId="511E0731">
      <w:pPr>
        <w:adjustRightInd w:val="0"/>
        <w:snapToGrid w:val="0"/>
        <w:spacing w:line="56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rPr>
        <w:t>1、</w:t>
      </w:r>
      <w:r>
        <w:rPr>
          <w:rFonts w:hint="eastAsia" w:ascii="仿宋_GB2312" w:hAnsi="宋体" w:eastAsia="仿宋_GB2312"/>
          <w:sz w:val="32"/>
          <w:szCs w:val="32"/>
          <w:lang w:val="zh-CN"/>
        </w:rPr>
        <w:t>坚持以“</w:t>
      </w:r>
      <w:bookmarkStart w:id="53" w:name="_GoBack"/>
      <w:r>
        <w:rPr>
          <w:rFonts w:hint="eastAsia" w:ascii="仿宋_GB2312" w:hAnsi="宋体" w:eastAsia="仿宋_GB2312"/>
          <w:sz w:val="32"/>
          <w:szCs w:val="32"/>
          <w:lang w:val="zh-CN"/>
        </w:rPr>
        <w:t>习近平强军思想</w:t>
      </w:r>
      <w:bookmarkEnd w:id="53"/>
      <w:r>
        <w:rPr>
          <w:rFonts w:hint="eastAsia" w:ascii="仿宋_GB2312" w:hAnsi="宋体" w:eastAsia="仿宋_GB2312"/>
          <w:sz w:val="32"/>
          <w:szCs w:val="32"/>
          <w:lang w:val="zh-CN"/>
        </w:rPr>
        <w:t>”为指导，坚持把武装工作纳入党委的重要议事日程，建立健全各类组织，规范武装部正规化建设。</w:t>
      </w:r>
    </w:p>
    <w:p w14:paraId="3132C33E">
      <w:pPr>
        <w:adjustRightInd w:val="0"/>
        <w:snapToGrid w:val="0"/>
        <w:spacing w:line="56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2、20</w:t>
      </w:r>
      <w:r>
        <w:rPr>
          <w:rFonts w:hint="eastAsia" w:ascii="仿宋_GB2312" w:hAnsi="宋体" w:eastAsia="仿宋_GB2312"/>
          <w:sz w:val="32"/>
          <w:szCs w:val="32"/>
        </w:rPr>
        <w:t>19</w:t>
      </w:r>
      <w:r>
        <w:rPr>
          <w:rFonts w:hint="eastAsia" w:ascii="仿宋_GB2312" w:hAnsi="宋体" w:eastAsia="仿宋_GB2312"/>
          <w:sz w:val="32"/>
          <w:szCs w:val="32"/>
          <w:lang w:val="zh-CN"/>
        </w:rPr>
        <w:t>年年初我镇按严格预算编制要求，对人武经费进行预算编制，经市政府同意，报峨眉山市人民代表大会会议批准通过</w:t>
      </w:r>
    </w:p>
    <w:p w14:paraId="1FBE25DD">
      <w:pPr>
        <w:adjustRightInd w:val="0"/>
        <w:snapToGrid w:val="0"/>
        <w:spacing w:line="560" w:lineRule="exact"/>
        <w:ind w:firstLine="643" w:firstLineChars="200"/>
        <w:rPr>
          <w:rFonts w:hint="eastAsia" w:ascii="楷体" w:hAnsi="楷体" w:eastAsia="楷体"/>
          <w:b/>
          <w:bCs/>
          <w:sz w:val="32"/>
          <w:szCs w:val="32"/>
          <w:lang w:val="zh-CN"/>
        </w:rPr>
      </w:pPr>
      <w:r>
        <w:rPr>
          <w:rFonts w:hint="eastAsia" w:ascii="楷体" w:hAnsi="楷体" w:eastAsia="楷体"/>
          <w:b/>
          <w:bCs/>
          <w:sz w:val="32"/>
          <w:szCs w:val="32"/>
          <w:lang w:val="zh-CN"/>
        </w:rPr>
        <w:t>（二）项目绩效目标</w:t>
      </w:r>
    </w:p>
    <w:p w14:paraId="05776E1F">
      <w:pPr>
        <w:adjustRightInd w:val="0"/>
        <w:snapToGrid w:val="0"/>
        <w:spacing w:line="560" w:lineRule="exact"/>
        <w:ind w:firstLine="960" w:firstLineChars="300"/>
        <w:rPr>
          <w:rFonts w:hint="eastAsia" w:ascii="仿宋_GB2312" w:hAnsi="宋体" w:eastAsia="仿宋_GB2312"/>
          <w:sz w:val="32"/>
          <w:szCs w:val="32"/>
          <w:lang w:val="zh-CN"/>
        </w:rPr>
      </w:pPr>
      <w:r>
        <w:rPr>
          <w:rFonts w:hint="eastAsia" w:ascii="仿宋_GB2312" w:hAnsi="宋体" w:eastAsia="仿宋_GB2312"/>
          <w:sz w:val="32"/>
          <w:szCs w:val="32"/>
        </w:rPr>
        <w:t>1、项目主要目标：</w:t>
      </w:r>
      <w:r>
        <w:rPr>
          <w:rFonts w:hint="eastAsia" w:ascii="仿宋_GB2312" w:hAnsi="宋体" w:eastAsia="仿宋_GB2312"/>
          <w:sz w:val="32"/>
          <w:szCs w:val="32"/>
          <w:lang w:val="zh-CN"/>
        </w:rPr>
        <w:t>切实履行党管武装职责，真正体现了党管武装原则，提高我镇群众的思想素质和政治觉悟，增强了广大民兵的国防观念和爱国热。</w:t>
      </w:r>
    </w:p>
    <w:p w14:paraId="37C464F5">
      <w:pPr>
        <w:numPr>
          <w:ilvl w:val="0"/>
          <w:numId w:val="4"/>
        </w:numPr>
        <w:ind w:firstLine="640" w:firstLineChars="200"/>
        <w:rPr>
          <w:rFonts w:hint="eastAsia" w:ascii="仿宋_GB2312" w:hAnsi="楷体_GB2312" w:eastAsia="仿宋_GB2312" w:cs="楷体_GB2312"/>
          <w:sz w:val="32"/>
          <w:szCs w:val="32"/>
        </w:rPr>
      </w:pPr>
      <w:r>
        <w:rPr>
          <w:rFonts w:hint="eastAsia" w:ascii="仿宋_GB2312" w:hAnsi="宋体" w:eastAsia="仿宋_GB2312"/>
          <w:sz w:val="32"/>
          <w:szCs w:val="32"/>
          <w:lang w:val="zh-CN"/>
        </w:rPr>
        <w:t>通过预算编制，规划绩效目标：</w:t>
      </w:r>
      <w:r>
        <w:rPr>
          <w:rFonts w:hint="eastAsia" w:ascii="仿宋_GB2312" w:hAnsi="宋体" w:eastAsia="仿宋_GB2312"/>
          <w:sz w:val="32"/>
          <w:szCs w:val="32"/>
        </w:rPr>
        <w:t>1、完成民兵整组点验，基本民兵训练；2、</w:t>
      </w:r>
      <w:r>
        <w:rPr>
          <w:rFonts w:hint="eastAsia" w:ascii="仿宋_GB2312" w:hAnsi="楷体_GB2312" w:eastAsia="仿宋_GB2312" w:cs="楷体_GB2312"/>
          <w:sz w:val="32"/>
          <w:szCs w:val="32"/>
        </w:rPr>
        <w:t>政治教育工作；3、兵役登记和征兵工作。</w:t>
      </w:r>
    </w:p>
    <w:p w14:paraId="509E48C2">
      <w:pPr>
        <w:adjustRightInd w:val="0"/>
        <w:snapToGrid w:val="0"/>
        <w:spacing w:line="560" w:lineRule="exact"/>
        <w:ind w:firstLine="720"/>
        <w:rPr>
          <w:rFonts w:hint="eastAsia" w:ascii="仿宋_GB2312" w:hAnsi="宋体" w:eastAsia="仿宋_GB2312"/>
          <w:sz w:val="32"/>
          <w:szCs w:val="32"/>
          <w:lang w:val="zh-CN"/>
        </w:rPr>
      </w:pPr>
      <w:r>
        <w:rPr>
          <w:rFonts w:hint="eastAsia" w:ascii="仿宋_GB2312" w:hAnsi="宋体" w:eastAsia="仿宋_GB2312"/>
          <w:sz w:val="32"/>
          <w:szCs w:val="32"/>
        </w:rPr>
        <w:t>3、</w:t>
      </w:r>
      <w:r>
        <w:rPr>
          <w:rFonts w:hint="eastAsia" w:ascii="仿宋_GB2312" w:hAnsi="宋体" w:eastAsia="仿宋_GB2312"/>
          <w:sz w:val="32"/>
          <w:szCs w:val="32"/>
          <w:lang w:val="zh-CN"/>
        </w:rPr>
        <w:t>武装经费服务当地人民群众，申报内容与实际相符，申报目标合理。</w:t>
      </w:r>
    </w:p>
    <w:p w14:paraId="0ED4D3E2">
      <w:pPr>
        <w:adjustRightInd w:val="0"/>
        <w:snapToGrid w:val="0"/>
        <w:spacing w:line="560" w:lineRule="exact"/>
        <w:ind w:firstLine="640" w:firstLineChars="200"/>
        <w:rPr>
          <w:rFonts w:hint="eastAsia" w:ascii="黑体" w:hAnsi="黑体" w:eastAsia="黑体"/>
          <w:bCs/>
          <w:sz w:val="32"/>
          <w:szCs w:val="32"/>
          <w:lang w:val="zh-CN"/>
        </w:rPr>
      </w:pPr>
      <w:r>
        <w:rPr>
          <w:rFonts w:hint="eastAsia" w:ascii="黑体" w:hAnsi="黑体" w:eastAsia="黑体"/>
          <w:bCs/>
          <w:sz w:val="32"/>
          <w:szCs w:val="32"/>
          <w:lang w:val="zh-CN"/>
        </w:rPr>
        <w:t>二、项目资金申报及使用情况</w:t>
      </w:r>
    </w:p>
    <w:p w14:paraId="280DE936">
      <w:pPr>
        <w:adjustRightInd w:val="0"/>
        <w:snapToGrid w:val="0"/>
        <w:spacing w:line="560" w:lineRule="exact"/>
        <w:ind w:firstLine="640" w:firstLineChars="200"/>
        <w:rPr>
          <w:rFonts w:hint="eastAsia" w:ascii="仿宋_GB2312" w:hAnsi="宋体" w:eastAsia="仿宋_GB2312"/>
          <w:sz w:val="32"/>
          <w:szCs w:val="32"/>
        </w:rPr>
      </w:pPr>
      <w:r>
        <w:rPr>
          <w:rFonts w:hint="eastAsia" w:ascii="楷体" w:hAnsi="楷体" w:eastAsia="楷体"/>
          <w:sz w:val="32"/>
          <w:szCs w:val="32"/>
        </w:rPr>
        <w:t>（一）、资金到位。</w:t>
      </w:r>
      <w:r>
        <w:rPr>
          <w:rFonts w:hint="eastAsia" w:ascii="仿宋_GB2312" w:hAnsi="宋体" w:eastAsia="仿宋_GB2312"/>
          <w:sz w:val="32"/>
          <w:szCs w:val="32"/>
          <w:lang w:val="zh-CN"/>
        </w:rPr>
        <w:t>武装经费财政拨款</w:t>
      </w:r>
      <w:r>
        <w:rPr>
          <w:rFonts w:hint="eastAsia" w:ascii="仿宋_GB2312" w:hAnsi="宋体" w:eastAsia="仿宋_GB2312"/>
          <w:sz w:val="32"/>
          <w:szCs w:val="32"/>
        </w:rPr>
        <w:t>2019年预算0.5万元，属本级人民政府预算专项资金，经市人代会会议结束后到位。</w:t>
      </w:r>
    </w:p>
    <w:p w14:paraId="3C4BA843">
      <w:pPr>
        <w:adjustRightInd w:val="0"/>
        <w:snapToGrid w:val="0"/>
        <w:spacing w:line="560" w:lineRule="exact"/>
        <w:ind w:firstLine="640" w:firstLineChars="200"/>
        <w:rPr>
          <w:rFonts w:hint="eastAsia" w:ascii="仿宋_GB2312" w:hAnsi="宋体" w:eastAsia="仿宋_GB2312"/>
          <w:sz w:val="32"/>
          <w:szCs w:val="32"/>
        </w:rPr>
      </w:pPr>
      <w:r>
        <w:rPr>
          <w:rFonts w:hint="eastAsia" w:ascii="楷体" w:hAnsi="楷体" w:eastAsia="楷体"/>
          <w:sz w:val="32"/>
          <w:szCs w:val="32"/>
        </w:rPr>
        <w:t>（二）、资金使用。</w:t>
      </w:r>
      <w:r>
        <w:rPr>
          <w:rFonts w:hint="eastAsia" w:ascii="仿宋_GB2312" w:hAnsi="宋体" w:eastAsia="仿宋_GB2312"/>
          <w:sz w:val="32"/>
          <w:szCs w:val="32"/>
        </w:rPr>
        <w:t>我镇人武经费使用0.5万元，使用率100%，用于民兵点验、兵役登记和征兵。</w:t>
      </w:r>
      <w:r>
        <w:rPr>
          <w:rFonts w:hint="eastAsia" w:ascii="仿宋_GB2312" w:hAnsi="仿宋_GB2312" w:eastAsia="仿宋_GB2312" w:cs="仿宋_GB2312"/>
          <w:sz w:val="32"/>
          <w:szCs w:val="32"/>
        </w:rPr>
        <w:t>会计核算、现金管理、转账支付等均按规章制度执行，做到专款专用，资金支付依据齐全、开支标准合理合法、专项资金专项管理、专项使用，年初的绩效目标也基本完成</w:t>
      </w:r>
    </w:p>
    <w:p w14:paraId="6ED7FDD9">
      <w:pPr>
        <w:adjustRightInd w:val="0"/>
        <w:snapToGrid w:val="0"/>
        <w:spacing w:line="560" w:lineRule="exact"/>
        <w:ind w:firstLine="640" w:firstLineChars="200"/>
        <w:rPr>
          <w:rFonts w:hint="eastAsia" w:ascii="仿宋_GB2312" w:hAnsi="宋体" w:eastAsia="仿宋_GB2312"/>
          <w:sz w:val="32"/>
          <w:szCs w:val="32"/>
          <w:lang w:val="zh-CN"/>
        </w:rPr>
      </w:pPr>
      <w:r>
        <w:rPr>
          <w:rFonts w:hint="eastAsia" w:ascii="楷体" w:hAnsi="楷体" w:eastAsia="楷体"/>
          <w:sz w:val="32"/>
          <w:szCs w:val="32"/>
        </w:rPr>
        <w:t>（三）、</w:t>
      </w:r>
      <w:r>
        <w:rPr>
          <w:rFonts w:hint="eastAsia" w:ascii="楷体" w:hAnsi="楷体" w:eastAsia="楷体"/>
          <w:sz w:val="32"/>
          <w:szCs w:val="32"/>
          <w:lang w:val="zh-CN"/>
        </w:rPr>
        <w:t>项目财务管理情况</w:t>
      </w:r>
      <w:r>
        <w:rPr>
          <w:rFonts w:hint="eastAsia" w:ascii="仿宋_GB2312" w:hAnsi="宋体" w:eastAsia="仿宋_GB2312"/>
          <w:sz w:val="32"/>
          <w:szCs w:val="32"/>
          <w:lang w:val="zh-CN"/>
        </w:rPr>
        <w:t>。财务管理制度健全，严格执行财管管理制度，账务处理及时，会计核算规范。</w:t>
      </w:r>
    </w:p>
    <w:p w14:paraId="5A5E9017">
      <w:pPr>
        <w:adjustRightInd w:val="0"/>
        <w:snapToGrid w:val="0"/>
        <w:spacing w:line="560" w:lineRule="exact"/>
        <w:ind w:firstLine="643" w:firstLineChars="200"/>
        <w:rPr>
          <w:rFonts w:hint="eastAsia" w:ascii="黑体" w:hAnsi="黑体" w:eastAsia="黑体"/>
          <w:b/>
          <w:bCs/>
          <w:sz w:val="32"/>
          <w:szCs w:val="32"/>
          <w:lang w:val="zh-CN"/>
        </w:rPr>
      </w:pPr>
      <w:r>
        <w:rPr>
          <w:rFonts w:hint="eastAsia" w:ascii="黑体" w:hAnsi="黑体" w:eastAsia="黑体"/>
          <w:b/>
          <w:bCs/>
          <w:sz w:val="32"/>
          <w:szCs w:val="32"/>
          <w:lang w:val="zh-CN"/>
        </w:rPr>
        <w:t>三、项目实施及管理情况</w:t>
      </w:r>
    </w:p>
    <w:p w14:paraId="242682FD">
      <w:pPr>
        <w:adjustRightInd w:val="0"/>
        <w:snapToGrid w:val="0"/>
        <w:spacing w:line="560" w:lineRule="exact"/>
        <w:ind w:firstLine="640" w:firstLineChars="200"/>
        <w:rPr>
          <w:rFonts w:hint="eastAsia" w:ascii="楷体" w:hAnsi="楷体" w:eastAsia="楷体"/>
          <w:sz w:val="32"/>
          <w:szCs w:val="32"/>
          <w:lang w:val="zh-CN"/>
        </w:rPr>
      </w:pPr>
      <w:r>
        <w:rPr>
          <w:rFonts w:hint="eastAsia" w:ascii="楷体" w:hAnsi="楷体" w:eastAsia="楷体"/>
          <w:sz w:val="32"/>
          <w:szCs w:val="32"/>
          <w:lang w:val="zh-CN"/>
        </w:rPr>
        <w:t>（一）.政治教育工作</w:t>
      </w:r>
    </w:p>
    <w:p w14:paraId="35755D42">
      <w:pPr>
        <w:adjustRightInd w:val="0"/>
        <w:snapToGrid w:val="0"/>
        <w:spacing w:line="56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根据市人武部的部署，我们积极开展全民国防教育，组织民兵连长、民兵学习有关文件法规，认真贯彻《民兵政治教育工作规定》，尤其是突出十九大以来“习近平强军思想”；“传承红色基因、担当强军重任”主题教育。</w:t>
      </w:r>
    </w:p>
    <w:p w14:paraId="2EB23F62">
      <w:pPr>
        <w:adjustRightInd w:val="0"/>
        <w:snapToGrid w:val="0"/>
        <w:spacing w:line="560" w:lineRule="exact"/>
        <w:ind w:firstLine="640" w:firstLineChars="200"/>
        <w:rPr>
          <w:rFonts w:hint="eastAsia" w:ascii="楷体" w:hAnsi="楷体" w:eastAsia="楷体"/>
          <w:sz w:val="32"/>
          <w:szCs w:val="32"/>
          <w:lang w:val="zh-CN"/>
        </w:rPr>
      </w:pPr>
      <w:r>
        <w:rPr>
          <w:rFonts w:hint="eastAsia" w:ascii="楷体" w:hAnsi="楷体" w:eastAsia="楷体"/>
          <w:sz w:val="32"/>
          <w:szCs w:val="32"/>
          <w:lang w:val="zh-CN"/>
        </w:rPr>
        <w:t>（二）.民兵组织整顿和军事训练工作</w:t>
      </w:r>
    </w:p>
    <w:p w14:paraId="3FAEBCE4">
      <w:pPr>
        <w:adjustRightInd w:val="0"/>
        <w:snapToGrid w:val="0"/>
        <w:spacing w:line="56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以深化民兵组织整顿调整为主线，针对当前我镇各村青年流动性大等诸多情况，着力研究解决和探索当前我镇镇情的民兵编组新路子。为实现我镇民兵编齐、编强、编实、编精的思想，我们严把入队关，根据我镇青年上班、外出务工多的特点，利用周末、晚上休息时间进行走访，了解青年的工作和思想以及技能等方面情况。</w:t>
      </w:r>
    </w:p>
    <w:p w14:paraId="75B2D6B9">
      <w:pPr>
        <w:adjustRightInd w:val="0"/>
        <w:snapToGrid w:val="0"/>
        <w:spacing w:line="560" w:lineRule="exact"/>
        <w:ind w:firstLine="640" w:firstLineChars="200"/>
        <w:rPr>
          <w:rFonts w:hint="eastAsia" w:ascii="楷体" w:hAnsi="楷体" w:eastAsia="楷体"/>
          <w:sz w:val="32"/>
          <w:szCs w:val="32"/>
          <w:lang w:val="zh-CN"/>
        </w:rPr>
      </w:pPr>
      <w:r>
        <w:rPr>
          <w:rFonts w:hint="eastAsia" w:ascii="楷体" w:hAnsi="楷体" w:eastAsia="楷体"/>
          <w:sz w:val="32"/>
          <w:szCs w:val="32"/>
          <w:lang w:val="zh-CN"/>
        </w:rPr>
        <w:t>（三）.兵役登记和征兵工作</w:t>
      </w:r>
    </w:p>
    <w:p w14:paraId="300271BF">
      <w:pPr>
        <w:widowControl/>
        <w:shd w:val="clear" w:color="auto" w:fill="FFFFFF"/>
        <w:spacing w:line="480" w:lineRule="exact"/>
        <w:ind w:firstLine="64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今年的夏秋季征兵工作，我镇针对征兵时间调整的实际情况，提前认真做好了宣传发动工作。今年征兵期间，在镇行政区域内悬挂宣传标语40余幅，张贴宣传标语80余份，发放各类宣传单5000余份，开展集中宣传活动2次，召开了镇征兵工作会议5次。村广播站早晚播放征兵政策，让更多村民了解、支持征兵工作。要求各村民兵连长对本村的适龄青年进行逐个走访，对适龄青年的基本情况做到心中有数，对他们的入伍动机、思想情况作深入了解。</w:t>
      </w:r>
      <w:r>
        <w:rPr>
          <w:rFonts w:hint="eastAsia" w:ascii="仿宋_GB2312" w:hAnsi="仿宋_GB2312" w:eastAsia="仿宋_GB2312" w:cs="仿宋_GB2312"/>
          <w:sz w:val="32"/>
          <w:szCs w:val="32"/>
        </w:rPr>
        <w:t>2019年胜利镇上站任务26人，定兵任务6人，实际完成上站37人，定兵入伍10人，额外完成3名定向士官培养的政审家访和2名女兵的政审家访</w:t>
      </w:r>
      <w:r>
        <w:rPr>
          <w:rFonts w:hint="eastAsia" w:ascii="仿宋_GB2312" w:hAnsi="仿宋_GB2312" w:eastAsia="仿宋_GB2312" w:cs="仿宋_GB2312"/>
          <w:kern w:val="0"/>
          <w:sz w:val="32"/>
          <w:szCs w:val="32"/>
          <w:shd w:val="clear" w:color="auto" w:fill="FFFFFF"/>
        </w:rPr>
        <w:t>，全镇适龄青年兵役登记96人，超额完成任务。</w:t>
      </w:r>
    </w:p>
    <w:p w14:paraId="35BCF440">
      <w:pPr>
        <w:adjustRightInd w:val="0"/>
        <w:snapToGrid w:val="0"/>
        <w:spacing w:line="560" w:lineRule="exact"/>
        <w:ind w:firstLine="640" w:firstLineChars="200"/>
        <w:rPr>
          <w:rFonts w:hint="eastAsia" w:ascii="黑体" w:hAnsi="黑体" w:eastAsia="黑体"/>
          <w:bCs/>
          <w:sz w:val="32"/>
          <w:szCs w:val="32"/>
          <w:lang w:val="zh-CN"/>
        </w:rPr>
      </w:pPr>
      <w:r>
        <w:rPr>
          <w:rFonts w:hint="eastAsia" w:ascii="黑体" w:hAnsi="黑体" w:eastAsia="黑体"/>
          <w:bCs/>
          <w:sz w:val="32"/>
          <w:szCs w:val="32"/>
          <w:lang w:val="zh-CN"/>
        </w:rPr>
        <w:t>四、项目绩效目标</w:t>
      </w:r>
    </w:p>
    <w:p w14:paraId="089C8C51">
      <w:pPr>
        <w:adjustRightInd w:val="0"/>
        <w:snapToGrid w:val="0"/>
        <w:spacing w:line="560" w:lineRule="exact"/>
        <w:ind w:firstLine="640" w:firstLineChars="200"/>
        <w:rPr>
          <w:rFonts w:hint="eastAsia" w:ascii="楷体" w:hAnsi="楷体" w:eastAsia="楷体"/>
          <w:sz w:val="32"/>
          <w:szCs w:val="32"/>
          <w:lang w:val="zh-CN"/>
        </w:rPr>
      </w:pPr>
      <w:r>
        <w:rPr>
          <w:rFonts w:hint="eastAsia" w:ascii="楷体" w:hAnsi="楷体" w:eastAsia="楷体"/>
          <w:sz w:val="32"/>
          <w:szCs w:val="32"/>
          <w:lang w:val="zh-CN"/>
        </w:rPr>
        <w:t>（一）、项目完成情况</w:t>
      </w:r>
    </w:p>
    <w:p w14:paraId="7EC54215">
      <w:pPr>
        <w:widowControl/>
        <w:shd w:val="clear" w:color="auto" w:fill="FFFFFF"/>
        <w:spacing w:line="480" w:lineRule="exact"/>
        <w:ind w:firstLine="640"/>
        <w:jc w:val="left"/>
        <w:rPr>
          <w:rFonts w:hint="eastAsia" w:ascii="仿宋_GB2312" w:hAnsi="仿宋_GB2312" w:eastAsia="仿宋_GB2312" w:cs="仿宋_GB2312"/>
          <w:kern w:val="0"/>
          <w:sz w:val="32"/>
          <w:szCs w:val="32"/>
          <w:shd w:val="clear" w:color="auto" w:fill="FFFFFF"/>
        </w:rPr>
      </w:pPr>
      <w:r>
        <w:rPr>
          <w:rFonts w:hint="eastAsia" w:ascii="仿宋_GB2312" w:hAnsi="宋体" w:eastAsia="仿宋_GB2312"/>
          <w:sz w:val="32"/>
          <w:szCs w:val="32"/>
          <w:lang w:val="zh-CN"/>
        </w:rPr>
        <w:t>（</w:t>
      </w:r>
      <w:r>
        <w:rPr>
          <w:rFonts w:hint="eastAsia" w:ascii="仿宋_GB2312" w:hAnsi="宋体" w:eastAsia="仿宋_GB2312"/>
          <w:sz w:val="32"/>
          <w:szCs w:val="32"/>
        </w:rPr>
        <w:t>1）</w:t>
      </w:r>
      <w:r>
        <w:rPr>
          <w:rFonts w:hint="eastAsia" w:ascii="仿宋_GB2312" w:hAnsi="仿宋_GB2312" w:eastAsia="仿宋_GB2312" w:cs="仿宋_GB2312"/>
          <w:kern w:val="0"/>
          <w:sz w:val="32"/>
          <w:szCs w:val="32"/>
          <w:shd w:val="clear" w:color="auto" w:fill="FFFFFF"/>
        </w:rPr>
        <w:t>一是抓好基干民兵的整合。完成基干民兵由作战、勤务保障、应急、其他四类队伍向应急、支援、储备三类队伍的调整。按照市人武部基干民兵编组方案，我镇2019年基干民兵编组为3支队伍，分别为应急、假目标设置和舆论战队支援队伍，总人数为84人。</w:t>
      </w:r>
    </w:p>
    <w:p w14:paraId="119C2A3C">
      <w:pPr>
        <w:widowControl/>
        <w:shd w:val="clear" w:color="auto" w:fill="FFFFFF"/>
        <w:spacing w:line="480" w:lineRule="exact"/>
        <w:ind w:firstLine="640" w:firstLineChars="20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（2）抓好常备应急分队建设。全镇落实了200人的常备应急力量建设，编强人员、配齐装备，做到了快速集中、快速出动、快速处置情况。应急队伍、支援队伍、储备部队所编人员确保了95%以上的在位率。</w:t>
      </w:r>
    </w:p>
    <w:p w14:paraId="49A596B5">
      <w:pPr>
        <w:widowControl/>
        <w:shd w:val="clear" w:color="auto" w:fill="FFFFFF"/>
        <w:spacing w:line="480" w:lineRule="exact"/>
        <w:ind w:firstLine="640" w:firstLineChars="20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（3）优化基干民兵编组办法。在夯实农村基干民兵组织的基础上，部队向组织健全、生产经营稳定、适龄兵员较多的企事业单位拓展，提高编兵质效。</w:t>
      </w:r>
    </w:p>
    <w:p w14:paraId="0EA31E3D">
      <w:pPr>
        <w:widowControl/>
        <w:shd w:val="clear" w:color="auto" w:fill="FFFFFF"/>
        <w:spacing w:line="4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（4）预备役部队兵员调整。具体调整办法按照宜昌陆军预备役高炮旅下达的任务执行。</w:t>
      </w:r>
    </w:p>
    <w:p w14:paraId="775D2547">
      <w:pPr>
        <w:adjustRightInd w:val="0"/>
        <w:snapToGrid w:val="0"/>
        <w:spacing w:line="560" w:lineRule="exact"/>
        <w:ind w:firstLine="320" w:firstLineChars="100"/>
        <w:rPr>
          <w:rFonts w:hint="eastAsia" w:ascii="黑体" w:hAnsi="黑体" w:eastAsia="黑体"/>
          <w:b/>
          <w:bCs/>
          <w:sz w:val="32"/>
          <w:szCs w:val="32"/>
        </w:rPr>
      </w:pPr>
      <w:r>
        <w:rPr>
          <w:rFonts w:hint="eastAsia" w:ascii="黑体" w:hAnsi="黑体" w:eastAsia="黑体"/>
          <w:sz w:val="32"/>
          <w:szCs w:val="32"/>
        </w:rPr>
        <w:t xml:space="preserve">  </w:t>
      </w:r>
      <w:r>
        <w:rPr>
          <w:rFonts w:hint="eastAsia" w:ascii="黑体" w:hAnsi="黑体" w:eastAsia="黑体"/>
          <w:b/>
          <w:bCs/>
          <w:sz w:val="32"/>
          <w:szCs w:val="32"/>
        </w:rPr>
        <w:t>五、评价结论及建议</w:t>
      </w:r>
    </w:p>
    <w:p w14:paraId="0A00E109">
      <w:pPr>
        <w:adjustRightInd w:val="0"/>
        <w:snapToGrid w:val="0"/>
        <w:spacing w:line="560" w:lineRule="exact"/>
        <w:ind w:left="420" w:leftChars="200"/>
        <w:rPr>
          <w:rFonts w:hint="eastAsia" w:ascii="楷体" w:hAnsi="楷体" w:eastAsia="楷体"/>
          <w:sz w:val="32"/>
          <w:szCs w:val="32"/>
        </w:rPr>
      </w:pPr>
      <w:r>
        <w:rPr>
          <w:rFonts w:hint="eastAsia" w:ascii="楷体" w:hAnsi="楷体" w:eastAsia="楷体"/>
          <w:sz w:val="32"/>
          <w:szCs w:val="32"/>
        </w:rPr>
        <w:t>（一）存在的问题</w:t>
      </w:r>
    </w:p>
    <w:p w14:paraId="7FD9CB69">
      <w:pPr>
        <w:adjustRightInd w:val="0"/>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年轻人吃苦能力和承压能力不强。</w:t>
      </w:r>
    </w:p>
    <w:p w14:paraId="0CA2520A">
      <w:pPr>
        <w:adjustRightInd w:val="0"/>
        <w:snapToGrid w:val="0"/>
        <w:spacing w:line="560" w:lineRule="exact"/>
        <w:ind w:firstLine="640"/>
        <w:rPr>
          <w:rFonts w:hint="eastAsia" w:ascii="楷体" w:hAnsi="楷体" w:eastAsia="楷体"/>
          <w:sz w:val="32"/>
          <w:szCs w:val="32"/>
        </w:rPr>
      </w:pPr>
      <w:r>
        <w:rPr>
          <w:rFonts w:hint="eastAsia" w:ascii="楷体" w:hAnsi="楷体" w:eastAsia="楷体"/>
          <w:sz w:val="32"/>
          <w:szCs w:val="32"/>
        </w:rPr>
        <w:t>（二）相关建议</w:t>
      </w:r>
    </w:p>
    <w:p w14:paraId="7EE89B60">
      <w:pPr>
        <w:adjustRightInd w:val="0"/>
        <w:snapToGrid w:val="0"/>
        <w:spacing w:line="56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民兵思想教育、军事训练、组织整顿、征兵工作等大项工作中发挥优点克服不足，争取更大的进步。</w:t>
      </w:r>
    </w:p>
    <w:p w14:paraId="230C7F3A">
      <w:pPr>
        <w:adjustRightInd w:val="0"/>
        <w:snapToGrid w:val="0"/>
        <w:spacing w:line="560" w:lineRule="exact"/>
        <w:ind w:firstLine="640" w:firstLineChars="200"/>
        <w:rPr>
          <w:rFonts w:hint="eastAsia" w:ascii="仿宋_GB2312" w:hAnsi="宋体" w:eastAsia="仿宋_GB2312"/>
          <w:sz w:val="32"/>
          <w:szCs w:val="32"/>
          <w:lang w:val="zh-CN"/>
        </w:rPr>
      </w:pPr>
    </w:p>
    <w:p w14:paraId="4EAE4B90">
      <w:pPr>
        <w:adjustRightInd w:val="0"/>
        <w:snapToGrid w:val="0"/>
        <w:spacing w:line="560" w:lineRule="exact"/>
        <w:ind w:firstLine="640" w:firstLineChars="200"/>
        <w:rPr>
          <w:rFonts w:hint="eastAsia" w:ascii="仿宋_GB2312" w:hAnsi="宋体" w:eastAsia="仿宋_GB2312"/>
          <w:sz w:val="32"/>
          <w:szCs w:val="32"/>
          <w:lang w:val="zh-CN"/>
        </w:rPr>
      </w:pPr>
    </w:p>
    <w:p w14:paraId="2F513C9F">
      <w:pPr>
        <w:adjustRightInd w:val="0"/>
        <w:snapToGrid w:val="0"/>
        <w:spacing w:line="560" w:lineRule="exact"/>
        <w:ind w:firstLine="640" w:firstLineChars="200"/>
        <w:rPr>
          <w:rFonts w:hint="eastAsia" w:ascii="仿宋_GB2312" w:hAnsi="宋体" w:eastAsia="仿宋_GB2312"/>
          <w:sz w:val="32"/>
          <w:szCs w:val="32"/>
          <w:lang w:val="zh-CN"/>
        </w:rPr>
      </w:pPr>
    </w:p>
    <w:p w14:paraId="1D89002A">
      <w:pPr>
        <w:adjustRightInd w:val="0"/>
        <w:snapToGrid w:val="0"/>
        <w:spacing w:line="560" w:lineRule="exact"/>
        <w:ind w:firstLine="640" w:firstLineChars="200"/>
        <w:rPr>
          <w:rFonts w:hint="eastAsia" w:ascii="仿宋_GB2312" w:hAnsi="宋体" w:eastAsia="仿宋_GB2312"/>
          <w:sz w:val="32"/>
          <w:szCs w:val="32"/>
          <w:lang w:val="zh-CN"/>
        </w:rPr>
      </w:pPr>
    </w:p>
    <w:p w14:paraId="3BD32D32">
      <w:pPr>
        <w:adjustRightInd w:val="0"/>
        <w:snapToGrid w:val="0"/>
        <w:spacing w:line="560" w:lineRule="exact"/>
        <w:ind w:firstLine="640" w:firstLineChars="200"/>
        <w:rPr>
          <w:rFonts w:hint="eastAsia" w:ascii="仿宋_GB2312" w:hAnsi="宋体" w:eastAsia="仿宋_GB2312"/>
          <w:sz w:val="32"/>
          <w:szCs w:val="32"/>
          <w:lang w:val="zh-CN"/>
        </w:rPr>
      </w:pPr>
    </w:p>
    <w:p w14:paraId="57526CB7">
      <w:pPr>
        <w:adjustRightInd w:val="0"/>
        <w:snapToGrid w:val="0"/>
        <w:spacing w:line="560" w:lineRule="exact"/>
        <w:ind w:firstLine="640" w:firstLineChars="200"/>
        <w:rPr>
          <w:rFonts w:hint="eastAsia" w:ascii="仿宋_GB2312" w:hAnsi="宋体" w:eastAsia="仿宋_GB2312"/>
          <w:sz w:val="32"/>
          <w:szCs w:val="32"/>
          <w:lang w:val="zh-CN"/>
        </w:rPr>
      </w:pPr>
    </w:p>
    <w:p w14:paraId="512FBB91">
      <w:pPr>
        <w:adjustRightInd w:val="0"/>
        <w:snapToGrid w:val="0"/>
        <w:spacing w:line="560" w:lineRule="exact"/>
        <w:ind w:firstLine="640" w:firstLineChars="200"/>
        <w:rPr>
          <w:rFonts w:hint="eastAsia" w:ascii="仿宋_GB2312" w:hAnsi="宋体" w:eastAsia="仿宋_GB2312"/>
          <w:sz w:val="32"/>
          <w:szCs w:val="32"/>
          <w:lang w:val="zh-CN"/>
        </w:rPr>
      </w:pPr>
    </w:p>
    <w:p w14:paraId="521A50BA">
      <w:pPr>
        <w:adjustRightInd w:val="0"/>
        <w:snapToGrid w:val="0"/>
        <w:spacing w:line="560" w:lineRule="exact"/>
        <w:ind w:firstLine="640" w:firstLineChars="200"/>
        <w:rPr>
          <w:rFonts w:hint="eastAsia" w:ascii="仿宋_GB2312" w:hAnsi="宋体" w:eastAsia="仿宋_GB2312"/>
          <w:sz w:val="32"/>
          <w:szCs w:val="32"/>
          <w:lang w:val="zh-CN"/>
        </w:rPr>
      </w:pPr>
    </w:p>
    <w:p w14:paraId="432EBC17">
      <w:pPr>
        <w:adjustRightInd w:val="0"/>
        <w:snapToGrid w:val="0"/>
        <w:spacing w:line="560" w:lineRule="exact"/>
        <w:ind w:firstLine="640" w:firstLineChars="200"/>
        <w:rPr>
          <w:rFonts w:hint="eastAsia" w:ascii="仿宋_GB2312" w:hAnsi="宋体" w:eastAsia="仿宋_GB2312"/>
          <w:sz w:val="32"/>
          <w:szCs w:val="32"/>
          <w:lang w:val="zh-CN"/>
        </w:rPr>
      </w:pPr>
    </w:p>
    <w:p w14:paraId="15DCFA32">
      <w:pPr>
        <w:adjustRightInd w:val="0"/>
        <w:snapToGrid w:val="0"/>
        <w:spacing w:line="560" w:lineRule="exact"/>
        <w:ind w:firstLine="640" w:firstLineChars="200"/>
        <w:rPr>
          <w:rFonts w:hint="eastAsia" w:ascii="仿宋_GB2312" w:hAnsi="宋体" w:eastAsia="仿宋_GB2312"/>
          <w:sz w:val="32"/>
          <w:szCs w:val="32"/>
          <w:lang w:val="zh-CN"/>
        </w:rPr>
      </w:pPr>
    </w:p>
    <w:p w14:paraId="2DD99750">
      <w:pPr>
        <w:adjustRightInd w:val="0"/>
        <w:snapToGrid w:val="0"/>
        <w:spacing w:line="560" w:lineRule="exact"/>
        <w:ind w:firstLine="640" w:firstLineChars="200"/>
        <w:rPr>
          <w:rFonts w:hint="eastAsia" w:ascii="仿宋_GB2312" w:hAnsi="宋体" w:eastAsia="仿宋_GB2312"/>
          <w:sz w:val="32"/>
          <w:szCs w:val="32"/>
          <w:lang w:val="zh-CN"/>
        </w:rPr>
      </w:pPr>
    </w:p>
    <w:p w14:paraId="4E9AD95C">
      <w:pPr>
        <w:adjustRightInd w:val="0"/>
        <w:snapToGrid w:val="0"/>
        <w:spacing w:line="560" w:lineRule="exact"/>
        <w:ind w:firstLine="640" w:firstLineChars="200"/>
        <w:rPr>
          <w:rFonts w:hint="eastAsia" w:ascii="仿宋_GB2312" w:hAnsi="宋体" w:eastAsia="仿宋_GB2312"/>
          <w:sz w:val="32"/>
          <w:szCs w:val="32"/>
          <w:lang w:val="zh-CN"/>
        </w:rPr>
      </w:pPr>
    </w:p>
    <w:p w14:paraId="64C6FFBC">
      <w:pPr>
        <w:adjustRightInd w:val="0"/>
        <w:snapToGrid w:val="0"/>
        <w:spacing w:line="560" w:lineRule="exact"/>
        <w:ind w:firstLine="640" w:firstLineChars="200"/>
        <w:rPr>
          <w:rFonts w:hint="eastAsia" w:ascii="仿宋_GB2312" w:hAnsi="宋体" w:eastAsia="仿宋_GB2312"/>
          <w:sz w:val="32"/>
          <w:szCs w:val="32"/>
          <w:lang w:val="zh-CN"/>
        </w:rPr>
      </w:pPr>
    </w:p>
    <w:p w14:paraId="09D7DF64">
      <w:pPr>
        <w:adjustRightInd w:val="0"/>
        <w:snapToGrid w:val="0"/>
        <w:spacing w:line="560" w:lineRule="exact"/>
        <w:ind w:firstLine="640" w:firstLineChars="200"/>
        <w:rPr>
          <w:rFonts w:hint="eastAsia" w:ascii="仿宋_GB2312" w:hAnsi="宋体" w:eastAsia="仿宋_GB2312"/>
          <w:sz w:val="32"/>
          <w:szCs w:val="32"/>
          <w:lang w:val="zh-CN"/>
        </w:rPr>
      </w:pPr>
    </w:p>
    <w:p w14:paraId="1016030D">
      <w:pPr>
        <w:adjustRightInd w:val="0"/>
        <w:snapToGrid w:val="0"/>
        <w:spacing w:line="560" w:lineRule="exact"/>
        <w:ind w:firstLine="640" w:firstLineChars="200"/>
        <w:rPr>
          <w:rFonts w:hint="eastAsia" w:ascii="仿宋_GB2312" w:hAnsi="宋体" w:eastAsia="仿宋_GB2312"/>
          <w:sz w:val="32"/>
          <w:szCs w:val="32"/>
          <w:lang w:val="zh-CN"/>
        </w:rPr>
      </w:pPr>
    </w:p>
    <w:p w14:paraId="74591651">
      <w:pPr>
        <w:adjustRightInd w:val="0"/>
        <w:snapToGrid w:val="0"/>
        <w:spacing w:line="560" w:lineRule="exact"/>
        <w:ind w:firstLine="640" w:firstLineChars="200"/>
        <w:rPr>
          <w:rFonts w:hint="eastAsia" w:ascii="仿宋_GB2312" w:hAnsi="宋体" w:eastAsia="仿宋_GB2312"/>
          <w:sz w:val="32"/>
          <w:szCs w:val="32"/>
          <w:lang w:val="zh-CN"/>
        </w:rPr>
      </w:pPr>
    </w:p>
    <w:p w14:paraId="20FB70E8">
      <w:pPr>
        <w:adjustRightInd w:val="0"/>
        <w:snapToGrid w:val="0"/>
        <w:spacing w:line="560" w:lineRule="exact"/>
        <w:ind w:firstLine="640" w:firstLineChars="200"/>
        <w:rPr>
          <w:rFonts w:hint="eastAsia" w:ascii="仿宋_GB2312" w:hAnsi="宋体" w:eastAsia="仿宋_GB2312"/>
          <w:sz w:val="32"/>
          <w:szCs w:val="32"/>
          <w:lang w:val="zh-CN"/>
        </w:rPr>
      </w:pPr>
    </w:p>
    <w:p w14:paraId="798AEAE4">
      <w:pPr>
        <w:adjustRightInd w:val="0"/>
        <w:snapToGrid w:val="0"/>
        <w:spacing w:line="560" w:lineRule="exact"/>
        <w:ind w:firstLine="640" w:firstLineChars="200"/>
        <w:rPr>
          <w:rFonts w:hint="eastAsia" w:ascii="仿宋_GB2312" w:hAnsi="宋体" w:eastAsia="仿宋_GB2312"/>
          <w:sz w:val="32"/>
          <w:szCs w:val="32"/>
          <w:lang w:val="zh-CN"/>
        </w:rPr>
      </w:pPr>
    </w:p>
    <w:p w14:paraId="293A4F18">
      <w:pPr>
        <w:adjustRightInd w:val="0"/>
        <w:snapToGrid w:val="0"/>
        <w:spacing w:line="560" w:lineRule="exact"/>
        <w:ind w:firstLine="640" w:firstLineChars="200"/>
        <w:rPr>
          <w:rFonts w:hint="eastAsia" w:ascii="仿宋_GB2312" w:hAnsi="宋体" w:eastAsia="仿宋_GB2312"/>
          <w:sz w:val="32"/>
          <w:szCs w:val="32"/>
          <w:lang w:val="zh-CN"/>
        </w:rPr>
      </w:pPr>
    </w:p>
    <w:p w14:paraId="2D8425AE">
      <w:pPr>
        <w:adjustRightInd w:val="0"/>
        <w:snapToGrid w:val="0"/>
        <w:spacing w:line="560" w:lineRule="exact"/>
        <w:ind w:firstLine="640" w:firstLineChars="200"/>
        <w:rPr>
          <w:rFonts w:hint="eastAsia" w:ascii="仿宋_GB2312" w:hAnsi="宋体" w:eastAsia="仿宋_GB2312"/>
          <w:sz w:val="32"/>
          <w:szCs w:val="32"/>
          <w:lang w:val="zh-CN"/>
        </w:rPr>
      </w:pPr>
    </w:p>
    <w:p w14:paraId="4A3DF023">
      <w:pPr>
        <w:adjustRightInd w:val="0"/>
        <w:snapToGrid w:val="0"/>
        <w:spacing w:line="560" w:lineRule="exact"/>
        <w:ind w:firstLine="640" w:firstLineChars="200"/>
        <w:rPr>
          <w:rFonts w:hint="eastAsia" w:ascii="仿宋_GB2312" w:hAnsi="宋体" w:eastAsia="仿宋_GB2312"/>
          <w:sz w:val="32"/>
          <w:szCs w:val="32"/>
          <w:lang w:val="zh-CN"/>
        </w:rPr>
      </w:pPr>
    </w:p>
    <w:p w14:paraId="4BAFD9D3">
      <w:pPr>
        <w:spacing w:line="600" w:lineRule="exact"/>
        <w:jc w:val="center"/>
        <w:rPr>
          <w:rFonts w:hint="eastAsia" w:ascii="方正小标宋简体" w:hAnsi="黑体" w:eastAsia="方正小标宋简体"/>
          <w:color w:val="000000"/>
          <w:kern w:val="0"/>
          <w:sz w:val="44"/>
          <w:szCs w:val="44"/>
          <w:lang w:val="zh-CN"/>
        </w:rPr>
      </w:pPr>
      <w:r>
        <w:rPr>
          <w:rFonts w:hint="eastAsia" w:ascii="方正小标宋简体" w:hAnsi="黑体" w:eastAsia="方正小标宋简体"/>
          <w:color w:val="000000"/>
          <w:kern w:val="0"/>
          <w:sz w:val="44"/>
          <w:szCs w:val="44"/>
        </w:rPr>
        <w:t>纾难解困</w:t>
      </w:r>
      <w:r>
        <w:rPr>
          <w:rFonts w:hint="eastAsia" w:ascii="方正小标宋简体" w:hAnsi="黑体" w:eastAsia="方正小标宋简体"/>
          <w:color w:val="000000"/>
          <w:kern w:val="0"/>
          <w:sz w:val="44"/>
          <w:szCs w:val="44"/>
          <w:lang w:val="zh-CN"/>
        </w:rPr>
        <w:t>项目</w:t>
      </w:r>
      <w:r>
        <w:rPr>
          <w:rFonts w:hint="eastAsia" w:ascii="方正小标宋简体" w:hAnsi="黑体" w:eastAsia="方正小标宋简体"/>
          <w:color w:val="000000"/>
          <w:kern w:val="0"/>
          <w:sz w:val="44"/>
          <w:szCs w:val="44"/>
        </w:rPr>
        <w:t>2019年</w:t>
      </w:r>
      <w:r>
        <w:rPr>
          <w:rFonts w:hint="eastAsia" w:ascii="方正小标宋简体" w:hAnsi="黑体" w:eastAsia="方正小标宋简体"/>
          <w:color w:val="000000"/>
          <w:kern w:val="0"/>
          <w:sz w:val="44"/>
          <w:szCs w:val="44"/>
          <w:lang w:val="zh-CN"/>
        </w:rPr>
        <w:t>绩效</w:t>
      </w:r>
    </w:p>
    <w:p w14:paraId="21745EF0">
      <w:pPr>
        <w:spacing w:line="600" w:lineRule="exact"/>
        <w:jc w:val="center"/>
        <w:rPr>
          <w:rFonts w:hint="eastAsia" w:ascii="方正小标宋简体" w:hAnsi="黑体" w:eastAsia="方正小标宋简体"/>
          <w:color w:val="000000"/>
          <w:kern w:val="0"/>
          <w:sz w:val="44"/>
          <w:szCs w:val="44"/>
          <w:lang w:val="zh-CN"/>
        </w:rPr>
      </w:pPr>
      <w:r>
        <w:rPr>
          <w:rFonts w:hint="eastAsia" w:ascii="方正小标宋简体" w:hAnsi="黑体" w:eastAsia="方正小标宋简体"/>
          <w:color w:val="000000"/>
          <w:kern w:val="0"/>
          <w:sz w:val="44"/>
          <w:szCs w:val="44"/>
          <w:lang w:val="zh-CN"/>
        </w:rPr>
        <w:t>评价报告</w:t>
      </w:r>
    </w:p>
    <w:p w14:paraId="29647DA4">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一、项目概况</w:t>
      </w:r>
    </w:p>
    <w:p w14:paraId="2D4DD8A7">
      <w:pPr>
        <w:adjustRightInd w:val="0"/>
        <w:snapToGrid w:val="0"/>
        <w:spacing w:line="600" w:lineRule="exact"/>
        <w:ind w:firstLine="640" w:firstLineChars="200"/>
        <w:rPr>
          <w:rFonts w:hint="eastAsia" w:ascii="仿宋_GB2312" w:hAnsi="宋体" w:eastAsia="仿宋_GB2312"/>
          <w:sz w:val="32"/>
          <w:szCs w:val="32"/>
        </w:rPr>
      </w:pPr>
      <w:r>
        <w:rPr>
          <w:rFonts w:hint="eastAsia" w:ascii="楷体" w:hAnsi="楷体" w:eastAsia="楷体"/>
          <w:sz w:val="32"/>
          <w:szCs w:val="32"/>
        </w:rPr>
        <w:t>（一）项目基本情况。</w:t>
      </w:r>
      <w:r>
        <w:rPr>
          <w:rFonts w:hint="eastAsia" w:ascii="仿宋_GB2312" w:hAnsi="宋体" w:eastAsia="仿宋_GB2312"/>
          <w:sz w:val="32"/>
          <w:szCs w:val="32"/>
        </w:rPr>
        <w:t>我镇本级预算纳入预算绩效监控的项目纾难解困项目。为解决群众最关心、最直接、最现实的问题，进一步提升群众的获得感、幸福感和满意度，设立纾难解困资金项目。</w:t>
      </w:r>
    </w:p>
    <w:p w14:paraId="340FC57E">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（二）项目绩效目标。</w:t>
      </w:r>
    </w:p>
    <w:p w14:paraId="0996616D">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1．项目主要内容。</w:t>
      </w:r>
    </w:p>
    <w:p w14:paraId="70635AD7">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本项目解决全市“大走访大服务”走进群众专项行动中收集到的群众因生病、子女就学、残疾、受灾等情况导致生活困难的问题。项目覆盖全胜利镇。</w:t>
      </w:r>
    </w:p>
    <w:p w14:paraId="77E12439">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（三）项目自评步骤及方法。</w:t>
      </w:r>
    </w:p>
    <w:p w14:paraId="761E0FF1">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纾难解困资金项目资金采用项目农户根据自身条件申请，村级根据申请人条件、事由、金额以及证明材料进行初审，镇级通过查阅资料、入户走访进行进一步核实查验再进行审定，再开展5天公示后，再以“打卡”的形式进行资金发放。</w:t>
      </w:r>
    </w:p>
    <w:p w14:paraId="5E5FF783">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 xml:space="preserve">二、项目资金申报及使用情况 </w:t>
      </w:r>
    </w:p>
    <w:p w14:paraId="24AA3379">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（一）项目资金申报及批复情况。</w:t>
      </w:r>
    </w:p>
    <w:p w14:paraId="5BBBDDF1">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项目资金均由胜利镇负责部门开展相关工作，及时完成各项工作内容，编制资金使用兑付表，经分管领导、主要领导审核，财务提交计划到财政局，财政局审核后支付。</w:t>
      </w:r>
    </w:p>
    <w:p w14:paraId="581BCE9E">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（二）资金计划、到位及使用情况</w:t>
      </w:r>
    </w:p>
    <w:p w14:paraId="3BFB5FB3">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2019年该项目资金33万元，农户申请资金5.74万元，通过审核资金5.74万元，发放资金5.74万元。</w:t>
      </w:r>
    </w:p>
    <w:p w14:paraId="5691A971">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（三）项目财务管理情况。</w:t>
      </w:r>
    </w:p>
    <w:p w14:paraId="41475212">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根据项目资金管理办法，胜利镇纾难解困项目资金使用严格执行财务管理制度、财务处理及时、会计核算规范。</w:t>
      </w:r>
    </w:p>
    <w:p w14:paraId="5630AF01">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三、目标完成情况</w:t>
      </w:r>
      <w:r>
        <w:rPr>
          <w:rFonts w:hint="eastAsia" w:ascii="黑体" w:hAnsi="黑体" w:eastAsia="黑体"/>
          <w:sz w:val="32"/>
          <w:szCs w:val="32"/>
        </w:rPr>
        <w:tab/>
      </w:r>
    </w:p>
    <w:p w14:paraId="70ED6929">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（一）目标完成任务量。</w:t>
      </w:r>
    </w:p>
    <w:p w14:paraId="201C79B4">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对照项目目标，胜利镇纾难解困项目任务按申请量完成，资金支付完成100%。</w:t>
      </w:r>
    </w:p>
    <w:p w14:paraId="7442FF04">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（二）目标完成质量。</w:t>
      </w:r>
    </w:p>
    <w:p w14:paraId="6D22B9FF">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胜利镇纾难解困项目工作任务实际完成质量较好。</w:t>
      </w:r>
    </w:p>
    <w:p w14:paraId="3CBCF193">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四、项目效果情况</w:t>
      </w:r>
    </w:p>
    <w:p w14:paraId="133F53D9">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通过绩效管理自评，胜利镇纾难解困项目在预算支出中不存在违法违纪行为，按要求做到了项目实施有计划、有监管、有落实，解决了全市“大走访大服务”走进群众专项行动中收集到的群众因生病、子女就学、残疾、受灾等情况导致生活困难的问题，进一步提升了群众的获得感、幸福感和满意度，维护了社会稳定。</w:t>
      </w:r>
    </w:p>
    <w:p w14:paraId="359FC438">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五、评价结论及建议</w:t>
      </w:r>
    </w:p>
    <w:p w14:paraId="2A8F7B9E">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（一）评价结论。</w:t>
      </w:r>
    </w:p>
    <w:p w14:paraId="785CC801">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胜利镇纾难解困项目在预算支出中不存在违法违纪行为，按要求做到了项目实施有计划、有监管、有落实，解决了全市“大走访大服务”走进群众专项行动中收集到的群众因生病、子女就学、残疾、受灾等情况导致生活困难的问题，进一步提升了群众的获得感、幸福感和满意度，维护了社会稳定。所有资金使用严格遵守各项制度，专款专用，不存在截留、挤占、挪用现象，票据合法，无虚列项目成本情况，未进行大额现金支付，资金开支按规定标准执行。</w:t>
      </w:r>
    </w:p>
    <w:p w14:paraId="4B8CACBE">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（二）存在的问题。</w:t>
      </w:r>
    </w:p>
    <w:p w14:paraId="6550F615">
      <w:pPr>
        <w:adjustRightInd w:val="0"/>
        <w:snapToGrid w:val="0"/>
        <w:spacing w:line="600" w:lineRule="exact"/>
        <w:ind w:firstLine="640" w:firstLineChars="200"/>
        <w:rPr>
          <w:rStyle w:val="17"/>
          <w:rFonts w:hint="eastAsia" w:ascii="仿宋_GB2312" w:hAnsi="黑体" w:eastAsia="仿宋_GB2312"/>
          <w:b w:val="0"/>
          <w:sz w:val="32"/>
          <w:szCs w:val="32"/>
        </w:rPr>
      </w:pPr>
      <w:r>
        <w:rPr>
          <w:rFonts w:hint="eastAsia" w:ascii="仿宋_GB2312" w:hAnsi="宋体" w:eastAsia="仿宋_GB2312"/>
          <w:sz w:val="32"/>
          <w:szCs w:val="32"/>
        </w:rPr>
        <w:t>“大走访大服务”走进群众专项行动中关心因生病、子女就学、残疾、受灾等情况导致生活困难力度还不够。</w:t>
      </w:r>
    </w:p>
    <w:p w14:paraId="327865EF">
      <w:pPr>
        <w:widowControl/>
        <w:jc w:val="left"/>
        <w:rPr>
          <w:rStyle w:val="17"/>
          <w:rFonts w:hint="eastAsia" w:ascii="仿宋_GB2312" w:hAnsi="黑体" w:eastAsia="仿宋_GB2312"/>
          <w:b w:val="0"/>
          <w:sz w:val="32"/>
          <w:szCs w:val="32"/>
        </w:rPr>
      </w:pPr>
    </w:p>
    <w:p w14:paraId="4E9B4236">
      <w:pPr>
        <w:adjustRightInd w:val="0"/>
        <w:snapToGrid w:val="0"/>
        <w:spacing w:line="560" w:lineRule="exact"/>
        <w:rPr>
          <w:rFonts w:hint="eastAsia" w:ascii="仿宋_GB2312" w:hAnsi="宋体" w:eastAsia="仿宋_GB2312"/>
          <w:sz w:val="32"/>
          <w:szCs w:val="32"/>
        </w:rPr>
      </w:pPr>
    </w:p>
    <w:p w14:paraId="301CCFCE">
      <w:pPr>
        <w:adjustRightInd w:val="0"/>
        <w:snapToGrid w:val="0"/>
        <w:spacing w:line="560" w:lineRule="exact"/>
        <w:rPr>
          <w:rFonts w:hint="eastAsia" w:ascii="仿宋_GB2312" w:hAnsi="宋体" w:eastAsia="仿宋_GB2312"/>
          <w:sz w:val="32"/>
          <w:szCs w:val="32"/>
        </w:rPr>
      </w:pPr>
    </w:p>
    <w:p w14:paraId="0A572301">
      <w:pPr>
        <w:jc w:val="center"/>
        <w:outlineLvl w:val="0"/>
        <w:rPr>
          <w:rFonts w:hint="eastAsia" w:ascii="仿宋_GB2312" w:hAnsi="黑体" w:eastAsia="仿宋_GB2312"/>
          <w:color w:val="000000"/>
          <w:sz w:val="32"/>
          <w:szCs w:val="32"/>
        </w:rPr>
      </w:pPr>
    </w:p>
    <w:p w14:paraId="5C401F86">
      <w:pPr>
        <w:jc w:val="center"/>
        <w:outlineLvl w:val="0"/>
        <w:rPr>
          <w:rFonts w:hint="eastAsia" w:ascii="仿宋_GB2312" w:hAnsi="黑体" w:eastAsia="仿宋_GB2312"/>
          <w:color w:val="000000"/>
          <w:sz w:val="32"/>
          <w:szCs w:val="32"/>
        </w:rPr>
      </w:pPr>
    </w:p>
    <w:p w14:paraId="7E13E8F8">
      <w:pPr>
        <w:jc w:val="center"/>
        <w:outlineLvl w:val="0"/>
        <w:rPr>
          <w:rFonts w:hint="eastAsia" w:ascii="仿宋_GB2312" w:hAnsi="黑体" w:eastAsia="仿宋_GB2312"/>
          <w:color w:val="000000"/>
          <w:sz w:val="32"/>
          <w:szCs w:val="32"/>
        </w:rPr>
      </w:pPr>
    </w:p>
    <w:p w14:paraId="412DA5E5">
      <w:pPr>
        <w:jc w:val="center"/>
        <w:outlineLvl w:val="0"/>
        <w:rPr>
          <w:rFonts w:hint="eastAsia" w:ascii="仿宋_GB2312" w:hAnsi="黑体" w:eastAsia="仿宋_GB2312"/>
          <w:color w:val="000000"/>
          <w:sz w:val="32"/>
          <w:szCs w:val="32"/>
        </w:rPr>
      </w:pPr>
    </w:p>
    <w:p w14:paraId="4E0B8B83">
      <w:pPr>
        <w:jc w:val="center"/>
        <w:outlineLvl w:val="0"/>
        <w:rPr>
          <w:rFonts w:hint="eastAsia" w:ascii="仿宋_GB2312" w:hAnsi="黑体" w:eastAsia="仿宋_GB2312"/>
          <w:color w:val="000000"/>
          <w:sz w:val="32"/>
          <w:szCs w:val="32"/>
        </w:rPr>
      </w:pPr>
    </w:p>
    <w:p w14:paraId="64FDF0D8">
      <w:pPr>
        <w:jc w:val="center"/>
        <w:outlineLvl w:val="0"/>
        <w:rPr>
          <w:rFonts w:hint="eastAsia" w:ascii="仿宋_GB2312" w:hAnsi="黑体" w:eastAsia="仿宋_GB2312"/>
          <w:color w:val="000000"/>
          <w:sz w:val="32"/>
          <w:szCs w:val="32"/>
        </w:rPr>
      </w:pPr>
    </w:p>
    <w:p w14:paraId="54371F5D">
      <w:pPr>
        <w:jc w:val="center"/>
        <w:outlineLvl w:val="0"/>
        <w:rPr>
          <w:rFonts w:hint="eastAsia" w:ascii="仿宋_GB2312" w:hAnsi="黑体" w:eastAsia="仿宋_GB2312"/>
          <w:color w:val="000000"/>
          <w:sz w:val="32"/>
          <w:szCs w:val="32"/>
        </w:rPr>
      </w:pPr>
    </w:p>
    <w:p w14:paraId="70FBD5C1">
      <w:pPr>
        <w:jc w:val="center"/>
        <w:outlineLvl w:val="0"/>
        <w:rPr>
          <w:rFonts w:hint="eastAsia" w:ascii="仿宋_GB2312" w:hAnsi="黑体" w:eastAsia="仿宋_GB2312"/>
          <w:color w:val="000000"/>
          <w:sz w:val="32"/>
          <w:szCs w:val="32"/>
        </w:rPr>
      </w:pPr>
    </w:p>
    <w:p w14:paraId="3C9BE34D">
      <w:pPr>
        <w:jc w:val="center"/>
        <w:outlineLvl w:val="0"/>
        <w:rPr>
          <w:rFonts w:hint="eastAsia" w:ascii="仿宋_GB2312" w:hAnsi="黑体" w:eastAsia="仿宋_GB2312"/>
          <w:color w:val="000000"/>
          <w:sz w:val="32"/>
          <w:szCs w:val="32"/>
        </w:rPr>
      </w:pPr>
    </w:p>
    <w:p w14:paraId="453F93EF">
      <w:pPr>
        <w:jc w:val="center"/>
        <w:outlineLvl w:val="0"/>
        <w:rPr>
          <w:rFonts w:hint="eastAsia" w:ascii="仿宋_GB2312" w:hAnsi="黑体" w:eastAsia="仿宋_GB2312"/>
          <w:color w:val="000000"/>
          <w:sz w:val="32"/>
          <w:szCs w:val="32"/>
        </w:rPr>
      </w:pPr>
    </w:p>
    <w:p w14:paraId="2C477C33">
      <w:pPr>
        <w:jc w:val="center"/>
        <w:outlineLvl w:val="0"/>
        <w:rPr>
          <w:rFonts w:hint="eastAsia" w:ascii="仿宋_GB2312" w:hAnsi="黑体" w:eastAsia="仿宋_GB2312"/>
          <w:color w:val="000000"/>
          <w:sz w:val="32"/>
          <w:szCs w:val="32"/>
        </w:rPr>
      </w:pPr>
    </w:p>
    <w:p w14:paraId="79329A6C">
      <w:pPr>
        <w:pStyle w:val="32"/>
        <w:spacing w:line="240" w:lineRule="auto"/>
        <w:jc w:val="center"/>
        <w:rPr>
          <w:rFonts w:hint="eastAsia" w:ascii="方正小标宋简体" w:eastAsia="方正小标宋简体"/>
          <w:b/>
          <w:sz w:val="44"/>
          <w:szCs w:val="44"/>
        </w:rPr>
      </w:pPr>
      <w:r>
        <w:rPr>
          <w:rFonts w:hint="eastAsia" w:ascii="方正小标宋简体" w:hAnsi="宋体" w:eastAsia="方正小标宋简体"/>
          <w:b/>
          <w:sz w:val="44"/>
          <w:szCs w:val="44"/>
        </w:rPr>
        <w:t>东部新区治安巡逻经费项目2019年</w:t>
      </w:r>
    </w:p>
    <w:p w14:paraId="1C3563D6">
      <w:pPr>
        <w:pStyle w:val="32"/>
        <w:spacing w:line="240" w:lineRule="auto"/>
        <w:jc w:val="center"/>
        <w:rPr>
          <w:rFonts w:hint="eastAsia" w:ascii="方正小标宋简体" w:eastAsia="方正小标宋简体"/>
          <w:b/>
          <w:sz w:val="44"/>
          <w:szCs w:val="44"/>
        </w:rPr>
      </w:pPr>
      <w:r>
        <w:rPr>
          <w:rFonts w:hint="eastAsia" w:ascii="方正小标宋简体" w:hAnsi="宋体" w:eastAsia="方正小标宋简体"/>
          <w:b/>
          <w:sz w:val="44"/>
          <w:szCs w:val="44"/>
        </w:rPr>
        <w:t>绩效评价报告</w:t>
      </w:r>
    </w:p>
    <w:p w14:paraId="2FD881E4">
      <w:pPr>
        <w:jc w:val="center"/>
        <w:outlineLvl w:val="0"/>
        <w:rPr>
          <w:rFonts w:hint="eastAsia" w:ascii="仿宋_GB2312" w:hAnsi="黑体" w:eastAsia="仿宋_GB2312"/>
          <w:color w:val="000000"/>
          <w:sz w:val="32"/>
          <w:szCs w:val="32"/>
        </w:rPr>
      </w:pPr>
    </w:p>
    <w:p w14:paraId="1B8E4FAD">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一、项目概况</w:t>
      </w:r>
    </w:p>
    <w:p w14:paraId="5F00B53F">
      <w:pPr>
        <w:adjustRightInd w:val="0"/>
        <w:snapToGrid w:val="0"/>
        <w:spacing w:line="600" w:lineRule="exact"/>
        <w:ind w:firstLine="640" w:firstLineChars="200"/>
        <w:rPr>
          <w:rFonts w:hint="eastAsia" w:ascii="仿宋_GB2312" w:eastAsia="仿宋_GB2312" w:cs="宋体"/>
          <w:color w:val="000000"/>
          <w:sz w:val="32"/>
          <w:szCs w:val="32"/>
        </w:rPr>
      </w:pPr>
      <w:r>
        <w:rPr>
          <w:rFonts w:hint="eastAsia" w:ascii="楷体" w:hAnsi="楷体" w:eastAsia="楷体"/>
          <w:sz w:val="32"/>
          <w:szCs w:val="32"/>
        </w:rPr>
        <w:t>（一）项目基本情况。</w:t>
      </w:r>
      <w:r>
        <w:rPr>
          <w:rFonts w:hint="eastAsia" w:ascii="仿宋_GB2312" w:hAnsi="宋体" w:eastAsia="仿宋_GB2312"/>
          <w:sz w:val="32"/>
          <w:szCs w:val="32"/>
        </w:rPr>
        <w:t>我镇本级预算纳入预算绩效监控的项目东部新区治安巡逻项目。为</w:t>
      </w:r>
      <w:r>
        <w:rPr>
          <w:rFonts w:hint="eastAsia" w:ascii="仿宋_GB2312" w:eastAsia="仿宋_GB2312" w:cs="宋体"/>
          <w:color w:val="000000"/>
          <w:sz w:val="32"/>
          <w:szCs w:val="32"/>
        </w:rPr>
        <w:t>保障全镇社区治安维护，保障人民群众利益。</w:t>
      </w:r>
    </w:p>
    <w:p w14:paraId="76DCA04E">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（二）项目绩效目标。</w:t>
      </w:r>
    </w:p>
    <w:p w14:paraId="19D40946">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1．项目主要内容。</w:t>
      </w:r>
    </w:p>
    <w:p w14:paraId="4A4B46E6">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本项目为有效遏制犯罪行为，进一步提升群众的安全感，通过社区防控、街面防控、内部单位防控、行业场所防控、重点人员防控为重点，使可防性、多发性、影响大、危害大的刑事案件和治安案件得到有效防控和遏制。镇上每月组织开展集中巡查4次，每个社区成立治安巡逻队伍对辖区内进行巡查。</w:t>
      </w:r>
    </w:p>
    <w:p w14:paraId="595B6A68">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（三）项目自评步骤及方法。</w:t>
      </w:r>
    </w:p>
    <w:p w14:paraId="12178E01">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为确保东部新区治安巡逻项目实施，胜利镇按时发放治安巡逻人员误工费，及时配备巡逻物资。</w:t>
      </w:r>
    </w:p>
    <w:p w14:paraId="1483C3CA">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 xml:space="preserve">二、项目资金申报及使用情况 </w:t>
      </w:r>
    </w:p>
    <w:p w14:paraId="74D40C02">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（一）项目资金申报及批复情况。</w:t>
      </w:r>
    </w:p>
    <w:p w14:paraId="649E85DC">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项目资金均由胜利镇负责部门开展相关工作，及时完成各项工作内容，编制资金使用兑付表，经分管领导、主要领导审核后支付。</w:t>
      </w:r>
    </w:p>
    <w:p w14:paraId="3057FCA7">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（二）资金计划、到位及使用情况</w:t>
      </w:r>
    </w:p>
    <w:p w14:paraId="6CC5096F">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2019年该项目资金20万元，支付购买物资、误工费、油费等支出共计20万元。</w:t>
      </w:r>
    </w:p>
    <w:p w14:paraId="78B6CA49">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（三）项目财务管理情况。</w:t>
      </w:r>
    </w:p>
    <w:p w14:paraId="753DB26F">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根据项目资金管理办法，胜利镇严格执行财务管理制度、财务处理及时、会计核算规范。</w:t>
      </w:r>
    </w:p>
    <w:p w14:paraId="21266998">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三、目标完成情况</w:t>
      </w:r>
      <w:r>
        <w:rPr>
          <w:rFonts w:hint="eastAsia" w:ascii="黑体" w:hAnsi="黑体" w:eastAsia="黑体"/>
          <w:sz w:val="32"/>
          <w:szCs w:val="32"/>
        </w:rPr>
        <w:tab/>
      </w:r>
    </w:p>
    <w:p w14:paraId="4D4DD0E8">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（一）目标完成任务量。</w:t>
      </w:r>
    </w:p>
    <w:p w14:paraId="56F51343">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对照项目目标，胜利镇东部新区治安巡逻项目任务按申请量完成，资金支付完成100%。</w:t>
      </w:r>
    </w:p>
    <w:p w14:paraId="0987C9B0">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（二）目标完成质量。</w:t>
      </w:r>
    </w:p>
    <w:p w14:paraId="1E3D1095">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胜利镇东部新区治安巡逻任务实际完成质量较好。</w:t>
      </w:r>
    </w:p>
    <w:p w14:paraId="2AA13ED7">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四、评价结论及建议</w:t>
      </w:r>
    </w:p>
    <w:p w14:paraId="4342FA2D">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该项目的发展有利于维护社会的稳定，为民众提供了安全感。建议市财政加大资金投入，严格管理，确保预算，维护社会稳定。</w:t>
      </w:r>
    </w:p>
    <w:p w14:paraId="0BDD8423">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五、其他需要说明的问题（无）</w:t>
      </w:r>
    </w:p>
    <w:p w14:paraId="2247C217">
      <w:pPr>
        <w:adjustRightInd w:val="0"/>
        <w:snapToGrid w:val="0"/>
        <w:spacing w:line="600" w:lineRule="exact"/>
        <w:ind w:firstLine="640" w:firstLineChars="200"/>
        <w:rPr>
          <w:rFonts w:hint="eastAsia" w:ascii="仿宋_GB2312" w:hAnsi="宋体" w:eastAsia="仿宋_GB2312"/>
          <w:sz w:val="32"/>
          <w:szCs w:val="32"/>
        </w:rPr>
      </w:pPr>
    </w:p>
    <w:p w14:paraId="0B7BB29A">
      <w:pPr>
        <w:adjustRightInd w:val="0"/>
        <w:snapToGrid w:val="0"/>
        <w:spacing w:line="600" w:lineRule="exact"/>
        <w:ind w:firstLine="640" w:firstLineChars="200"/>
        <w:rPr>
          <w:rFonts w:hint="eastAsia" w:ascii="仿宋_GB2312" w:hAnsi="宋体" w:eastAsia="仿宋_GB2312"/>
          <w:sz w:val="32"/>
          <w:szCs w:val="32"/>
        </w:rPr>
      </w:pPr>
    </w:p>
    <w:p w14:paraId="45F578A8">
      <w:pPr>
        <w:widowControl/>
        <w:jc w:val="left"/>
        <w:rPr>
          <w:rStyle w:val="17"/>
          <w:rFonts w:hint="eastAsia" w:ascii="仿宋_GB2312" w:hAnsi="黑体" w:eastAsia="仿宋_GB2312"/>
          <w:b w:val="0"/>
          <w:sz w:val="32"/>
          <w:szCs w:val="32"/>
        </w:rPr>
      </w:pPr>
    </w:p>
    <w:p w14:paraId="191FF3E8">
      <w:pPr>
        <w:jc w:val="center"/>
        <w:outlineLvl w:val="0"/>
        <w:rPr>
          <w:rFonts w:hint="eastAsia" w:ascii="仿宋_GB2312" w:hAnsi="黑体" w:eastAsia="仿宋_GB2312"/>
          <w:color w:val="000000"/>
          <w:sz w:val="32"/>
          <w:szCs w:val="32"/>
        </w:rPr>
      </w:pPr>
    </w:p>
    <w:p w14:paraId="4C5CCBAF">
      <w:pPr>
        <w:jc w:val="center"/>
        <w:outlineLvl w:val="0"/>
        <w:rPr>
          <w:rFonts w:hint="eastAsia" w:ascii="仿宋_GB2312" w:hAnsi="黑体" w:eastAsia="仿宋_GB2312"/>
          <w:color w:val="000000"/>
          <w:sz w:val="32"/>
          <w:szCs w:val="32"/>
        </w:rPr>
      </w:pPr>
    </w:p>
    <w:p w14:paraId="0E201C3F">
      <w:pPr>
        <w:outlineLvl w:val="0"/>
        <w:rPr>
          <w:rFonts w:hint="eastAsia" w:ascii="仿宋_GB2312" w:hAnsi="黑体" w:eastAsia="仿宋_GB2312"/>
          <w:color w:val="000000"/>
          <w:sz w:val="32"/>
          <w:szCs w:val="32"/>
        </w:rPr>
      </w:pPr>
    </w:p>
    <w:p w14:paraId="42B8E26D">
      <w:pPr>
        <w:jc w:val="center"/>
        <w:outlineLvl w:val="0"/>
        <w:rPr>
          <w:rFonts w:hint="eastAsia" w:ascii="方正小标宋简体" w:eastAsia="方正小标宋简体"/>
          <w:b/>
          <w:bCs/>
          <w:color w:val="000000"/>
          <w:sz w:val="44"/>
          <w:szCs w:val="44"/>
        </w:rPr>
      </w:pPr>
      <w:r>
        <w:rPr>
          <w:rFonts w:hint="eastAsia" w:ascii="方正小标宋简体" w:hAnsi="黑体" w:eastAsia="方正小标宋简体"/>
          <w:color w:val="000000"/>
          <w:sz w:val="44"/>
          <w:szCs w:val="44"/>
        </w:rPr>
        <w:t>第</w:t>
      </w:r>
      <w:r>
        <w:rPr>
          <w:rFonts w:hint="eastAsia" w:ascii="方正小标宋简体" w:eastAsia="方正小标宋简体"/>
          <w:b/>
          <w:bCs/>
          <w:color w:val="000000"/>
          <w:sz w:val="44"/>
          <w:szCs w:val="44"/>
        </w:rPr>
        <w:t>五部分 附表</w:t>
      </w:r>
    </w:p>
    <w:p w14:paraId="7A3F458E">
      <w:pPr>
        <w:jc w:val="center"/>
        <w:outlineLvl w:val="0"/>
        <w:rPr>
          <w:rStyle w:val="17"/>
          <w:rFonts w:hint="eastAsia" w:ascii="仿宋_GB2312" w:hAnsi="黑体" w:eastAsia="仿宋_GB2312"/>
          <w:b w:val="0"/>
          <w:sz w:val="32"/>
          <w:szCs w:val="32"/>
        </w:rPr>
      </w:pPr>
    </w:p>
    <w:p w14:paraId="26591FB5">
      <w:pPr>
        <w:pStyle w:val="3"/>
        <w:spacing w:before="0" w:after="0" w:line="240" w:lineRule="auto"/>
        <w:rPr>
          <w:rFonts w:hint="eastAsia" w:ascii="仿宋_GB2312" w:hAnsi="仿宋" w:eastAsia="仿宋_GB2312"/>
          <w:color w:val="000000"/>
        </w:rPr>
      </w:pPr>
      <w:r>
        <w:rPr>
          <w:rFonts w:hint="eastAsia" w:ascii="仿宋_GB2312" w:hAnsi="仿宋" w:eastAsia="仿宋_GB2312"/>
          <w:b w:val="0"/>
          <w:color w:val="000000"/>
        </w:rPr>
        <w:t>一、收</w:t>
      </w:r>
      <w:r>
        <w:rPr>
          <w:rStyle w:val="18"/>
          <w:rFonts w:hint="eastAsia" w:ascii="仿宋_GB2312" w:hAnsi="仿宋" w:eastAsia="仿宋_GB2312"/>
          <w:b w:val="0"/>
          <w:bCs w:val="0"/>
        </w:rPr>
        <w:t>入支出决算总表</w:t>
      </w:r>
    </w:p>
    <w:p w14:paraId="61483EDA">
      <w:pPr>
        <w:pStyle w:val="3"/>
        <w:spacing w:before="0" w:after="0" w:line="240" w:lineRule="auto"/>
        <w:rPr>
          <w:rFonts w:hint="eastAsia" w:ascii="仿宋_GB2312" w:hAnsi="仿宋" w:eastAsia="仿宋_GB2312"/>
          <w:color w:val="000000"/>
        </w:rPr>
      </w:pPr>
      <w:r>
        <w:rPr>
          <w:rFonts w:hint="eastAsia" w:ascii="仿宋_GB2312" w:hAnsi="仿宋" w:eastAsia="仿宋_GB2312"/>
          <w:b w:val="0"/>
          <w:color w:val="000000"/>
        </w:rPr>
        <w:t>二、收</w:t>
      </w:r>
      <w:r>
        <w:rPr>
          <w:rStyle w:val="18"/>
          <w:rFonts w:hint="eastAsia" w:ascii="仿宋_GB2312" w:hAnsi="仿宋" w:eastAsia="仿宋_GB2312"/>
          <w:b w:val="0"/>
          <w:bCs w:val="0"/>
        </w:rPr>
        <w:t>入决算表</w:t>
      </w:r>
    </w:p>
    <w:p w14:paraId="7719767A">
      <w:pPr>
        <w:pStyle w:val="3"/>
        <w:spacing w:before="0" w:after="0" w:line="240" w:lineRule="auto"/>
        <w:rPr>
          <w:rFonts w:hint="eastAsia" w:ascii="仿宋_GB2312" w:hAnsi="仿宋" w:eastAsia="仿宋_GB2312"/>
          <w:color w:val="000000"/>
        </w:rPr>
      </w:pPr>
      <w:r>
        <w:rPr>
          <w:rStyle w:val="18"/>
          <w:rFonts w:hint="eastAsia" w:ascii="仿宋_GB2312" w:hAnsi="仿宋" w:eastAsia="仿宋_GB2312"/>
          <w:b w:val="0"/>
          <w:bCs w:val="0"/>
        </w:rPr>
        <w:t>三、</w:t>
      </w:r>
      <w:r>
        <w:rPr>
          <w:rFonts w:hint="eastAsia" w:ascii="仿宋_GB2312" w:hAnsi="仿宋" w:eastAsia="仿宋_GB2312"/>
          <w:b w:val="0"/>
          <w:color w:val="000000"/>
        </w:rPr>
        <w:t>支</w:t>
      </w:r>
      <w:r>
        <w:rPr>
          <w:rStyle w:val="18"/>
          <w:rFonts w:hint="eastAsia" w:ascii="仿宋_GB2312" w:hAnsi="仿宋" w:eastAsia="仿宋_GB2312"/>
          <w:b w:val="0"/>
          <w:bCs w:val="0"/>
        </w:rPr>
        <w:t>出决算表</w:t>
      </w:r>
    </w:p>
    <w:p w14:paraId="44D2B467">
      <w:pPr>
        <w:pStyle w:val="3"/>
        <w:spacing w:before="0" w:after="0" w:line="240" w:lineRule="auto"/>
        <w:rPr>
          <w:rFonts w:hint="eastAsia" w:ascii="仿宋_GB2312" w:hAnsi="仿宋" w:eastAsia="仿宋_GB2312"/>
          <w:b w:val="0"/>
          <w:color w:val="000000"/>
        </w:rPr>
      </w:pPr>
      <w:r>
        <w:rPr>
          <w:rStyle w:val="18"/>
          <w:rFonts w:hint="eastAsia" w:ascii="仿宋_GB2312" w:hAnsi="仿宋" w:eastAsia="仿宋_GB2312"/>
          <w:b w:val="0"/>
          <w:bCs w:val="0"/>
        </w:rPr>
        <w:t>四、</w:t>
      </w:r>
      <w:r>
        <w:rPr>
          <w:rFonts w:hint="eastAsia" w:ascii="仿宋_GB2312" w:hAnsi="仿宋" w:eastAsia="仿宋_GB2312"/>
          <w:b w:val="0"/>
          <w:color w:val="000000"/>
        </w:rPr>
        <w:t>财</w:t>
      </w:r>
      <w:r>
        <w:rPr>
          <w:rStyle w:val="18"/>
          <w:rFonts w:hint="eastAsia" w:ascii="仿宋_GB2312" w:hAnsi="仿宋" w:eastAsia="仿宋_GB2312"/>
          <w:b w:val="0"/>
          <w:bCs w:val="0"/>
        </w:rPr>
        <w:t>政拨款收入支出决算总表</w:t>
      </w:r>
    </w:p>
    <w:p w14:paraId="2D5FC26B">
      <w:pPr>
        <w:pStyle w:val="3"/>
        <w:spacing w:before="0" w:after="0" w:line="240" w:lineRule="auto"/>
        <w:rPr>
          <w:rStyle w:val="18"/>
          <w:rFonts w:hint="eastAsia" w:ascii="仿宋_GB2312" w:hAnsi="仿宋" w:eastAsia="仿宋_GB2312"/>
          <w:b w:val="0"/>
          <w:bCs w:val="0"/>
        </w:rPr>
      </w:pPr>
      <w:r>
        <w:rPr>
          <w:rStyle w:val="18"/>
          <w:rFonts w:hint="eastAsia" w:ascii="仿宋_GB2312" w:hAnsi="仿宋" w:eastAsia="仿宋_GB2312"/>
          <w:b w:val="0"/>
          <w:bCs w:val="0"/>
        </w:rPr>
        <w:t>五、</w:t>
      </w:r>
      <w:r>
        <w:rPr>
          <w:rFonts w:hint="eastAsia" w:ascii="仿宋_GB2312" w:hAnsi="仿宋" w:eastAsia="仿宋_GB2312"/>
          <w:b w:val="0"/>
          <w:color w:val="000000"/>
        </w:rPr>
        <w:t>财</w:t>
      </w:r>
      <w:r>
        <w:rPr>
          <w:rStyle w:val="18"/>
          <w:rFonts w:hint="eastAsia" w:ascii="仿宋_GB2312" w:hAnsi="仿宋" w:eastAsia="仿宋_GB2312"/>
          <w:b w:val="0"/>
          <w:bCs w:val="0"/>
        </w:rPr>
        <w:t>政拨款支出决算明细表</w:t>
      </w:r>
    </w:p>
    <w:p w14:paraId="64CF5D60">
      <w:pPr>
        <w:pStyle w:val="3"/>
        <w:spacing w:before="0" w:after="0" w:line="240" w:lineRule="auto"/>
        <w:rPr>
          <w:rFonts w:hint="eastAsia" w:ascii="仿宋_GB2312" w:hAnsi="仿宋" w:eastAsia="仿宋_GB2312"/>
          <w:color w:val="000000"/>
        </w:rPr>
      </w:pPr>
      <w:r>
        <w:rPr>
          <w:rStyle w:val="18"/>
          <w:rFonts w:hint="eastAsia" w:ascii="仿宋_GB2312" w:hAnsi="仿宋" w:eastAsia="仿宋_GB2312"/>
          <w:b w:val="0"/>
          <w:bCs w:val="0"/>
        </w:rPr>
        <w:t>六、</w:t>
      </w:r>
      <w:r>
        <w:rPr>
          <w:rFonts w:hint="eastAsia" w:ascii="仿宋_GB2312" w:hAnsi="仿宋" w:eastAsia="仿宋_GB2312"/>
          <w:b w:val="0"/>
          <w:color w:val="000000"/>
        </w:rPr>
        <w:t>一</w:t>
      </w:r>
      <w:r>
        <w:rPr>
          <w:rStyle w:val="18"/>
          <w:rFonts w:hint="eastAsia" w:ascii="仿宋_GB2312" w:hAnsi="仿宋" w:eastAsia="仿宋_GB2312"/>
          <w:b w:val="0"/>
          <w:bCs w:val="0"/>
        </w:rPr>
        <w:t>般公共预算财政拨款支出决算表</w:t>
      </w:r>
    </w:p>
    <w:p w14:paraId="36B61A0D">
      <w:pPr>
        <w:pStyle w:val="3"/>
        <w:spacing w:before="0" w:after="0" w:line="240" w:lineRule="auto"/>
        <w:rPr>
          <w:rFonts w:hint="eastAsia" w:ascii="仿宋_GB2312" w:hAnsi="仿宋" w:eastAsia="仿宋_GB2312"/>
          <w:color w:val="000000"/>
        </w:rPr>
      </w:pPr>
      <w:r>
        <w:rPr>
          <w:rStyle w:val="18"/>
          <w:rFonts w:hint="eastAsia" w:ascii="仿宋_GB2312" w:hAnsi="仿宋" w:eastAsia="仿宋_GB2312"/>
          <w:b w:val="0"/>
          <w:bCs w:val="0"/>
        </w:rPr>
        <w:t>七、</w:t>
      </w:r>
      <w:r>
        <w:rPr>
          <w:rFonts w:hint="eastAsia" w:ascii="仿宋_GB2312" w:hAnsi="仿宋" w:eastAsia="仿宋_GB2312"/>
          <w:b w:val="0"/>
          <w:color w:val="000000"/>
        </w:rPr>
        <w:t>一</w:t>
      </w:r>
      <w:r>
        <w:rPr>
          <w:rStyle w:val="18"/>
          <w:rFonts w:hint="eastAsia" w:ascii="仿宋_GB2312" w:hAnsi="仿宋" w:eastAsia="仿宋_GB2312"/>
          <w:b w:val="0"/>
          <w:bCs w:val="0"/>
        </w:rPr>
        <w:t>般公共预算财政拨款支出决算明细表</w:t>
      </w:r>
    </w:p>
    <w:p w14:paraId="705B6E86">
      <w:pPr>
        <w:pStyle w:val="3"/>
        <w:spacing w:before="0" w:after="0" w:line="240" w:lineRule="auto"/>
        <w:rPr>
          <w:rFonts w:hint="eastAsia" w:ascii="仿宋_GB2312" w:hAnsi="仿宋" w:eastAsia="仿宋_GB2312"/>
          <w:color w:val="000000"/>
        </w:rPr>
      </w:pPr>
      <w:r>
        <w:rPr>
          <w:rStyle w:val="18"/>
          <w:rFonts w:hint="eastAsia" w:ascii="仿宋_GB2312" w:hAnsi="仿宋" w:eastAsia="仿宋_GB2312"/>
          <w:b w:val="0"/>
          <w:bCs w:val="0"/>
        </w:rPr>
        <w:t>八、</w:t>
      </w:r>
      <w:r>
        <w:rPr>
          <w:rFonts w:hint="eastAsia" w:ascii="仿宋_GB2312" w:hAnsi="仿宋" w:eastAsia="仿宋_GB2312"/>
          <w:b w:val="0"/>
          <w:color w:val="000000"/>
        </w:rPr>
        <w:t>一</w:t>
      </w:r>
      <w:r>
        <w:rPr>
          <w:rStyle w:val="18"/>
          <w:rFonts w:hint="eastAsia" w:ascii="仿宋_GB2312" w:hAnsi="仿宋" w:eastAsia="仿宋_GB2312"/>
          <w:b w:val="0"/>
          <w:bCs w:val="0"/>
        </w:rPr>
        <w:t>般公共预算财政拨款基本支出决算表</w:t>
      </w:r>
    </w:p>
    <w:p w14:paraId="327B0182">
      <w:pPr>
        <w:pStyle w:val="3"/>
        <w:spacing w:before="0" w:after="0" w:line="240" w:lineRule="auto"/>
        <w:rPr>
          <w:rFonts w:hint="eastAsia" w:ascii="仿宋_GB2312" w:hAnsi="仿宋" w:eastAsia="仿宋_GB2312"/>
          <w:color w:val="000000"/>
        </w:rPr>
      </w:pPr>
      <w:r>
        <w:rPr>
          <w:rStyle w:val="18"/>
          <w:rFonts w:hint="eastAsia" w:ascii="仿宋_GB2312" w:hAnsi="仿宋" w:eastAsia="仿宋_GB2312"/>
          <w:b w:val="0"/>
          <w:bCs w:val="0"/>
        </w:rPr>
        <w:t>九、</w:t>
      </w:r>
      <w:r>
        <w:rPr>
          <w:rFonts w:hint="eastAsia" w:ascii="仿宋_GB2312" w:hAnsi="仿宋" w:eastAsia="仿宋_GB2312"/>
          <w:b w:val="0"/>
          <w:color w:val="000000"/>
        </w:rPr>
        <w:t>一</w:t>
      </w:r>
      <w:r>
        <w:rPr>
          <w:rStyle w:val="18"/>
          <w:rFonts w:hint="eastAsia" w:ascii="仿宋_GB2312" w:hAnsi="仿宋" w:eastAsia="仿宋_GB2312"/>
          <w:b w:val="0"/>
          <w:bCs w:val="0"/>
        </w:rPr>
        <w:t>般公共预算财政拨款项目支出决算表</w:t>
      </w:r>
    </w:p>
    <w:p w14:paraId="1E03FDF0">
      <w:pPr>
        <w:pStyle w:val="3"/>
        <w:spacing w:before="0" w:after="0" w:line="240" w:lineRule="auto"/>
        <w:rPr>
          <w:rFonts w:hint="eastAsia" w:ascii="仿宋_GB2312" w:hAnsi="仿宋" w:eastAsia="仿宋_GB2312"/>
          <w:color w:val="000000"/>
        </w:rPr>
      </w:pPr>
      <w:r>
        <w:rPr>
          <w:rStyle w:val="18"/>
          <w:rFonts w:hint="eastAsia" w:ascii="仿宋_GB2312" w:hAnsi="仿宋" w:eastAsia="仿宋_GB2312"/>
          <w:b w:val="0"/>
          <w:bCs w:val="0"/>
        </w:rPr>
        <w:t>十、</w:t>
      </w:r>
      <w:r>
        <w:rPr>
          <w:rFonts w:hint="eastAsia" w:ascii="仿宋_GB2312" w:hAnsi="仿宋" w:eastAsia="仿宋_GB2312"/>
          <w:b w:val="0"/>
          <w:color w:val="000000"/>
        </w:rPr>
        <w:t>一</w:t>
      </w:r>
      <w:r>
        <w:rPr>
          <w:rStyle w:val="18"/>
          <w:rFonts w:hint="eastAsia" w:ascii="仿宋_GB2312" w:hAnsi="仿宋" w:eastAsia="仿宋_GB2312"/>
          <w:b w:val="0"/>
          <w:bCs w:val="0"/>
        </w:rPr>
        <w:t>般公共预算财政拨款“三公”经费支出决算表</w:t>
      </w:r>
    </w:p>
    <w:p w14:paraId="389A5988">
      <w:pPr>
        <w:pStyle w:val="3"/>
        <w:spacing w:before="0" w:after="0" w:line="240" w:lineRule="auto"/>
        <w:rPr>
          <w:rFonts w:hint="eastAsia" w:ascii="仿宋_GB2312" w:hAnsi="仿宋" w:eastAsia="仿宋_GB2312"/>
          <w:color w:val="000000"/>
        </w:rPr>
      </w:pPr>
      <w:r>
        <w:rPr>
          <w:rStyle w:val="18"/>
          <w:rFonts w:hint="eastAsia" w:ascii="仿宋_GB2312" w:hAnsi="仿宋" w:eastAsia="仿宋_GB2312"/>
          <w:b w:val="0"/>
          <w:bCs w:val="0"/>
        </w:rPr>
        <w:t>十一、</w:t>
      </w:r>
      <w:r>
        <w:rPr>
          <w:rFonts w:hint="eastAsia" w:ascii="仿宋_GB2312" w:hAnsi="仿宋" w:eastAsia="仿宋_GB2312"/>
          <w:b w:val="0"/>
          <w:color w:val="000000"/>
        </w:rPr>
        <w:t>政</w:t>
      </w:r>
      <w:r>
        <w:rPr>
          <w:rStyle w:val="18"/>
          <w:rFonts w:hint="eastAsia" w:ascii="仿宋_GB2312" w:hAnsi="仿宋" w:eastAsia="仿宋_GB2312"/>
          <w:b w:val="0"/>
          <w:bCs w:val="0"/>
        </w:rPr>
        <w:t>府性基金预算财政拨款收入支出决算表</w:t>
      </w:r>
    </w:p>
    <w:p w14:paraId="72518D86">
      <w:pPr>
        <w:pStyle w:val="3"/>
        <w:spacing w:before="0" w:after="0" w:line="240" w:lineRule="auto"/>
        <w:rPr>
          <w:rFonts w:hint="eastAsia" w:ascii="仿宋_GB2312" w:hAnsi="仿宋" w:eastAsia="仿宋_GB2312"/>
          <w:color w:val="000000"/>
        </w:rPr>
      </w:pPr>
      <w:r>
        <w:rPr>
          <w:rStyle w:val="18"/>
          <w:rFonts w:hint="eastAsia" w:ascii="仿宋_GB2312" w:hAnsi="仿宋" w:eastAsia="仿宋_GB2312"/>
          <w:b w:val="0"/>
          <w:bCs w:val="0"/>
        </w:rPr>
        <w:t>十二、</w:t>
      </w:r>
      <w:r>
        <w:rPr>
          <w:rFonts w:hint="eastAsia" w:ascii="仿宋_GB2312" w:hAnsi="仿宋" w:eastAsia="仿宋_GB2312"/>
          <w:b w:val="0"/>
          <w:color w:val="000000"/>
        </w:rPr>
        <w:t>政</w:t>
      </w:r>
      <w:r>
        <w:rPr>
          <w:rStyle w:val="18"/>
          <w:rFonts w:hint="eastAsia" w:ascii="仿宋_GB2312" w:hAnsi="仿宋" w:eastAsia="仿宋_GB2312"/>
          <w:b w:val="0"/>
          <w:bCs w:val="0"/>
        </w:rPr>
        <w:t>府性基金预算财政拨款“三公”经费支出决算表</w:t>
      </w:r>
    </w:p>
    <w:p w14:paraId="32D7F80F">
      <w:pPr>
        <w:pStyle w:val="3"/>
        <w:spacing w:before="0" w:after="0" w:line="240" w:lineRule="auto"/>
        <w:rPr>
          <w:rFonts w:hint="eastAsia" w:ascii="仿宋_GB2312" w:hAnsi="仿宋" w:eastAsia="仿宋_GB2312"/>
          <w:color w:val="000000"/>
        </w:rPr>
      </w:pPr>
      <w:r>
        <w:rPr>
          <w:rStyle w:val="18"/>
          <w:rFonts w:hint="eastAsia" w:ascii="仿宋_GB2312" w:hAnsi="仿宋" w:eastAsia="仿宋_GB2312"/>
          <w:b w:val="0"/>
          <w:bCs w:val="0"/>
        </w:rPr>
        <w:t>十三、</w:t>
      </w:r>
      <w:r>
        <w:rPr>
          <w:rFonts w:hint="eastAsia" w:ascii="仿宋_GB2312" w:hAnsi="仿宋" w:eastAsia="仿宋_GB2312"/>
          <w:b w:val="0"/>
          <w:color w:val="000000"/>
        </w:rPr>
        <w:t>国</w:t>
      </w:r>
      <w:r>
        <w:rPr>
          <w:rStyle w:val="18"/>
          <w:rFonts w:hint="eastAsia" w:ascii="仿宋_GB2312" w:hAnsi="仿宋" w:eastAsia="仿宋_GB2312"/>
          <w:b w:val="0"/>
          <w:bCs w:val="0"/>
        </w:rPr>
        <w:t>有资本经营预算支出决算表</w:t>
      </w:r>
    </w:p>
    <w:p w14:paraId="0653AE74">
      <w:pPr>
        <w:rPr>
          <w:rFonts w:hint="eastAsia" w:ascii="仿宋_GB2312" w:hAnsi="仿宋_GB2312" w:eastAsia="仿宋_GB2312" w:cs="仿宋_GB2312"/>
          <w:sz w:val="32"/>
          <w:szCs w:val="32"/>
        </w:rPr>
        <w:sectPr>
          <w:footerReference r:id="rId4" w:type="default"/>
          <w:pgSz w:w="11906" w:h="16838"/>
          <w:pgMar w:top="1440" w:right="1800" w:bottom="1440" w:left="1800" w:header="851" w:footer="992" w:gutter="0"/>
          <w:pgNumType w:start="1"/>
          <w:cols w:space="425" w:num="1"/>
          <w:docGrid w:type="lines" w:linePitch="312" w:charSpace="0"/>
        </w:sectPr>
      </w:pPr>
    </w:p>
    <w:p w14:paraId="5F0DC966">
      <w:pPr>
        <w:rPr>
          <w:rFonts w:hint="eastAsia" w:ascii="仿宋_GB2312" w:eastAsia="仿宋_GB2312"/>
          <w:sz w:val="32"/>
          <w:szCs w:val="32"/>
        </w:rPr>
      </w:pPr>
    </w:p>
    <w:sectPr>
      <w:pgSz w:w="11906" w:h="16838"/>
      <w:pgMar w:top="1440" w:right="1797" w:bottom="1440" w:left="1797"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A0204"/>
    <w:charset w:val="00"/>
    <w:family w:val="roman"/>
    <w:pitch w:val="default"/>
    <w:sig w:usb0="E00002FF" w:usb1="4000045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8E037">
    <w:pPr>
      <w:pStyle w:val="8"/>
      <w:jc w:val="center"/>
    </w:pPr>
  </w:p>
  <w:p w14:paraId="0D754B7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54B8B">
    <w:pPr>
      <w:pStyle w:val="8"/>
      <w:jc w:val="center"/>
    </w:pPr>
    <w:r>
      <w:fldChar w:fldCharType="begin"/>
    </w:r>
    <w:r>
      <w:instrText xml:space="preserve"> PAGE   \* MERGEFORMAT </w:instrText>
    </w:r>
    <w:r>
      <w:fldChar w:fldCharType="separate"/>
    </w:r>
    <w:r>
      <w:rPr>
        <w:lang w:val="zh-CN"/>
      </w:rPr>
      <w:t>50</w:t>
    </w:r>
    <w:r>
      <w:rPr>
        <w:lang w:val="zh-CN"/>
      </w:rPr>
      <w:fldChar w:fldCharType="end"/>
    </w:r>
  </w:p>
  <w:p w14:paraId="2AA94B76">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287" w:hanging="720"/>
      </w:pPr>
      <w:rPr>
        <w:rFonts w:hint="default" w:cs="Times New Roman"/>
        <w:b w:val="0"/>
      </w:rPr>
    </w:lvl>
    <w:lvl w:ilvl="1" w:tentative="0">
      <w:start w:val="1"/>
      <w:numFmt w:val="lowerLetter"/>
      <w:lvlText w:val="%2)"/>
      <w:lvlJc w:val="left"/>
      <w:pPr>
        <w:ind w:left="1407" w:hanging="420"/>
      </w:pPr>
      <w:rPr>
        <w:rFonts w:cs="Times New Roman"/>
      </w:rPr>
    </w:lvl>
    <w:lvl w:ilvl="2" w:tentative="0">
      <w:start w:val="1"/>
      <w:numFmt w:val="lowerRoman"/>
      <w:lvlText w:val="%3."/>
      <w:lvlJc w:val="right"/>
      <w:pPr>
        <w:ind w:left="1827" w:hanging="420"/>
      </w:pPr>
      <w:rPr>
        <w:rFonts w:cs="Times New Roman"/>
      </w:rPr>
    </w:lvl>
    <w:lvl w:ilvl="3" w:tentative="0">
      <w:start w:val="1"/>
      <w:numFmt w:val="decimal"/>
      <w:lvlText w:val="%4."/>
      <w:lvlJc w:val="left"/>
      <w:pPr>
        <w:ind w:left="2247" w:hanging="420"/>
      </w:pPr>
      <w:rPr>
        <w:rFonts w:cs="Times New Roman"/>
      </w:rPr>
    </w:lvl>
    <w:lvl w:ilvl="4" w:tentative="0">
      <w:start w:val="1"/>
      <w:numFmt w:val="lowerLetter"/>
      <w:lvlText w:val="%5)"/>
      <w:lvlJc w:val="left"/>
      <w:pPr>
        <w:ind w:left="2667" w:hanging="420"/>
      </w:pPr>
      <w:rPr>
        <w:rFonts w:cs="Times New Roman"/>
      </w:rPr>
    </w:lvl>
    <w:lvl w:ilvl="5" w:tentative="0">
      <w:start w:val="1"/>
      <w:numFmt w:val="lowerRoman"/>
      <w:lvlText w:val="%6."/>
      <w:lvlJc w:val="right"/>
      <w:pPr>
        <w:ind w:left="3087" w:hanging="420"/>
      </w:pPr>
      <w:rPr>
        <w:rFonts w:cs="Times New Roman"/>
      </w:rPr>
    </w:lvl>
    <w:lvl w:ilvl="6" w:tentative="0">
      <w:start w:val="1"/>
      <w:numFmt w:val="decimal"/>
      <w:lvlText w:val="%7."/>
      <w:lvlJc w:val="left"/>
      <w:pPr>
        <w:ind w:left="3507" w:hanging="420"/>
      </w:pPr>
      <w:rPr>
        <w:rFonts w:cs="Times New Roman"/>
      </w:rPr>
    </w:lvl>
    <w:lvl w:ilvl="7" w:tentative="0">
      <w:start w:val="1"/>
      <w:numFmt w:val="lowerLetter"/>
      <w:lvlText w:val="%8)"/>
      <w:lvlJc w:val="left"/>
      <w:pPr>
        <w:ind w:left="3927" w:hanging="420"/>
      </w:pPr>
      <w:rPr>
        <w:rFonts w:cs="Times New Roman"/>
      </w:rPr>
    </w:lvl>
    <w:lvl w:ilvl="8" w:tentative="0">
      <w:start w:val="1"/>
      <w:numFmt w:val="lowerRoman"/>
      <w:lvlText w:val="%9."/>
      <w:lvlJc w:val="right"/>
      <w:pPr>
        <w:ind w:left="4347" w:hanging="420"/>
      </w:pPr>
      <w:rPr>
        <w:rFonts w:cs="Times New Roman"/>
      </w:rPr>
    </w:lvl>
  </w:abstractNum>
  <w:abstractNum w:abstractNumId="3">
    <w:nsid w:val="4B00B49A"/>
    <w:multiLevelType w:val="singleLevel"/>
    <w:tmpl w:val="4B00B49A"/>
    <w:lvl w:ilvl="0" w:tentative="0">
      <w:start w:val="2"/>
      <w:numFmt w:val="decimal"/>
      <w:suff w:val="nothing"/>
      <w:lvlText w:val="%1、"/>
      <w:lvlJc w:val="left"/>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4D1B"/>
    <w:rsid w:val="000454D2"/>
    <w:rsid w:val="00073134"/>
    <w:rsid w:val="00075A9A"/>
    <w:rsid w:val="0008730C"/>
    <w:rsid w:val="000974EA"/>
    <w:rsid w:val="000A11CD"/>
    <w:rsid w:val="000B50DD"/>
    <w:rsid w:val="000F287A"/>
    <w:rsid w:val="00124AE1"/>
    <w:rsid w:val="00152DB2"/>
    <w:rsid w:val="00175F6E"/>
    <w:rsid w:val="00180482"/>
    <w:rsid w:val="00193DFF"/>
    <w:rsid w:val="001A3F84"/>
    <w:rsid w:val="001F6D62"/>
    <w:rsid w:val="00237545"/>
    <w:rsid w:val="002412EA"/>
    <w:rsid w:val="002416A3"/>
    <w:rsid w:val="00250724"/>
    <w:rsid w:val="00284DE4"/>
    <w:rsid w:val="002C1689"/>
    <w:rsid w:val="002D19C4"/>
    <w:rsid w:val="002F7E6B"/>
    <w:rsid w:val="0031757C"/>
    <w:rsid w:val="00322F08"/>
    <w:rsid w:val="003325B4"/>
    <w:rsid w:val="00337B52"/>
    <w:rsid w:val="003408FA"/>
    <w:rsid w:val="003510F6"/>
    <w:rsid w:val="00352522"/>
    <w:rsid w:val="00365D5A"/>
    <w:rsid w:val="00382892"/>
    <w:rsid w:val="003A0B46"/>
    <w:rsid w:val="003A17AE"/>
    <w:rsid w:val="003B1696"/>
    <w:rsid w:val="003C07A9"/>
    <w:rsid w:val="003D5968"/>
    <w:rsid w:val="003D5B36"/>
    <w:rsid w:val="003E62A2"/>
    <w:rsid w:val="0042481D"/>
    <w:rsid w:val="004331EA"/>
    <w:rsid w:val="004715A2"/>
    <w:rsid w:val="004A1A56"/>
    <w:rsid w:val="004D3090"/>
    <w:rsid w:val="004D3944"/>
    <w:rsid w:val="004E6881"/>
    <w:rsid w:val="005044BB"/>
    <w:rsid w:val="00536320"/>
    <w:rsid w:val="00536C1B"/>
    <w:rsid w:val="00540A7E"/>
    <w:rsid w:val="00541669"/>
    <w:rsid w:val="005474E0"/>
    <w:rsid w:val="00554625"/>
    <w:rsid w:val="00571690"/>
    <w:rsid w:val="00591F6F"/>
    <w:rsid w:val="005B5DB4"/>
    <w:rsid w:val="005C2006"/>
    <w:rsid w:val="00602C9D"/>
    <w:rsid w:val="00604638"/>
    <w:rsid w:val="006436E8"/>
    <w:rsid w:val="00660909"/>
    <w:rsid w:val="00667B8E"/>
    <w:rsid w:val="006812BA"/>
    <w:rsid w:val="0069413C"/>
    <w:rsid w:val="00694F18"/>
    <w:rsid w:val="006C70AB"/>
    <w:rsid w:val="006F554D"/>
    <w:rsid w:val="00701A11"/>
    <w:rsid w:val="00712986"/>
    <w:rsid w:val="007612F2"/>
    <w:rsid w:val="00761949"/>
    <w:rsid w:val="007711C1"/>
    <w:rsid w:val="007770C3"/>
    <w:rsid w:val="007E08B6"/>
    <w:rsid w:val="007F2A0B"/>
    <w:rsid w:val="007F7F95"/>
    <w:rsid w:val="00807DB1"/>
    <w:rsid w:val="008254F2"/>
    <w:rsid w:val="00833962"/>
    <w:rsid w:val="00861604"/>
    <w:rsid w:val="0087266F"/>
    <w:rsid w:val="00873341"/>
    <w:rsid w:val="00873BDD"/>
    <w:rsid w:val="0088029E"/>
    <w:rsid w:val="008A13AB"/>
    <w:rsid w:val="008B35A4"/>
    <w:rsid w:val="008C0432"/>
    <w:rsid w:val="008D2302"/>
    <w:rsid w:val="00913B73"/>
    <w:rsid w:val="00941D85"/>
    <w:rsid w:val="009A5C2D"/>
    <w:rsid w:val="009F5B83"/>
    <w:rsid w:val="00A34EEF"/>
    <w:rsid w:val="00A356B3"/>
    <w:rsid w:val="00A45728"/>
    <w:rsid w:val="00A54D1B"/>
    <w:rsid w:val="00A8146C"/>
    <w:rsid w:val="00A84AC8"/>
    <w:rsid w:val="00A87225"/>
    <w:rsid w:val="00AC09A3"/>
    <w:rsid w:val="00AD6B09"/>
    <w:rsid w:val="00AE6F7A"/>
    <w:rsid w:val="00AF2483"/>
    <w:rsid w:val="00B20903"/>
    <w:rsid w:val="00B253E9"/>
    <w:rsid w:val="00B3097A"/>
    <w:rsid w:val="00B42C48"/>
    <w:rsid w:val="00B53A43"/>
    <w:rsid w:val="00B660C7"/>
    <w:rsid w:val="00B87AA2"/>
    <w:rsid w:val="00B94736"/>
    <w:rsid w:val="00BA490B"/>
    <w:rsid w:val="00BA5AB1"/>
    <w:rsid w:val="00BC43E8"/>
    <w:rsid w:val="00BD05F8"/>
    <w:rsid w:val="00BD63F6"/>
    <w:rsid w:val="00BE0161"/>
    <w:rsid w:val="00BE6D70"/>
    <w:rsid w:val="00BF6FA2"/>
    <w:rsid w:val="00C07C4D"/>
    <w:rsid w:val="00C24B5D"/>
    <w:rsid w:val="00C51C76"/>
    <w:rsid w:val="00C567FE"/>
    <w:rsid w:val="00C75507"/>
    <w:rsid w:val="00CD0E3D"/>
    <w:rsid w:val="00CD1505"/>
    <w:rsid w:val="00CE1E9B"/>
    <w:rsid w:val="00CF4192"/>
    <w:rsid w:val="00CF5E19"/>
    <w:rsid w:val="00D20E46"/>
    <w:rsid w:val="00D25E89"/>
    <w:rsid w:val="00D55873"/>
    <w:rsid w:val="00D571BF"/>
    <w:rsid w:val="00D66C97"/>
    <w:rsid w:val="00D8448D"/>
    <w:rsid w:val="00D9444C"/>
    <w:rsid w:val="00DE5678"/>
    <w:rsid w:val="00DF2355"/>
    <w:rsid w:val="00E003C8"/>
    <w:rsid w:val="00E603BF"/>
    <w:rsid w:val="00E623D0"/>
    <w:rsid w:val="00E75B8F"/>
    <w:rsid w:val="00E91FEA"/>
    <w:rsid w:val="00E96AFE"/>
    <w:rsid w:val="00EA3DAE"/>
    <w:rsid w:val="00EB1D0A"/>
    <w:rsid w:val="00EC57BC"/>
    <w:rsid w:val="00F03EDD"/>
    <w:rsid w:val="00F8449E"/>
    <w:rsid w:val="00F9089E"/>
    <w:rsid w:val="00FB2DF0"/>
    <w:rsid w:val="00FE0C90"/>
    <w:rsid w:val="4DD9250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uiPriority w:val="99"/>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18"/>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9"/>
    <w:qFormat/>
    <w:uiPriority w:val="99"/>
    <w:pPr>
      <w:keepNext/>
      <w:keepLines/>
      <w:spacing w:before="260" w:after="260" w:line="416" w:lineRule="auto"/>
      <w:outlineLvl w:val="2"/>
    </w:pPr>
    <w:rPr>
      <w:rFonts w:ascii="Times New Roman" w:hAnsi="Times New Roman"/>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hAnsi="Times New Roman" w:eastAsia="仿宋_GB2312"/>
      <w:kern w:val="0"/>
      <w:sz w:val="24"/>
      <w:szCs w:val="20"/>
    </w:rPr>
  </w:style>
  <w:style w:type="paragraph" w:styleId="6">
    <w:name w:val="toc 3"/>
    <w:basedOn w:val="1"/>
    <w:next w:val="1"/>
    <w:qFormat/>
    <w:uiPriority w:val="99"/>
    <w:pPr>
      <w:tabs>
        <w:tab w:val="right" w:leader="dot" w:pos="8296"/>
      </w:tabs>
      <w:ind w:left="840" w:leftChars="400"/>
    </w:pPr>
    <w:rPr>
      <w:rFonts w:ascii="Times New Roman" w:hAnsi="Times New Roman"/>
      <w:szCs w:val="24"/>
    </w:rPr>
  </w:style>
  <w:style w:type="paragraph" w:styleId="7">
    <w:name w:val="Balloon Text"/>
    <w:basedOn w:val="1"/>
    <w:link w:val="20"/>
    <w:semiHidden/>
    <w:uiPriority w:val="99"/>
    <w:rPr>
      <w:sz w:val="18"/>
      <w:szCs w:val="18"/>
    </w:rPr>
  </w:style>
  <w:style w:type="paragraph" w:styleId="8">
    <w:name w:val="footer"/>
    <w:basedOn w:val="1"/>
    <w:link w:val="25"/>
    <w:uiPriority w:val="99"/>
    <w:pPr>
      <w:tabs>
        <w:tab w:val="center" w:pos="4153"/>
        <w:tab w:val="right" w:pos="8306"/>
      </w:tabs>
      <w:snapToGrid w:val="0"/>
      <w:jc w:val="left"/>
    </w:pPr>
    <w:rPr>
      <w:kern w:val="0"/>
      <w:sz w:val="18"/>
      <w:szCs w:val="20"/>
    </w:rPr>
  </w:style>
  <w:style w:type="paragraph" w:styleId="9">
    <w:name w:val="header"/>
    <w:basedOn w:val="1"/>
    <w:link w:val="27"/>
    <w:semiHidden/>
    <w:qFormat/>
    <w:uiPriority w:val="99"/>
    <w:pPr>
      <w:pBdr>
        <w:bottom w:val="single" w:color="auto" w:sz="6" w:space="1"/>
      </w:pBdr>
      <w:tabs>
        <w:tab w:val="center" w:pos="4153"/>
        <w:tab w:val="right" w:pos="8306"/>
      </w:tabs>
      <w:snapToGrid w:val="0"/>
      <w:jc w:val="center"/>
    </w:pPr>
    <w:rPr>
      <w:kern w:val="0"/>
      <w:sz w:val="18"/>
      <w:szCs w:val="20"/>
    </w:rPr>
  </w:style>
  <w:style w:type="paragraph" w:styleId="10">
    <w:name w:val="toc 1"/>
    <w:basedOn w:val="1"/>
    <w:next w:val="1"/>
    <w:uiPriority w:val="99"/>
    <w:pPr>
      <w:tabs>
        <w:tab w:val="right" w:leader="dot" w:pos="8296"/>
      </w:tabs>
      <w:spacing w:before="93"/>
      <w:jc w:val="center"/>
    </w:pPr>
    <w:rPr>
      <w:rFonts w:ascii="仿宋" w:hAnsi="仿宋" w:eastAsia="仿宋"/>
      <w:sz w:val="28"/>
      <w:szCs w:val="28"/>
    </w:rPr>
  </w:style>
  <w:style w:type="paragraph" w:styleId="11">
    <w:name w:val="toc 2"/>
    <w:basedOn w:val="1"/>
    <w:next w:val="1"/>
    <w:qFormat/>
    <w:uiPriority w:val="99"/>
    <w:pPr>
      <w:tabs>
        <w:tab w:val="right" w:leader="dot" w:pos="8296"/>
      </w:tabs>
      <w:ind w:left="420" w:leftChars="200"/>
    </w:pPr>
    <w:rPr>
      <w:rFonts w:ascii="Times New Roman" w:hAnsi="Times New Roman"/>
      <w:szCs w:val="24"/>
    </w:rPr>
  </w:style>
  <w:style w:type="paragraph" w:styleId="12">
    <w:name w:val="Normal (Web)"/>
    <w:basedOn w:val="1"/>
    <w:qFormat/>
    <w:uiPriority w:val="99"/>
    <w:pPr>
      <w:spacing w:before="100" w:beforeAutospacing="1" w:after="100" w:afterAutospacing="1"/>
      <w:jc w:val="left"/>
    </w:pPr>
    <w:rPr>
      <w:kern w:val="0"/>
      <w:sz w:val="24"/>
    </w:rPr>
  </w:style>
  <w:style w:type="character" w:styleId="15">
    <w:name w:val="Strong"/>
    <w:basedOn w:val="14"/>
    <w:qFormat/>
    <w:uiPriority w:val="99"/>
    <w:rPr>
      <w:rFonts w:cs="Times New Roman"/>
      <w:b/>
    </w:rPr>
  </w:style>
  <w:style w:type="character" w:styleId="16">
    <w:name w:val="Hyperlink"/>
    <w:basedOn w:val="14"/>
    <w:qFormat/>
    <w:uiPriority w:val="99"/>
    <w:rPr>
      <w:rFonts w:cs="Times New Roman"/>
      <w:color w:val="0000FF"/>
      <w:u w:val="single"/>
    </w:rPr>
  </w:style>
  <w:style w:type="character" w:customStyle="1" w:styleId="17">
    <w:name w:val="标题 1 Char"/>
    <w:basedOn w:val="14"/>
    <w:link w:val="2"/>
    <w:qFormat/>
    <w:locked/>
    <w:uiPriority w:val="99"/>
    <w:rPr>
      <w:rFonts w:ascii="Times New Roman" w:hAnsi="Times New Roman" w:eastAsia="宋体" w:cs="Times New Roman"/>
      <w:b/>
      <w:bCs/>
      <w:kern w:val="44"/>
      <w:sz w:val="44"/>
      <w:szCs w:val="44"/>
    </w:rPr>
  </w:style>
  <w:style w:type="character" w:customStyle="1" w:styleId="18">
    <w:name w:val="标题 2 Char"/>
    <w:basedOn w:val="14"/>
    <w:link w:val="3"/>
    <w:locked/>
    <w:uiPriority w:val="99"/>
    <w:rPr>
      <w:rFonts w:ascii="Cambria" w:hAnsi="Cambria" w:eastAsia="宋体" w:cs="Times New Roman"/>
      <w:b/>
      <w:bCs/>
      <w:sz w:val="32"/>
      <w:szCs w:val="32"/>
    </w:rPr>
  </w:style>
  <w:style w:type="character" w:customStyle="1" w:styleId="19">
    <w:name w:val="标题 3 Char"/>
    <w:basedOn w:val="14"/>
    <w:link w:val="4"/>
    <w:qFormat/>
    <w:locked/>
    <w:uiPriority w:val="99"/>
    <w:rPr>
      <w:rFonts w:ascii="Times New Roman" w:hAnsi="Times New Roman" w:eastAsia="宋体" w:cs="Times New Roman"/>
      <w:b/>
      <w:bCs/>
      <w:sz w:val="32"/>
      <w:szCs w:val="32"/>
    </w:rPr>
  </w:style>
  <w:style w:type="character" w:customStyle="1" w:styleId="20">
    <w:name w:val="批注框文本 Char"/>
    <w:basedOn w:val="14"/>
    <w:link w:val="7"/>
    <w:semiHidden/>
    <w:locked/>
    <w:uiPriority w:val="99"/>
    <w:rPr>
      <w:rFonts w:cs="Times New Roman"/>
      <w:sz w:val="18"/>
      <w:szCs w:val="18"/>
    </w:rPr>
  </w:style>
  <w:style w:type="character" w:customStyle="1" w:styleId="21">
    <w:name w:val="Body Text Char"/>
    <w:basedOn w:val="14"/>
    <w:link w:val="5"/>
    <w:semiHidden/>
    <w:qFormat/>
    <w:locked/>
    <w:uiPriority w:val="99"/>
    <w:rPr>
      <w:rFonts w:ascii="Times New Roman" w:hAnsi="Times New Roman" w:cs="Times New Roman"/>
      <w:sz w:val="24"/>
      <w:szCs w:val="24"/>
    </w:rPr>
  </w:style>
  <w:style w:type="character" w:customStyle="1" w:styleId="22">
    <w:name w:val="正文文本 Char"/>
    <w:basedOn w:val="14"/>
    <w:link w:val="5"/>
    <w:locked/>
    <w:uiPriority w:val="99"/>
    <w:rPr>
      <w:rFonts w:ascii="仿宋_GB2312" w:hAnsi="Times New Roman" w:eastAsia="仿宋_GB2312" w:cs="Times New Roman"/>
      <w:kern w:val="0"/>
      <w:sz w:val="20"/>
      <w:szCs w:val="20"/>
    </w:rPr>
  </w:style>
  <w:style w:type="paragraph" w:styleId="23">
    <w:name w:val="List Paragraph"/>
    <w:basedOn w:val="1"/>
    <w:qFormat/>
    <w:uiPriority w:val="99"/>
    <w:pPr>
      <w:ind w:firstLine="420" w:firstLineChars="200"/>
    </w:pPr>
    <w:rPr>
      <w:rFonts w:ascii="Times New Roman" w:hAnsi="Times New Roman"/>
      <w:szCs w:val="24"/>
    </w:rPr>
  </w:style>
  <w:style w:type="character" w:customStyle="1" w:styleId="24">
    <w:name w:val="Footer Char"/>
    <w:basedOn w:val="14"/>
    <w:link w:val="8"/>
    <w:semiHidden/>
    <w:qFormat/>
    <w:locked/>
    <w:uiPriority w:val="99"/>
    <w:rPr>
      <w:rFonts w:ascii="Times New Roman" w:hAnsi="Times New Roman" w:cs="Times New Roman"/>
      <w:sz w:val="18"/>
      <w:szCs w:val="18"/>
    </w:rPr>
  </w:style>
  <w:style w:type="character" w:customStyle="1" w:styleId="25">
    <w:name w:val="页脚 Char"/>
    <w:basedOn w:val="14"/>
    <w:link w:val="8"/>
    <w:qFormat/>
    <w:locked/>
    <w:uiPriority w:val="99"/>
    <w:rPr>
      <w:rFonts w:ascii="Calibri" w:hAnsi="Calibri" w:eastAsia="宋体" w:cs="Times New Roman"/>
      <w:kern w:val="0"/>
      <w:sz w:val="20"/>
      <w:szCs w:val="20"/>
    </w:rPr>
  </w:style>
  <w:style w:type="character" w:customStyle="1" w:styleId="26">
    <w:name w:val="Header Char"/>
    <w:basedOn w:val="14"/>
    <w:link w:val="9"/>
    <w:semiHidden/>
    <w:qFormat/>
    <w:locked/>
    <w:uiPriority w:val="99"/>
    <w:rPr>
      <w:rFonts w:ascii="Times New Roman" w:hAnsi="Times New Roman" w:cs="Times New Roman"/>
      <w:sz w:val="18"/>
      <w:szCs w:val="18"/>
    </w:rPr>
  </w:style>
  <w:style w:type="character" w:customStyle="1" w:styleId="27">
    <w:name w:val="页眉 Char"/>
    <w:basedOn w:val="14"/>
    <w:link w:val="9"/>
    <w:semiHidden/>
    <w:locked/>
    <w:uiPriority w:val="99"/>
    <w:rPr>
      <w:rFonts w:ascii="Calibri" w:hAnsi="Calibri" w:eastAsia="宋体" w:cs="Times New Roman"/>
      <w:kern w:val="0"/>
      <w:sz w:val="20"/>
      <w:szCs w:val="20"/>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9">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0">
    <w:name w:val="TOC Heading"/>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31">
    <w:name w:val="四号正文 Char"/>
    <w:basedOn w:val="14"/>
    <w:link w:val="32"/>
    <w:qFormat/>
    <w:locked/>
    <w:uiPriority w:val="99"/>
    <w:rPr>
      <w:rFonts w:ascii="??" w:hAnsi="??" w:eastAsia="宋体" w:cs="宋体"/>
      <w:color w:val="000000"/>
      <w:sz w:val="21"/>
      <w:szCs w:val="21"/>
      <w:lang w:val="en-US" w:eastAsia="zh-CN" w:bidi="ar-SA"/>
    </w:rPr>
  </w:style>
  <w:style w:type="paragraph" w:customStyle="1" w:styleId="32">
    <w:name w:val="四号正文"/>
    <w:basedOn w:val="1"/>
    <w:link w:val="31"/>
    <w:uiPriority w:val="99"/>
    <w:pPr>
      <w:spacing w:line="360" w:lineRule="auto"/>
    </w:pPr>
    <w:rPr>
      <w:rFonts w:ascii="??" w:hAnsi="??" w:cs="宋体"/>
      <w:color w:val="000000"/>
      <w:kern w:val="0"/>
      <w:sz w:val="28"/>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oleObject" Target="embeddings/oleObject2.bin"/><Relationship Id="rId7" Type="http://schemas.openxmlformats.org/officeDocument/2006/relationships/image" Target="media/image1.png"/><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oleObject" Target="embeddings/oleObject7.bin"/><Relationship Id="rId17" Type="http://schemas.openxmlformats.org/officeDocument/2006/relationships/image" Target="media/image6.png"/><Relationship Id="rId16" Type="http://schemas.openxmlformats.org/officeDocument/2006/relationships/oleObject" Target="embeddings/oleObject6.bin"/><Relationship Id="rId15" Type="http://schemas.openxmlformats.org/officeDocument/2006/relationships/image" Target="media/image5.png"/><Relationship Id="rId14" Type="http://schemas.openxmlformats.org/officeDocument/2006/relationships/oleObject" Target="embeddings/oleObject5.bin"/><Relationship Id="rId13" Type="http://schemas.openxmlformats.org/officeDocument/2006/relationships/image" Target="media/image4.png"/><Relationship Id="rId12" Type="http://schemas.openxmlformats.org/officeDocument/2006/relationships/oleObject" Target="embeddings/oleObject4.bin"/><Relationship Id="rId11" Type="http://schemas.openxmlformats.org/officeDocument/2006/relationships/image" Target="media/image3.png"/><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E31CD55-77A7-4D88-B5E1-0E0FE4FFB8F5}">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17183</Words>
  <Characters>18126</Characters>
  <Lines>150</Lines>
  <Paragraphs>42</Paragraphs>
  <TotalTime>622</TotalTime>
  <ScaleCrop>false</ScaleCrop>
  <LinksUpToDate>false</LinksUpToDate>
  <CharactersWithSpaces>18237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2020-10-19T06:32:00Z</dcterms:created>
  <dc:creator>Administrator</dc:creator>
  <cp:lastModifiedBy>wangwenjuan</cp:lastModifiedBy>
  <cp:lastPrinted>2020-10-27T02:41:00Z</cp:lastPrinted>
  <dcterms:modified xsi:type="dcterms:W3CDTF">2025-07-09T03:15:18Z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eyJoZGlkIjoiOTc5ZDc2NjYyZGQzNDU3YzJkZDQ3MDliOTU1ZWFmOWUiLCJ1c2VySWQiOiIyOTYzMDQ4ODcifQ==</vt:lpwstr>
  </property>
  <property fmtid="{D5CDD505-2E9C-101B-9397-08002B2CF9AE}" pid="3" name="KSOProductBuildVer">
    <vt:lpwstr>2052-12.1.0.21915</vt:lpwstr>
  </property>
  <property fmtid="{D5CDD505-2E9C-101B-9397-08002B2CF9AE}" pid="4" name="ICV">
    <vt:lpwstr>BCB9D001E45A46F6BA9C2D2E8215855B_12</vt:lpwstr>
  </property>
</Properties>
</file>