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34C78">
      <w:pPr>
        <w:spacing w:line="600" w:lineRule="exact"/>
        <w:jc w:val="center"/>
        <w:outlineLvl w:val="0"/>
        <w:rPr>
          <w:rFonts w:ascii="方正小标宋简体" w:hAnsi="宋体" w:eastAsia="方正小标宋简体"/>
          <w:color w:val="000000"/>
          <w:sz w:val="72"/>
          <w:szCs w:val="72"/>
        </w:rPr>
      </w:pPr>
      <w:bookmarkStart w:id="0" w:name="_Toc15306267"/>
    </w:p>
    <w:p w14:paraId="30CB76AE">
      <w:pPr>
        <w:spacing w:line="600" w:lineRule="exact"/>
        <w:jc w:val="center"/>
        <w:outlineLvl w:val="0"/>
        <w:rPr>
          <w:rFonts w:ascii="方正小标宋简体" w:hAnsi="宋体" w:eastAsia="方正小标宋简体"/>
          <w:color w:val="000000"/>
          <w:sz w:val="72"/>
          <w:szCs w:val="72"/>
        </w:rPr>
      </w:pPr>
    </w:p>
    <w:p w14:paraId="06C7C64F">
      <w:pPr>
        <w:spacing w:line="600" w:lineRule="exact"/>
        <w:jc w:val="center"/>
        <w:outlineLvl w:val="0"/>
        <w:rPr>
          <w:rFonts w:ascii="方正小标宋简体" w:hAnsi="宋体" w:eastAsia="方正小标宋简体"/>
          <w:color w:val="000000"/>
          <w:sz w:val="72"/>
          <w:szCs w:val="72"/>
        </w:rPr>
      </w:pPr>
    </w:p>
    <w:p w14:paraId="11BC6BBE">
      <w:pPr>
        <w:spacing w:line="600" w:lineRule="exact"/>
        <w:jc w:val="center"/>
        <w:outlineLvl w:val="0"/>
        <w:rPr>
          <w:rFonts w:ascii="方正小标宋简体" w:hAnsi="宋体" w:eastAsia="方正小标宋简体"/>
          <w:color w:val="000000"/>
          <w:sz w:val="72"/>
          <w:szCs w:val="72"/>
        </w:rPr>
      </w:pPr>
    </w:p>
    <w:p w14:paraId="03C99DC9">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78441"/>
      <w:bookmarkStart w:id="4" w:name="_Toc15396597"/>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1D1FCDEB">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8442"/>
      <w:bookmarkStart w:id="8" w:name="_Toc15377194"/>
      <w:bookmarkStart w:id="9" w:name="_Toc15396476"/>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峨眉山市信访局  部门决算</w:t>
      </w:r>
      <w:bookmarkEnd w:id="6"/>
      <w:bookmarkEnd w:id="7"/>
      <w:bookmarkEnd w:id="8"/>
      <w:bookmarkEnd w:id="9"/>
      <w:bookmarkEnd w:id="10"/>
      <w:bookmarkEnd w:id="11"/>
    </w:p>
    <w:p w14:paraId="438FBA25">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46C02F90">
      <w:pPr>
        <w:widowControl/>
        <w:jc w:val="center"/>
        <w:rPr>
          <w:rFonts w:ascii="黑体" w:hAnsi="黑体" w:eastAsia="黑体" w:cstheme="minorBidi"/>
          <w:sz w:val="28"/>
          <w:szCs w:val="28"/>
        </w:rPr>
      </w:pPr>
    </w:p>
    <w:p w14:paraId="4012BB6C">
      <w:pPr>
        <w:pStyle w:val="10"/>
        <w:rPr>
          <w:rFonts w:ascii="仿宋_GB2312" w:eastAsia="仿宋_GB2312"/>
        </w:rPr>
      </w:pPr>
      <w:r>
        <w:rPr>
          <w:rFonts w:hint="eastAsia" w:ascii="仿宋_GB2312" w:eastAsia="仿宋_GB2312"/>
        </w:rPr>
        <w:t>公开时间：2020年10月28日</w:t>
      </w:r>
    </w:p>
    <w:p w14:paraId="1CF0B061">
      <w:pPr>
        <w:rPr>
          <w:rFonts w:ascii="仿宋_GB2312" w:eastAsia="仿宋_GB2312"/>
        </w:rPr>
      </w:pPr>
    </w:p>
    <w:p w14:paraId="393F1DF6">
      <w:pPr>
        <w:pStyle w:val="10"/>
        <w:adjustRightInd w:val="0"/>
        <w:snapToGrid w:val="0"/>
        <w:spacing w:before="0" w:line="520" w:lineRule="exact"/>
        <w:jc w:val="left"/>
        <w:rPr>
          <w:rFonts w:ascii="仿宋_GB2312" w:eastAsia="仿宋_GB2312" w:cstheme="minorBidi"/>
          <w:sz w:val="24"/>
          <w:szCs w:val="24"/>
        </w:rPr>
      </w:pPr>
      <w:r>
        <w:rPr>
          <w:rFonts w:hint="eastAsia" w:ascii="仿宋_GB2312" w:eastAsia="仿宋_GB2312"/>
          <w:b/>
          <w:sz w:val="24"/>
        </w:rPr>
        <w:t>第一部分 部门概况</w:t>
      </w:r>
      <w:r>
        <w:rPr>
          <w:rFonts w:hint="eastAsia" w:ascii="仿宋_GB2312" w:eastAsia="仿宋_GB2312"/>
          <w:sz w:val="24"/>
        </w:rPr>
        <w:t>.............................................4</w:t>
      </w:r>
    </w:p>
    <w:p w14:paraId="40CBAE10">
      <w:pPr>
        <w:pStyle w:val="11"/>
        <w:adjustRightInd w:val="0"/>
        <w:snapToGrid w:val="0"/>
        <w:spacing w:line="520" w:lineRule="exact"/>
        <w:jc w:val="left"/>
        <w:rPr>
          <w:rFonts w:ascii="仿宋_GB2312" w:hAnsi="仿宋" w:eastAsia="仿宋_GB2312"/>
          <w:sz w:val="24"/>
        </w:rPr>
      </w:pPr>
      <w:r>
        <w:rPr>
          <w:rFonts w:hint="eastAsia" w:ascii="仿宋_GB2312" w:eastAsia="仿宋_GB2312"/>
          <w:sz w:val="24"/>
        </w:rPr>
        <w:t>一、基本职能及主要工作....................................4</w:t>
      </w:r>
    </w:p>
    <w:p w14:paraId="375F948B">
      <w:pPr>
        <w:pStyle w:val="11"/>
        <w:adjustRightInd w:val="0"/>
        <w:snapToGrid w:val="0"/>
        <w:spacing w:line="520" w:lineRule="exact"/>
        <w:jc w:val="left"/>
        <w:rPr>
          <w:rFonts w:ascii="仿宋_GB2312" w:hAnsi="仿宋" w:eastAsia="仿宋_GB2312" w:cstheme="minorBidi"/>
          <w:b/>
          <w:sz w:val="24"/>
        </w:rPr>
      </w:pPr>
      <w:r>
        <w:rPr>
          <w:rFonts w:hint="eastAsia" w:ascii="仿宋_GB2312" w:eastAsia="仿宋_GB2312"/>
          <w:sz w:val="24"/>
        </w:rPr>
        <w:t>二、机构设置..............................................</w:t>
      </w:r>
      <w:r>
        <w:rPr>
          <w:rFonts w:hint="eastAsia" w:ascii="仿宋_GB2312" w:eastAsia="仿宋_GB2312"/>
          <w:b/>
          <w:sz w:val="24"/>
        </w:rPr>
        <w:t>5</w:t>
      </w:r>
    </w:p>
    <w:p w14:paraId="3C50351E">
      <w:pPr>
        <w:pStyle w:val="10"/>
        <w:adjustRightInd w:val="0"/>
        <w:snapToGrid w:val="0"/>
        <w:spacing w:before="0" w:line="520" w:lineRule="exact"/>
        <w:jc w:val="left"/>
        <w:rPr>
          <w:rFonts w:ascii="仿宋_GB2312" w:eastAsia="仿宋_GB2312"/>
          <w:b/>
          <w:sz w:val="24"/>
          <w:szCs w:val="24"/>
        </w:rPr>
      </w:pPr>
      <w:r>
        <w:rPr>
          <w:rFonts w:hint="eastAsia" w:ascii="仿宋_GB2312" w:eastAsia="仿宋_GB2312"/>
          <w:b/>
          <w:sz w:val="24"/>
        </w:rPr>
        <w:t>第二部分 2019年度部门决算情况说明</w:t>
      </w:r>
      <w:r>
        <w:rPr>
          <w:rFonts w:hint="eastAsia" w:ascii="仿宋_GB2312" w:eastAsia="仿宋_GB2312"/>
          <w:sz w:val="24"/>
        </w:rPr>
        <w:t>............................</w:t>
      </w:r>
      <w:r>
        <w:rPr>
          <w:rFonts w:hint="eastAsia" w:ascii="仿宋_GB2312" w:eastAsia="仿宋_GB2312"/>
          <w:b/>
          <w:sz w:val="24"/>
        </w:rPr>
        <w:t>6</w:t>
      </w:r>
    </w:p>
    <w:p w14:paraId="175EC5EB">
      <w:pPr>
        <w:pStyle w:val="11"/>
        <w:adjustRightInd w:val="0"/>
        <w:snapToGrid w:val="0"/>
        <w:spacing w:line="520" w:lineRule="exact"/>
        <w:jc w:val="left"/>
        <w:rPr>
          <w:rFonts w:ascii="仿宋_GB2312" w:hAnsi="仿宋" w:eastAsia="仿宋_GB2312" w:cstheme="minorBidi"/>
          <w:b/>
          <w:sz w:val="24"/>
        </w:rPr>
      </w:pPr>
      <w:r>
        <w:rPr>
          <w:rFonts w:hint="eastAsia" w:ascii="仿宋_GB2312" w:eastAsia="仿宋_GB2312"/>
          <w:sz w:val="24"/>
        </w:rPr>
        <w:t>一、收入支出决算总体情况说明..............................</w:t>
      </w:r>
      <w:r>
        <w:rPr>
          <w:rFonts w:hint="eastAsia" w:ascii="仿宋_GB2312" w:eastAsia="仿宋_GB2312"/>
          <w:b/>
          <w:sz w:val="24"/>
        </w:rPr>
        <w:t>6</w:t>
      </w:r>
    </w:p>
    <w:p w14:paraId="08155FFC">
      <w:pPr>
        <w:pStyle w:val="11"/>
        <w:adjustRightInd w:val="0"/>
        <w:snapToGrid w:val="0"/>
        <w:spacing w:line="520" w:lineRule="exact"/>
        <w:jc w:val="left"/>
        <w:rPr>
          <w:rFonts w:ascii="仿宋_GB2312" w:hAnsi="仿宋" w:eastAsia="仿宋_GB2312" w:cstheme="minorBidi"/>
          <w:b/>
          <w:sz w:val="24"/>
        </w:rPr>
      </w:pPr>
      <w:r>
        <w:rPr>
          <w:rFonts w:hint="eastAsia" w:ascii="仿宋_GB2312" w:eastAsia="仿宋_GB2312"/>
          <w:sz w:val="24"/>
        </w:rPr>
        <w:t>二、收入决算情况说明......................................</w:t>
      </w:r>
      <w:r>
        <w:rPr>
          <w:rFonts w:hint="eastAsia" w:ascii="仿宋_GB2312" w:eastAsia="仿宋_GB2312"/>
          <w:b/>
          <w:sz w:val="24"/>
        </w:rPr>
        <w:t>6</w:t>
      </w:r>
    </w:p>
    <w:p w14:paraId="30E1F753">
      <w:pPr>
        <w:pStyle w:val="11"/>
        <w:adjustRightInd w:val="0"/>
        <w:snapToGrid w:val="0"/>
        <w:spacing w:line="520" w:lineRule="exact"/>
        <w:jc w:val="left"/>
        <w:rPr>
          <w:rFonts w:ascii="仿宋_GB2312" w:hAnsi="仿宋" w:eastAsia="仿宋_GB2312" w:cstheme="minorBidi"/>
          <w:b/>
          <w:sz w:val="24"/>
        </w:rPr>
      </w:pPr>
      <w:r>
        <w:rPr>
          <w:rFonts w:hint="eastAsia" w:ascii="仿宋_GB2312" w:eastAsia="仿宋_GB2312"/>
          <w:sz w:val="24"/>
        </w:rPr>
        <w:t>三、支出决算情况说明......................................</w:t>
      </w:r>
      <w:r>
        <w:rPr>
          <w:rFonts w:hint="eastAsia" w:ascii="仿宋_GB2312" w:eastAsia="仿宋_GB2312"/>
          <w:b/>
          <w:sz w:val="24"/>
        </w:rPr>
        <w:t>7</w:t>
      </w:r>
    </w:p>
    <w:p w14:paraId="3DFC3B31">
      <w:pPr>
        <w:pStyle w:val="11"/>
        <w:adjustRightInd w:val="0"/>
        <w:snapToGrid w:val="0"/>
        <w:spacing w:line="520" w:lineRule="exact"/>
        <w:jc w:val="left"/>
        <w:rPr>
          <w:rFonts w:ascii="仿宋_GB2312" w:hAnsi="仿宋" w:eastAsia="仿宋_GB2312" w:cstheme="minorBidi"/>
          <w:sz w:val="24"/>
        </w:rPr>
      </w:pPr>
      <w:r>
        <w:rPr>
          <w:rFonts w:hint="eastAsia" w:ascii="仿宋_GB2312" w:eastAsia="仿宋_GB2312"/>
          <w:sz w:val="24"/>
        </w:rPr>
        <w:t>四、财政拨款收入支出决算总体情况说明......................</w:t>
      </w:r>
      <w:r>
        <w:rPr>
          <w:rFonts w:hint="eastAsia" w:ascii="仿宋_GB2312" w:eastAsia="仿宋_GB2312"/>
          <w:b/>
          <w:sz w:val="24"/>
        </w:rPr>
        <w:t>8</w:t>
      </w:r>
    </w:p>
    <w:p w14:paraId="4B8615E7">
      <w:pPr>
        <w:pStyle w:val="11"/>
        <w:adjustRightInd w:val="0"/>
        <w:snapToGrid w:val="0"/>
        <w:spacing w:line="520" w:lineRule="exact"/>
        <w:jc w:val="left"/>
        <w:rPr>
          <w:rFonts w:ascii="仿宋_GB2312" w:hAnsi="仿宋" w:eastAsia="仿宋_GB2312" w:cstheme="minorBidi"/>
          <w:b/>
          <w:sz w:val="24"/>
        </w:rPr>
      </w:pPr>
      <w:r>
        <w:rPr>
          <w:rFonts w:hint="eastAsia" w:ascii="仿宋_GB2312" w:eastAsia="仿宋_GB2312"/>
          <w:sz w:val="24"/>
        </w:rPr>
        <w:t>五、一般公共预算财政拨款支出决算情况说明..................</w:t>
      </w:r>
      <w:r>
        <w:rPr>
          <w:rFonts w:hint="eastAsia" w:ascii="仿宋_GB2312" w:eastAsia="仿宋_GB2312"/>
          <w:b/>
          <w:sz w:val="24"/>
        </w:rPr>
        <w:t>8</w:t>
      </w:r>
    </w:p>
    <w:p w14:paraId="769D4140">
      <w:pPr>
        <w:pStyle w:val="11"/>
        <w:adjustRightInd w:val="0"/>
        <w:snapToGrid w:val="0"/>
        <w:spacing w:line="520" w:lineRule="exact"/>
        <w:jc w:val="left"/>
        <w:rPr>
          <w:rFonts w:ascii="仿宋_GB2312" w:hAnsi="仿宋" w:eastAsia="仿宋_GB2312" w:cstheme="minorBidi"/>
          <w:sz w:val="24"/>
        </w:rPr>
      </w:pPr>
      <w:r>
        <w:rPr>
          <w:rFonts w:hint="eastAsia" w:ascii="仿宋_GB2312" w:eastAsia="仿宋_GB2312"/>
          <w:sz w:val="24"/>
        </w:rPr>
        <w:t>六、一般公共预算财政拨款基本支出决算情况说明.............</w:t>
      </w:r>
      <w:r>
        <w:rPr>
          <w:rFonts w:hint="eastAsia" w:ascii="仿宋_GB2312" w:eastAsia="仿宋_GB2312"/>
          <w:b/>
          <w:sz w:val="24"/>
        </w:rPr>
        <w:t>10</w:t>
      </w:r>
    </w:p>
    <w:p w14:paraId="39E26706">
      <w:pPr>
        <w:pStyle w:val="11"/>
        <w:adjustRightInd w:val="0"/>
        <w:snapToGrid w:val="0"/>
        <w:spacing w:line="520" w:lineRule="exact"/>
        <w:jc w:val="left"/>
        <w:rPr>
          <w:rFonts w:ascii="仿宋_GB2312" w:hAnsi="仿宋" w:eastAsia="仿宋_GB2312" w:cstheme="minorBidi"/>
          <w:sz w:val="24"/>
        </w:rPr>
      </w:pPr>
      <w:r>
        <w:rPr>
          <w:rFonts w:hint="eastAsia" w:ascii="仿宋_GB2312" w:eastAsia="仿宋_GB2312"/>
          <w:sz w:val="24"/>
        </w:rPr>
        <w:t>七、“三公”经费财政拨款支出决算情况说明..................</w:t>
      </w:r>
      <w:r>
        <w:rPr>
          <w:rFonts w:hint="eastAsia" w:ascii="仿宋_GB2312" w:eastAsia="仿宋_GB2312"/>
          <w:b/>
          <w:sz w:val="24"/>
        </w:rPr>
        <w:t>11</w:t>
      </w:r>
    </w:p>
    <w:p w14:paraId="746123A5">
      <w:pPr>
        <w:pStyle w:val="11"/>
        <w:adjustRightInd w:val="0"/>
        <w:snapToGrid w:val="0"/>
        <w:spacing w:line="520" w:lineRule="exact"/>
        <w:jc w:val="left"/>
        <w:rPr>
          <w:rFonts w:ascii="仿宋_GB2312" w:hAnsi="仿宋" w:eastAsia="仿宋_GB2312" w:cstheme="minorBidi"/>
          <w:sz w:val="24"/>
        </w:rPr>
      </w:pPr>
      <w:r>
        <w:rPr>
          <w:rFonts w:hint="eastAsia" w:ascii="仿宋_GB2312" w:eastAsia="仿宋_GB2312"/>
          <w:sz w:val="24"/>
        </w:rPr>
        <w:t>八、政府性基金预算支出决算情况说明.......................</w:t>
      </w:r>
      <w:r>
        <w:rPr>
          <w:rFonts w:hint="eastAsia" w:ascii="仿宋_GB2312" w:eastAsia="仿宋_GB2312"/>
          <w:b/>
          <w:sz w:val="24"/>
        </w:rPr>
        <w:t>12</w:t>
      </w:r>
    </w:p>
    <w:p w14:paraId="645E0789">
      <w:pPr>
        <w:pStyle w:val="11"/>
        <w:adjustRightInd w:val="0"/>
        <w:snapToGrid w:val="0"/>
        <w:spacing w:line="520" w:lineRule="exact"/>
        <w:ind w:leftChars="0"/>
        <w:jc w:val="left"/>
        <w:rPr>
          <w:rFonts w:ascii="仿宋_GB2312" w:hAnsi="仿宋" w:eastAsia="仿宋_GB2312"/>
          <w:b/>
          <w:sz w:val="24"/>
        </w:rPr>
      </w:pPr>
      <w:r>
        <w:rPr>
          <w:rFonts w:hint="eastAsia" w:ascii="仿宋_GB2312" w:hAnsi="仿宋" w:eastAsia="仿宋_GB2312"/>
          <w:sz w:val="24"/>
        </w:rPr>
        <w:t>九、</w:t>
      </w:r>
      <w:r>
        <w:rPr>
          <w:rFonts w:hint="eastAsia" w:ascii="仿宋_GB2312" w:eastAsia="仿宋_GB2312"/>
          <w:sz w:val="24"/>
        </w:rPr>
        <w:t xml:space="preserve"> 国有资本经营预算支出决算情况说明....................</w:t>
      </w:r>
      <w:r>
        <w:rPr>
          <w:rFonts w:hint="eastAsia" w:ascii="仿宋_GB2312" w:eastAsia="仿宋_GB2312"/>
          <w:b/>
          <w:sz w:val="24"/>
        </w:rPr>
        <w:t>13</w:t>
      </w:r>
    </w:p>
    <w:p w14:paraId="122E5D03">
      <w:pPr>
        <w:adjustRightInd w:val="0"/>
        <w:snapToGrid w:val="0"/>
        <w:spacing w:line="520" w:lineRule="exact"/>
        <w:ind w:firstLine="480" w:firstLineChars="200"/>
        <w:jc w:val="left"/>
        <w:rPr>
          <w:rFonts w:ascii="仿宋_GB2312" w:hAnsi="仿宋" w:eastAsia="仿宋_GB2312" w:cstheme="minorBidi"/>
          <w:b/>
          <w:sz w:val="24"/>
        </w:rPr>
      </w:pPr>
      <w:r>
        <w:rPr>
          <w:rStyle w:val="15"/>
          <w:rFonts w:hint="eastAsia" w:ascii="仿宋_GB2312" w:hAnsi="仿宋" w:eastAsia="仿宋_GB2312"/>
          <w:color w:val="000000" w:themeColor="text1"/>
          <w:sz w:val="24"/>
          <w:u w:val="none"/>
        </w:rPr>
        <w:t>十、</w:t>
      </w:r>
      <w:r>
        <w:rPr>
          <w:rFonts w:hint="eastAsia" w:ascii="仿宋_GB2312" w:eastAsia="仿宋_GB2312"/>
          <w:sz w:val="24"/>
        </w:rPr>
        <w:t>其他重要事项的情况说明...............................</w:t>
      </w:r>
      <w:r>
        <w:rPr>
          <w:rFonts w:hint="eastAsia" w:ascii="仿宋_GB2312" w:eastAsia="仿宋_GB2312"/>
          <w:b/>
          <w:sz w:val="24"/>
        </w:rPr>
        <w:t>13</w:t>
      </w:r>
    </w:p>
    <w:p w14:paraId="625D8BB9">
      <w:pPr>
        <w:pStyle w:val="10"/>
        <w:adjustRightInd w:val="0"/>
        <w:snapToGrid w:val="0"/>
        <w:spacing w:before="0" w:line="520" w:lineRule="exact"/>
        <w:jc w:val="left"/>
        <w:rPr>
          <w:rFonts w:ascii="仿宋_GB2312" w:eastAsia="仿宋_GB2312" w:cstheme="minorBidi"/>
          <w:b/>
          <w:sz w:val="24"/>
          <w:szCs w:val="24"/>
        </w:rPr>
      </w:pPr>
      <w:r>
        <w:rPr>
          <w:rFonts w:hint="eastAsia" w:ascii="仿宋_GB2312" w:eastAsia="仿宋_GB2312"/>
          <w:b/>
          <w:sz w:val="24"/>
        </w:rPr>
        <w:t>第三部分 名词解释</w:t>
      </w:r>
      <w:r>
        <w:rPr>
          <w:rFonts w:hint="eastAsia" w:ascii="仿宋_GB2312" w:eastAsia="仿宋_GB2312"/>
          <w:sz w:val="24"/>
        </w:rPr>
        <w:t>............................................</w:t>
      </w:r>
      <w:r>
        <w:rPr>
          <w:rFonts w:hint="eastAsia" w:ascii="仿宋_GB2312" w:eastAsia="仿宋_GB2312"/>
          <w:b/>
          <w:sz w:val="24"/>
        </w:rPr>
        <w:t>20</w:t>
      </w:r>
    </w:p>
    <w:p w14:paraId="40E3007F">
      <w:pPr>
        <w:pStyle w:val="10"/>
        <w:adjustRightInd w:val="0"/>
        <w:snapToGrid w:val="0"/>
        <w:spacing w:before="0" w:line="520" w:lineRule="exact"/>
        <w:jc w:val="left"/>
        <w:rPr>
          <w:rFonts w:ascii="仿宋_GB2312" w:eastAsia="仿宋_GB2312" w:cstheme="minorBidi"/>
          <w:b/>
          <w:sz w:val="24"/>
          <w:szCs w:val="24"/>
        </w:rPr>
      </w:pPr>
      <w:r>
        <w:rPr>
          <w:rFonts w:hint="eastAsia" w:ascii="仿宋_GB2312" w:eastAsia="仿宋_GB2312"/>
          <w:b/>
          <w:sz w:val="24"/>
        </w:rPr>
        <w:t>第四部分 附件</w:t>
      </w:r>
      <w:r>
        <w:rPr>
          <w:rFonts w:hint="eastAsia" w:ascii="仿宋_GB2312" w:eastAsia="仿宋_GB2312"/>
          <w:sz w:val="24"/>
        </w:rPr>
        <w:t>................................................</w:t>
      </w:r>
      <w:r>
        <w:rPr>
          <w:rFonts w:hint="eastAsia" w:ascii="仿宋_GB2312" w:eastAsia="仿宋_GB2312"/>
          <w:b/>
          <w:sz w:val="24"/>
        </w:rPr>
        <w:t>23</w:t>
      </w:r>
    </w:p>
    <w:p w14:paraId="25CF9C5F">
      <w:pPr>
        <w:pStyle w:val="11"/>
        <w:adjustRightInd w:val="0"/>
        <w:snapToGrid w:val="0"/>
        <w:spacing w:line="520" w:lineRule="exact"/>
        <w:jc w:val="left"/>
        <w:rPr>
          <w:rFonts w:ascii="仿宋_GB2312" w:eastAsia="仿宋_GB2312"/>
          <w:sz w:val="24"/>
        </w:rPr>
      </w:pPr>
      <w:r>
        <w:rPr>
          <w:rFonts w:hint="eastAsia" w:ascii="仿宋_GB2312" w:eastAsia="仿宋_GB2312"/>
          <w:sz w:val="24"/>
        </w:rPr>
        <w:t>附件1.峨眉山市信访局2019年整体支出绩效评价报告..........</w:t>
      </w:r>
      <w:r>
        <w:rPr>
          <w:rFonts w:hint="eastAsia" w:ascii="仿宋_GB2312" w:eastAsia="仿宋_GB2312"/>
          <w:b/>
          <w:sz w:val="24"/>
        </w:rPr>
        <w:t>23</w:t>
      </w:r>
    </w:p>
    <w:p w14:paraId="304F8B24">
      <w:pPr>
        <w:pStyle w:val="10"/>
        <w:adjustRightInd w:val="0"/>
        <w:snapToGrid w:val="0"/>
        <w:spacing w:before="0" w:line="520" w:lineRule="exact"/>
        <w:jc w:val="left"/>
        <w:rPr>
          <w:rFonts w:ascii="仿宋_GB2312" w:eastAsia="仿宋_GB2312" w:cstheme="minorBidi"/>
          <w:sz w:val="24"/>
          <w:szCs w:val="24"/>
        </w:rPr>
      </w:pPr>
      <w:r>
        <w:rPr>
          <w:rFonts w:hint="eastAsia" w:ascii="仿宋_GB2312" w:eastAsia="仿宋_GB2312"/>
          <w:b/>
          <w:sz w:val="24"/>
        </w:rPr>
        <w:t>第五部分 附表</w:t>
      </w:r>
      <w:r>
        <w:rPr>
          <w:rFonts w:hint="eastAsia" w:ascii="仿宋_GB2312" w:eastAsia="仿宋_GB2312"/>
          <w:sz w:val="24"/>
        </w:rPr>
        <w:t>................................................</w:t>
      </w:r>
      <w:r>
        <w:rPr>
          <w:rFonts w:hint="eastAsia" w:ascii="仿宋_GB2312" w:eastAsia="仿宋_GB2312"/>
          <w:b/>
          <w:sz w:val="24"/>
        </w:rPr>
        <w:t>28</w:t>
      </w:r>
    </w:p>
    <w:p w14:paraId="6F2F092F">
      <w:pPr>
        <w:pStyle w:val="11"/>
        <w:adjustRightInd w:val="0"/>
        <w:snapToGrid w:val="0"/>
        <w:spacing w:line="520" w:lineRule="exact"/>
        <w:jc w:val="left"/>
        <w:rPr>
          <w:rFonts w:ascii="仿宋_GB2312" w:hAnsi="仿宋" w:eastAsia="仿宋_GB2312" w:cstheme="minorBidi"/>
          <w:b/>
          <w:sz w:val="24"/>
        </w:rPr>
      </w:pPr>
      <w:r>
        <w:rPr>
          <w:rFonts w:hint="eastAsia" w:ascii="仿宋_GB2312" w:hAnsi="仿宋" w:eastAsia="仿宋_GB2312"/>
          <w:sz w:val="24"/>
        </w:rPr>
        <w:t>一、</w:t>
      </w:r>
      <w:r>
        <w:rPr>
          <w:rFonts w:hint="eastAsia" w:ascii="仿宋_GB2312" w:eastAsia="仿宋_GB2312"/>
          <w:sz w:val="24"/>
        </w:rPr>
        <w:t>收入支出决算总表......................................</w:t>
      </w:r>
      <w:r>
        <w:rPr>
          <w:rFonts w:hint="eastAsia" w:ascii="仿宋_GB2312" w:eastAsia="仿宋_GB2312"/>
          <w:b/>
          <w:sz w:val="24"/>
        </w:rPr>
        <w:t>28</w:t>
      </w:r>
    </w:p>
    <w:p w14:paraId="06D07734">
      <w:pPr>
        <w:pStyle w:val="11"/>
        <w:adjustRightInd w:val="0"/>
        <w:snapToGrid w:val="0"/>
        <w:spacing w:line="520" w:lineRule="exact"/>
        <w:jc w:val="left"/>
        <w:rPr>
          <w:rFonts w:ascii="仿宋_GB2312" w:eastAsia="仿宋_GB2312"/>
          <w:b/>
          <w:sz w:val="24"/>
        </w:rPr>
      </w:pPr>
      <w:r>
        <w:rPr>
          <w:rFonts w:hint="eastAsia" w:ascii="仿宋_GB2312" w:hAnsi="仿宋" w:eastAsia="仿宋_GB2312"/>
          <w:sz w:val="24"/>
        </w:rPr>
        <w:t>二、</w:t>
      </w:r>
      <w:r>
        <w:rPr>
          <w:rFonts w:hint="eastAsia" w:ascii="仿宋_GB2312" w:eastAsia="仿宋_GB2312"/>
          <w:sz w:val="24"/>
        </w:rPr>
        <w:t>收入</w:t>
      </w:r>
      <w:r>
        <w:rPr>
          <w:rFonts w:hint="eastAsia" w:ascii="仿宋_GB2312" w:hAnsi="仿宋" w:eastAsia="仿宋_GB2312"/>
          <w:sz w:val="24"/>
        </w:rPr>
        <w:t>决算</w:t>
      </w:r>
      <w:r>
        <w:rPr>
          <w:rFonts w:hint="eastAsia" w:ascii="仿宋_GB2312" w:eastAsia="仿宋_GB2312"/>
          <w:sz w:val="24"/>
        </w:rPr>
        <w:t>表............................................</w:t>
      </w:r>
      <w:r>
        <w:rPr>
          <w:rFonts w:hint="eastAsia" w:ascii="仿宋_GB2312" w:eastAsia="仿宋_GB2312"/>
          <w:b/>
          <w:sz w:val="24"/>
        </w:rPr>
        <w:t>28</w:t>
      </w:r>
    </w:p>
    <w:p w14:paraId="49156860">
      <w:pPr>
        <w:pStyle w:val="11"/>
        <w:adjustRightInd w:val="0"/>
        <w:snapToGrid w:val="0"/>
        <w:spacing w:line="520" w:lineRule="exact"/>
        <w:jc w:val="left"/>
        <w:rPr>
          <w:rFonts w:ascii="仿宋_GB2312" w:hAnsi="仿宋" w:eastAsia="仿宋_GB2312" w:cstheme="minorBidi"/>
          <w:b/>
          <w:sz w:val="24"/>
        </w:rPr>
      </w:pPr>
      <w:r>
        <w:rPr>
          <w:rFonts w:hint="eastAsia" w:ascii="仿宋_GB2312" w:hAnsi="仿宋" w:eastAsia="仿宋_GB2312"/>
          <w:sz w:val="24"/>
        </w:rPr>
        <w:t>三、</w:t>
      </w:r>
      <w:r>
        <w:rPr>
          <w:rFonts w:hint="eastAsia" w:ascii="仿宋_GB2312" w:eastAsia="仿宋_GB2312"/>
          <w:sz w:val="24"/>
        </w:rPr>
        <w:t>支出</w:t>
      </w:r>
      <w:r>
        <w:rPr>
          <w:rFonts w:hint="eastAsia" w:ascii="仿宋_GB2312" w:hAnsi="仿宋" w:eastAsia="仿宋_GB2312"/>
          <w:sz w:val="24"/>
        </w:rPr>
        <w:t>决算</w:t>
      </w:r>
      <w:r>
        <w:rPr>
          <w:rFonts w:hint="eastAsia" w:ascii="仿宋_GB2312" w:eastAsia="仿宋_GB2312"/>
          <w:sz w:val="24"/>
        </w:rPr>
        <w:t>表............................................</w:t>
      </w:r>
      <w:r>
        <w:rPr>
          <w:rFonts w:hint="eastAsia" w:ascii="仿宋_GB2312" w:eastAsia="仿宋_GB2312"/>
          <w:b/>
          <w:sz w:val="24"/>
        </w:rPr>
        <w:t>28</w:t>
      </w:r>
    </w:p>
    <w:p w14:paraId="7A094DBD">
      <w:pPr>
        <w:pStyle w:val="11"/>
        <w:adjustRightInd w:val="0"/>
        <w:snapToGrid w:val="0"/>
        <w:spacing w:line="520" w:lineRule="exact"/>
        <w:jc w:val="left"/>
        <w:rPr>
          <w:rFonts w:ascii="仿宋_GB2312" w:hAnsi="仿宋" w:eastAsia="仿宋_GB2312" w:cstheme="minorBidi"/>
          <w:b/>
          <w:sz w:val="24"/>
        </w:rPr>
      </w:pPr>
      <w:r>
        <w:rPr>
          <w:rFonts w:hint="eastAsia" w:ascii="仿宋_GB2312" w:hAnsi="仿宋" w:eastAsia="仿宋_GB2312"/>
          <w:sz w:val="24"/>
        </w:rPr>
        <w:t>四、</w:t>
      </w:r>
      <w:r>
        <w:rPr>
          <w:rFonts w:hint="eastAsia" w:ascii="仿宋_GB2312" w:eastAsia="仿宋_GB2312"/>
          <w:sz w:val="24"/>
        </w:rPr>
        <w:t>财政拨款收入支出决算总表..............................</w:t>
      </w:r>
      <w:r>
        <w:rPr>
          <w:rFonts w:hint="eastAsia" w:ascii="仿宋_GB2312" w:eastAsia="仿宋_GB2312"/>
          <w:b/>
          <w:sz w:val="24"/>
        </w:rPr>
        <w:t>28</w:t>
      </w:r>
    </w:p>
    <w:p w14:paraId="47275772">
      <w:pPr>
        <w:pStyle w:val="11"/>
        <w:adjustRightInd w:val="0"/>
        <w:snapToGrid w:val="0"/>
        <w:spacing w:line="520" w:lineRule="exact"/>
        <w:jc w:val="left"/>
        <w:rPr>
          <w:rFonts w:ascii="仿宋_GB2312" w:hAnsi="仿宋" w:eastAsia="仿宋_GB2312"/>
          <w:b/>
          <w:sz w:val="24"/>
        </w:rPr>
      </w:pPr>
      <w:r>
        <w:rPr>
          <w:rFonts w:hint="eastAsia" w:ascii="仿宋_GB2312" w:hAnsi="仿宋" w:eastAsia="仿宋_GB2312"/>
          <w:sz w:val="24"/>
        </w:rPr>
        <w:t>五、财政拨款支出决算明细表</w:t>
      </w:r>
      <w:r>
        <w:rPr>
          <w:rFonts w:hint="eastAsia" w:ascii="仿宋_GB2312" w:eastAsia="仿宋_GB2312"/>
          <w:sz w:val="24"/>
        </w:rPr>
        <w:t>................................</w:t>
      </w:r>
      <w:r>
        <w:rPr>
          <w:rFonts w:hint="eastAsia" w:ascii="仿宋_GB2312" w:eastAsia="仿宋_GB2312"/>
          <w:b/>
          <w:sz w:val="24"/>
        </w:rPr>
        <w:t>28</w:t>
      </w:r>
    </w:p>
    <w:p w14:paraId="3CDE97CF">
      <w:pPr>
        <w:pStyle w:val="11"/>
        <w:adjustRightInd w:val="0"/>
        <w:snapToGrid w:val="0"/>
        <w:spacing w:line="520" w:lineRule="exact"/>
        <w:jc w:val="left"/>
        <w:rPr>
          <w:rFonts w:ascii="仿宋_GB2312" w:hAnsi="仿宋" w:eastAsia="仿宋_GB2312" w:cstheme="minorBidi"/>
          <w:b/>
          <w:sz w:val="24"/>
        </w:rPr>
      </w:pPr>
      <w:r>
        <w:rPr>
          <w:rFonts w:hint="eastAsia" w:ascii="仿宋_GB2312" w:hAnsi="仿宋" w:eastAsia="仿宋_GB2312"/>
          <w:sz w:val="24"/>
        </w:rPr>
        <w:t>六、</w:t>
      </w:r>
      <w:r>
        <w:rPr>
          <w:rFonts w:hint="eastAsia" w:ascii="仿宋_GB2312" w:eastAsia="仿宋_GB2312"/>
          <w:sz w:val="24"/>
        </w:rPr>
        <w:t>一般公共预算财政拨款支出决算表........................</w:t>
      </w:r>
      <w:r>
        <w:rPr>
          <w:rFonts w:hint="eastAsia" w:ascii="仿宋_GB2312" w:eastAsia="仿宋_GB2312"/>
          <w:b/>
          <w:sz w:val="24"/>
        </w:rPr>
        <w:t>28</w:t>
      </w:r>
    </w:p>
    <w:p w14:paraId="69F5673C">
      <w:pPr>
        <w:pStyle w:val="11"/>
        <w:adjustRightInd w:val="0"/>
        <w:snapToGrid w:val="0"/>
        <w:spacing w:line="520" w:lineRule="exact"/>
        <w:jc w:val="left"/>
        <w:rPr>
          <w:rFonts w:ascii="仿宋_GB2312" w:hAnsi="仿宋" w:eastAsia="仿宋_GB2312" w:cstheme="minorBidi"/>
          <w:b/>
          <w:sz w:val="24"/>
        </w:rPr>
      </w:pPr>
      <w:r>
        <w:rPr>
          <w:rFonts w:hint="eastAsia" w:ascii="仿宋_GB2312" w:hAnsi="仿宋" w:eastAsia="仿宋_GB2312"/>
          <w:sz w:val="24"/>
        </w:rPr>
        <w:t>七、</w:t>
      </w:r>
      <w:r>
        <w:rPr>
          <w:rFonts w:hint="eastAsia" w:ascii="仿宋_GB2312" w:eastAsia="仿宋_GB2312"/>
          <w:sz w:val="24"/>
        </w:rPr>
        <w:t>一般公共预算财政拨款支出决算明细表....................</w:t>
      </w:r>
      <w:r>
        <w:rPr>
          <w:rFonts w:hint="eastAsia" w:ascii="仿宋_GB2312" w:eastAsia="仿宋_GB2312"/>
          <w:b/>
          <w:sz w:val="24"/>
        </w:rPr>
        <w:t>28</w:t>
      </w:r>
    </w:p>
    <w:p w14:paraId="003017CC">
      <w:pPr>
        <w:pStyle w:val="11"/>
        <w:adjustRightInd w:val="0"/>
        <w:snapToGrid w:val="0"/>
        <w:spacing w:line="520" w:lineRule="exact"/>
        <w:jc w:val="left"/>
        <w:rPr>
          <w:rFonts w:ascii="仿宋_GB2312" w:hAnsi="仿宋" w:eastAsia="仿宋_GB2312" w:cstheme="minorBidi"/>
          <w:b/>
          <w:sz w:val="24"/>
        </w:rPr>
      </w:pPr>
      <w:r>
        <w:rPr>
          <w:rFonts w:hint="eastAsia" w:ascii="仿宋_GB2312" w:hAnsi="仿宋" w:eastAsia="仿宋_GB2312"/>
          <w:sz w:val="24"/>
        </w:rPr>
        <w:t>八、</w:t>
      </w:r>
      <w:r>
        <w:rPr>
          <w:rFonts w:hint="eastAsia" w:ascii="仿宋_GB2312" w:eastAsia="仿宋_GB2312"/>
          <w:sz w:val="24"/>
        </w:rPr>
        <w:t>一般公共预算财政拨款基本支出决算表....................</w:t>
      </w:r>
      <w:r>
        <w:rPr>
          <w:rFonts w:hint="eastAsia" w:ascii="仿宋_GB2312" w:eastAsia="仿宋_GB2312"/>
          <w:b/>
          <w:sz w:val="24"/>
        </w:rPr>
        <w:t>28</w:t>
      </w:r>
    </w:p>
    <w:p w14:paraId="2E519E3F">
      <w:pPr>
        <w:pStyle w:val="11"/>
        <w:adjustRightInd w:val="0"/>
        <w:snapToGrid w:val="0"/>
        <w:spacing w:line="520" w:lineRule="exact"/>
        <w:jc w:val="left"/>
        <w:rPr>
          <w:rFonts w:ascii="仿宋_GB2312" w:hAnsi="仿宋" w:eastAsia="仿宋_GB2312" w:cstheme="minorBidi"/>
          <w:sz w:val="24"/>
        </w:rPr>
      </w:pPr>
      <w:r>
        <w:rPr>
          <w:rFonts w:hint="eastAsia" w:ascii="仿宋_GB2312" w:hAnsi="仿宋" w:eastAsia="仿宋_GB2312"/>
          <w:sz w:val="24"/>
        </w:rPr>
        <w:t>九、</w:t>
      </w:r>
      <w:r>
        <w:rPr>
          <w:rFonts w:hint="eastAsia" w:ascii="仿宋_GB2312" w:eastAsia="仿宋_GB2312"/>
          <w:sz w:val="24"/>
        </w:rPr>
        <w:t>一般公共预算财政拨款项目支出决算表....................</w:t>
      </w:r>
      <w:r>
        <w:rPr>
          <w:rFonts w:hint="eastAsia" w:ascii="仿宋_GB2312" w:eastAsia="仿宋_GB2312"/>
          <w:b/>
          <w:sz w:val="24"/>
        </w:rPr>
        <w:t>28</w:t>
      </w:r>
    </w:p>
    <w:p w14:paraId="479C12DE">
      <w:pPr>
        <w:pStyle w:val="11"/>
        <w:adjustRightInd w:val="0"/>
        <w:snapToGrid w:val="0"/>
        <w:spacing w:line="520" w:lineRule="exact"/>
        <w:jc w:val="left"/>
        <w:rPr>
          <w:rFonts w:ascii="仿宋_GB2312" w:eastAsia="仿宋_GB2312"/>
          <w:sz w:val="24"/>
        </w:rPr>
      </w:pPr>
      <w:r>
        <w:rPr>
          <w:rFonts w:hint="eastAsia" w:ascii="仿宋_GB2312" w:hAnsi="仿宋" w:eastAsia="仿宋_GB2312"/>
          <w:sz w:val="24"/>
        </w:rPr>
        <w:t>十、</w:t>
      </w:r>
      <w:r>
        <w:rPr>
          <w:rFonts w:hint="eastAsia" w:ascii="仿宋_GB2312" w:eastAsia="仿宋_GB2312"/>
          <w:sz w:val="24"/>
        </w:rPr>
        <w:t>一般公共预算财政拨款“三公”经费支出决算表............</w:t>
      </w:r>
      <w:r>
        <w:rPr>
          <w:rFonts w:hint="eastAsia" w:ascii="仿宋_GB2312" w:eastAsia="仿宋_GB2312"/>
          <w:b/>
          <w:sz w:val="24"/>
        </w:rPr>
        <w:t>28</w:t>
      </w:r>
    </w:p>
    <w:p w14:paraId="1A044867">
      <w:pPr>
        <w:pStyle w:val="11"/>
        <w:adjustRightInd w:val="0"/>
        <w:snapToGrid w:val="0"/>
        <w:spacing w:line="520" w:lineRule="exact"/>
        <w:jc w:val="left"/>
        <w:rPr>
          <w:rFonts w:ascii="仿宋_GB2312" w:eastAsia="仿宋_GB2312"/>
          <w:b/>
          <w:sz w:val="24"/>
        </w:rPr>
      </w:pPr>
      <w:r>
        <w:rPr>
          <w:rFonts w:hint="eastAsia" w:ascii="仿宋_GB2312" w:hAnsi="仿宋" w:eastAsia="仿宋_GB2312"/>
          <w:sz w:val="24"/>
        </w:rPr>
        <w:t>十一、</w:t>
      </w:r>
      <w:r>
        <w:rPr>
          <w:rFonts w:hint="eastAsia" w:ascii="仿宋_GB2312" w:eastAsia="仿宋_GB2312"/>
          <w:sz w:val="24"/>
        </w:rPr>
        <w:t>政府性基金预算财政拨款收入支出决算表................</w:t>
      </w:r>
      <w:r>
        <w:rPr>
          <w:rFonts w:hint="eastAsia" w:ascii="仿宋_GB2312" w:eastAsia="仿宋_GB2312"/>
          <w:b/>
          <w:sz w:val="24"/>
        </w:rPr>
        <w:t>28</w:t>
      </w:r>
    </w:p>
    <w:p w14:paraId="2DBDA4A9">
      <w:pPr>
        <w:pStyle w:val="11"/>
        <w:adjustRightInd w:val="0"/>
        <w:snapToGrid w:val="0"/>
        <w:spacing w:line="520" w:lineRule="exact"/>
        <w:jc w:val="left"/>
        <w:rPr>
          <w:rFonts w:ascii="仿宋_GB2312" w:eastAsia="仿宋_GB2312"/>
          <w:b/>
          <w:sz w:val="24"/>
        </w:rPr>
      </w:pPr>
      <w:r>
        <w:rPr>
          <w:rFonts w:hint="eastAsia" w:ascii="仿宋_GB2312" w:hAnsi="仿宋" w:eastAsia="仿宋_GB2312"/>
          <w:sz w:val="24"/>
        </w:rPr>
        <w:t>十二、</w:t>
      </w:r>
      <w:r>
        <w:rPr>
          <w:rFonts w:hint="eastAsia" w:ascii="仿宋_GB2312" w:eastAsia="仿宋_GB2312"/>
          <w:sz w:val="24"/>
        </w:rPr>
        <w:t>政府性基金预算财政拨款“三公”经费支出决算表........</w:t>
      </w:r>
      <w:r>
        <w:rPr>
          <w:rFonts w:hint="eastAsia" w:ascii="仿宋_GB2312" w:eastAsia="仿宋_GB2312"/>
          <w:b/>
          <w:sz w:val="24"/>
        </w:rPr>
        <w:t>28</w:t>
      </w:r>
    </w:p>
    <w:p w14:paraId="15A847AE">
      <w:pPr>
        <w:pStyle w:val="11"/>
        <w:adjustRightInd w:val="0"/>
        <w:snapToGrid w:val="0"/>
        <w:spacing w:line="520" w:lineRule="exact"/>
        <w:jc w:val="left"/>
        <w:rPr>
          <w:rFonts w:ascii="仿宋_GB2312" w:hAnsi="仿宋" w:eastAsia="仿宋_GB2312" w:cstheme="minorBidi"/>
          <w:b/>
          <w:sz w:val="24"/>
        </w:rPr>
      </w:pPr>
      <w:r>
        <w:rPr>
          <w:rFonts w:hint="eastAsia" w:ascii="仿宋_GB2312" w:hAnsi="仿宋" w:eastAsia="仿宋_GB2312"/>
          <w:sz w:val="24"/>
        </w:rPr>
        <w:t>十三、</w:t>
      </w:r>
      <w:r>
        <w:rPr>
          <w:rFonts w:hint="eastAsia" w:ascii="仿宋_GB2312" w:eastAsia="仿宋_GB2312"/>
          <w:sz w:val="24"/>
        </w:rPr>
        <w:t>国有资本经营预算支出决算表..........................</w:t>
      </w:r>
      <w:r>
        <w:rPr>
          <w:rFonts w:hint="eastAsia" w:ascii="仿宋_GB2312" w:eastAsia="仿宋_GB2312"/>
          <w:b/>
          <w:sz w:val="24"/>
        </w:rPr>
        <w:t>28</w:t>
      </w:r>
    </w:p>
    <w:p w14:paraId="572EC6A7">
      <w:pPr>
        <w:widowControl/>
        <w:spacing w:line="520" w:lineRule="exact"/>
        <w:jc w:val="left"/>
        <w:rPr>
          <w:rFonts w:ascii="仿宋_GB2312" w:hAnsi="仿宋" w:eastAsia="仿宋_GB2312"/>
          <w:bCs/>
          <w:kern w:val="44"/>
          <w:sz w:val="24"/>
        </w:rPr>
      </w:pPr>
      <w:bookmarkStart w:id="12" w:name="_Toc15377196"/>
      <w:bookmarkStart w:id="13" w:name="_Toc15396599"/>
      <w:r>
        <w:rPr>
          <w:rFonts w:hint="eastAsia" w:ascii="仿宋_GB2312" w:hAnsi="仿宋" w:eastAsia="仿宋_GB2312"/>
          <w:b/>
          <w:sz w:val="24"/>
        </w:rPr>
        <w:br w:type="page"/>
      </w:r>
    </w:p>
    <w:p w14:paraId="1B9812DF">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158BA16F">
      <w:pPr>
        <w:pStyle w:val="3"/>
        <w:numPr>
          <w:ilvl w:val="0"/>
          <w:numId w:val="1"/>
        </w:numPr>
        <w:spacing w:line="600" w:lineRule="exact"/>
        <w:ind w:firstLine="0"/>
        <w:rPr>
          <w:rStyle w:val="25"/>
          <w:rFonts w:ascii="仿宋_GB2312" w:eastAsia="仿宋_GB2312" w:cs="仿宋_GB2312"/>
          <w:b/>
          <w:bCs/>
          <w:color w:val="000000"/>
          <w:sz w:val="28"/>
          <w:szCs w:val="28"/>
        </w:rPr>
      </w:pPr>
      <w:r>
        <w:rPr>
          <w:rFonts w:hint="eastAsia" w:ascii="黑体" w:hAnsi="黑体" w:eastAsia="黑体"/>
          <w:b w:val="0"/>
          <w:color w:val="000000"/>
          <w:sz w:val="28"/>
          <w:szCs w:val="28"/>
        </w:rPr>
        <w:t>基</w:t>
      </w:r>
      <w:r>
        <w:rPr>
          <w:rStyle w:val="25"/>
          <w:rFonts w:hint="eastAsia" w:ascii="黑体" w:hAnsi="黑体" w:eastAsia="黑体"/>
          <w:b w:val="0"/>
          <w:bCs w:val="0"/>
          <w:sz w:val="28"/>
          <w:szCs w:val="28"/>
        </w:rPr>
        <w:t>本职能及主要工作</w:t>
      </w:r>
    </w:p>
    <w:p w14:paraId="1647119F">
      <w:pPr>
        <w:pStyle w:val="3"/>
        <w:spacing w:line="600" w:lineRule="exact"/>
        <w:ind w:left="630"/>
        <w:rPr>
          <w:rFonts w:ascii="仿宋_GB2312" w:eastAsia="仿宋_GB2312" w:cs="仿宋_GB2312"/>
          <w:color w:val="000000"/>
          <w:sz w:val="28"/>
          <w:szCs w:val="28"/>
        </w:rPr>
      </w:pPr>
      <w:r>
        <w:rPr>
          <w:rFonts w:hint="eastAsia" w:ascii="仿宋_GB2312" w:eastAsia="仿宋_GB2312" w:cs="仿宋_GB2312"/>
          <w:color w:val="000000"/>
          <w:sz w:val="28"/>
          <w:szCs w:val="28"/>
        </w:rPr>
        <w:t>（一）主要职能：</w:t>
      </w:r>
    </w:p>
    <w:p w14:paraId="53DEF725">
      <w:pPr>
        <w:spacing w:line="60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1、负责处理市内外群众给市委市政府的来信，接待群众来访，保证信访渠道畅通；及时、准确地向市委、市政府领导反映来信来访中提出的重要建议、意见和问题；综合分析信访信息，开展调查研究，提出完善政策建议。</w:t>
      </w:r>
    </w:p>
    <w:p w14:paraId="7F072E31">
      <w:pPr>
        <w:spacing w:line="60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2、承办上级党委、政府和本级党委、政府交办的信访事项；督促检查领导同志有关信访指示的落实情况；向各镇乡和市级各部门交办信访事项，督促检查重要信访事项的处理和落实。</w:t>
      </w:r>
    </w:p>
    <w:p w14:paraId="2E727546">
      <w:pPr>
        <w:spacing w:line="60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3、协调处理跨镇乡和部门的重要信访问题；协调处理群众集体到市委、市政府有关部门的信访事项；检查、指导、协调市级各部门和镇乡的信访工作。</w:t>
      </w:r>
    </w:p>
    <w:p w14:paraId="6B018CFF">
      <w:pPr>
        <w:spacing w:line="60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4、总结推广各镇乡、各部门信访工作的经验，提出改进和加强信访工作的意见和建议；通报重大信访问题和信访事件。</w:t>
      </w:r>
    </w:p>
    <w:p w14:paraId="4AC9DAF4">
      <w:pPr>
        <w:spacing w:line="60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5、了解掌握全市信访工作队伍建设情况，组织信访干部培训。</w:t>
      </w:r>
    </w:p>
    <w:p w14:paraId="19E3A4C3">
      <w:pPr>
        <w:spacing w:line="60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6、负责信访工作的宣传和信息发布；协调信访工作对外交流和联络。</w:t>
      </w:r>
    </w:p>
    <w:p w14:paraId="2854BBE3">
      <w:pPr>
        <w:pStyle w:val="23"/>
        <w:spacing w:line="600" w:lineRule="exact"/>
        <w:ind w:left="630" w:firstLine="0" w:firstLineChars="0"/>
        <w:rPr>
          <w:rFonts w:ascii="仿宋_GB2312" w:eastAsia="仿宋_GB2312" w:cs="仿宋_GB2312"/>
          <w:color w:val="000000"/>
          <w:sz w:val="28"/>
          <w:szCs w:val="28"/>
        </w:rPr>
      </w:pPr>
      <w:r>
        <w:rPr>
          <w:rFonts w:hint="eastAsia" w:ascii="仿宋_GB2312" w:eastAsia="仿宋_GB2312" w:cs="仿宋_GB2312"/>
          <w:color w:val="000000"/>
          <w:sz w:val="28"/>
          <w:szCs w:val="28"/>
        </w:rPr>
        <w:t>7、完成市委、市政府交办的其他任务。</w:t>
      </w:r>
    </w:p>
    <w:p w14:paraId="3C5A7694">
      <w:pPr>
        <w:pStyle w:val="23"/>
        <w:spacing w:line="600" w:lineRule="exact"/>
        <w:ind w:left="630" w:firstLine="0" w:firstLineChars="0"/>
        <w:rPr>
          <w:rFonts w:ascii="仿宋_GB2312" w:eastAsia="仿宋_GB2312" w:cs="仿宋_GB2312"/>
          <w:color w:val="000000"/>
          <w:sz w:val="28"/>
          <w:szCs w:val="28"/>
        </w:rPr>
      </w:pPr>
    </w:p>
    <w:p w14:paraId="4852ECC9">
      <w:pPr>
        <w:rPr>
          <w:sz w:val="28"/>
          <w:szCs w:val="28"/>
        </w:rPr>
      </w:pPr>
    </w:p>
    <w:p w14:paraId="15D75A56">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p>
    <w:p w14:paraId="12B6C041">
      <w:pPr>
        <w:spacing w:line="560" w:lineRule="exact"/>
        <w:ind w:firstLine="560" w:firstLineChars="200"/>
        <w:rPr>
          <w:rFonts w:ascii="仿宋_GB2312" w:eastAsia="仿宋_GB2312" w:cs="楷体_GB2312"/>
          <w:bCs/>
          <w:sz w:val="28"/>
          <w:szCs w:val="28"/>
        </w:rPr>
      </w:pPr>
      <w:r>
        <w:rPr>
          <w:rFonts w:hint="eastAsia" w:ascii="仿宋_GB2312" w:eastAsia="仿宋_GB2312"/>
          <w:sz w:val="28"/>
          <w:szCs w:val="28"/>
        </w:rPr>
        <w:t>2019年，峨眉山市信访局全面贯彻党中央、国务院和省委省政府、市委市政府关于信访工作决策部署，坚持干在实处、走在前列工作取向和稳中求进工作总基调，强化目标导向和问题导向，创新工作方式方法，继续深化信访工作制度改革和信访法治化建设，</w:t>
      </w:r>
      <w:r>
        <w:rPr>
          <w:rFonts w:hint="eastAsia" w:ascii="仿宋_GB2312" w:eastAsia="仿宋_GB2312" w:cs="楷体_GB2312"/>
          <w:bCs/>
          <w:sz w:val="28"/>
          <w:szCs w:val="28"/>
        </w:rPr>
        <w:t>积极开展信访积案化解工作，及时就地解决群众合理诉求，加大力度整治信访乱象，强化信访队伍建设，为维护全市工作大局、维护人民群众合法权益、维护经济社会发展贡献力量。</w:t>
      </w:r>
    </w:p>
    <w:p w14:paraId="37A47336">
      <w:pPr>
        <w:pStyle w:val="3"/>
        <w:ind w:left="630"/>
        <w:rPr>
          <w:rStyle w:val="25"/>
          <w:rFonts w:ascii="黑体" w:hAnsi="黑体" w:eastAsia="黑体"/>
          <w:b w:val="0"/>
          <w:bCs w:val="0"/>
          <w:sz w:val="28"/>
          <w:szCs w:val="28"/>
        </w:rPr>
      </w:pPr>
      <w:r>
        <w:rPr>
          <w:rFonts w:hint="eastAsia" w:ascii="黑体" w:hAnsi="黑体" w:eastAsia="黑体"/>
          <w:b w:val="0"/>
          <w:color w:val="000000"/>
          <w:sz w:val="28"/>
          <w:szCs w:val="28"/>
        </w:rPr>
        <w:t>二、机</w:t>
      </w:r>
      <w:r>
        <w:rPr>
          <w:rStyle w:val="25"/>
          <w:rFonts w:hint="eastAsia" w:ascii="黑体" w:hAnsi="黑体" w:eastAsia="黑体"/>
          <w:b w:val="0"/>
          <w:bCs w:val="0"/>
          <w:sz w:val="28"/>
          <w:szCs w:val="28"/>
        </w:rPr>
        <w:t>构设置</w:t>
      </w:r>
    </w:p>
    <w:p w14:paraId="2496FF1A">
      <w:pPr>
        <w:spacing w:line="600" w:lineRule="exact"/>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峨眉山市信访局属一级预算单位，下属事业单位</w:t>
      </w:r>
      <w:r>
        <w:rPr>
          <w:rFonts w:ascii="仿宋_GB2312" w:eastAsia="仿宋_GB2312" w:cs="仿宋_GB2312"/>
          <w:color w:val="000000"/>
          <w:sz w:val="28"/>
          <w:szCs w:val="28"/>
        </w:rPr>
        <w:t>1</w:t>
      </w:r>
      <w:r>
        <w:rPr>
          <w:rFonts w:hint="eastAsia" w:ascii="仿宋_GB2312" w:eastAsia="仿宋_GB2312" w:cs="仿宋_GB2312"/>
          <w:color w:val="000000"/>
          <w:sz w:val="28"/>
          <w:szCs w:val="28"/>
        </w:rPr>
        <w:t xml:space="preserve">个（峨眉山市群众来访接待中心），但预算编制未单列。 </w:t>
      </w:r>
    </w:p>
    <w:p w14:paraId="7A2D1EF8">
      <w:pPr>
        <w:spacing w:line="600" w:lineRule="exact"/>
        <w:ind w:firstLine="560" w:firstLineChars="200"/>
        <w:rPr>
          <w:rFonts w:ascii="仿宋_GB2312" w:eastAsia="仿宋_GB2312" w:cs="仿宋_GB2312"/>
          <w:color w:val="000000"/>
          <w:sz w:val="28"/>
          <w:szCs w:val="28"/>
        </w:rPr>
      </w:pPr>
    </w:p>
    <w:p w14:paraId="4EA24919">
      <w:pPr>
        <w:spacing w:line="600" w:lineRule="exact"/>
        <w:ind w:firstLine="560" w:firstLineChars="200"/>
        <w:rPr>
          <w:rFonts w:ascii="仿宋_GB2312" w:eastAsia="仿宋_GB2312" w:cs="仿宋_GB2312"/>
          <w:color w:val="000000"/>
          <w:sz w:val="28"/>
          <w:szCs w:val="28"/>
        </w:rPr>
      </w:pPr>
    </w:p>
    <w:p w14:paraId="4DDB0659">
      <w:pPr>
        <w:spacing w:line="600" w:lineRule="exact"/>
        <w:ind w:firstLine="560" w:firstLineChars="200"/>
        <w:rPr>
          <w:rFonts w:ascii="仿宋_GB2312" w:eastAsia="仿宋_GB2312" w:cs="仿宋_GB2312"/>
          <w:color w:val="000000"/>
          <w:sz w:val="28"/>
          <w:szCs w:val="28"/>
        </w:rPr>
      </w:pPr>
    </w:p>
    <w:p w14:paraId="620ACCC1">
      <w:pPr>
        <w:spacing w:line="600" w:lineRule="exact"/>
        <w:ind w:firstLine="560" w:firstLineChars="200"/>
        <w:rPr>
          <w:rFonts w:ascii="仿宋_GB2312" w:eastAsia="仿宋_GB2312" w:cs="仿宋_GB2312"/>
          <w:color w:val="000000"/>
          <w:sz w:val="28"/>
          <w:szCs w:val="28"/>
        </w:rPr>
      </w:pPr>
    </w:p>
    <w:p w14:paraId="471E43FB">
      <w:pPr>
        <w:spacing w:line="600" w:lineRule="exact"/>
        <w:ind w:firstLine="560" w:firstLineChars="200"/>
        <w:rPr>
          <w:rFonts w:ascii="仿宋_GB2312" w:eastAsia="仿宋_GB2312" w:cs="仿宋_GB2312"/>
          <w:color w:val="000000"/>
          <w:sz w:val="28"/>
          <w:szCs w:val="28"/>
        </w:rPr>
      </w:pPr>
    </w:p>
    <w:p w14:paraId="29A36D26">
      <w:pPr>
        <w:spacing w:line="600" w:lineRule="exact"/>
        <w:ind w:firstLine="560" w:firstLineChars="200"/>
        <w:rPr>
          <w:rFonts w:ascii="仿宋_GB2312" w:eastAsia="仿宋_GB2312" w:cs="仿宋_GB2312"/>
          <w:color w:val="000000"/>
          <w:sz w:val="28"/>
          <w:szCs w:val="28"/>
        </w:rPr>
      </w:pPr>
    </w:p>
    <w:p w14:paraId="09FD01BF">
      <w:pPr>
        <w:spacing w:line="600" w:lineRule="exact"/>
        <w:ind w:firstLine="560" w:firstLineChars="200"/>
        <w:rPr>
          <w:rFonts w:ascii="仿宋_GB2312" w:eastAsia="仿宋_GB2312" w:cs="仿宋_GB2312"/>
          <w:color w:val="000000"/>
          <w:sz w:val="28"/>
          <w:szCs w:val="28"/>
        </w:rPr>
      </w:pPr>
    </w:p>
    <w:p w14:paraId="21616135">
      <w:pPr>
        <w:spacing w:line="600" w:lineRule="exact"/>
        <w:ind w:firstLine="560" w:firstLineChars="200"/>
        <w:rPr>
          <w:rFonts w:ascii="仿宋_GB2312" w:eastAsia="仿宋_GB2312" w:cs="仿宋_GB2312"/>
          <w:color w:val="000000"/>
          <w:sz w:val="28"/>
          <w:szCs w:val="28"/>
        </w:rPr>
      </w:pPr>
    </w:p>
    <w:p w14:paraId="1A1C596E">
      <w:pPr>
        <w:spacing w:line="600" w:lineRule="exact"/>
        <w:ind w:firstLine="560" w:firstLineChars="200"/>
        <w:rPr>
          <w:rFonts w:ascii="仿宋_GB2312" w:eastAsia="仿宋_GB2312" w:cs="仿宋_GB2312"/>
          <w:color w:val="000000"/>
          <w:sz w:val="28"/>
          <w:szCs w:val="28"/>
        </w:rPr>
      </w:pPr>
    </w:p>
    <w:p w14:paraId="252E4155">
      <w:pPr>
        <w:spacing w:line="600" w:lineRule="exact"/>
        <w:ind w:firstLine="560" w:firstLineChars="200"/>
        <w:rPr>
          <w:rFonts w:ascii="仿宋_GB2312" w:eastAsia="仿宋_GB2312" w:cs="仿宋_GB2312"/>
          <w:color w:val="000000"/>
          <w:sz w:val="28"/>
          <w:szCs w:val="28"/>
        </w:rPr>
      </w:pPr>
    </w:p>
    <w:p w14:paraId="3B058926">
      <w:pPr>
        <w:spacing w:line="600" w:lineRule="exact"/>
        <w:ind w:firstLine="560" w:firstLineChars="200"/>
        <w:rPr>
          <w:rFonts w:ascii="仿宋_GB2312" w:eastAsia="仿宋_GB2312" w:cs="仿宋_GB2312"/>
          <w:color w:val="000000"/>
          <w:sz w:val="28"/>
          <w:szCs w:val="28"/>
        </w:rPr>
      </w:pPr>
    </w:p>
    <w:p w14:paraId="519C5263">
      <w:pPr>
        <w:pStyle w:val="2"/>
        <w:ind w:right="440"/>
        <w:jc w:val="right"/>
        <w:rPr>
          <w:rStyle w:val="24"/>
          <w:rFonts w:ascii="黑体" w:hAnsi="黑体" w:eastAsia="黑体"/>
          <w:b w:val="0"/>
          <w:bCs w:val="0"/>
        </w:rPr>
      </w:pPr>
      <w:bookmarkStart w:id="14" w:name="_Toc15396602"/>
      <w:bookmarkStart w:id="15"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14"/>
      <w:bookmarkEnd w:id="15"/>
    </w:p>
    <w:p w14:paraId="4F58E785"/>
    <w:p w14:paraId="3B022E27">
      <w:pPr>
        <w:pStyle w:val="23"/>
        <w:numPr>
          <w:ilvl w:val="0"/>
          <w:numId w:val="2"/>
        </w:numPr>
        <w:spacing w:line="600" w:lineRule="exact"/>
        <w:ind w:firstLineChars="0"/>
        <w:outlineLvl w:val="1"/>
        <w:rPr>
          <w:rStyle w:val="25"/>
          <w:rFonts w:ascii="黑体" w:hAnsi="黑体" w:eastAsia="黑体"/>
          <w:b w:val="0"/>
          <w:sz w:val="28"/>
          <w:szCs w:val="28"/>
        </w:rPr>
      </w:pPr>
      <w:bookmarkStart w:id="16" w:name="_Toc15396603"/>
      <w:bookmarkStart w:id="17" w:name="_Toc15377205"/>
      <w:r>
        <w:rPr>
          <w:rFonts w:hint="eastAsia" w:ascii="黑体" w:hAnsi="黑体" w:eastAsia="黑体"/>
          <w:color w:val="000000"/>
          <w:sz w:val="28"/>
          <w:szCs w:val="28"/>
        </w:rPr>
        <w:t>收</w:t>
      </w:r>
      <w:r>
        <w:rPr>
          <w:rStyle w:val="25"/>
          <w:rFonts w:hint="eastAsia" w:ascii="黑体" w:hAnsi="黑体" w:eastAsia="黑体"/>
          <w:b w:val="0"/>
          <w:sz w:val="28"/>
          <w:szCs w:val="28"/>
        </w:rPr>
        <w:t>入支出决算总体情况说明</w:t>
      </w:r>
      <w:bookmarkEnd w:id="16"/>
      <w:bookmarkEnd w:id="17"/>
    </w:p>
    <w:p w14:paraId="1DD27219">
      <w:pPr>
        <w:spacing w:line="600" w:lineRule="exact"/>
        <w:ind w:firstLine="560" w:firstLineChars="200"/>
        <w:rPr>
          <w:rFonts w:ascii="仿宋_GB2312" w:hAnsi="仿宋" w:eastAsia="仿宋_GB2312"/>
          <w:color w:val="000000" w:themeColor="text1"/>
          <w:sz w:val="28"/>
          <w:szCs w:val="28"/>
        </w:rPr>
      </w:pPr>
      <w:r>
        <w:rPr>
          <w:rFonts w:hint="eastAsia" w:ascii="仿宋_GB2312" w:hAnsi="仿宋" w:eastAsia="仿宋_GB2312"/>
          <w:color w:val="000000"/>
          <w:sz w:val="28"/>
          <w:szCs w:val="28"/>
        </w:rPr>
        <w:t>2019年度收、支总计571.97万元。与2018年相比，收、支总计各增加36.24万元，增长6.76%。主要变动原因是项目经费增加。</w:t>
      </w:r>
      <w:r>
        <w:rPr>
          <w:rFonts w:hint="eastAsia" w:ascii="仿宋_GB2312" w:hAnsi="仿宋" w:eastAsia="仿宋_GB2312"/>
          <w:color w:val="000000" w:themeColor="text1"/>
          <w:sz w:val="28"/>
          <w:szCs w:val="28"/>
        </w:rPr>
        <w:t>（图1：收、支决算总计变动情况图）（柱状图）</w:t>
      </w:r>
    </w:p>
    <w:p w14:paraId="65FA76BB">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posOffset>195580</wp:posOffset>
            </wp:positionH>
            <wp:positionV relativeFrom="paragraph">
              <wp:posOffset>175260</wp:posOffset>
            </wp:positionV>
            <wp:extent cx="4370070" cy="309308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a:stretch>
                      <a:fillRect/>
                    </a:stretch>
                  </pic:blipFill>
                  <pic:spPr>
                    <a:xfrm>
                      <a:off x="0" y="0"/>
                      <a:ext cx="4370070" cy="3093057"/>
                    </a:xfrm>
                    <a:prstGeom prst="rect">
                      <a:avLst/>
                    </a:prstGeom>
                    <a:noFill/>
                  </pic:spPr>
                </pic:pic>
              </a:graphicData>
            </a:graphic>
          </wp:anchor>
        </w:drawing>
      </w:r>
    </w:p>
    <w:p w14:paraId="41D27711">
      <w:pPr>
        <w:spacing w:line="600" w:lineRule="exact"/>
        <w:ind w:firstLine="640" w:firstLineChars="200"/>
        <w:rPr>
          <w:rFonts w:ascii="仿宋" w:hAnsi="仿宋" w:eastAsia="仿宋"/>
          <w:color w:val="000000" w:themeColor="text1"/>
          <w:sz w:val="32"/>
          <w:szCs w:val="32"/>
        </w:rPr>
      </w:pPr>
    </w:p>
    <w:p w14:paraId="5F1FDC8A">
      <w:pPr>
        <w:spacing w:line="600" w:lineRule="exact"/>
        <w:ind w:firstLine="640" w:firstLineChars="200"/>
        <w:rPr>
          <w:rFonts w:ascii="仿宋" w:hAnsi="仿宋" w:eastAsia="仿宋"/>
          <w:color w:val="000000" w:themeColor="text1"/>
          <w:sz w:val="32"/>
          <w:szCs w:val="32"/>
        </w:rPr>
      </w:pPr>
    </w:p>
    <w:p w14:paraId="3605D4E6">
      <w:pPr>
        <w:spacing w:line="600" w:lineRule="exact"/>
        <w:ind w:firstLine="640" w:firstLineChars="200"/>
        <w:rPr>
          <w:rFonts w:ascii="仿宋" w:hAnsi="仿宋" w:eastAsia="仿宋"/>
          <w:color w:val="000000" w:themeColor="text1"/>
          <w:sz w:val="32"/>
          <w:szCs w:val="32"/>
        </w:rPr>
      </w:pPr>
    </w:p>
    <w:p w14:paraId="30B98DE3">
      <w:pPr>
        <w:spacing w:line="600" w:lineRule="exact"/>
        <w:ind w:firstLine="640" w:firstLineChars="200"/>
        <w:rPr>
          <w:rFonts w:ascii="仿宋" w:hAnsi="仿宋" w:eastAsia="仿宋"/>
          <w:color w:val="000000" w:themeColor="text1"/>
          <w:sz w:val="32"/>
          <w:szCs w:val="32"/>
        </w:rPr>
      </w:pPr>
    </w:p>
    <w:p w14:paraId="6041E2F3">
      <w:pPr>
        <w:spacing w:line="600" w:lineRule="exact"/>
        <w:ind w:firstLine="640" w:firstLineChars="200"/>
        <w:rPr>
          <w:rFonts w:ascii="仿宋" w:hAnsi="仿宋" w:eastAsia="仿宋"/>
          <w:color w:val="000000" w:themeColor="text1"/>
          <w:sz w:val="32"/>
          <w:szCs w:val="32"/>
        </w:rPr>
      </w:pPr>
    </w:p>
    <w:p w14:paraId="078D3F39">
      <w:pPr>
        <w:spacing w:line="600" w:lineRule="exact"/>
        <w:ind w:firstLine="640" w:firstLineChars="200"/>
        <w:rPr>
          <w:rFonts w:ascii="仿宋" w:hAnsi="仿宋" w:eastAsia="仿宋"/>
          <w:color w:val="000000" w:themeColor="text1"/>
          <w:sz w:val="32"/>
          <w:szCs w:val="32"/>
        </w:rPr>
      </w:pPr>
    </w:p>
    <w:p w14:paraId="4218ED4A">
      <w:pPr>
        <w:spacing w:line="600" w:lineRule="exact"/>
        <w:ind w:firstLine="640" w:firstLineChars="200"/>
        <w:rPr>
          <w:rFonts w:ascii="仿宋" w:hAnsi="仿宋" w:eastAsia="仿宋"/>
          <w:color w:val="000000" w:themeColor="text1"/>
          <w:sz w:val="32"/>
          <w:szCs w:val="32"/>
        </w:rPr>
      </w:pPr>
    </w:p>
    <w:p w14:paraId="3BF15377">
      <w:pPr>
        <w:spacing w:line="600" w:lineRule="exact"/>
        <w:ind w:firstLine="640" w:firstLineChars="200"/>
        <w:jc w:val="left"/>
        <w:rPr>
          <w:rFonts w:ascii="仿宋_GB2312" w:eastAsia="仿宋_GB2312"/>
          <w:color w:val="000000"/>
          <w:sz w:val="32"/>
          <w:szCs w:val="32"/>
        </w:rPr>
      </w:pPr>
    </w:p>
    <w:p w14:paraId="24AAB46D">
      <w:pPr>
        <w:pStyle w:val="23"/>
        <w:numPr>
          <w:ilvl w:val="0"/>
          <w:numId w:val="2"/>
        </w:numPr>
        <w:spacing w:line="600" w:lineRule="exact"/>
        <w:ind w:firstLineChars="0"/>
        <w:outlineLvl w:val="1"/>
        <w:rPr>
          <w:rStyle w:val="25"/>
          <w:rFonts w:ascii="黑体" w:hAnsi="黑体" w:eastAsia="黑体"/>
          <w:b w:val="0"/>
          <w:sz w:val="28"/>
          <w:szCs w:val="28"/>
        </w:rPr>
      </w:pPr>
      <w:bookmarkStart w:id="18" w:name="_Toc15396604"/>
      <w:bookmarkStart w:id="19" w:name="_Toc15377206"/>
      <w:r>
        <w:rPr>
          <w:rFonts w:hint="eastAsia" w:ascii="黑体" w:hAnsi="黑体" w:eastAsia="黑体"/>
          <w:color w:val="000000"/>
          <w:sz w:val="28"/>
          <w:szCs w:val="28"/>
        </w:rPr>
        <w:t>收</w:t>
      </w:r>
      <w:r>
        <w:rPr>
          <w:rStyle w:val="25"/>
          <w:rFonts w:hint="eastAsia" w:ascii="黑体" w:hAnsi="黑体" w:eastAsia="黑体"/>
          <w:b w:val="0"/>
          <w:sz w:val="28"/>
          <w:szCs w:val="28"/>
        </w:rPr>
        <w:t>入决算情况说明</w:t>
      </w:r>
      <w:bookmarkEnd w:id="18"/>
      <w:bookmarkEnd w:id="19"/>
    </w:p>
    <w:p w14:paraId="7BF6C5D6">
      <w:pPr>
        <w:spacing w:line="600" w:lineRule="exact"/>
        <w:ind w:firstLine="560" w:firstLineChars="200"/>
        <w:outlineLvl w:val="1"/>
        <w:rPr>
          <w:rFonts w:ascii="仿宋_GB2312" w:hAnsi="仿宋" w:eastAsia="仿宋_GB2312"/>
          <w:color w:val="000000"/>
          <w:sz w:val="28"/>
          <w:szCs w:val="28"/>
        </w:rPr>
      </w:pPr>
      <w:r>
        <w:rPr>
          <w:rFonts w:hint="eastAsia" w:ascii="仿宋_GB2312" w:hAnsi="仿宋" w:eastAsia="仿宋_GB2312"/>
          <w:color w:val="000000"/>
          <w:sz w:val="28"/>
          <w:szCs w:val="28"/>
        </w:rPr>
        <w:t>2019年本年收入合计518.25万元，其中：一般公共预算财政拨款收入452.41万元，占87.30%；政府性基金预算财政拨款收入65.84万元，占12.70%；</w:t>
      </w:r>
      <w:r>
        <w:rPr>
          <w:rFonts w:hint="eastAsia" w:ascii="仿宋_GB2312" w:hAnsi="仿宋" w:eastAsia="仿宋_GB2312"/>
          <w:color w:val="000000" w:themeColor="text1"/>
          <w:sz w:val="28"/>
          <w:szCs w:val="28"/>
        </w:rPr>
        <w:t>上级补助收入0</w:t>
      </w:r>
      <w:r>
        <w:rPr>
          <w:rFonts w:hint="eastAsia" w:ascii="仿宋_GB2312" w:hAnsi="仿宋" w:eastAsia="仿宋_GB2312"/>
          <w:color w:val="000000"/>
          <w:sz w:val="28"/>
          <w:szCs w:val="28"/>
        </w:rPr>
        <w:t>万元，占0%；事业收入0万元，占0%；经营收入0万元，占0%；附属单位上缴收入0万元，占0%；其他收入0万元，占0%。</w:t>
      </w:r>
    </w:p>
    <w:p w14:paraId="379D44B7">
      <w:pPr>
        <w:spacing w:line="600" w:lineRule="exact"/>
        <w:ind w:firstLine="560" w:firstLineChars="200"/>
        <w:outlineLvl w:val="1"/>
        <w:rPr>
          <w:rFonts w:ascii="仿宋_GB2312" w:hAnsi="仿宋" w:eastAsia="仿宋_GB2312"/>
          <w:color w:val="000000"/>
          <w:sz w:val="28"/>
          <w:szCs w:val="28"/>
        </w:rPr>
      </w:pPr>
    </w:p>
    <w:p w14:paraId="179010A6">
      <w:pPr>
        <w:spacing w:line="600" w:lineRule="exact"/>
        <w:ind w:firstLine="560" w:firstLineChars="200"/>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（图2：收入决算结构图）（饼状图）</w:t>
      </w:r>
    </w:p>
    <w:p w14:paraId="39A8FC6B">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0288" behindDoc="0" locked="0" layoutInCell="1" allowOverlap="1">
            <wp:simplePos x="0" y="0"/>
            <wp:positionH relativeFrom="column">
              <wp:posOffset>28575</wp:posOffset>
            </wp:positionH>
            <wp:positionV relativeFrom="paragraph">
              <wp:posOffset>168275</wp:posOffset>
            </wp:positionV>
            <wp:extent cx="4612640" cy="3538220"/>
            <wp:effectExtent l="1905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7"/>
                    <a:srcRect/>
                    <a:stretch>
                      <a:fillRect/>
                    </a:stretch>
                  </pic:blipFill>
                  <pic:spPr>
                    <a:xfrm>
                      <a:off x="0" y="0"/>
                      <a:ext cx="4612105" cy="3537999"/>
                    </a:xfrm>
                    <a:prstGeom prst="rect">
                      <a:avLst/>
                    </a:prstGeom>
                    <a:noFill/>
                  </pic:spPr>
                </pic:pic>
              </a:graphicData>
            </a:graphic>
          </wp:anchor>
        </w:drawing>
      </w:r>
    </w:p>
    <w:p w14:paraId="1612103D">
      <w:pPr>
        <w:spacing w:line="600" w:lineRule="exact"/>
        <w:ind w:firstLine="640" w:firstLineChars="200"/>
        <w:rPr>
          <w:rFonts w:ascii="仿宋" w:hAnsi="仿宋" w:eastAsia="仿宋"/>
          <w:color w:val="000000" w:themeColor="text1"/>
          <w:sz w:val="32"/>
          <w:szCs w:val="32"/>
        </w:rPr>
      </w:pPr>
    </w:p>
    <w:p w14:paraId="18D51636">
      <w:pPr>
        <w:spacing w:line="600" w:lineRule="exact"/>
        <w:ind w:firstLine="640" w:firstLineChars="200"/>
        <w:rPr>
          <w:rFonts w:ascii="仿宋" w:hAnsi="仿宋" w:eastAsia="仿宋"/>
          <w:color w:val="000000" w:themeColor="text1"/>
          <w:sz w:val="32"/>
          <w:szCs w:val="32"/>
        </w:rPr>
      </w:pPr>
    </w:p>
    <w:p w14:paraId="0DED8AB3">
      <w:pPr>
        <w:spacing w:line="600" w:lineRule="exact"/>
        <w:ind w:firstLine="640" w:firstLineChars="200"/>
        <w:rPr>
          <w:rFonts w:ascii="仿宋" w:hAnsi="仿宋" w:eastAsia="仿宋"/>
          <w:color w:val="000000" w:themeColor="text1"/>
          <w:sz w:val="32"/>
          <w:szCs w:val="32"/>
        </w:rPr>
      </w:pPr>
    </w:p>
    <w:p w14:paraId="688688A1">
      <w:pPr>
        <w:spacing w:line="600" w:lineRule="exact"/>
        <w:ind w:firstLine="640" w:firstLineChars="200"/>
        <w:rPr>
          <w:rFonts w:ascii="仿宋" w:hAnsi="仿宋" w:eastAsia="仿宋"/>
          <w:color w:val="000000" w:themeColor="text1"/>
          <w:sz w:val="32"/>
          <w:szCs w:val="32"/>
        </w:rPr>
      </w:pPr>
    </w:p>
    <w:p w14:paraId="1F7D0A31">
      <w:pPr>
        <w:spacing w:line="600" w:lineRule="exact"/>
        <w:ind w:firstLine="640" w:firstLineChars="200"/>
        <w:rPr>
          <w:rFonts w:ascii="仿宋" w:hAnsi="仿宋" w:eastAsia="仿宋"/>
          <w:color w:val="000000" w:themeColor="text1"/>
          <w:sz w:val="32"/>
          <w:szCs w:val="32"/>
        </w:rPr>
      </w:pPr>
    </w:p>
    <w:p w14:paraId="6FBDE739">
      <w:pPr>
        <w:spacing w:line="600" w:lineRule="exact"/>
        <w:ind w:firstLine="640" w:firstLineChars="200"/>
        <w:rPr>
          <w:rFonts w:ascii="仿宋" w:hAnsi="仿宋" w:eastAsia="仿宋"/>
          <w:color w:val="000000" w:themeColor="text1"/>
          <w:sz w:val="32"/>
          <w:szCs w:val="32"/>
        </w:rPr>
      </w:pPr>
    </w:p>
    <w:p w14:paraId="1BDE3363">
      <w:pPr>
        <w:spacing w:line="600" w:lineRule="exact"/>
        <w:ind w:firstLine="640" w:firstLineChars="200"/>
        <w:rPr>
          <w:rFonts w:ascii="仿宋" w:hAnsi="仿宋" w:eastAsia="仿宋"/>
          <w:color w:val="000000" w:themeColor="text1"/>
          <w:sz w:val="32"/>
          <w:szCs w:val="32"/>
        </w:rPr>
      </w:pPr>
    </w:p>
    <w:p w14:paraId="6598E65E">
      <w:pPr>
        <w:spacing w:line="600" w:lineRule="exact"/>
        <w:ind w:firstLine="640" w:firstLineChars="200"/>
        <w:rPr>
          <w:rFonts w:ascii="仿宋_GB2312" w:eastAsia="仿宋_GB2312"/>
          <w:color w:val="FF0000"/>
          <w:sz w:val="32"/>
          <w:szCs w:val="32"/>
        </w:rPr>
      </w:pPr>
    </w:p>
    <w:p w14:paraId="0C805A73">
      <w:pPr>
        <w:spacing w:line="600" w:lineRule="exact"/>
        <w:ind w:firstLine="640" w:firstLineChars="200"/>
        <w:rPr>
          <w:rFonts w:ascii="仿宋_GB2312" w:eastAsia="仿宋_GB2312"/>
          <w:color w:val="FF0000"/>
          <w:sz w:val="32"/>
          <w:szCs w:val="32"/>
        </w:rPr>
      </w:pPr>
    </w:p>
    <w:p w14:paraId="5CE2472A">
      <w:pPr>
        <w:spacing w:line="600" w:lineRule="exact"/>
        <w:ind w:firstLine="640" w:firstLineChars="200"/>
        <w:rPr>
          <w:rFonts w:ascii="仿宋_GB2312" w:eastAsia="仿宋_GB2312"/>
          <w:color w:val="FF0000"/>
          <w:sz w:val="32"/>
          <w:szCs w:val="32"/>
        </w:rPr>
      </w:pPr>
    </w:p>
    <w:p w14:paraId="06075C8F">
      <w:pPr>
        <w:pStyle w:val="23"/>
        <w:numPr>
          <w:ilvl w:val="0"/>
          <w:numId w:val="2"/>
        </w:numPr>
        <w:spacing w:line="600" w:lineRule="exact"/>
        <w:ind w:firstLineChars="0"/>
        <w:outlineLvl w:val="1"/>
        <w:rPr>
          <w:rStyle w:val="25"/>
          <w:rFonts w:ascii="黑体" w:hAnsi="黑体" w:eastAsia="黑体"/>
          <w:b w:val="0"/>
          <w:sz w:val="28"/>
          <w:szCs w:val="28"/>
        </w:rPr>
      </w:pPr>
      <w:bookmarkStart w:id="20" w:name="_Toc15396605"/>
      <w:bookmarkStart w:id="21" w:name="_Toc15377207"/>
      <w:r>
        <w:rPr>
          <w:rFonts w:hint="eastAsia" w:ascii="黑体" w:hAnsi="黑体" w:eastAsia="黑体"/>
          <w:color w:val="000000"/>
          <w:sz w:val="28"/>
          <w:szCs w:val="28"/>
        </w:rPr>
        <w:t>支</w:t>
      </w:r>
      <w:r>
        <w:rPr>
          <w:rStyle w:val="25"/>
          <w:rFonts w:hint="eastAsia" w:ascii="黑体" w:hAnsi="黑体" w:eastAsia="黑体"/>
          <w:b w:val="0"/>
          <w:sz w:val="28"/>
          <w:szCs w:val="28"/>
        </w:rPr>
        <w:t>出决算情况说明</w:t>
      </w:r>
      <w:bookmarkEnd w:id="20"/>
      <w:bookmarkEnd w:id="21"/>
    </w:p>
    <w:p w14:paraId="5725F289">
      <w:pPr>
        <w:spacing w:line="600" w:lineRule="exact"/>
        <w:ind w:firstLine="560" w:firstLineChars="200"/>
        <w:outlineLvl w:val="1"/>
        <w:rPr>
          <w:rFonts w:ascii="仿宋_GB2312" w:hAnsi="仿宋" w:eastAsia="仿宋_GB2312"/>
          <w:color w:val="000000"/>
          <w:sz w:val="28"/>
          <w:szCs w:val="28"/>
        </w:rPr>
      </w:pPr>
      <w:r>
        <w:rPr>
          <w:rFonts w:hint="eastAsia" w:ascii="仿宋_GB2312" w:hAnsi="仿宋" w:eastAsia="仿宋_GB2312"/>
          <w:color w:val="000000"/>
          <w:sz w:val="28"/>
          <w:szCs w:val="28"/>
        </w:rPr>
        <w:t>2019年本年支出合计565.97万元，其中：基本支出314.81万元，占55.62%；项目支出251.16万元，占44.38%；上缴上级支出0万元，占0%；经营支出0万元，占0%；对附属单位补助支出0万元，占0%。</w:t>
      </w:r>
    </w:p>
    <w:p w14:paraId="4ACDC4BA">
      <w:pPr>
        <w:spacing w:line="600" w:lineRule="exact"/>
        <w:ind w:firstLine="560" w:firstLineChars="200"/>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（图3：支出决算结构图）（饼状图）</w:t>
      </w:r>
    </w:p>
    <w:p w14:paraId="7BB3F654">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290830</wp:posOffset>
            </wp:positionH>
            <wp:positionV relativeFrom="paragraph">
              <wp:posOffset>35560</wp:posOffset>
            </wp:positionV>
            <wp:extent cx="3717925" cy="1781175"/>
            <wp:effectExtent l="19050" t="0" r="0"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8"/>
                    <a:srcRect/>
                    <a:stretch>
                      <a:fillRect/>
                    </a:stretch>
                  </pic:blipFill>
                  <pic:spPr>
                    <a:xfrm>
                      <a:off x="0" y="0"/>
                      <a:ext cx="3729954" cy="1786788"/>
                    </a:xfrm>
                    <a:prstGeom prst="rect">
                      <a:avLst/>
                    </a:prstGeom>
                    <a:noFill/>
                  </pic:spPr>
                </pic:pic>
              </a:graphicData>
            </a:graphic>
          </wp:anchor>
        </w:drawing>
      </w:r>
    </w:p>
    <w:p w14:paraId="6F7B0173">
      <w:pPr>
        <w:spacing w:line="600" w:lineRule="exact"/>
        <w:ind w:firstLine="640" w:firstLineChars="200"/>
        <w:rPr>
          <w:rFonts w:ascii="仿宋" w:hAnsi="仿宋" w:eastAsia="仿宋"/>
          <w:color w:val="000000" w:themeColor="text1"/>
          <w:sz w:val="32"/>
          <w:szCs w:val="32"/>
        </w:rPr>
      </w:pPr>
    </w:p>
    <w:p w14:paraId="46562BF3">
      <w:pPr>
        <w:spacing w:line="600" w:lineRule="exact"/>
        <w:ind w:firstLine="640" w:firstLineChars="200"/>
        <w:rPr>
          <w:rFonts w:ascii="仿宋" w:hAnsi="仿宋" w:eastAsia="仿宋"/>
          <w:color w:val="000000" w:themeColor="text1"/>
          <w:sz w:val="32"/>
          <w:szCs w:val="32"/>
        </w:rPr>
      </w:pPr>
    </w:p>
    <w:p w14:paraId="0933F87D">
      <w:pPr>
        <w:spacing w:line="600" w:lineRule="exact"/>
        <w:ind w:firstLine="640" w:firstLineChars="200"/>
        <w:rPr>
          <w:rFonts w:ascii="仿宋" w:hAnsi="仿宋" w:eastAsia="仿宋"/>
          <w:color w:val="000000" w:themeColor="text1"/>
          <w:sz w:val="32"/>
          <w:szCs w:val="32"/>
        </w:rPr>
      </w:pPr>
    </w:p>
    <w:p w14:paraId="5038B224">
      <w:pPr>
        <w:spacing w:line="600" w:lineRule="exact"/>
        <w:ind w:firstLine="640" w:firstLineChars="200"/>
        <w:rPr>
          <w:rFonts w:ascii="仿宋" w:hAnsi="仿宋" w:eastAsia="仿宋"/>
          <w:color w:val="000000" w:themeColor="text1"/>
          <w:sz w:val="32"/>
          <w:szCs w:val="32"/>
        </w:rPr>
      </w:pPr>
    </w:p>
    <w:p w14:paraId="3D3360CB">
      <w:pPr>
        <w:spacing w:line="600" w:lineRule="exact"/>
        <w:ind w:firstLine="560" w:firstLineChars="200"/>
        <w:outlineLvl w:val="1"/>
        <w:rPr>
          <w:rStyle w:val="25"/>
          <w:rFonts w:ascii="黑体" w:hAnsi="黑体" w:eastAsia="黑体"/>
          <w:b w:val="0"/>
          <w:sz w:val="28"/>
          <w:szCs w:val="28"/>
        </w:rPr>
      </w:pPr>
      <w:bookmarkStart w:id="22" w:name="_Toc15377208"/>
      <w:bookmarkStart w:id="23" w:name="_Toc15396606"/>
      <w:r>
        <w:rPr>
          <w:rFonts w:hint="eastAsia" w:ascii="黑体" w:hAnsi="黑体" w:eastAsia="黑体"/>
          <w:color w:val="000000"/>
          <w:sz w:val="28"/>
          <w:szCs w:val="28"/>
        </w:rPr>
        <w:t>四、财</w:t>
      </w:r>
      <w:r>
        <w:rPr>
          <w:rStyle w:val="25"/>
          <w:rFonts w:hint="eastAsia" w:ascii="黑体" w:hAnsi="黑体" w:eastAsia="黑体"/>
          <w:b w:val="0"/>
          <w:sz w:val="28"/>
          <w:szCs w:val="28"/>
        </w:rPr>
        <w:t>政拨款收入支出决算总体情况说明</w:t>
      </w:r>
      <w:bookmarkEnd w:id="22"/>
      <w:bookmarkEnd w:id="23"/>
    </w:p>
    <w:p w14:paraId="4AECD6BF">
      <w:pPr>
        <w:spacing w:line="600" w:lineRule="exact"/>
        <w:ind w:firstLine="640"/>
        <w:rPr>
          <w:rFonts w:ascii="仿宋_GB2312" w:hAnsi="仿宋" w:eastAsia="仿宋_GB2312"/>
          <w:color w:val="000000" w:themeColor="text1"/>
          <w:sz w:val="28"/>
          <w:szCs w:val="28"/>
        </w:rPr>
      </w:pPr>
      <w:r>
        <w:rPr>
          <w:rFonts w:hint="eastAsia" w:ascii="仿宋_GB2312" w:hAnsi="仿宋" w:eastAsia="仿宋_GB2312"/>
          <w:color w:val="000000"/>
          <w:sz w:val="28"/>
          <w:szCs w:val="28"/>
        </w:rPr>
        <w:t>2019年财政拨款收、支总计571.97万元。与2018年相比，财政拨款收、支总计各增加36.24万元，增长6.76%。主要变动原因是项目经费增加。</w:t>
      </w:r>
      <w:r>
        <w:rPr>
          <w:rFonts w:hint="eastAsia" w:ascii="仿宋_GB2312" w:hAnsi="仿宋" w:eastAsia="仿宋_GB2312"/>
          <w:color w:val="000000" w:themeColor="text1"/>
          <w:sz w:val="28"/>
          <w:szCs w:val="28"/>
        </w:rPr>
        <w:t>（图4：财政拨款收、支决算总计变动情况）（柱状图）</w:t>
      </w:r>
    </w:p>
    <w:p w14:paraId="56424C0B">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2336" behindDoc="0" locked="0" layoutInCell="1" allowOverlap="1">
            <wp:simplePos x="0" y="0"/>
            <wp:positionH relativeFrom="column">
              <wp:posOffset>863600</wp:posOffset>
            </wp:positionH>
            <wp:positionV relativeFrom="paragraph">
              <wp:posOffset>193040</wp:posOffset>
            </wp:positionV>
            <wp:extent cx="3376295" cy="2181860"/>
            <wp:effectExtent l="19050" t="0" r="0"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9"/>
                    <a:srcRect/>
                    <a:stretch>
                      <a:fillRect/>
                    </a:stretch>
                  </pic:blipFill>
                  <pic:spPr>
                    <a:xfrm>
                      <a:off x="0" y="0"/>
                      <a:ext cx="3376157" cy="2181579"/>
                    </a:xfrm>
                    <a:prstGeom prst="rect">
                      <a:avLst/>
                    </a:prstGeom>
                    <a:noFill/>
                  </pic:spPr>
                </pic:pic>
              </a:graphicData>
            </a:graphic>
          </wp:anchor>
        </w:drawing>
      </w:r>
    </w:p>
    <w:p w14:paraId="5690F862">
      <w:pPr>
        <w:spacing w:line="600" w:lineRule="exact"/>
        <w:ind w:firstLine="640" w:firstLineChars="200"/>
        <w:rPr>
          <w:rFonts w:ascii="仿宋" w:hAnsi="仿宋" w:eastAsia="仿宋"/>
          <w:color w:val="000000" w:themeColor="text1"/>
          <w:sz w:val="32"/>
          <w:szCs w:val="32"/>
        </w:rPr>
      </w:pPr>
    </w:p>
    <w:p w14:paraId="7226B3FC">
      <w:pPr>
        <w:spacing w:line="600" w:lineRule="exact"/>
        <w:ind w:firstLine="640" w:firstLineChars="200"/>
        <w:rPr>
          <w:rFonts w:ascii="仿宋" w:hAnsi="仿宋" w:eastAsia="仿宋"/>
          <w:color w:val="000000" w:themeColor="text1"/>
          <w:sz w:val="32"/>
          <w:szCs w:val="32"/>
        </w:rPr>
      </w:pPr>
    </w:p>
    <w:p w14:paraId="051B3534">
      <w:pPr>
        <w:spacing w:line="600" w:lineRule="exact"/>
        <w:ind w:firstLine="640" w:firstLineChars="200"/>
        <w:rPr>
          <w:rFonts w:ascii="仿宋" w:hAnsi="仿宋" w:eastAsia="仿宋"/>
          <w:color w:val="000000" w:themeColor="text1"/>
          <w:sz w:val="32"/>
          <w:szCs w:val="32"/>
        </w:rPr>
      </w:pPr>
    </w:p>
    <w:p w14:paraId="6425F8D8">
      <w:pPr>
        <w:spacing w:line="600" w:lineRule="exact"/>
        <w:ind w:firstLine="640" w:firstLineChars="200"/>
        <w:rPr>
          <w:rFonts w:ascii="仿宋" w:hAnsi="仿宋" w:eastAsia="仿宋"/>
          <w:color w:val="000000" w:themeColor="text1"/>
          <w:sz w:val="32"/>
          <w:szCs w:val="32"/>
        </w:rPr>
      </w:pPr>
    </w:p>
    <w:p w14:paraId="0E5A50E7">
      <w:pPr>
        <w:spacing w:line="600" w:lineRule="exact"/>
        <w:ind w:firstLine="640" w:firstLineChars="200"/>
        <w:rPr>
          <w:rFonts w:ascii="仿宋" w:hAnsi="仿宋" w:eastAsia="仿宋"/>
          <w:color w:val="000000" w:themeColor="text1"/>
          <w:sz w:val="32"/>
          <w:szCs w:val="32"/>
        </w:rPr>
      </w:pPr>
    </w:p>
    <w:p w14:paraId="08ACF80B">
      <w:pPr>
        <w:spacing w:line="600" w:lineRule="exact"/>
        <w:ind w:firstLine="640" w:firstLineChars="200"/>
        <w:rPr>
          <w:rFonts w:ascii="仿宋" w:hAnsi="仿宋" w:eastAsia="仿宋"/>
          <w:color w:val="000000" w:themeColor="text1"/>
          <w:sz w:val="32"/>
          <w:szCs w:val="32"/>
        </w:rPr>
      </w:pPr>
    </w:p>
    <w:p w14:paraId="050B9193">
      <w:pPr>
        <w:spacing w:line="600" w:lineRule="exact"/>
        <w:ind w:firstLine="562" w:firstLineChars="200"/>
        <w:outlineLvl w:val="1"/>
        <w:rPr>
          <w:rStyle w:val="25"/>
          <w:rFonts w:ascii="黑体" w:hAnsi="黑体" w:eastAsia="黑体"/>
          <w:b w:val="0"/>
          <w:sz w:val="28"/>
          <w:szCs w:val="28"/>
        </w:rPr>
      </w:pPr>
      <w:bookmarkStart w:id="24" w:name="_Toc15396607"/>
      <w:bookmarkStart w:id="25" w:name="_Toc15377209"/>
      <w:r>
        <w:rPr>
          <w:rFonts w:hint="eastAsia" w:ascii="黑体" w:hAnsi="黑体" w:eastAsia="黑体"/>
          <w:b/>
          <w:color w:val="000000"/>
          <w:sz w:val="28"/>
          <w:szCs w:val="28"/>
        </w:rPr>
        <w:t>五、一</w:t>
      </w:r>
      <w:r>
        <w:rPr>
          <w:rStyle w:val="25"/>
          <w:rFonts w:hint="eastAsia" w:ascii="黑体" w:hAnsi="黑体" w:eastAsia="黑体"/>
          <w:b w:val="0"/>
          <w:sz w:val="28"/>
          <w:szCs w:val="28"/>
        </w:rPr>
        <w:t>般公共预算财政拨款支出决算情况说明</w:t>
      </w:r>
      <w:bookmarkEnd w:id="24"/>
      <w:bookmarkEnd w:id="25"/>
    </w:p>
    <w:p w14:paraId="6D62AAAF">
      <w:pPr>
        <w:spacing w:line="600" w:lineRule="exact"/>
        <w:ind w:firstLine="562" w:firstLineChars="200"/>
        <w:outlineLvl w:val="2"/>
        <w:rPr>
          <w:rFonts w:ascii="仿宋_GB2312" w:hAnsi="仿宋" w:eastAsia="仿宋_GB2312"/>
          <w:b/>
          <w:color w:val="000000"/>
          <w:sz w:val="28"/>
          <w:szCs w:val="28"/>
        </w:rPr>
      </w:pPr>
      <w:bookmarkStart w:id="26" w:name="_Toc15377210"/>
      <w:r>
        <w:rPr>
          <w:rFonts w:hint="eastAsia" w:ascii="仿宋_GB2312" w:hAnsi="仿宋" w:eastAsia="仿宋_GB2312"/>
          <w:b/>
          <w:color w:val="000000"/>
          <w:sz w:val="28"/>
          <w:szCs w:val="28"/>
        </w:rPr>
        <w:t>（一）一般公共预算财政拨款支出决算总体情况</w:t>
      </w:r>
      <w:bookmarkEnd w:id="26"/>
    </w:p>
    <w:p w14:paraId="63985109">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2019年一般公共预算财政拨款支出478.21万元，占本年支出合计的84.49%。与2018年相比，一般公共预算财政拨款支出增加10.31万元，增长2.2%。主要变动原因是项目经费增加。</w:t>
      </w:r>
    </w:p>
    <w:p w14:paraId="19B612F2">
      <w:pPr>
        <w:spacing w:line="600" w:lineRule="exact"/>
        <w:ind w:firstLine="560" w:firstLineChars="200"/>
        <w:rPr>
          <w:rFonts w:ascii="仿宋_GB2312" w:hAnsi="仿宋" w:eastAsia="仿宋_GB2312"/>
          <w:color w:val="000000" w:themeColor="text1"/>
          <w:sz w:val="28"/>
          <w:szCs w:val="28"/>
        </w:rPr>
      </w:pPr>
      <w:r>
        <w:rPr>
          <w:rFonts w:hint="eastAsia" w:ascii="仿宋_GB2312" w:hAnsi="仿宋" w:eastAsia="仿宋_GB2312"/>
          <w:color w:val="000000" w:themeColor="text1"/>
          <w:sz w:val="28"/>
          <w:szCs w:val="28"/>
        </w:rPr>
        <w:t>（图5：一般公共预算财政拨款支出决算变动情况）（柱状图）</w:t>
      </w:r>
    </w:p>
    <w:p w14:paraId="588A361B">
      <w:pPr>
        <w:spacing w:line="60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drawing>
          <wp:anchor distT="0" distB="0" distL="114300" distR="114300" simplePos="0" relativeHeight="251663360" behindDoc="0" locked="0" layoutInCell="1" allowOverlap="1">
            <wp:simplePos x="0" y="0"/>
            <wp:positionH relativeFrom="column">
              <wp:posOffset>1253490</wp:posOffset>
            </wp:positionH>
            <wp:positionV relativeFrom="paragraph">
              <wp:posOffset>114300</wp:posOffset>
            </wp:positionV>
            <wp:extent cx="3044190" cy="2138680"/>
            <wp:effectExtent l="19050" t="0" r="3562"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10"/>
                    <a:srcRect/>
                    <a:stretch>
                      <a:fillRect/>
                    </a:stretch>
                  </pic:blipFill>
                  <pic:spPr>
                    <a:xfrm>
                      <a:off x="0" y="0"/>
                      <a:ext cx="3044438" cy="2138901"/>
                    </a:xfrm>
                    <a:prstGeom prst="rect">
                      <a:avLst/>
                    </a:prstGeom>
                    <a:noFill/>
                  </pic:spPr>
                </pic:pic>
              </a:graphicData>
            </a:graphic>
          </wp:anchor>
        </w:drawing>
      </w:r>
    </w:p>
    <w:p w14:paraId="67038E7B">
      <w:pPr>
        <w:spacing w:line="600" w:lineRule="exact"/>
        <w:ind w:firstLine="640" w:firstLineChars="200"/>
        <w:rPr>
          <w:rFonts w:ascii="仿宋" w:hAnsi="仿宋" w:eastAsia="仿宋"/>
          <w:color w:val="000000" w:themeColor="text1"/>
          <w:sz w:val="32"/>
          <w:szCs w:val="32"/>
        </w:rPr>
      </w:pPr>
    </w:p>
    <w:p w14:paraId="654211ED">
      <w:pPr>
        <w:spacing w:line="600" w:lineRule="exact"/>
        <w:ind w:firstLine="640" w:firstLineChars="200"/>
        <w:rPr>
          <w:rFonts w:ascii="仿宋" w:hAnsi="仿宋" w:eastAsia="仿宋"/>
          <w:color w:val="000000" w:themeColor="text1"/>
          <w:sz w:val="32"/>
          <w:szCs w:val="32"/>
        </w:rPr>
      </w:pPr>
    </w:p>
    <w:p w14:paraId="6BD503CA">
      <w:pPr>
        <w:spacing w:line="600" w:lineRule="exact"/>
        <w:ind w:firstLine="640" w:firstLineChars="200"/>
        <w:rPr>
          <w:rFonts w:ascii="仿宋" w:hAnsi="仿宋" w:eastAsia="仿宋"/>
          <w:color w:val="000000" w:themeColor="text1"/>
          <w:sz w:val="32"/>
          <w:szCs w:val="32"/>
        </w:rPr>
      </w:pPr>
    </w:p>
    <w:p w14:paraId="0737C015">
      <w:pPr>
        <w:spacing w:line="600" w:lineRule="exact"/>
        <w:ind w:firstLine="640" w:firstLineChars="200"/>
        <w:rPr>
          <w:rFonts w:ascii="仿宋" w:hAnsi="仿宋" w:eastAsia="仿宋"/>
          <w:color w:val="000000" w:themeColor="text1"/>
          <w:sz w:val="32"/>
          <w:szCs w:val="32"/>
        </w:rPr>
      </w:pPr>
    </w:p>
    <w:p w14:paraId="6B58D690">
      <w:pPr>
        <w:spacing w:line="600" w:lineRule="exact"/>
        <w:ind w:firstLine="640" w:firstLineChars="200"/>
        <w:rPr>
          <w:rFonts w:ascii="仿宋" w:hAnsi="仿宋" w:eastAsia="仿宋"/>
          <w:color w:val="000000" w:themeColor="text1"/>
          <w:sz w:val="32"/>
          <w:szCs w:val="32"/>
        </w:rPr>
      </w:pPr>
    </w:p>
    <w:p w14:paraId="48F31E07">
      <w:pPr>
        <w:spacing w:line="600" w:lineRule="exact"/>
        <w:ind w:firstLine="562" w:firstLineChars="200"/>
        <w:outlineLvl w:val="2"/>
        <w:rPr>
          <w:rFonts w:ascii="仿宋_GB2312" w:hAnsi="仿宋" w:eastAsia="仿宋_GB2312"/>
          <w:b/>
          <w:color w:val="000000"/>
          <w:sz w:val="28"/>
          <w:szCs w:val="28"/>
        </w:rPr>
      </w:pPr>
      <w:bookmarkStart w:id="27" w:name="_Toc15377211"/>
      <w:r>
        <w:rPr>
          <w:rFonts w:hint="eastAsia" w:ascii="仿宋_GB2312" w:hAnsi="仿宋" w:eastAsia="仿宋_GB2312"/>
          <w:b/>
          <w:color w:val="000000"/>
          <w:sz w:val="28"/>
          <w:szCs w:val="28"/>
        </w:rPr>
        <w:t>（二）一般公共预算财政拨款支出决算结构情况</w:t>
      </w:r>
      <w:bookmarkEnd w:id="27"/>
    </w:p>
    <w:p w14:paraId="01C202E1">
      <w:pPr>
        <w:spacing w:line="600" w:lineRule="exact"/>
        <w:ind w:firstLine="640"/>
        <w:rPr>
          <w:rFonts w:ascii="仿宋_GB2312" w:hAnsi="仿宋" w:eastAsia="仿宋_GB2312"/>
          <w:color w:val="000000" w:themeColor="text1"/>
          <w:sz w:val="28"/>
          <w:szCs w:val="28"/>
        </w:rPr>
      </w:pPr>
      <w:r>
        <w:rPr>
          <w:rFonts w:hint="eastAsia" w:ascii="仿宋_GB2312" w:hAnsi="仿宋" w:eastAsia="仿宋_GB2312"/>
          <w:color w:val="000000"/>
          <w:sz w:val="28"/>
          <w:szCs w:val="28"/>
        </w:rPr>
        <w:t>2019年一般公共预算财</w:t>
      </w:r>
      <w:r>
        <w:rPr>
          <w:rFonts w:hint="eastAsia" w:ascii="仿宋_GB2312" w:hAnsi="仿宋" w:eastAsia="仿宋_GB2312"/>
          <w:color w:val="000000" w:themeColor="text1"/>
          <w:sz w:val="28"/>
          <w:szCs w:val="28"/>
        </w:rPr>
        <w:t>政拨款支出478.21万元，主要用于以下方面:一般公共服务（类）支出415.54万元，占86.89%；教育支出（类）0万元，占0%；科学技术（类）支出0万元，占0%；</w:t>
      </w:r>
      <w:r>
        <w:rPr>
          <w:rFonts w:hint="eastAsia" w:ascii="仿宋_GB2312" w:hAnsi="仿宋" w:eastAsia="仿宋_GB2312"/>
          <w:bCs/>
          <w:color w:val="000000" w:themeColor="text1"/>
          <w:sz w:val="28"/>
          <w:szCs w:val="28"/>
        </w:rPr>
        <w:t>文化旅游体育与传媒（类）支出0万元，占0%</w:t>
      </w:r>
      <w:r>
        <w:rPr>
          <w:rFonts w:hint="eastAsia" w:ascii="仿宋_GB2312" w:hAnsi="仿宋" w:eastAsia="仿宋_GB2312"/>
          <w:color w:val="000000" w:themeColor="text1"/>
          <w:sz w:val="28"/>
          <w:szCs w:val="28"/>
        </w:rPr>
        <w:t>；社会保障和就业（类）支出28.34万元，占5.93%；</w:t>
      </w:r>
      <w:r>
        <w:rPr>
          <w:rFonts w:hint="eastAsia" w:ascii="仿宋_GB2312" w:hAnsi="仿宋" w:eastAsia="仿宋_GB2312"/>
          <w:bCs/>
          <w:color w:val="000000" w:themeColor="text1"/>
          <w:sz w:val="28"/>
          <w:szCs w:val="28"/>
        </w:rPr>
        <w:t>卫生健康支出</w:t>
      </w:r>
      <w:r>
        <w:rPr>
          <w:rFonts w:hint="eastAsia" w:ascii="仿宋_GB2312" w:hAnsi="仿宋" w:eastAsia="仿宋_GB2312"/>
          <w:color w:val="000000" w:themeColor="text1"/>
          <w:sz w:val="28"/>
          <w:szCs w:val="28"/>
        </w:rPr>
        <w:t>6.94万元，占1.45%；住房保障支出27.39万元，占5.73%。</w:t>
      </w:r>
    </w:p>
    <w:p w14:paraId="677DA439">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（图6：一般公共预算财政拨款支出决算结构）（饼状图）</w:t>
      </w:r>
    </w:p>
    <w:p w14:paraId="5D12505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951230</wp:posOffset>
            </wp:positionH>
            <wp:positionV relativeFrom="paragraph">
              <wp:posOffset>227330</wp:posOffset>
            </wp:positionV>
            <wp:extent cx="3638550" cy="2417445"/>
            <wp:effectExtent l="19050" t="0" r="0"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1"/>
                    <a:srcRect/>
                    <a:stretch>
                      <a:fillRect/>
                    </a:stretch>
                  </pic:blipFill>
                  <pic:spPr>
                    <a:xfrm>
                      <a:off x="0" y="0"/>
                      <a:ext cx="3638550" cy="2417196"/>
                    </a:xfrm>
                    <a:prstGeom prst="rect">
                      <a:avLst/>
                    </a:prstGeom>
                    <a:noFill/>
                  </pic:spPr>
                </pic:pic>
              </a:graphicData>
            </a:graphic>
          </wp:anchor>
        </w:drawing>
      </w:r>
    </w:p>
    <w:p w14:paraId="2FDBF14F">
      <w:pPr>
        <w:spacing w:line="600" w:lineRule="exact"/>
        <w:ind w:firstLine="640" w:firstLineChars="200"/>
        <w:rPr>
          <w:rFonts w:ascii="仿宋" w:hAnsi="仿宋" w:eastAsia="仿宋"/>
          <w:color w:val="000000"/>
          <w:sz w:val="32"/>
          <w:szCs w:val="32"/>
        </w:rPr>
      </w:pPr>
    </w:p>
    <w:p w14:paraId="6BC63448">
      <w:pPr>
        <w:spacing w:line="600" w:lineRule="exact"/>
        <w:ind w:firstLine="640" w:firstLineChars="200"/>
        <w:rPr>
          <w:rFonts w:ascii="仿宋" w:hAnsi="仿宋" w:eastAsia="仿宋"/>
          <w:color w:val="000000"/>
          <w:sz w:val="32"/>
          <w:szCs w:val="32"/>
        </w:rPr>
      </w:pPr>
    </w:p>
    <w:p w14:paraId="040DC765">
      <w:pPr>
        <w:spacing w:line="600" w:lineRule="exact"/>
        <w:ind w:firstLine="640" w:firstLineChars="200"/>
        <w:rPr>
          <w:rFonts w:ascii="仿宋" w:hAnsi="仿宋" w:eastAsia="仿宋"/>
          <w:color w:val="000000"/>
          <w:sz w:val="32"/>
          <w:szCs w:val="32"/>
        </w:rPr>
      </w:pPr>
    </w:p>
    <w:p w14:paraId="12791D35">
      <w:pPr>
        <w:spacing w:line="600" w:lineRule="exact"/>
        <w:ind w:firstLine="640" w:firstLineChars="200"/>
        <w:rPr>
          <w:rFonts w:ascii="仿宋" w:hAnsi="仿宋" w:eastAsia="仿宋"/>
          <w:color w:val="000000"/>
          <w:sz w:val="32"/>
          <w:szCs w:val="32"/>
        </w:rPr>
      </w:pPr>
    </w:p>
    <w:p w14:paraId="736D6A8B">
      <w:pPr>
        <w:spacing w:line="600" w:lineRule="exact"/>
        <w:ind w:firstLine="640" w:firstLineChars="200"/>
        <w:rPr>
          <w:rFonts w:ascii="仿宋" w:hAnsi="仿宋" w:eastAsia="仿宋"/>
          <w:color w:val="000000"/>
          <w:sz w:val="32"/>
          <w:szCs w:val="32"/>
        </w:rPr>
      </w:pPr>
    </w:p>
    <w:p w14:paraId="6E3D1E5E">
      <w:pPr>
        <w:spacing w:line="600" w:lineRule="exact"/>
        <w:ind w:firstLine="640" w:firstLineChars="200"/>
        <w:rPr>
          <w:rFonts w:ascii="仿宋" w:hAnsi="仿宋" w:eastAsia="仿宋"/>
          <w:color w:val="000000"/>
          <w:sz w:val="32"/>
          <w:szCs w:val="32"/>
        </w:rPr>
      </w:pPr>
    </w:p>
    <w:p w14:paraId="71AB0418">
      <w:pPr>
        <w:spacing w:line="600" w:lineRule="exact"/>
        <w:ind w:firstLine="562" w:firstLineChars="200"/>
        <w:outlineLvl w:val="2"/>
        <w:rPr>
          <w:rFonts w:ascii="仿宋_GB2312" w:hAnsi="仿宋" w:eastAsia="仿宋_GB2312"/>
          <w:b/>
          <w:color w:val="000000"/>
          <w:sz w:val="28"/>
          <w:szCs w:val="28"/>
        </w:rPr>
      </w:pPr>
      <w:bookmarkStart w:id="28" w:name="_Toc15377212"/>
      <w:r>
        <w:rPr>
          <w:rFonts w:hint="eastAsia" w:ascii="仿宋_GB2312" w:hAnsi="仿宋" w:eastAsia="仿宋_GB2312"/>
          <w:b/>
          <w:color w:val="000000"/>
          <w:sz w:val="28"/>
          <w:szCs w:val="28"/>
        </w:rPr>
        <w:t>（三）一般公共预算财政拨款支出决算具体情况</w:t>
      </w:r>
      <w:bookmarkEnd w:id="28"/>
    </w:p>
    <w:p w14:paraId="43B5AAD9">
      <w:pPr>
        <w:spacing w:line="600" w:lineRule="exact"/>
        <w:ind w:firstLine="560" w:firstLineChars="200"/>
        <w:outlineLvl w:val="2"/>
        <w:rPr>
          <w:rFonts w:ascii="仿宋_GB2312" w:hAnsi="仿宋" w:eastAsia="仿宋_GB2312"/>
          <w:color w:val="FF0000"/>
          <w:sz w:val="28"/>
          <w:szCs w:val="28"/>
        </w:rPr>
      </w:pPr>
      <w:bookmarkStart w:id="29" w:name="_Toc15377444"/>
      <w:bookmarkStart w:id="30" w:name="_Toc15378460"/>
      <w:bookmarkStart w:id="31" w:name="_Toc15377213"/>
      <w:r>
        <w:rPr>
          <w:rFonts w:hint="eastAsia" w:ascii="仿宋_GB2312" w:hAnsi="仿宋" w:eastAsia="仿宋_GB2312"/>
          <w:color w:val="000000" w:themeColor="text1"/>
          <w:sz w:val="28"/>
          <w:szCs w:val="28"/>
        </w:rPr>
        <w:t>2019年一般公共预算支出决算数为478.21，</w:t>
      </w:r>
      <w:r>
        <w:rPr>
          <w:rStyle w:val="14"/>
          <w:rFonts w:hint="eastAsia" w:ascii="仿宋_GB2312" w:hAnsi="仿宋" w:eastAsia="仿宋_GB2312"/>
          <w:b w:val="0"/>
          <w:bCs/>
          <w:color w:val="000000" w:themeColor="text1"/>
          <w:sz w:val="28"/>
          <w:szCs w:val="28"/>
        </w:rPr>
        <w:t>完成</w:t>
      </w:r>
      <w:r>
        <w:rPr>
          <w:rStyle w:val="14"/>
          <w:rFonts w:hint="eastAsia" w:ascii="仿宋_GB2312" w:hAnsi="仿宋" w:eastAsia="仿宋_GB2312"/>
          <w:b w:val="0"/>
          <w:bCs/>
          <w:color w:val="000000"/>
          <w:sz w:val="28"/>
          <w:szCs w:val="28"/>
        </w:rPr>
        <w:t>预算100%。</w:t>
      </w:r>
      <w:r>
        <w:rPr>
          <w:rStyle w:val="14"/>
          <w:rFonts w:hint="eastAsia" w:ascii="仿宋_GB2312" w:hAnsi="仿宋" w:eastAsia="仿宋_GB2312"/>
          <w:bCs/>
          <w:color w:val="000000"/>
          <w:sz w:val="28"/>
          <w:szCs w:val="28"/>
        </w:rPr>
        <w:t>其中：</w:t>
      </w:r>
      <w:bookmarkEnd w:id="29"/>
      <w:bookmarkEnd w:id="30"/>
      <w:bookmarkEnd w:id="31"/>
    </w:p>
    <w:p w14:paraId="38E577AF">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1.一般公共服务（类）党委办公厅（室）及相关机构事务（款）行政运行（项）:2019年决算数为197.96万元，预算数完成预算100 %，决算数与预算数持平。</w:t>
      </w:r>
    </w:p>
    <w:p w14:paraId="44B01C36">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 xml:space="preserve">2.一般公共服务（类）党委办公厅（室）及相关机构事务（款）一般行政管理事务（项）:2019年决算数为89.90万元,预算数完成100%，决算数与预算数持平。 </w:t>
      </w:r>
    </w:p>
    <w:p w14:paraId="37F68622">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3.一般公共服务（类）党委办公厅（室）及相关机构事务（款）事业运行（项）：2019年决算数54.18万元,完成预算数100%，决算数与预算数持平。</w:t>
      </w:r>
    </w:p>
    <w:p w14:paraId="262891CC">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4.一般公共服务（类）党委办公厅（室）及相关机构事务（款）其他党委办公厅（室）及相关机构事务支出（项）：2019年决算数73.50万元,完成预算数100%，决算数与预算数持平。</w:t>
      </w:r>
    </w:p>
    <w:p w14:paraId="30E2ED4B">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5.社会保障和就业（类）行政事业单位离退休（款）机关事业单位基本养老保险支出（项）:2019年决算数为19.41万元，完成预算100%，决算数与预算数持平。</w:t>
      </w:r>
    </w:p>
    <w:p w14:paraId="4BC6C73B">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6.社会保障和就业（类）行政事业单位离退休（款）机关事业单位职业年金缴费支出（项）：2019年决算数为8.93万元，完成预算100%，决算数与预算数持平。</w:t>
      </w:r>
    </w:p>
    <w:p w14:paraId="0C1D7BB6">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7.卫生健康支出（类）行政事业单位医疗（款）行政单位医疗（项）:2019年决算数为6.94万元，完成预算100%，决算数与预算数持平。</w:t>
      </w:r>
    </w:p>
    <w:p w14:paraId="23C591CB">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8. 住房保障支出(类)住房改革支出（款）住房公积金（项）:2019年决算数为27.39万元,完成预算100%，决算数与预算数持平。</w:t>
      </w:r>
    </w:p>
    <w:p w14:paraId="3E6A8C84">
      <w:pPr>
        <w:tabs>
          <w:tab w:val="right" w:pos="8306"/>
        </w:tabs>
        <w:spacing w:line="600" w:lineRule="exact"/>
        <w:ind w:firstLine="640"/>
        <w:outlineLvl w:val="1"/>
        <w:rPr>
          <w:rStyle w:val="25"/>
          <w:rFonts w:ascii="黑体" w:eastAsia="黑体"/>
          <w:b w:val="0"/>
          <w:sz w:val="28"/>
          <w:szCs w:val="28"/>
        </w:rPr>
      </w:pPr>
      <w:bookmarkStart w:id="32" w:name="_Toc15377214"/>
      <w:bookmarkStart w:id="33" w:name="_Toc15396608"/>
      <w:r>
        <w:rPr>
          <w:rFonts w:hint="eastAsia" w:ascii="黑体" w:eastAsia="黑体"/>
          <w:b/>
          <w:color w:val="000000"/>
          <w:sz w:val="28"/>
          <w:szCs w:val="28"/>
        </w:rPr>
        <w:t>六、</w:t>
      </w:r>
      <w:r>
        <w:rPr>
          <w:rFonts w:hint="eastAsia" w:ascii="黑体" w:hAnsi="黑体" w:eastAsia="黑体"/>
          <w:b/>
          <w:color w:val="000000"/>
          <w:sz w:val="28"/>
          <w:szCs w:val="28"/>
        </w:rPr>
        <w:t>一</w:t>
      </w:r>
      <w:r>
        <w:rPr>
          <w:rStyle w:val="25"/>
          <w:rFonts w:hint="eastAsia" w:ascii="黑体" w:hAnsi="黑体" w:eastAsia="黑体"/>
          <w:b w:val="0"/>
          <w:sz w:val="28"/>
          <w:szCs w:val="28"/>
        </w:rPr>
        <w:t>般公共预算财政拨款基本支出决算情况说明</w:t>
      </w:r>
      <w:bookmarkEnd w:id="32"/>
      <w:bookmarkEnd w:id="33"/>
      <w:r>
        <w:rPr>
          <w:rStyle w:val="25"/>
          <w:rFonts w:hint="eastAsia" w:ascii="黑体" w:hAnsi="黑体" w:eastAsia="黑体"/>
          <w:b w:val="0"/>
          <w:sz w:val="28"/>
          <w:szCs w:val="28"/>
        </w:rPr>
        <w:tab/>
      </w:r>
    </w:p>
    <w:p w14:paraId="7FE23297">
      <w:pPr>
        <w:spacing w:line="600" w:lineRule="exact"/>
        <w:ind w:firstLine="645"/>
        <w:rPr>
          <w:rFonts w:ascii="仿宋_GB2312" w:hAnsi="仿宋" w:eastAsia="仿宋_GB2312"/>
          <w:color w:val="000000"/>
          <w:sz w:val="28"/>
          <w:szCs w:val="28"/>
        </w:rPr>
      </w:pPr>
      <w:r>
        <w:rPr>
          <w:rFonts w:hint="eastAsia" w:ascii="仿宋_GB2312" w:hAnsi="仿宋" w:eastAsia="仿宋_GB2312"/>
          <w:color w:val="000000"/>
          <w:sz w:val="28"/>
          <w:szCs w:val="28"/>
        </w:rPr>
        <w:t>2019年一般公共预算财政拨款基本支出314.81万元，其中：</w:t>
      </w:r>
    </w:p>
    <w:p w14:paraId="52062B99">
      <w:pPr>
        <w:spacing w:line="600" w:lineRule="exact"/>
        <w:ind w:firstLine="645"/>
        <w:rPr>
          <w:rFonts w:ascii="仿宋_GB2312" w:hAnsi="仿宋" w:eastAsia="仿宋_GB2312"/>
          <w:color w:val="000000"/>
          <w:sz w:val="28"/>
          <w:szCs w:val="28"/>
        </w:rPr>
      </w:pPr>
      <w:r>
        <w:rPr>
          <w:rFonts w:hint="eastAsia" w:ascii="仿宋_GB2312" w:hAnsi="仿宋" w:eastAsia="仿宋_GB2312"/>
          <w:color w:val="000000"/>
          <w:sz w:val="28"/>
          <w:szCs w:val="28"/>
        </w:rPr>
        <w:t>人员经费283.71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 w:eastAsia="仿宋_GB2312"/>
          <w:color w:val="000000"/>
          <w:sz w:val="28"/>
          <w:szCs w:val="28"/>
        </w:rPr>
        <w:br w:type="textWrapping"/>
      </w:r>
      <w:r>
        <w:rPr>
          <w:rFonts w:hint="eastAsia" w:ascii="仿宋_GB2312" w:hAnsi="仿宋" w:eastAsia="仿宋_GB2312"/>
          <w:color w:val="000000"/>
          <w:sz w:val="28"/>
          <w:szCs w:val="28"/>
        </w:rPr>
        <w:t>　　日常公用经费31.10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09091B6">
      <w:pPr>
        <w:spacing w:line="600" w:lineRule="exact"/>
        <w:ind w:firstLine="640"/>
        <w:outlineLvl w:val="1"/>
        <w:rPr>
          <w:rStyle w:val="25"/>
          <w:rFonts w:ascii="黑体" w:hAnsi="黑体" w:eastAsia="黑体"/>
          <w:b w:val="0"/>
          <w:sz w:val="28"/>
          <w:szCs w:val="28"/>
        </w:rPr>
      </w:pPr>
      <w:bookmarkStart w:id="34" w:name="_Toc15396609"/>
      <w:bookmarkStart w:id="35" w:name="_Toc15377215"/>
      <w:r>
        <w:rPr>
          <w:rFonts w:hint="eastAsia" w:ascii="黑体" w:eastAsia="黑体"/>
          <w:b/>
          <w:color w:val="000000"/>
          <w:sz w:val="28"/>
          <w:szCs w:val="28"/>
        </w:rPr>
        <w:t>七、</w:t>
      </w:r>
      <w:r>
        <w:rPr>
          <w:rStyle w:val="25"/>
          <w:rFonts w:hint="eastAsia" w:ascii="黑体" w:hAnsi="黑体" w:eastAsia="黑体"/>
          <w:b w:val="0"/>
          <w:sz w:val="28"/>
          <w:szCs w:val="28"/>
        </w:rPr>
        <w:t>“三公”经费财政拨款支出决算情况说明</w:t>
      </w:r>
      <w:bookmarkEnd w:id="34"/>
      <w:bookmarkEnd w:id="35"/>
    </w:p>
    <w:p w14:paraId="368020FC">
      <w:pPr>
        <w:spacing w:line="600" w:lineRule="exact"/>
        <w:ind w:firstLine="640"/>
        <w:outlineLvl w:val="2"/>
        <w:rPr>
          <w:rFonts w:ascii="仿宋_GB2312" w:hAnsi="仿宋" w:eastAsia="仿宋_GB2312"/>
          <w:b/>
          <w:color w:val="000000"/>
          <w:sz w:val="28"/>
          <w:szCs w:val="28"/>
        </w:rPr>
      </w:pPr>
      <w:bookmarkStart w:id="36" w:name="_Toc15377216"/>
      <w:r>
        <w:rPr>
          <w:rFonts w:hint="eastAsia" w:ascii="仿宋_GB2312" w:hAnsi="仿宋" w:eastAsia="仿宋_GB2312"/>
          <w:b/>
          <w:color w:val="000000"/>
          <w:sz w:val="28"/>
          <w:szCs w:val="28"/>
        </w:rPr>
        <w:t>（一）“三公”经费财政拨款支出决算总体情况说明</w:t>
      </w:r>
      <w:bookmarkEnd w:id="36"/>
    </w:p>
    <w:p w14:paraId="7CF765AA">
      <w:pPr>
        <w:spacing w:line="600" w:lineRule="exact"/>
        <w:ind w:firstLine="640"/>
        <w:rPr>
          <w:rFonts w:ascii="仿宋_GB2312" w:hAnsi="仿宋" w:eastAsia="仿宋_GB2312"/>
          <w:color w:val="000000"/>
          <w:sz w:val="28"/>
          <w:szCs w:val="28"/>
        </w:rPr>
      </w:pPr>
      <w:r>
        <w:rPr>
          <w:rFonts w:hint="eastAsia" w:ascii="仿宋_GB2312" w:hAnsi="仿宋" w:eastAsia="仿宋_GB2312"/>
          <w:color w:val="000000"/>
          <w:sz w:val="28"/>
          <w:szCs w:val="28"/>
        </w:rPr>
        <w:t>2019年“三公”经费财政拨款支出决算为3.13万元，完成预算100%，决算数与预算数持平。</w:t>
      </w:r>
    </w:p>
    <w:p w14:paraId="600A7EF1">
      <w:pPr>
        <w:spacing w:line="600" w:lineRule="exact"/>
        <w:ind w:firstLine="640"/>
        <w:outlineLvl w:val="2"/>
        <w:rPr>
          <w:rFonts w:ascii="仿宋_GB2312" w:hAnsi="仿宋" w:eastAsia="仿宋_GB2312"/>
          <w:b/>
          <w:color w:val="000000"/>
          <w:sz w:val="28"/>
          <w:szCs w:val="28"/>
        </w:rPr>
      </w:pPr>
      <w:bookmarkStart w:id="37" w:name="_Toc15377217"/>
      <w:r>
        <w:rPr>
          <w:rFonts w:hint="eastAsia" w:ascii="仿宋_GB2312" w:hAnsi="仿宋" w:eastAsia="仿宋_GB2312"/>
          <w:b/>
          <w:color w:val="000000"/>
          <w:sz w:val="28"/>
          <w:szCs w:val="28"/>
        </w:rPr>
        <w:t>（二）“三公”经费财政拨款支出决算具体情况说明</w:t>
      </w:r>
      <w:bookmarkEnd w:id="37"/>
    </w:p>
    <w:p w14:paraId="77E70175">
      <w:pPr>
        <w:spacing w:line="600" w:lineRule="exact"/>
        <w:ind w:firstLine="640"/>
        <w:rPr>
          <w:rFonts w:ascii="仿宋_GB2312" w:hAnsi="仿宋" w:eastAsia="仿宋_GB2312"/>
          <w:color w:val="000000"/>
          <w:sz w:val="28"/>
          <w:szCs w:val="28"/>
        </w:rPr>
      </w:pPr>
      <w:r>
        <w:rPr>
          <w:rFonts w:hint="eastAsia" w:ascii="仿宋_GB2312" w:hAnsi="仿宋" w:eastAsia="仿宋_GB2312"/>
          <w:color w:val="000000"/>
          <w:sz w:val="28"/>
          <w:szCs w:val="28"/>
        </w:rPr>
        <w:t>2019年“三公”经费财政拨款支出决算中，因公出国（境）费支出决算0万元，占0%；公务用车购置及运行维护费支出决算2.11万元，占67.41%；公务接待费支出决算1.02万元，占32.59%。具体情况如下：</w:t>
      </w:r>
    </w:p>
    <w:p w14:paraId="36BC0EC1">
      <w:pPr>
        <w:spacing w:line="600" w:lineRule="exact"/>
        <w:ind w:firstLine="640"/>
        <w:rPr>
          <w:rFonts w:ascii="仿宋_GB2312" w:hAnsi="仿宋" w:eastAsia="仿宋_GB2312"/>
          <w:color w:val="000000"/>
          <w:sz w:val="28"/>
          <w:szCs w:val="28"/>
        </w:rPr>
      </w:pPr>
      <w:r>
        <w:rPr>
          <w:rFonts w:hint="eastAsia" w:ascii="仿宋_GB2312" w:hAnsi="仿宋" w:eastAsia="仿宋_GB2312"/>
          <w:color w:val="000000"/>
          <w:sz w:val="28"/>
          <w:szCs w:val="28"/>
        </w:rPr>
        <w:t>（图7：“三公”经费财政拨款支出结构）（饼状图）</w:t>
      </w:r>
    </w:p>
    <w:p w14:paraId="0DD2C406">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1125855</wp:posOffset>
            </wp:positionH>
            <wp:positionV relativeFrom="paragraph">
              <wp:posOffset>194310</wp:posOffset>
            </wp:positionV>
            <wp:extent cx="3423920" cy="1701800"/>
            <wp:effectExtent l="19050" t="0" r="5135" b="0"/>
            <wp:wrapNone/>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noChangeArrowheads="1"/>
                    </pic:cNvPicPr>
                  </pic:nvPicPr>
                  <pic:blipFill>
                    <a:blip r:embed="rId12"/>
                    <a:srcRect/>
                    <a:stretch>
                      <a:fillRect/>
                    </a:stretch>
                  </pic:blipFill>
                  <pic:spPr>
                    <a:xfrm>
                      <a:off x="0" y="0"/>
                      <a:ext cx="3431125" cy="1705187"/>
                    </a:xfrm>
                    <a:prstGeom prst="rect">
                      <a:avLst/>
                    </a:prstGeom>
                    <a:noFill/>
                  </pic:spPr>
                </pic:pic>
              </a:graphicData>
            </a:graphic>
          </wp:anchor>
        </w:drawing>
      </w:r>
    </w:p>
    <w:p w14:paraId="39E29757">
      <w:pPr>
        <w:spacing w:line="600" w:lineRule="exact"/>
        <w:ind w:firstLine="640"/>
        <w:rPr>
          <w:rFonts w:ascii="仿宋" w:hAnsi="仿宋" w:eastAsia="仿宋"/>
          <w:color w:val="000000"/>
          <w:sz w:val="32"/>
          <w:szCs w:val="32"/>
        </w:rPr>
      </w:pPr>
    </w:p>
    <w:p w14:paraId="15C8D4AD">
      <w:pPr>
        <w:spacing w:line="600" w:lineRule="exact"/>
        <w:ind w:firstLine="640"/>
        <w:rPr>
          <w:rFonts w:ascii="仿宋" w:hAnsi="仿宋" w:eastAsia="仿宋"/>
          <w:color w:val="000000"/>
          <w:sz w:val="32"/>
          <w:szCs w:val="32"/>
        </w:rPr>
      </w:pPr>
    </w:p>
    <w:p w14:paraId="42A09DAA">
      <w:pPr>
        <w:spacing w:line="600" w:lineRule="exact"/>
        <w:ind w:firstLine="640"/>
        <w:rPr>
          <w:rFonts w:ascii="仿宋" w:hAnsi="仿宋" w:eastAsia="仿宋"/>
          <w:color w:val="000000"/>
          <w:sz w:val="32"/>
          <w:szCs w:val="32"/>
        </w:rPr>
      </w:pPr>
    </w:p>
    <w:p w14:paraId="05308DBA">
      <w:pPr>
        <w:spacing w:line="600" w:lineRule="exact"/>
        <w:ind w:firstLine="640"/>
        <w:rPr>
          <w:rFonts w:ascii="仿宋" w:hAnsi="仿宋" w:eastAsia="仿宋"/>
          <w:color w:val="000000"/>
          <w:sz w:val="32"/>
          <w:szCs w:val="32"/>
        </w:rPr>
      </w:pPr>
    </w:p>
    <w:p w14:paraId="1A839E4F">
      <w:pPr>
        <w:spacing w:line="600" w:lineRule="exact"/>
        <w:ind w:firstLine="640"/>
        <w:rPr>
          <w:rFonts w:ascii="仿宋_GB2312" w:hAnsi="仿宋" w:eastAsia="仿宋_GB2312"/>
          <w:color w:val="000000"/>
          <w:sz w:val="28"/>
          <w:szCs w:val="28"/>
        </w:rPr>
      </w:pPr>
      <w:r>
        <w:rPr>
          <w:rFonts w:hint="eastAsia" w:ascii="仿宋_GB2312" w:hAnsi="仿宋" w:eastAsia="仿宋_GB2312"/>
          <w:color w:val="000000"/>
          <w:sz w:val="28"/>
          <w:szCs w:val="28"/>
        </w:rPr>
        <w:t>1.因公出国（境）经费支出0万元</w:t>
      </w:r>
      <w:r>
        <w:rPr>
          <w:rFonts w:hint="eastAsia" w:ascii="仿宋_GB2312" w:hAnsi="仿宋" w:eastAsia="仿宋_GB2312"/>
          <w:sz w:val="28"/>
          <w:szCs w:val="28"/>
        </w:rPr>
        <w:t>。</w:t>
      </w:r>
      <w:r>
        <w:rPr>
          <w:rFonts w:hint="eastAsia" w:ascii="仿宋_GB2312" w:hAnsi="仿宋" w:eastAsia="仿宋_GB2312"/>
          <w:color w:val="000000"/>
          <w:sz w:val="28"/>
          <w:szCs w:val="28"/>
        </w:rPr>
        <w:t>全年安排因公出国（境）团组0次，出国（境）0人。因公出国（境）支出决算与2018年持平。</w:t>
      </w:r>
    </w:p>
    <w:p w14:paraId="539D3848">
      <w:pPr>
        <w:snapToGrid w:val="0"/>
        <w:spacing w:line="360" w:lineRule="auto"/>
        <w:ind w:firstLine="560" w:firstLineChars="200"/>
        <w:rPr>
          <w:rFonts w:ascii="仿宋_GB2312" w:hAnsi="仿宋" w:eastAsia="仿宋_GB2312"/>
          <w:sz w:val="28"/>
          <w:szCs w:val="28"/>
        </w:rPr>
      </w:pPr>
      <w:r>
        <w:rPr>
          <w:rFonts w:hint="eastAsia" w:ascii="仿宋_GB2312" w:hAnsi="仿宋" w:eastAsia="仿宋_GB2312"/>
          <w:color w:val="000000"/>
          <w:sz w:val="28"/>
          <w:szCs w:val="28"/>
        </w:rPr>
        <w:t>2.公务用车购置及运行维护费支出2.11万元,</w:t>
      </w:r>
      <w:r>
        <w:rPr>
          <w:rStyle w:val="14"/>
          <w:rFonts w:hint="eastAsia" w:ascii="仿宋_GB2312" w:hAnsi="仿宋" w:eastAsia="仿宋_GB2312"/>
          <w:b w:val="0"/>
          <w:bCs/>
          <w:color w:val="000000"/>
          <w:sz w:val="28"/>
          <w:szCs w:val="28"/>
        </w:rPr>
        <w:t>完成预算100%。</w:t>
      </w:r>
      <w:r>
        <w:rPr>
          <w:rFonts w:hint="eastAsia" w:ascii="仿宋_GB2312" w:hAnsi="仿宋" w:eastAsia="仿宋_GB2312"/>
          <w:color w:val="000000"/>
          <w:sz w:val="28"/>
          <w:szCs w:val="28"/>
        </w:rPr>
        <w:t>公务用车购置及运行维护费支出决算比2018年减少2.17万元，下降50.7%。主要原因是</w:t>
      </w:r>
      <w:r>
        <w:rPr>
          <w:rFonts w:hint="eastAsia" w:ascii="仿宋_GB2312" w:hAnsi="仿宋" w:eastAsia="仿宋_GB2312"/>
          <w:sz w:val="28"/>
          <w:szCs w:val="28"/>
        </w:rPr>
        <w:t>2019年3月以后公务用车由政府办统一管理，公务用车运行维护费相对减少。</w:t>
      </w:r>
    </w:p>
    <w:p w14:paraId="15F45228">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其中：公务用车购置支出0万元。全年按规定更新购置公务用车0辆，金额0元。截至2019年12月底，单位共有公务用车1辆，其中：主要领导干部用车0辆、机要通信用车0辆、应急保障用车0辆、 执法执勤用车0辆，其他用车0辆。</w:t>
      </w:r>
    </w:p>
    <w:p w14:paraId="69BA5777">
      <w:pPr>
        <w:spacing w:line="600" w:lineRule="exact"/>
        <w:ind w:firstLine="640"/>
        <w:rPr>
          <w:rFonts w:ascii="仿宋_GB2312" w:hAnsi="仿宋" w:eastAsia="仿宋_GB2312"/>
          <w:color w:val="000000"/>
          <w:sz w:val="28"/>
          <w:szCs w:val="28"/>
        </w:rPr>
      </w:pPr>
      <w:r>
        <w:rPr>
          <w:rFonts w:hint="eastAsia" w:ascii="仿宋_GB2312" w:hAnsi="仿宋" w:eastAsia="仿宋_GB2312"/>
          <w:color w:val="000000"/>
          <w:sz w:val="28"/>
          <w:szCs w:val="28"/>
        </w:rPr>
        <w:t>公务用车运行维护费支出2.11万元。主要用于</w:t>
      </w:r>
      <w:r>
        <w:rPr>
          <w:rFonts w:hint="eastAsia" w:ascii="仿宋_GB2312" w:eastAsia="仿宋_GB2312"/>
          <w:color w:val="000000"/>
          <w:sz w:val="28"/>
          <w:szCs w:val="28"/>
        </w:rPr>
        <w:t>日常信访工作、重点案件督查督办和</w:t>
      </w:r>
      <w:r>
        <w:rPr>
          <w:rFonts w:hint="eastAsia" w:ascii="仿宋_GB2312" w:eastAsia="仿宋_GB2312" w:cs="仿宋_GB2312"/>
          <w:color w:val="000000"/>
          <w:sz w:val="28"/>
          <w:szCs w:val="28"/>
        </w:rPr>
        <w:t>信访维稳、处置应急突发事件</w:t>
      </w:r>
      <w:r>
        <w:rPr>
          <w:rFonts w:hint="eastAsia" w:ascii="仿宋_GB2312" w:hAnsi="仿宋" w:eastAsia="仿宋_GB2312"/>
          <w:color w:val="000000"/>
          <w:sz w:val="28"/>
          <w:szCs w:val="28"/>
        </w:rPr>
        <w:t>等所需的公务用车燃料费、维修费、过路过桥费、保险费等支出。</w:t>
      </w:r>
    </w:p>
    <w:p w14:paraId="14DA8E26">
      <w:pPr>
        <w:spacing w:line="600" w:lineRule="exact"/>
        <w:ind w:firstLine="640"/>
        <w:rPr>
          <w:rFonts w:ascii="仿宋_GB2312" w:hAnsi="仿宋" w:eastAsia="仿宋_GB2312"/>
          <w:color w:val="000000"/>
          <w:sz w:val="28"/>
          <w:szCs w:val="28"/>
        </w:rPr>
      </w:pPr>
      <w:r>
        <w:rPr>
          <w:rFonts w:hint="eastAsia" w:ascii="仿宋_GB2312" w:hAnsi="仿宋" w:eastAsia="仿宋_GB2312"/>
          <w:color w:val="000000"/>
          <w:sz w:val="28"/>
          <w:szCs w:val="28"/>
        </w:rPr>
        <w:t>3.公务接待费支出1.02万元，</w:t>
      </w:r>
      <w:r>
        <w:rPr>
          <w:rStyle w:val="14"/>
          <w:rFonts w:hint="eastAsia" w:ascii="仿宋_GB2312" w:hAnsi="仿宋" w:eastAsia="仿宋_GB2312"/>
          <w:b w:val="0"/>
          <w:bCs/>
          <w:color w:val="000000"/>
          <w:sz w:val="28"/>
          <w:szCs w:val="28"/>
        </w:rPr>
        <w:t>完成预算100%。</w:t>
      </w:r>
      <w:r>
        <w:rPr>
          <w:rFonts w:hint="eastAsia" w:ascii="仿宋_GB2312" w:hAnsi="仿宋" w:eastAsia="仿宋_GB2312"/>
          <w:color w:val="000000"/>
          <w:sz w:val="28"/>
          <w:szCs w:val="28"/>
        </w:rPr>
        <w:t>公务接待费支出决算比2018年增加1.02万元，增长100%。主要原因是</w:t>
      </w:r>
      <w:r>
        <w:rPr>
          <w:rFonts w:hint="eastAsia" w:ascii="仿宋_GB2312" w:eastAsia="仿宋_GB2312"/>
          <w:color w:val="000000"/>
          <w:sz w:val="28"/>
          <w:szCs w:val="28"/>
        </w:rPr>
        <w:t>接待上级部门考察调研及督查督办工作,</w:t>
      </w:r>
      <w:r>
        <w:rPr>
          <w:rFonts w:hint="eastAsia" w:ascii="仿宋_GB2312" w:hAnsi="仿宋" w:eastAsia="仿宋_GB2312"/>
          <w:color w:val="000000"/>
          <w:sz w:val="28"/>
          <w:szCs w:val="28"/>
        </w:rPr>
        <w:t>其中：</w:t>
      </w:r>
    </w:p>
    <w:p w14:paraId="4742FF69">
      <w:pPr>
        <w:spacing w:line="600" w:lineRule="exact"/>
        <w:ind w:firstLine="640"/>
        <w:rPr>
          <w:rFonts w:ascii="仿宋_GB2312" w:eastAsia="仿宋_GB2312"/>
          <w:color w:val="000000"/>
          <w:sz w:val="28"/>
          <w:szCs w:val="28"/>
        </w:rPr>
      </w:pPr>
      <w:r>
        <w:rPr>
          <w:rFonts w:hint="eastAsia" w:ascii="仿宋_GB2312" w:hAnsi="仿宋" w:eastAsia="仿宋_GB2312"/>
          <w:color w:val="000000"/>
          <w:sz w:val="28"/>
          <w:szCs w:val="28"/>
        </w:rPr>
        <w:t>国内公务接待支出1.02万元，主要用于接待上级部门来峨调研、督查景区违建整治、四川省旅博会等执行公务、开展业务活动开支的交通费、住宿费、用餐费等，共计7批次，89人次（不包括陪同人员）。</w:t>
      </w:r>
    </w:p>
    <w:p w14:paraId="57EEF53A">
      <w:pPr>
        <w:spacing w:line="600" w:lineRule="exact"/>
        <w:ind w:firstLine="560" w:firstLineChars="200"/>
        <w:rPr>
          <w:rFonts w:ascii="仿宋_GB2312" w:hAnsi="仿宋" w:eastAsia="仿宋_GB2312"/>
          <w:color w:val="000000" w:themeColor="text1"/>
          <w:sz w:val="28"/>
          <w:szCs w:val="28"/>
        </w:rPr>
      </w:pPr>
      <w:r>
        <w:rPr>
          <w:rFonts w:hint="eastAsia" w:ascii="仿宋_GB2312" w:hAnsi="仿宋" w:eastAsia="仿宋_GB2312"/>
          <w:color w:val="000000"/>
          <w:sz w:val="28"/>
          <w:szCs w:val="28"/>
        </w:rPr>
        <w:t>外事接待支出0万元</w:t>
      </w:r>
      <w:r>
        <w:rPr>
          <w:rFonts w:hint="eastAsia" w:ascii="仿宋_GB2312" w:hAnsi="仿宋" w:eastAsia="仿宋_GB2312"/>
          <w:color w:val="000000" w:themeColor="text1"/>
          <w:sz w:val="28"/>
          <w:szCs w:val="28"/>
        </w:rPr>
        <w:t>，外事接待0批次，0人，共计支出0万元。</w:t>
      </w:r>
      <w:bookmarkStart w:id="38" w:name="_Toc15396610"/>
      <w:bookmarkStart w:id="39" w:name="_Toc15377218"/>
    </w:p>
    <w:p w14:paraId="199F23F8">
      <w:pPr>
        <w:spacing w:line="600" w:lineRule="exact"/>
        <w:ind w:firstLine="640"/>
        <w:outlineLvl w:val="1"/>
        <w:rPr>
          <w:rStyle w:val="25"/>
          <w:rFonts w:ascii="黑体" w:hAnsi="仿宋" w:eastAsia="黑体"/>
          <w:sz w:val="28"/>
          <w:szCs w:val="28"/>
        </w:rPr>
      </w:pPr>
      <w:r>
        <w:rPr>
          <w:rFonts w:hint="eastAsia" w:ascii="黑体" w:hAnsi="仿宋" w:eastAsia="黑体"/>
          <w:color w:val="000000"/>
          <w:sz w:val="28"/>
          <w:szCs w:val="28"/>
        </w:rPr>
        <w:t>八、</w:t>
      </w:r>
      <w:r>
        <w:rPr>
          <w:rStyle w:val="25"/>
          <w:rFonts w:hint="eastAsia" w:ascii="黑体" w:hAnsi="仿宋" w:eastAsia="黑体"/>
          <w:b w:val="0"/>
          <w:sz w:val="28"/>
          <w:szCs w:val="28"/>
        </w:rPr>
        <w:t>政府性基金预算支出决算情况说明</w:t>
      </w:r>
      <w:bookmarkEnd w:id="38"/>
      <w:bookmarkEnd w:id="39"/>
    </w:p>
    <w:p w14:paraId="3B6818A2">
      <w:pPr>
        <w:spacing w:line="600" w:lineRule="exact"/>
        <w:ind w:firstLine="640"/>
        <w:rPr>
          <w:rFonts w:ascii="仿宋_GB2312" w:hAnsi="仿宋" w:eastAsia="仿宋_GB2312"/>
          <w:color w:val="000000"/>
          <w:sz w:val="28"/>
          <w:szCs w:val="28"/>
        </w:rPr>
      </w:pPr>
      <w:r>
        <w:rPr>
          <w:rFonts w:hint="eastAsia" w:ascii="仿宋_GB2312" w:hAnsi="仿宋" w:eastAsia="仿宋_GB2312"/>
          <w:color w:val="000000"/>
          <w:sz w:val="28"/>
          <w:szCs w:val="28"/>
        </w:rPr>
        <w:t>2019年政府性基金预算拨款支出87.76万元。</w:t>
      </w:r>
    </w:p>
    <w:p w14:paraId="610D4A8C">
      <w:pPr>
        <w:numPr>
          <w:ilvl w:val="0"/>
          <w:numId w:val="3"/>
        </w:numPr>
        <w:spacing w:line="600" w:lineRule="exact"/>
        <w:ind w:firstLine="640"/>
        <w:outlineLvl w:val="1"/>
        <w:rPr>
          <w:rStyle w:val="25"/>
          <w:rFonts w:ascii="黑体" w:hAnsi="仿宋" w:eastAsia="黑体"/>
          <w:sz w:val="28"/>
          <w:szCs w:val="28"/>
        </w:rPr>
      </w:pPr>
      <w:bookmarkStart w:id="40" w:name="_Toc15396611"/>
      <w:bookmarkStart w:id="41" w:name="_Toc15377219"/>
      <w:r>
        <w:rPr>
          <w:rStyle w:val="25"/>
          <w:rFonts w:hint="eastAsia" w:ascii="黑体" w:hAnsi="仿宋" w:eastAsia="黑体"/>
          <w:sz w:val="28"/>
          <w:szCs w:val="28"/>
        </w:rPr>
        <w:t>国有资本经营预算支出决算情况说明</w:t>
      </w:r>
      <w:bookmarkEnd w:id="40"/>
      <w:bookmarkEnd w:id="41"/>
    </w:p>
    <w:p w14:paraId="4675D4E1">
      <w:pPr>
        <w:spacing w:line="600" w:lineRule="exact"/>
        <w:ind w:firstLine="640"/>
        <w:rPr>
          <w:rFonts w:ascii="仿宋_GB2312" w:hAnsi="仿宋" w:eastAsia="仿宋_GB2312"/>
          <w:color w:val="000000"/>
          <w:sz w:val="28"/>
          <w:szCs w:val="28"/>
        </w:rPr>
      </w:pPr>
      <w:r>
        <w:rPr>
          <w:rFonts w:hint="eastAsia" w:ascii="仿宋_GB2312" w:hAnsi="仿宋" w:eastAsia="仿宋_GB2312"/>
          <w:color w:val="000000"/>
          <w:sz w:val="28"/>
          <w:szCs w:val="28"/>
        </w:rPr>
        <w:t>2019年国有资本经营预算拨款支出0万元。</w:t>
      </w:r>
    </w:p>
    <w:p w14:paraId="304C92F1">
      <w:pPr>
        <w:spacing w:line="600" w:lineRule="exact"/>
        <w:ind w:firstLine="703" w:firstLineChars="250"/>
        <w:outlineLvl w:val="1"/>
        <w:rPr>
          <w:rStyle w:val="25"/>
          <w:rFonts w:ascii="黑体" w:hAnsi="仿宋" w:eastAsia="黑体"/>
          <w:b w:val="0"/>
          <w:sz w:val="28"/>
          <w:szCs w:val="28"/>
        </w:rPr>
      </w:pPr>
      <w:bookmarkStart w:id="42" w:name="_Toc15396612"/>
      <w:bookmarkStart w:id="43" w:name="_Toc15377221"/>
      <w:r>
        <w:rPr>
          <w:rFonts w:hint="eastAsia" w:ascii="黑体" w:hAnsi="仿宋" w:eastAsia="黑体"/>
          <w:b/>
          <w:color w:val="000000"/>
          <w:sz w:val="28"/>
          <w:szCs w:val="28"/>
        </w:rPr>
        <w:t>十</w:t>
      </w:r>
      <w:r>
        <w:rPr>
          <w:rStyle w:val="25"/>
          <w:rFonts w:hint="eastAsia" w:ascii="黑体" w:hAnsi="仿宋" w:eastAsia="黑体"/>
          <w:b w:val="0"/>
          <w:sz w:val="28"/>
          <w:szCs w:val="28"/>
        </w:rPr>
        <w:t>、其他重要事项的情况说明</w:t>
      </w:r>
      <w:bookmarkEnd w:id="42"/>
      <w:bookmarkEnd w:id="43"/>
    </w:p>
    <w:p w14:paraId="1EF875B7">
      <w:pPr>
        <w:spacing w:line="600" w:lineRule="exact"/>
        <w:ind w:firstLine="562" w:firstLineChars="200"/>
        <w:outlineLvl w:val="2"/>
        <w:rPr>
          <w:rFonts w:ascii="仿宋_GB2312" w:hAnsi="仿宋" w:eastAsia="仿宋_GB2312"/>
          <w:color w:val="000000"/>
          <w:sz w:val="28"/>
          <w:szCs w:val="28"/>
        </w:rPr>
      </w:pPr>
      <w:bookmarkStart w:id="44" w:name="_Toc15377222"/>
      <w:r>
        <w:rPr>
          <w:rFonts w:hint="eastAsia" w:ascii="仿宋_GB2312" w:hAnsi="仿宋" w:eastAsia="仿宋_GB2312"/>
          <w:b/>
          <w:color w:val="000000"/>
          <w:sz w:val="28"/>
          <w:szCs w:val="28"/>
        </w:rPr>
        <w:t>（一）机关运行经费支出情况</w:t>
      </w:r>
      <w:bookmarkEnd w:id="44"/>
    </w:p>
    <w:p w14:paraId="43C41464">
      <w:pPr>
        <w:spacing w:line="600" w:lineRule="exact"/>
        <w:ind w:firstLine="560" w:firstLineChars="200"/>
        <w:rPr>
          <w:rFonts w:ascii="仿宋_GB2312" w:hAnsi="仿宋" w:eastAsia="仿宋_GB2312"/>
          <w:color w:val="000000" w:themeColor="text1"/>
          <w:sz w:val="28"/>
          <w:szCs w:val="28"/>
        </w:rPr>
      </w:pPr>
      <w:r>
        <w:rPr>
          <w:rFonts w:hint="eastAsia" w:ascii="仿宋_GB2312" w:hAnsi="仿宋" w:eastAsia="仿宋_GB2312"/>
          <w:color w:val="000000"/>
          <w:sz w:val="28"/>
          <w:szCs w:val="28"/>
        </w:rPr>
        <w:t>2019年，峨眉山市信访局机关运行经费支出31.1万元，比2018年减少4.42万元，下降12.44%。</w:t>
      </w:r>
      <w:r>
        <w:rPr>
          <w:rFonts w:hint="eastAsia" w:ascii="仿宋_GB2312" w:hAnsi="仿宋" w:eastAsia="仿宋_GB2312"/>
          <w:color w:val="000000" w:themeColor="text1"/>
          <w:sz w:val="28"/>
          <w:szCs w:val="28"/>
        </w:rPr>
        <w:t>主要原因是</w:t>
      </w:r>
      <w:bookmarkStart w:id="45" w:name="_Toc15377223"/>
      <w:r>
        <w:rPr>
          <w:rFonts w:hint="eastAsia" w:ascii="仿宋_GB2312" w:hAnsi="仿宋" w:eastAsia="仿宋_GB2312"/>
          <w:color w:val="000000" w:themeColor="text1"/>
          <w:sz w:val="28"/>
          <w:szCs w:val="28"/>
        </w:rPr>
        <w:t>厉行节约,严格控制机关运行经费。</w:t>
      </w:r>
    </w:p>
    <w:p w14:paraId="6AFA9CA2">
      <w:pPr>
        <w:spacing w:line="600" w:lineRule="exact"/>
        <w:ind w:firstLine="562" w:firstLineChars="200"/>
        <w:rPr>
          <w:rFonts w:ascii="仿宋_GB2312" w:hAnsi="仿宋" w:eastAsia="仿宋_GB2312"/>
          <w:b/>
          <w:color w:val="000000"/>
          <w:sz w:val="28"/>
          <w:szCs w:val="28"/>
        </w:rPr>
      </w:pPr>
      <w:r>
        <w:rPr>
          <w:rFonts w:hint="eastAsia" w:ascii="仿宋_GB2312" w:hAnsi="仿宋" w:eastAsia="仿宋_GB2312"/>
          <w:b/>
          <w:color w:val="000000"/>
          <w:sz w:val="28"/>
          <w:szCs w:val="28"/>
        </w:rPr>
        <w:t>（二）政府采购支出情况</w:t>
      </w:r>
      <w:bookmarkEnd w:id="45"/>
    </w:p>
    <w:p w14:paraId="267FCA9E">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2019年，峨眉山市信访局政府采购支出总额3.44万元，其中：政府采购货物支出3.44万元、政府采购工程支出0万元、政府采购服务支出0万元。主要用于公务车维修和购买安装高清视频监控。授予中小企业合同金额0万元，占政府采购支出总额的0%，其中：授予小微企业合同金额0万元，占政府采购支出总额的0%。</w:t>
      </w:r>
    </w:p>
    <w:p w14:paraId="221D1A98">
      <w:pPr>
        <w:autoSpaceDE w:val="0"/>
        <w:autoSpaceDN w:val="0"/>
        <w:adjustRightInd w:val="0"/>
        <w:spacing w:line="600" w:lineRule="exact"/>
        <w:ind w:firstLine="562" w:firstLineChars="200"/>
        <w:jc w:val="left"/>
        <w:outlineLvl w:val="2"/>
        <w:rPr>
          <w:rFonts w:ascii="仿宋_GB2312" w:hAnsi="仿宋" w:eastAsia="仿宋_GB2312"/>
          <w:b/>
          <w:color w:val="000000"/>
          <w:sz w:val="28"/>
          <w:szCs w:val="28"/>
        </w:rPr>
      </w:pPr>
      <w:bookmarkStart w:id="46" w:name="_Toc15377224"/>
      <w:r>
        <w:rPr>
          <w:rFonts w:hint="eastAsia" w:ascii="仿宋_GB2312" w:hAnsi="仿宋" w:eastAsia="仿宋_GB2312"/>
          <w:b/>
          <w:color w:val="000000"/>
          <w:sz w:val="28"/>
          <w:szCs w:val="28"/>
        </w:rPr>
        <w:t>（三）国有资产占有使用情况</w:t>
      </w:r>
      <w:bookmarkEnd w:id="46"/>
    </w:p>
    <w:p w14:paraId="5F269F51">
      <w:pPr>
        <w:autoSpaceDE w:val="0"/>
        <w:autoSpaceDN w:val="0"/>
        <w:adjustRightInd w:val="0"/>
        <w:spacing w:line="60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截至2019年12月31日，峨眉山市信访局共有车辆1辆，其中：主要领导干部用车0辆、机要通信用车0辆、应急保障用车0辆、其他用车1辆.</w:t>
      </w:r>
      <w:r>
        <w:rPr>
          <w:rFonts w:hint="eastAsia" w:ascii="仿宋_GB2312" w:hAnsi="仿宋" w:eastAsia="仿宋_GB2312"/>
          <w:color w:val="000000" w:themeColor="text1"/>
          <w:sz w:val="28"/>
          <w:szCs w:val="28"/>
        </w:rPr>
        <w:t>其他用车主要是用于日常机关运行工作。单价50万元以上通用设备0台（套），单价100</w:t>
      </w:r>
      <w:r>
        <w:rPr>
          <w:rFonts w:hint="eastAsia" w:ascii="仿宋_GB2312" w:hAnsi="仿宋" w:eastAsia="仿宋_GB2312"/>
          <w:color w:val="000000"/>
          <w:sz w:val="28"/>
          <w:szCs w:val="28"/>
        </w:rPr>
        <w:t>万元以上专用设备0台（套）。</w:t>
      </w:r>
    </w:p>
    <w:p w14:paraId="02835683">
      <w:pPr>
        <w:autoSpaceDE w:val="0"/>
        <w:autoSpaceDN w:val="0"/>
        <w:adjustRightInd w:val="0"/>
        <w:spacing w:line="600" w:lineRule="exact"/>
        <w:ind w:firstLine="562" w:firstLineChars="200"/>
        <w:jc w:val="left"/>
        <w:outlineLvl w:val="2"/>
        <w:rPr>
          <w:rFonts w:ascii="仿宋_GB2312" w:hAnsi="仿宋" w:eastAsia="仿宋_GB2312"/>
          <w:b/>
          <w:color w:val="000000"/>
          <w:sz w:val="28"/>
          <w:szCs w:val="28"/>
        </w:rPr>
      </w:pPr>
      <w:r>
        <w:rPr>
          <w:rFonts w:hint="eastAsia" w:ascii="仿宋_GB2312" w:hAnsi="仿宋" w:eastAsia="仿宋_GB2312"/>
          <w:b/>
          <w:color w:val="000000"/>
          <w:sz w:val="28"/>
          <w:szCs w:val="28"/>
        </w:rPr>
        <w:t>（四）预算绩效管理情况。</w:t>
      </w:r>
    </w:p>
    <w:p w14:paraId="5E40CFC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本部门（单位）在年初预算编制阶段，组织对接访工作经费、信联办工作经费、民情观察员工作经费、特殊疑难专项资金、信访网上视频接访工作经费、信访信息网络运维费、网络探头电费、基层信访工作人员培训经费8个项目经费编制了绩效目标，预算执行过程中，对8个项目开展绩效监控，年终执行完毕后，对5个项目开展了绩效目标完成情况自评。</w:t>
      </w:r>
    </w:p>
    <w:p w14:paraId="78EDBAB6">
      <w:pPr>
        <w:spacing w:line="580" w:lineRule="exact"/>
        <w:ind w:firstLine="560" w:firstLineChars="200"/>
        <w:rPr>
          <w:rFonts w:ascii="仿宋_GB2312" w:hAnsi="仿宋_GB2312" w:eastAsia="仿宋_GB2312" w:cs="仿宋_GB2312"/>
          <w:sz w:val="32"/>
          <w:szCs w:val="32"/>
        </w:rPr>
      </w:pPr>
      <w:r>
        <w:rPr>
          <w:rFonts w:hint="eastAsia" w:ascii="仿宋_GB2312" w:hAnsi="仿宋_GB2312" w:eastAsia="仿宋_GB2312" w:cs="仿宋_GB2312"/>
          <w:sz w:val="28"/>
          <w:szCs w:val="28"/>
        </w:rPr>
        <w:t>本部门按要求对2019年部门整体支出开展绩效自评，从评价情况来看</w:t>
      </w:r>
      <w:r>
        <w:rPr>
          <w:rFonts w:hint="eastAsia" w:ascii="仿宋_GB2312" w:hAnsi="宋体" w:eastAsia="仿宋_GB2312" w:cs="宋体"/>
          <w:sz w:val="28"/>
          <w:szCs w:val="28"/>
        </w:rPr>
        <w:t>我单位严格按照上报的资金计划完成资金拨付，根据预算合理控制支出数额及支出进度，群众信访渠道进一步畅通，切实维护了群众合法权益，维护了我市社会和谐稳定</w:t>
      </w:r>
      <w:r>
        <w:rPr>
          <w:rFonts w:hint="eastAsia" w:ascii="仿宋_GB2312" w:hAnsi="仿宋_GB2312" w:eastAsia="仿宋_GB2312" w:cs="仿宋_GB2312"/>
          <w:sz w:val="32"/>
          <w:szCs w:val="32"/>
        </w:rPr>
        <w:t>。</w:t>
      </w:r>
    </w:p>
    <w:p w14:paraId="0835C41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2019年度本部门未组织开展项目支出绩效评价。</w:t>
      </w:r>
    </w:p>
    <w:p w14:paraId="1ABBC6BC">
      <w:pPr>
        <w:spacing w:line="580" w:lineRule="exact"/>
        <w:ind w:firstLine="562"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1.项目绩效目标完成情况。</w:t>
      </w:r>
    </w:p>
    <w:p w14:paraId="086B1DD1">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（1）接访工作经费项目绩效目标完成情况综述。项目全年预算数13.40万元，执行数13.40万元，完成预算的100%。通过项目实施，保障了群众来访接待工作的正常运行。</w:t>
      </w:r>
    </w:p>
    <w:tbl>
      <w:tblPr>
        <w:tblStyle w:val="12"/>
        <w:tblpPr w:leftFromText="180" w:rightFromText="180" w:vertAnchor="text" w:horzAnchor="page" w:tblpXSpec="center" w:tblpY="423"/>
        <w:tblOverlap w:val="never"/>
        <w:tblW w:w="7983" w:type="dxa"/>
        <w:jc w:val="center"/>
        <w:tblLayout w:type="fixed"/>
        <w:tblCellMar>
          <w:top w:w="0" w:type="dxa"/>
          <w:left w:w="0" w:type="dxa"/>
          <w:bottom w:w="0" w:type="dxa"/>
          <w:right w:w="0" w:type="dxa"/>
        </w:tblCellMar>
      </w:tblPr>
      <w:tblGrid>
        <w:gridCol w:w="312"/>
        <w:gridCol w:w="1095"/>
        <w:gridCol w:w="822"/>
        <w:gridCol w:w="1918"/>
        <w:gridCol w:w="1919"/>
        <w:gridCol w:w="1917"/>
      </w:tblGrid>
      <w:tr w14:paraId="66CA91CF">
        <w:tblPrEx>
          <w:tblCellMar>
            <w:top w:w="0" w:type="dxa"/>
            <w:left w:w="0" w:type="dxa"/>
            <w:bottom w:w="0" w:type="dxa"/>
            <w:right w:w="0" w:type="dxa"/>
          </w:tblCellMar>
        </w:tblPrEx>
        <w:trPr>
          <w:trHeight w:val="465" w:hRule="atLeast"/>
          <w:jc w:val="center"/>
        </w:trPr>
        <w:tc>
          <w:tcPr>
            <w:tcW w:w="7982" w:type="dxa"/>
            <w:gridSpan w:val="6"/>
            <w:tcBorders>
              <w:top w:val="nil"/>
              <w:left w:val="nil"/>
              <w:bottom w:val="nil"/>
              <w:right w:val="nil"/>
            </w:tcBorders>
            <w:tcMar>
              <w:top w:w="15" w:type="dxa"/>
              <w:left w:w="15" w:type="dxa"/>
              <w:right w:w="15" w:type="dxa"/>
            </w:tcMar>
            <w:vAlign w:val="center"/>
          </w:tcPr>
          <w:p w14:paraId="0D5A1E73">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ED46A5E">
        <w:tblPrEx>
          <w:tblCellMar>
            <w:top w:w="0" w:type="dxa"/>
            <w:left w:w="0" w:type="dxa"/>
            <w:bottom w:w="0" w:type="dxa"/>
            <w:right w:w="0" w:type="dxa"/>
          </w:tblCellMar>
        </w:tblPrEx>
        <w:trPr>
          <w:trHeight w:val="124" w:hRule="atLeast"/>
          <w:jc w:val="center"/>
        </w:trPr>
        <w:tc>
          <w:tcPr>
            <w:tcW w:w="22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A8C3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项目名称</w:t>
            </w:r>
          </w:p>
        </w:tc>
        <w:tc>
          <w:tcPr>
            <w:tcW w:w="5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76F8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接访工作经费</w:t>
            </w:r>
          </w:p>
        </w:tc>
      </w:tr>
      <w:tr w14:paraId="469DC8E4">
        <w:tblPrEx>
          <w:tblCellMar>
            <w:top w:w="0" w:type="dxa"/>
            <w:left w:w="0" w:type="dxa"/>
            <w:bottom w:w="0" w:type="dxa"/>
            <w:right w:w="0" w:type="dxa"/>
          </w:tblCellMar>
        </w:tblPrEx>
        <w:trPr>
          <w:trHeight w:val="124" w:hRule="atLeast"/>
          <w:jc w:val="center"/>
        </w:trPr>
        <w:tc>
          <w:tcPr>
            <w:tcW w:w="22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D03A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预算单位</w:t>
            </w:r>
          </w:p>
        </w:tc>
        <w:tc>
          <w:tcPr>
            <w:tcW w:w="57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4A77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峨眉山市信访局</w:t>
            </w:r>
          </w:p>
        </w:tc>
      </w:tr>
      <w:tr w14:paraId="693BEDF4">
        <w:tblPrEx>
          <w:tblCellMar>
            <w:top w:w="0" w:type="dxa"/>
            <w:left w:w="0" w:type="dxa"/>
            <w:bottom w:w="0" w:type="dxa"/>
            <w:right w:w="0" w:type="dxa"/>
          </w:tblCellMar>
        </w:tblPrEx>
        <w:trPr>
          <w:trHeight w:val="124" w:hRule="atLeast"/>
          <w:jc w:val="center"/>
        </w:trPr>
        <w:tc>
          <w:tcPr>
            <w:tcW w:w="3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7BFE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预算执行情况(万元)</w:t>
            </w:r>
          </w:p>
        </w:tc>
        <w:tc>
          <w:tcPr>
            <w:tcW w:w="19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86AB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预算数:</w:t>
            </w:r>
          </w:p>
        </w:tc>
        <w:tc>
          <w:tcPr>
            <w:tcW w:w="1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4BA3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13．4万元</w:t>
            </w: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1FAC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执行数:</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7683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13．4万元</w:t>
            </w:r>
          </w:p>
        </w:tc>
      </w:tr>
      <w:tr w14:paraId="0388CFCA">
        <w:tblPrEx>
          <w:tblCellMar>
            <w:top w:w="0" w:type="dxa"/>
            <w:left w:w="0" w:type="dxa"/>
            <w:bottom w:w="0" w:type="dxa"/>
            <w:right w:w="0" w:type="dxa"/>
          </w:tblCellMar>
        </w:tblPrEx>
        <w:trPr>
          <w:trHeight w:val="124" w:hRule="atLeast"/>
          <w:jc w:val="center"/>
        </w:trPr>
        <w:tc>
          <w:tcPr>
            <w:tcW w:w="3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D0EC6">
            <w:pPr>
              <w:jc w:val="center"/>
              <w:rPr>
                <w:rFonts w:ascii="仿宋_GB2312" w:hAnsi="宋体" w:eastAsia="仿宋_GB2312" w:cs="宋体"/>
                <w:color w:val="000000"/>
                <w:szCs w:val="21"/>
              </w:rPr>
            </w:pPr>
          </w:p>
        </w:tc>
        <w:tc>
          <w:tcPr>
            <w:tcW w:w="19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BEBB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1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3DF8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13．4万元</w:t>
            </w: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608E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9E0D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13．4万元</w:t>
            </w:r>
          </w:p>
        </w:tc>
      </w:tr>
      <w:tr w14:paraId="4AB3DCA8">
        <w:tblPrEx>
          <w:tblCellMar>
            <w:top w:w="0" w:type="dxa"/>
            <w:left w:w="0" w:type="dxa"/>
            <w:bottom w:w="0" w:type="dxa"/>
            <w:right w:w="0" w:type="dxa"/>
          </w:tblCellMar>
        </w:tblPrEx>
        <w:trPr>
          <w:trHeight w:val="534" w:hRule="atLeast"/>
          <w:jc w:val="center"/>
        </w:trPr>
        <w:tc>
          <w:tcPr>
            <w:tcW w:w="3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FBCA0">
            <w:pPr>
              <w:jc w:val="center"/>
              <w:rPr>
                <w:rFonts w:ascii="仿宋_GB2312" w:hAnsi="宋体" w:eastAsia="仿宋_GB2312" w:cs="宋体"/>
                <w:color w:val="000000"/>
                <w:szCs w:val="21"/>
              </w:rPr>
            </w:pPr>
          </w:p>
        </w:tc>
        <w:tc>
          <w:tcPr>
            <w:tcW w:w="19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12B8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1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3D63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0</w:t>
            </w: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C57E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25BB9">
            <w:pPr>
              <w:jc w:val="center"/>
              <w:rPr>
                <w:rFonts w:ascii="仿宋_GB2312" w:hAnsi="宋体" w:eastAsia="仿宋_GB2312" w:cs="宋体"/>
                <w:color w:val="000000"/>
                <w:szCs w:val="21"/>
              </w:rPr>
            </w:pPr>
            <w:r>
              <w:rPr>
                <w:rFonts w:hint="eastAsia" w:ascii="仿宋_GB2312" w:hAnsi="宋体" w:eastAsia="仿宋_GB2312" w:cs="宋体"/>
                <w:color w:val="000000"/>
                <w:szCs w:val="21"/>
              </w:rPr>
              <w:t>0</w:t>
            </w:r>
          </w:p>
        </w:tc>
      </w:tr>
      <w:tr w14:paraId="296877A5">
        <w:tblPrEx>
          <w:tblCellMar>
            <w:top w:w="0" w:type="dxa"/>
            <w:left w:w="0" w:type="dxa"/>
            <w:bottom w:w="0" w:type="dxa"/>
            <w:right w:w="0" w:type="dxa"/>
          </w:tblCellMar>
        </w:tblPrEx>
        <w:trPr>
          <w:trHeight w:val="146" w:hRule="atLeast"/>
          <w:jc w:val="center"/>
        </w:trPr>
        <w:tc>
          <w:tcPr>
            <w:tcW w:w="31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18C4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年度目标完成情况</w:t>
            </w:r>
          </w:p>
        </w:tc>
        <w:tc>
          <w:tcPr>
            <w:tcW w:w="38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BADB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预期目标</w:t>
            </w:r>
          </w:p>
        </w:tc>
        <w:tc>
          <w:tcPr>
            <w:tcW w:w="38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90D7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实际完成目标</w:t>
            </w:r>
          </w:p>
        </w:tc>
      </w:tr>
      <w:tr w14:paraId="27828C08">
        <w:tblPrEx>
          <w:tblCellMar>
            <w:top w:w="0" w:type="dxa"/>
            <w:left w:w="0" w:type="dxa"/>
            <w:bottom w:w="0" w:type="dxa"/>
            <w:right w:w="0" w:type="dxa"/>
          </w:tblCellMar>
        </w:tblPrEx>
        <w:trPr>
          <w:trHeight w:val="521" w:hRule="atLeast"/>
          <w:jc w:val="center"/>
        </w:trPr>
        <w:tc>
          <w:tcPr>
            <w:tcW w:w="31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1CC48">
            <w:pPr>
              <w:jc w:val="center"/>
              <w:rPr>
                <w:rFonts w:ascii="仿宋_GB2312" w:hAnsi="宋体" w:eastAsia="仿宋_GB2312" w:cs="宋体"/>
                <w:color w:val="000000"/>
                <w:szCs w:val="21"/>
              </w:rPr>
            </w:pPr>
          </w:p>
        </w:tc>
        <w:tc>
          <w:tcPr>
            <w:tcW w:w="383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4E942">
            <w:pPr>
              <w:jc w:val="left"/>
              <w:rPr>
                <w:rFonts w:ascii="仿宋_GB2312" w:hAnsi="宋体" w:eastAsia="仿宋_GB2312" w:cs="宋体"/>
                <w:szCs w:val="21"/>
              </w:rPr>
            </w:pPr>
            <w:r>
              <w:rPr>
                <w:rFonts w:hint="eastAsia" w:ascii="仿宋_GB2312" w:eastAsia="仿宋_GB2312"/>
                <w:szCs w:val="21"/>
              </w:rPr>
              <w:t>保障接访工作正常运行及引导群众依法上访工作。</w:t>
            </w:r>
          </w:p>
          <w:p w14:paraId="6F38DD1C">
            <w:pPr>
              <w:widowControl/>
              <w:jc w:val="left"/>
              <w:textAlignment w:val="center"/>
              <w:rPr>
                <w:rFonts w:ascii="仿宋_GB2312" w:hAnsi="宋体" w:eastAsia="仿宋_GB2312" w:cs="宋体"/>
                <w:color w:val="000000"/>
                <w:szCs w:val="21"/>
              </w:rPr>
            </w:pPr>
          </w:p>
        </w:tc>
        <w:tc>
          <w:tcPr>
            <w:tcW w:w="38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3816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基本完成预期目标</w:t>
            </w:r>
          </w:p>
        </w:tc>
      </w:tr>
      <w:tr w14:paraId="4E3E93D8">
        <w:tblPrEx>
          <w:tblCellMar>
            <w:top w:w="0" w:type="dxa"/>
            <w:left w:w="0" w:type="dxa"/>
            <w:bottom w:w="0" w:type="dxa"/>
            <w:right w:w="0" w:type="dxa"/>
          </w:tblCellMar>
        </w:tblPrEx>
        <w:trPr>
          <w:trHeight w:val="410" w:hRule="atLeast"/>
          <w:jc w:val="center"/>
        </w:trPr>
        <w:tc>
          <w:tcPr>
            <w:tcW w:w="31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6BAFC2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绩效指标完成情况</w:t>
            </w: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0AFB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一级指标</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C071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1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33CA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497D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预期指标值(包含数字及文字描述)</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B401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实际完成指标值(包含数字及文字描述)</w:t>
            </w:r>
          </w:p>
        </w:tc>
      </w:tr>
      <w:tr w14:paraId="557C73F4">
        <w:tblPrEx>
          <w:tblCellMar>
            <w:top w:w="0" w:type="dxa"/>
            <w:left w:w="0" w:type="dxa"/>
            <w:bottom w:w="0" w:type="dxa"/>
            <w:right w:w="0" w:type="dxa"/>
          </w:tblCellMar>
        </w:tblPrEx>
        <w:trPr>
          <w:trHeight w:val="371" w:hRule="atLeast"/>
          <w:jc w:val="center"/>
        </w:trPr>
        <w:tc>
          <w:tcPr>
            <w:tcW w:w="312" w:type="dxa"/>
            <w:vMerge w:val="continue"/>
            <w:tcBorders>
              <w:left w:val="single" w:color="000000" w:sz="4" w:space="0"/>
              <w:right w:val="single" w:color="000000" w:sz="4" w:space="0"/>
            </w:tcBorders>
            <w:tcMar>
              <w:top w:w="15" w:type="dxa"/>
              <w:left w:w="15" w:type="dxa"/>
              <w:right w:w="15" w:type="dxa"/>
            </w:tcMar>
            <w:vAlign w:val="center"/>
          </w:tcPr>
          <w:p w14:paraId="7A12E33D">
            <w:pPr>
              <w:widowControl/>
              <w:jc w:val="center"/>
              <w:textAlignment w:val="center"/>
              <w:rPr>
                <w:rFonts w:ascii="仿宋_GB2312" w:hAnsi="宋体" w:eastAsia="仿宋_GB2312"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D39471">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3BA9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质量指标</w:t>
            </w:r>
          </w:p>
        </w:tc>
        <w:tc>
          <w:tcPr>
            <w:tcW w:w="1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53218">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做好来访群众接待工作。</w:t>
            </w: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44442">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引导群众依法上访，维护好信访秩序。</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70C3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6BB6F7A9">
        <w:tblPrEx>
          <w:tblCellMar>
            <w:top w:w="0" w:type="dxa"/>
            <w:left w:w="0" w:type="dxa"/>
            <w:bottom w:w="0" w:type="dxa"/>
            <w:right w:w="0" w:type="dxa"/>
          </w:tblCellMar>
        </w:tblPrEx>
        <w:trPr>
          <w:trHeight w:val="368" w:hRule="atLeast"/>
          <w:jc w:val="center"/>
        </w:trPr>
        <w:tc>
          <w:tcPr>
            <w:tcW w:w="312" w:type="dxa"/>
            <w:vMerge w:val="continue"/>
            <w:tcBorders>
              <w:left w:val="single" w:color="000000" w:sz="4" w:space="0"/>
              <w:right w:val="single" w:color="000000" w:sz="4" w:space="0"/>
            </w:tcBorders>
            <w:tcMar>
              <w:top w:w="15" w:type="dxa"/>
              <w:left w:w="15" w:type="dxa"/>
              <w:right w:w="15" w:type="dxa"/>
            </w:tcMar>
            <w:vAlign w:val="center"/>
          </w:tcPr>
          <w:p w14:paraId="74B891E1">
            <w:pPr>
              <w:widowControl/>
              <w:jc w:val="center"/>
              <w:textAlignment w:val="center"/>
              <w:rPr>
                <w:rFonts w:ascii="仿宋_GB2312" w:hAnsi="宋体" w:eastAsia="仿宋_GB2312"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4E815">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9B9A6">
            <w:pPr>
              <w:jc w:val="center"/>
              <w:rPr>
                <w:rFonts w:ascii="仿宋_GB2312" w:hAnsi="宋体" w:eastAsia="仿宋_GB2312" w:cs="宋体"/>
                <w:szCs w:val="21"/>
              </w:rPr>
            </w:pPr>
            <w:r>
              <w:rPr>
                <w:rFonts w:hint="eastAsia" w:ascii="仿宋_GB2312" w:eastAsia="仿宋_GB2312"/>
                <w:szCs w:val="21"/>
              </w:rPr>
              <w:t>时效指标</w:t>
            </w:r>
          </w:p>
          <w:p w14:paraId="4B80E4F1">
            <w:pPr>
              <w:widowControl/>
              <w:jc w:val="center"/>
              <w:textAlignment w:val="center"/>
              <w:rPr>
                <w:rFonts w:ascii="仿宋_GB2312" w:hAnsi="宋体" w:eastAsia="仿宋_GB2312" w:cs="宋体"/>
                <w:color w:val="000000"/>
                <w:szCs w:val="21"/>
              </w:rPr>
            </w:pPr>
          </w:p>
        </w:tc>
        <w:tc>
          <w:tcPr>
            <w:tcW w:w="1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B5C94">
            <w:pPr>
              <w:jc w:val="center"/>
              <w:rPr>
                <w:rFonts w:ascii="仿宋_GB2312" w:hAnsi="宋体" w:eastAsia="仿宋_GB2312" w:cs="宋体"/>
                <w:szCs w:val="21"/>
              </w:rPr>
            </w:pPr>
            <w:r>
              <w:rPr>
                <w:rFonts w:hint="eastAsia" w:ascii="仿宋_GB2312" w:eastAsia="仿宋_GB2312"/>
                <w:szCs w:val="21"/>
              </w:rPr>
              <w:t>项目按期完成率</w:t>
            </w:r>
          </w:p>
          <w:p w14:paraId="495BE2C5">
            <w:pPr>
              <w:widowControl/>
              <w:jc w:val="center"/>
              <w:textAlignment w:val="center"/>
              <w:rPr>
                <w:rFonts w:ascii="仿宋_GB2312" w:hAnsi="宋体" w:eastAsia="仿宋_GB2312" w:cs="宋体"/>
                <w:color w:val="000000"/>
                <w:szCs w:val="21"/>
              </w:rPr>
            </w:pP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67BC6">
            <w:pPr>
              <w:jc w:val="center"/>
              <w:rPr>
                <w:rFonts w:ascii="仿宋_GB2312" w:hAnsi="宋体" w:eastAsia="仿宋_GB2312" w:cs="宋体"/>
                <w:szCs w:val="21"/>
              </w:rPr>
            </w:pPr>
            <w:r>
              <w:rPr>
                <w:rFonts w:hint="eastAsia" w:ascii="仿宋_GB2312" w:eastAsia="仿宋_GB2312"/>
                <w:szCs w:val="21"/>
              </w:rPr>
              <w:t>2019年底完成。</w:t>
            </w:r>
          </w:p>
          <w:p w14:paraId="0A239A8C">
            <w:pPr>
              <w:widowControl/>
              <w:jc w:val="center"/>
              <w:textAlignment w:val="center"/>
              <w:rPr>
                <w:rFonts w:ascii="仿宋_GB2312" w:hAnsi="宋体" w:eastAsia="仿宋_GB2312" w:cs="宋体"/>
                <w:color w:val="000000"/>
                <w:szCs w:val="21"/>
              </w:rPr>
            </w:pP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3904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25509DC3">
        <w:tblPrEx>
          <w:tblCellMar>
            <w:top w:w="0" w:type="dxa"/>
            <w:left w:w="0" w:type="dxa"/>
            <w:bottom w:w="0" w:type="dxa"/>
            <w:right w:w="0" w:type="dxa"/>
          </w:tblCellMar>
        </w:tblPrEx>
        <w:trPr>
          <w:trHeight w:val="374" w:hRule="atLeast"/>
          <w:jc w:val="center"/>
        </w:trPr>
        <w:tc>
          <w:tcPr>
            <w:tcW w:w="312" w:type="dxa"/>
            <w:vMerge w:val="continue"/>
            <w:tcBorders>
              <w:left w:val="single" w:color="000000" w:sz="4" w:space="0"/>
              <w:right w:val="single" w:color="000000" w:sz="4" w:space="0"/>
            </w:tcBorders>
            <w:tcMar>
              <w:top w:w="15" w:type="dxa"/>
              <w:left w:w="15" w:type="dxa"/>
              <w:right w:w="15" w:type="dxa"/>
            </w:tcMar>
            <w:vAlign w:val="center"/>
          </w:tcPr>
          <w:p w14:paraId="426EFB0C">
            <w:pPr>
              <w:widowControl/>
              <w:jc w:val="center"/>
              <w:textAlignment w:val="center"/>
              <w:rPr>
                <w:rFonts w:ascii="仿宋_GB2312" w:hAnsi="宋体" w:eastAsia="仿宋_GB2312"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2C9C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效益指标</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38577">
            <w:pPr>
              <w:jc w:val="center"/>
              <w:rPr>
                <w:rFonts w:ascii="仿宋_GB2312" w:hAnsi="宋体" w:eastAsia="仿宋_GB2312" w:cs="宋体"/>
                <w:szCs w:val="21"/>
              </w:rPr>
            </w:pPr>
            <w:r>
              <w:rPr>
                <w:rFonts w:hint="eastAsia" w:ascii="仿宋_GB2312" w:eastAsia="仿宋_GB2312"/>
                <w:szCs w:val="21"/>
              </w:rPr>
              <w:t>社会效益指标</w:t>
            </w:r>
          </w:p>
          <w:p w14:paraId="4E7D4504">
            <w:pPr>
              <w:widowControl/>
              <w:jc w:val="center"/>
              <w:textAlignment w:val="center"/>
              <w:rPr>
                <w:rFonts w:ascii="仿宋_GB2312" w:hAnsi="宋体" w:eastAsia="仿宋_GB2312" w:cs="宋体"/>
                <w:color w:val="000000"/>
                <w:szCs w:val="21"/>
              </w:rPr>
            </w:pPr>
          </w:p>
        </w:tc>
        <w:tc>
          <w:tcPr>
            <w:tcW w:w="1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5ED69">
            <w:pPr>
              <w:jc w:val="center"/>
              <w:rPr>
                <w:rFonts w:ascii="仿宋_GB2312" w:hAnsi="宋体" w:eastAsia="仿宋_GB2312" w:cs="宋体"/>
                <w:szCs w:val="21"/>
              </w:rPr>
            </w:pPr>
            <w:r>
              <w:rPr>
                <w:rFonts w:hint="eastAsia" w:ascii="仿宋_GB2312" w:eastAsia="仿宋_GB2312"/>
                <w:szCs w:val="21"/>
              </w:rPr>
              <w:t>社会效益</w:t>
            </w:r>
          </w:p>
          <w:p w14:paraId="20B6BF48">
            <w:pPr>
              <w:widowControl/>
              <w:jc w:val="center"/>
              <w:textAlignment w:val="center"/>
              <w:rPr>
                <w:rFonts w:ascii="仿宋_GB2312" w:hAnsi="宋体" w:eastAsia="仿宋_GB2312" w:cs="宋体"/>
                <w:color w:val="000000"/>
                <w:szCs w:val="21"/>
              </w:rPr>
            </w:pP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747E8">
            <w:pPr>
              <w:jc w:val="left"/>
              <w:rPr>
                <w:rFonts w:ascii="仿宋_GB2312" w:hAnsi="宋体" w:eastAsia="仿宋_GB2312" w:cs="宋体"/>
                <w:color w:val="000000"/>
                <w:szCs w:val="21"/>
              </w:rPr>
            </w:pPr>
            <w:r>
              <w:rPr>
                <w:rFonts w:hint="eastAsia" w:ascii="仿宋_GB2312" w:hAnsi="宋体" w:eastAsia="仿宋_GB2312" w:cs="宋体"/>
                <w:color w:val="000000"/>
                <w:szCs w:val="21"/>
              </w:rPr>
              <w:t>信访突出问题能够得到及时就地解决。</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C9E4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2CCA9CB0">
        <w:tblPrEx>
          <w:tblCellMar>
            <w:top w:w="0" w:type="dxa"/>
            <w:left w:w="0" w:type="dxa"/>
            <w:bottom w:w="0" w:type="dxa"/>
            <w:right w:w="0" w:type="dxa"/>
          </w:tblCellMar>
        </w:tblPrEx>
        <w:trPr>
          <w:trHeight w:val="472" w:hRule="atLeast"/>
          <w:jc w:val="center"/>
        </w:trPr>
        <w:tc>
          <w:tcPr>
            <w:tcW w:w="31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260F608">
            <w:pPr>
              <w:widowControl/>
              <w:jc w:val="center"/>
              <w:textAlignment w:val="center"/>
              <w:rPr>
                <w:rFonts w:ascii="仿宋_GB2312" w:hAnsi="宋体" w:eastAsia="仿宋_GB2312" w:cs="宋体"/>
                <w:color w:val="000000"/>
                <w:szCs w:val="21"/>
              </w:rPr>
            </w:pPr>
          </w:p>
        </w:tc>
        <w:tc>
          <w:tcPr>
            <w:tcW w:w="10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B008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450B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社会满意度</w:t>
            </w:r>
          </w:p>
        </w:tc>
        <w:tc>
          <w:tcPr>
            <w:tcW w:w="19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FCE74">
            <w:pPr>
              <w:jc w:val="center"/>
              <w:rPr>
                <w:rFonts w:ascii="仿宋_GB2312" w:hAnsi="宋体" w:eastAsia="仿宋_GB2312" w:cs="宋体"/>
                <w:color w:val="000000"/>
                <w:szCs w:val="21"/>
              </w:rPr>
            </w:pPr>
            <w:r>
              <w:rPr>
                <w:rFonts w:hint="eastAsia" w:ascii="仿宋_GB2312" w:hAnsi="宋体" w:eastAsia="仿宋_GB2312" w:cs="宋体"/>
                <w:color w:val="000000"/>
                <w:szCs w:val="21"/>
              </w:rPr>
              <w:t>群众满意率</w:t>
            </w: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72D04">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群众利益问题有人听、有人理、有人办。</w:t>
            </w:r>
          </w:p>
        </w:tc>
        <w:tc>
          <w:tcPr>
            <w:tcW w:w="19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3D34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满意</w:t>
            </w:r>
          </w:p>
        </w:tc>
      </w:tr>
    </w:tbl>
    <w:p w14:paraId="523B7EAD">
      <w:pPr>
        <w:spacing w:line="580" w:lineRule="exact"/>
        <w:ind w:firstLine="560" w:firstLineChars="200"/>
        <w:rPr>
          <w:rFonts w:ascii="仿宋_GB2312" w:hAnsi="仿宋_GB2312" w:eastAsia="仿宋_GB2312" w:cs="仿宋_GB2312"/>
          <w:sz w:val="28"/>
          <w:szCs w:val="28"/>
        </w:rPr>
      </w:pPr>
    </w:p>
    <w:p w14:paraId="227079FD">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（2）民情观察员工作经费项目绩效目标完成情况综述。项目全年预算数3.88万元，执行数为3.88万元，完成预算的100%。通过项目实施，保障社情民意调查工作的开展。</w:t>
      </w:r>
    </w:p>
    <w:tbl>
      <w:tblPr>
        <w:tblStyle w:val="12"/>
        <w:tblpPr w:leftFromText="180" w:rightFromText="180" w:vertAnchor="text" w:horzAnchor="page" w:tblpXSpec="center" w:tblpY="423"/>
        <w:tblOverlap w:val="never"/>
        <w:tblW w:w="7305" w:type="dxa"/>
        <w:jc w:val="center"/>
        <w:tblLayout w:type="fixed"/>
        <w:tblCellMar>
          <w:top w:w="0" w:type="dxa"/>
          <w:left w:w="0" w:type="dxa"/>
          <w:bottom w:w="0" w:type="dxa"/>
          <w:right w:w="0" w:type="dxa"/>
        </w:tblCellMar>
      </w:tblPr>
      <w:tblGrid>
        <w:gridCol w:w="286"/>
        <w:gridCol w:w="1002"/>
        <w:gridCol w:w="753"/>
        <w:gridCol w:w="1754"/>
        <w:gridCol w:w="1755"/>
        <w:gridCol w:w="1755"/>
      </w:tblGrid>
      <w:tr w14:paraId="0414B238">
        <w:tblPrEx>
          <w:tblCellMar>
            <w:top w:w="0" w:type="dxa"/>
            <w:left w:w="0" w:type="dxa"/>
            <w:bottom w:w="0" w:type="dxa"/>
            <w:right w:w="0" w:type="dxa"/>
          </w:tblCellMar>
        </w:tblPrEx>
        <w:trPr>
          <w:trHeight w:val="631" w:hRule="atLeast"/>
          <w:jc w:val="center"/>
        </w:trPr>
        <w:tc>
          <w:tcPr>
            <w:tcW w:w="7305" w:type="dxa"/>
            <w:gridSpan w:val="6"/>
            <w:tcBorders>
              <w:top w:val="nil"/>
              <w:left w:val="nil"/>
              <w:bottom w:val="nil"/>
              <w:right w:val="nil"/>
            </w:tcBorders>
            <w:tcMar>
              <w:top w:w="15" w:type="dxa"/>
              <w:left w:w="15" w:type="dxa"/>
              <w:right w:w="15" w:type="dxa"/>
            </w:tcMar>
            <w:vAlign w:val="center"/>
          </w:tcPr>
          <w:p w14:paraId="2C4BF66E">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2BF53F8">
        <w:tblPrEx>
          <w:tblCellMar>
            <w:top w:w="0" w:type="dxa"/>
            <w:left w:w="0" w:type="dxa"/>
            <w:bottom w:w="0" w:type="dxa"/>
            <w:right w:w="0" w:type="dxa"/>
          </w:tblCellMar>
        </w:tblPrEx>
        <w:trPr>
          <w:trHeight w:val="169" w:hRule="atLeast"/>
          <w:jc w:val="center"/>
        </w:trPr>
        <w:tc>
          <w:tcPr>
            <w:tcW w:w="20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E41B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项目名称</w:t>
            </w:r>
          </w:p>
        </w:tc>
        <w:tc>
          <w:tcPr>
            <w:tcW w:w="52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2932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民情观察员工作经费</w:t>
            </w:r>
          </w:p>
        </w:tc>
      </w:tr>
      <w:tr w14:paraId="2847D043">
        <w:tblPrEx>
          <w:tblCellMar>
            <w:top w:w="0" w:type="dxa"/>
            <w:left w:w="0" w:type="dxa"/>
            <w:bottom w:w="0" w:type="dxa"/>
            <w:right w:w="0" w:type="dxa"/>
          </w:tblCellMar>
        </w:tblPrEx>
        <w:trPr>
          <w:trHeight w:val="169" w:hRule="atLeast"/>
          <w:jc w:val="center"/>
        </w:trPr>
        <w:tc>
          <w:tcPr>
            <w:tcW w:w="204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3DCE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预算单位</w:t>
            </w:r>
          </w:p>
        </w:tc>
        <w:tc>
          <w:tcPr>
            <w:tcW w:w="52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2964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峨眉山市信访局</w:t>
            </w:r>
          </w:p>
        </w:tc>
      </w:tr>
      <w:tr w14:paraId="22E1BE1B">
        <w:tblPrEx>
          <w:tblCellMar>
            <w:top w:w="0" w:type="dxa"/>
            <w:left w:w="0" w:type="dxa"/>
            <w:bottom w:w="0" w:type="dxa"/>
            <w:right w:w="0" w:type="dxa"/>
          </w:tblCellMar>
        </w:tblPrEx>
        <w:trPr>
          <w:trHeight w:val="169" w:hRule="atLeast"/>
          <w:jc w:val="center"/>
        </w:trPr>
        <w:tc>
          <w:tcPr>
            <w:tcW w:w="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B2E8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预算执行情况(万元)</w:t>
            </w:r>
          </w:p>
        </w:tc>
        <w:tc>
          <w:tcPr>
            <w:tcW w:w="17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78FD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预算数:</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64C2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3．88万元</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6D77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执行数:</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0422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3．88万元</w:t>
            </w:r>
          </w:p>
        </w:tc>
      </w:tr>
      <w:tr w14:paraId="48BEF363">
        <w:tblPrEx>
          <w:tblCellMar>
            <w:top w:w="0" w:type="dxa"/>
            <w:left w:w="0" w:type="dxa"/>
            <w:bottom w:w="0" w:type="dxa"/>
            <w:right w:w="0" w:type="dxa"/>
          </w:tblCellMar>
        </w:tblPrEx>
        <w:trPr>
          <w:trHeight w:val="169" w:hRule="atLeast"/>
          <w:jc w:val="center"/>
        </w:trPr>
        <w:tc>
          <w:tcPr>
            <w:tcW w:w="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1CE8E">
            <w:pPr>
              <w:jc w:val="center"/>
              <w:rPr>
                <w:rFonts w:ascii="仿宋_GB2312" w:hAnsi="宋体" w:eastAsia="仿宋_GB2312" w:cs="宋体"/>
                <w:color w:val="000000"/>
                <w:szCs w:val="21"/>
              </w:rPr>
            </w:pPr>
          </w:p>
        </w:tc>
        <w:tc>
          <w:tcPr>
            <w:tcW w:w="17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5266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0B32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3．88万元</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68A6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D27B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3．88万元</w:t>
            </w:r>
          </w:p>
        </w:tc>
      </w:tr>
      <w:tr w14:paraId="5B310476">
        <w:tblPrEx>
          <w:tblCellMar>
            <w:top w:w="0" w:type="dxa"/>
            <w:left w:w="0" w:type="dxa"/>
            <w:bottom w:w="0" w:type="dxa"/>
            <w:right w:w="0" w:type="dxa"/>
          </w:tblCellMar>
        </w:tblPrEx>
        <w:trPr>
          <w:trHeight w:val="726" w:hRule="atLeast"/>
          <w:jc w:val="center"/>
        </w:trPr>
        <w:tc>
          <w:tcPr>
            <w:tcW w:w="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801AE">
            <w:pPr>
              <w:jc w:val="center"/>
              <w:rPr>
                <w:rFonts w:ascii="仿宋_GB2312" w:hAnsi="宋体" w:eastAsia="仿宋_GB2312" w:cs="宋体"/>
                <w:color w:val="000000"/>
                <w:szCs w:val="21"/>
              </w:rPr>
            </w:pPr>
          </w:p>
        </w:tc>
        <w:tc>
          <w:tcPr>
            <w:tcW w:w="17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AEAE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3B17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0</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DCDF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D0132">
            <w:pPr>
              <w:jc w:val="center"/>
              <w:rPr>
                <w:rFonts w:ascii="仿宋_GB2312" w:hAnsi="宋体" w:eastAsia="仿宋_GB2312" w:cs="宋体"/>
                <w:color w:val="000000"/>
                <w:szCs w:val="21"/>
              </w:rPr>
            </w:pPr>
            <w:r>
              <w:rPr>
                <w:rFonts w:hint="eastAsia" w:ascii="仿宋_GB2312" w:hAnsi="宋体" w:eastAsia="仿宋_GB2312" w:cs="宋体"/>
                <w:color w:val="000000"/>
                <w:szCs w:val="21"/>
              </w:rPr>
              <w:t>0</w:t>
            </w:r>
          </w:p>
        </w:tc>
      </w:tr>
      <w:tr w14:paraId="4FB4D154">
        <w:tblPrEx>
          <w:tblCellMar>
            <w:top w:w="0" w:type="dxa"/>
            <w:left w:w="0" w:type="dxa"/>
            <w:bottom w:w="0" w:type="dxa"/>
            <w:right w:w="0" w:type="dxa"/>
          </w:tblCellMar>
        </w:tblPrEx>
        <w:trPr>
          <w:trHeight w:val="169" w:hRule="atLeast"/>
          <w:jc w:val="center"/>
        </w:trPr>
        <w:tc>
          <w:tcPr>
            <w:tcW w:w="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E721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年度目标完成情况</w:t>
            </w:r>
          </w:p>
        </w:tc>
        <w:tc>
          <w:tcPr>
            <w:tcW w:w="35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51F9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预期目标</w:t>
            </w:r>
          </w:p>
        </w:tc>
        <w:tc>
          <w:tcPr>
            <w:tcW w:w="35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2A78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实际完成目标</w:t>
            </w:r>
          </w:p>
        </w:tc>
      </w:tr>
      <w:tr w14:paraId="4EADD1D2">
        <w:tblPrEx>
          <w:tblCellMar>
            <w:top w:w="0" w:type="dxa"/>
            <w:left w:w="0" w:type="dxa"/>
            <w:bottom w:w="0" w:type="dxa"/>
            <w:right w:w="0" w:type="dxa"/>
          </w:tblCellMar>
        </w:tblPrEx>
        <w:trPr>
          <w:trHeight w:val="707" w:hRule="atLeast"/>
          <w:jc w:val="center"/>
        </w:trPr>
        <w:tc>
          <w:tcPr>
            <w:tcW w:w="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BE34C">
            <w:pPr>
              <w:jc w:val="center"/>
              <w:rPr>
                <w:rFonts w:ascii="仿宋_GB2312" w:hAnsi="宋体" w:eastAsia="仿宋_GB2312" w:cs="宋体"/>
                <w:color w:val="000000"/>
                <w:szCs w:val="21"/>
              </w:rPr>
            </w:pPr>
          </w:p>
        </w:tc>
        <w:tc>
          <w:tcPr>
            <w:tcW w:w="350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59771">
            <w:pPr>
              <w:jc w:val="left"/>
              <w:rPr>
                <w:rFonts w:ascii="仿宋_GB2312" w:hAnsi="宋体" w:eastAsia="仿宋_GB2312" w:cs="宋体"/>
                <w:szCs w:val="21"/>
              </w:rPr>
            </w:pPr>
            <w:r>
              <w:rPr>
                <w:rFonts w:hint="eastAsia" w:ascii="仿宋_GB2312" w:eastAsia="仿宋_GB2312"/>
                <w:szCs w:val="21"/>
              </w:rPr>
              <w:t>收集上报社情民意，督促各地各部门办理社情民意，及时有效解决群众生活困难。</w:t>
            </w:r>
          </w:p>
          <w:p w14:paraId="70E8E162">
            <w:pPr>
              <w:widowControl/>
              <w:jc w:val="center"/>
              <w:textAlignment w:val="center"/>
              <w:rPr>
                <w:rFonts w:ascii="仿宋_GB2312" w:hAnsi="宋体" w:eastAsia="仿宋_GB2312" w:cs="宋体"/>
                <w:color w:val="000000"/>
                <w:szCs w:val="21"/>
              </w:rPr>
            </w:pPr>
          </w:p>
        </w:tc>
        <w:tc>
          <w:tcPr>
            <w:tcW w:w="35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4C59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基本完成预期目标。</w:t>
            </w:r>
          </w:p>
        </w:tc>
      </w:tr>
      <w:tr w14:paraId="360CFEE7">
        <w:tblPrEx>
          <w:tblCellMar>
            <w:top w:w="0" w:type="dxa"/>
            <w:left w:w="0" w:type="dxa"/>
            <w:bottom w:w="0" w:type="dxa"/>
            <w:right w:w="0" w:type="dxa"/>
          </w:tblCellMar>
        </w:tblPrEx>
        <w:trPr>
          <w:trHeight w:val="552" w:hRule="atLeast"/>
          <w:jc w:val="center"/>
        </w:trPr>
        <w:tc>
          <w:tcPr>
            <w:tcW w:w="28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7FC5AD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绩效指标完成情况</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B902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一级指标</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523B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38F5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9CDC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预期指标值(包含数字及文字描述)</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A44F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实际完成指标值(包含数字及文字描述)</w:t>
            </w:r>
          </w:p>
        </w:tc>
      </w:tr>
      <w:tr w14:paraId="2CC42DDA">
        <w:tblPrEx>
          <w:tblCellMar>
            <w:top w:w="0" w:type="dxa"/>
            <w:left w:w="0" w:type="dxa"/>
            <w:bottom w:w="0" w:type="dxa"/>
            <w:right w:w="0" w:type="dxa"/>
          </w:tblCellMar>
        </w:tblPrEx>
        <w:trPr>
          <w:trHeight w:val="508" w:hRule="atLeast"/>
          <w:jc w:val="center"/>
        </w:trPr>
        <w:tc>
          <w:tcPr>
            <w:tcW w:w="286" w:type="dxa"/>
            <w:vMerge w:val="continue"/>
            <w:tcBorders>
              <w:left w:val="single" w:color="000000" w:sz="4" w:space="0"/>
              <w:right w:val="single" w:color="000000" w:sz="4" w:space="0"/>
            </w:tcBorders>
            <w:tcMar>
              <w:top w:w="15" w:type="dxa"/>
              <w:left w:w="15" w:type="dxa"/>
              <w:right w:w="15" w:type="dxa"/>
            </w:tcMar>
            <w:vAlign w:val="center"/>
          </w:tcPr>
          <w:p w14:paraId="333A5FD6">
            <w:pPr>
              <w:widowControl/>
              <w:jc w:val="center"/>
              <w:textAlignment w:val="center"/>
              <w:rPr>
                <w:rFonts w:ascii="仿宋_GB2312" w:hAnsi="宋体" w:eastAsia="仿宋_GB2312" w:cs="宋体"/>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764AA">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CC99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数量指标</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E71B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民生热点问题</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4E12F">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较为全面的收集民生热点问题。</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B41E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42DBFE63">
        <w:tblPrEx>
          <w:tblCellMar>
            <w:top w:w="0" w:type="dxa"/>
            <w:left w:w="0" w:type="dxa"/>
            <w:bottom w:w="0" w:type="dxa"/>
            <w:right w:w="0" w:type="dxa"/>
          </w:tblCellMar>
        </w:tblPrEx>
        <w:trPr>
          <w:trHeight w:val="585" w:hRule="atLeast"/>
          <w:jc w:val="center"/>
        </w:trPr>
        <w:tc>
          <w:tcPr>
            <w:tcW w:w="286" w:type="dxa"/>
            <w:vMerge w:val="continue"/>
            <w:tcBorders>
              <w:left w:val="single" w:color="000000" w:sz="4" w:space="0"/>
              <w:right w:val="single" w:color="000000" w:sz="4" w:space="0"/>
            </w:tcBorders>
            <w:tcMar>
              <w:top w:w="15" w:type="dxa"/>
              <w:left w:w="15" w:type="dxa"/>
              <w:right w:w="15" w:type="dxa"/>
            </w:tcMar>
            <w:vAlign w:val="center"/>
          </w:tcPr>
          <w:p w14:paraId="75577FC5">
            <w:pPr>
              <w:widowControl/>
              <w:jc w:val="center"/>
              <w:textAlignment w:val="center"/>
              <w:rPr>
                <w:rFonts w:ascii="仿宋_GB2312" w:hAnsi="宋体" w:eastAsia="仿宋_GB2312" w:cs="宋体"/>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38AC7">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492D6">
            <w:pPr>
              <w:jc w:val="center"/>
              <w:rPr>
                <w:rFonts w:ascii="仿宋_GB2312" w:hAnsi="宋体" w:eastAsia="仿宋_GB2312" w:cs="宋体"/>
                <w:szCs w:val="21"/>
              </w:rPr>
            </w:pPr>
            <w:r>
              <w:rPr>
                <w:rFonts w:hint="eastAsia" w:ascii="仿宋_GB2312" w:eastAsia="仿宋_GB2312"/>
                <w:szCs w:val="21"/>
              </w:rPr>
              <w:t>时效指标</w:t>
            </w:r>
          </w:p>
          <w:p w14:paraId="5EEB8C92">
            <w:pPr>
              <w:widowControl/>
              <w:jc w:val="center"/>
              <w:textAlignment w:val="center"/>
              <w:rPr>
                <w:rFonts w:ascii="仿宋_GB2312" w:hAnsi="宋体" w:eastAsia="仿宋_GB2312" w:cs="宋体"/>
                <w:color w:val="000000"/>
                <w:szCs w:val="21"/>
              </w:rPr>
            </w:pP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9DF33">
            <w:pPr>
              <w:jc w:val="center"/>
              <w:rPr>
                <w:rFonts w:ascii="仿宋_GB2312" w:hAnsi="宋体" w:eastAsia="仿宋_GB2312" w:cs="宋体"/>
                <w:szCs w:val="21"/>
              </w:rPr>
            </w:pPr>
            <w:r>
              <w:rPr>
                <w:rFonts w:hint="eastAsia" w:ascii="仿宋_GB2312" w:eastAsia="仿宋_GB2312"/>
                <w:szCs w:val="21"/>
              </w:rPr>
              <w:t>项目按期完成率</w:t>
            </w:r>
          </w:p>
          <w:p w14:paraId="0A7C051C">
            <w:pPr>
              <w:widowControl/>
              <w:jc w:val="center"/>
              <w:textAlignment w:val="center"/>
              <w:rPr>
                <w:rFonts w:ascii="仿宋_GB2312" w:hAnsi="宋体" w:eastAsia="仿宋_GB2312" w:cs="宋体"/>
                <w:color w:val="000000"/>
                <w:szCs w:val="21"/>
              </w:rPr>
            </w:pP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5F28B">
            <w:pPr>
              <w:jc w:val="center"/>
              <w:rPr>
                <w:rFonts w:ascii="仿宋_GB2312" w:hAnsi="宋体" w:eastAsia="仿宋_GB2312" w:cs="宋体"/>
                <w:szCs w:val="21"/>
              </w:rPr>
            </w:pPr>
            <w:r>
              <w:rPr>
                <w:rFonts w:hint="eastAsia" w:ascii="仿宋_GB2312" w:eastAsia="仿宋_GB2312"/>
                <w:szCs w:val="21"/>
              </w:rPr>
              <w:t>2019年底完成。</w:t>
            </w:r>
          </w:p>
          <w:p w14:paraId="60AC0A0B">
            <w:pPr>
              <w:widowControl/>
              <w:jc w:val="center"/>
              <w:textAlignment w:val="center"/>
              <w:rPr>
                <w:rFonts w:ascii="仿宋_GB2312" w:hAnsi="宋体" w:eastAsia="仿宋_GB2312" w:cs="宋体"/>
                <w:color w:val="000000"/>
                <w:szCs w:val="21"/>
              </w:rPr>
            </w:pP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73D1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030E1B0C">
        <w:tblPrEx>
          <w:tblCellMar>
            <w:top w:w="0" w:type="dxa"/>
            <w:left w:w="0" w:type="dxa"/>
            <w:bottom w:w="0" w:type="dxa"/>
            <w:right w:w="0" w:type="dxa"/>
          </w:tblCellMar>
        </w:tblPrEx>
        <w:trPr>
          <w:trHeight w:val="636" w:hRule="atLeast"/>
          <w:jc w:val="center"/>
        </w:trPr>
        <w:tc>
          <w:tcPr>
            <w:tcW w:w="286" w:type="dxa"/>
            <w:vMerge w:val="continue"/>
            <w:tcBorders>
              <w:left w:val="single" w:color="000000" w:sz="4" w:space="0"/>
              <w:right w:val="single" w:color="000000" w:sz="4" w:space="0"/>
            </w:tcBorders>
            <w:tcMar>
              <w:top w:w="15" w:type="dxa"/>
              <w:left w:w="15" w:type="dxa"/>
              <w:right w:w="15" w:type="dxa"/>
            </w:tcMar>
            <w:vAlign w:val="center"/>
          </w:tcPr>
          <w:p w14:paraId="54DC4494">
            <w:pPr>
              <w:widowControl/>
              <w:jc w:val="center"/>
              <w:textAlignment w:val="center"/>
              <w:rPr>
                <w:rFonts w:ascii="仿宋_GB2312" w:hAnsi="宋体" w:eastAsia="仿宋_GB2312" w:cs="宋体"/>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09C6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效益指标</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A1E9E">
            <w:pPr>
              <w:jc w:val="center"/>
              <w:rPr>
                <w:rFonts w:ascii="仿宋_GB2312" w:hAnsi="宋体" w:eastAsia="仿宋_GB2312" w:cs="宋体"/>
                <w:szCs w:val="21"/>
              </w:rPr>
            </w:pPr>
            <w:r>
              <w:rPr>
                <w:rFonts w:hint="eastAsia" w:ascii="仿宋_GB2312" w:eastAsia="仿宋_GB2312"/>
                <w:szCs w:val="21"/>
              </w:rPr>
              <w:t>社会效益指标</w:t>
            </w:r>
          </w:p>
          <w:p w14:paraId="67D3A057">
            <w:pPr>
              <w:widowControl/>
              <w:jc w:val="center"/>
              <w:textAlignment w:val="center"/>
              <w:rPr>
                <w:rFonts w:ascii="仿宋_GB2312" w:hAnsi="宋体" w:eastAsia="仿宋_GB2312" w:cs="宋体"/>
                <w:color w:val="000000"/>
                <w:szCs w:val="21"/>
              </w:rPr>
            </w:pP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D71CE">
            <w:pPr>
              <w:jc w:val="left"/>
              <w:rPr>
                <w:rFonts w:ascii="仿宋_GB2312" w:hAnsi="宋体" w:eastAsia="仿宋_GB2312" w:cs="宋体"/>
                <w:color w:val="000000"/>
                <w:szCs w:val="21"/>
              </w:rPr>
            </w:pPr>
            <w:r>
              <w:rPr>
                <w:rFonts w:hint="eastAsia" w:ascii="仿宋_GB2312" w:hAnsi="宋体" w:eastAsia="仿宋_GB2312" w:cs="宋体"/>
                <w:color w:val="000000"/>
                <w:szCs w:val="21"/>
              </w:rPr>
              <w:t xml:space="preserve">社会力量参与。 </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1CC64">
            <w:pPr>
              <w:jc w:val="left"/>
              <w:rPr>
                <w:rFonts w:ascii="仿宋_GB2312" w:hAnsi="宋体" w:eastAsia="仿宋_GB2312" w:cs="宋体"/>
                <w:color w:val="000000"/>
                <w:szCs w:val="21"/>
              </w:rPr>
            </w:pPr>
            <w:r>
              <w:rPr>
                <w:rFonts w:hint="eastAsia" w:ascii="仿宋_GB2312" w:hAnsi="宋体" w:eastAsia="仿宋_GB2312" w:cs="宋体"/>
                <w:color w:val="000000"/>
                <w:szCs w:val="21"/>
              </w:rPr>
              <w:t>发挥社会力量参与机制。</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7B06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07A03A9B">
        <w:tblPrEx>
          <w:tblCellMar>
            <w:top w:w="0" w:type="dxa"/>
            <w:left w:w="0" w:type="dxa"/>
            <w:bottom w:w="0" w:type="dxa"/>
            <w:right w:w="0" w:type="dxa"/>
          </w:tblCellMar>
        </w:tblPrEx>
        <w:trPr>
          <w:trHeight w:val="641" w:hRule="atLeast"/>
          <w:jc w:val="center"/>
        </w:trPr>
        <w:tc>
          <w:tcPr>
            <w:tcW w:w="28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E3A1A26">
            <w:pPr>
              <w:widowControl/>
              <w:jc w:val="center"/>
              <w:textAlignment w:val="center"/>
              <w:rPr>
                <w:rFonts w:ascii="仿宋_GB2312" w:hAnsi="宋体" w:eastAsia="仿宋_GB2312" w:cs="宋体"/>
                <w:color w:val="000000"/>
                <w:szCs w:val="21"/>
              </w:rPr>
            </w:pP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16E7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7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BE0B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社会满意度</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E9ED8">
            <w:pPr>
              <w:jc w:val="left"/>
              <w:rPr>
                <w:rFonts w:ascii="仿宋_GB2312" w:hAnsi="宋体" w:eastAsia="仿宋_GB2312" w:cs="宋体"/>
                <w:color w:val="000000"/>
                <w:szCs w:val="21"/>
              </w:rPr>
            </w:pPr>
            <w:r>
              <w:rPr>
                <w:rFonts w:hint="eastAsia" w:ascii="仿宋_GB2312" w:hAnsi="宋体" w:eastAsia="仿宋_GB2312" w:cs="宋体"/>
                <w:color w:val="000000"/>
                <w:szCs w:val="21"/>
              </w:rPr>
              <w:t>及时畅通民意、了解民意</w:t>
            </w:r>
          </w:p>
        </w:tc>
        <w:tc>
          <w:tcPr>
            <w:tcW w:w="17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89B7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群众满意度达标。</w:t>
            </w:r>
          </w:p>
        </w:tc>
        <w:tc>
          <w:tcPr>
            <w:tcW w:w="1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CC7E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满意</w:t>
            </w:r>
          </w:p>
        </w:tc>
      </w:tr>
    </w:tbl>
    <w:p w14:paraId="1FA7C06E">
      <w:pPr>
        <w:spacing w:line="580" w:lineRule="exact"/>
        <w:ind w:firstLine="560" w:firstLineChars="200"/>
        <w:rPr>
          <w:rFonts w:ascii="仿宋_GB2312" w:hAnsi="仿宋_GB2312" w:eastAsia="仿宋_GB2312" w:cs="仿宋_GB2312"/>
          <w:sz w:val="28"/>
          <w:szCs w:val="28"/>
        </w:rPr>
      </w:pPr>
    </w:p>
    <w:p w14:paraId="20D1CA8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（3）信联办工作经费项目绩效目标完成情况综述。项目全年预算数10.28万元，执行数为10.28万元，完成预算的100%。通过项目实施，促进了各部门、单位齐抓共管、综合治理、标本兼治的“大信访”格局。</w:t>
      </w:r>
    </w:p>
    <w:tbl>
      <w:tblPr>
        <w:tblStyle w:val="12"/>
        <w:tblpPr w:leftFromText="180" w:rightFromText="180" w:vertAnchor="text" w:horzAnchor="page" w:tblpXSpec="center" w:tblpY="423"/>
        <w:tblOverlap w:val="never"/>
        <w:tblW w:w="8255" w:type="dxa"/>
        <w:jc w:val="center"/>
        <w:tblLayout w:type="fixed"/>
        <w:tblCellMar>
          <w:top w:w="0" w:type="dxa"/>
          <w:left w:w="0" w:type="dxa"/>
          <w:bottom w:w="0" w:type="dxa"/>
          <w:right w:w="0" w:type="dxa"/>
        </w:tblCellMar>
      </w:tblPr>
      <w:tblGrid>
        <w:gridCol w:w="323"/>
        <w:gridCol w:w="1133"/>
        <w:gridCol w:w="850"/>
        <w:gridCol w:w="1982"/>
        <w:gridCol w:w="1984"/>
        <w:gridCol w:w="1983"/>
      </w:tblGrid>
      <w:tr w14:paraId="5E60C0A1">
        <w:tblPrEx>
          <w:tblCellMar>
            <w:top w:w="0" w:type="dxa"/>
            <w:left w:w="0" w:type="dxa"/>
            <w:bottom w:w="0" w:type="dxa"/>
            <w:right w:w="0" w:type="dxa"/>
          </w:tblCellMar>
        </w:tblPrEx>
        <w:trPr>
          <w:trHeight w:val="844" w:hRule="atLeast"/>
          <w:jc w:val="center"/>
        </w:trPr>
        <w:tc>
          <w:tcPr>
            <w:tcW w:w="8255" w:type="dxa"/>
            <w:gridSpan w:val="6"/>
            <w:tcBorders>
              <w:top w:val="nil"/>
              <w:left w:val="nil"/>
              <w:bottom w:val="nil"/>
              <w:right w:val="nil"/>
            </w:tcBorders>
            <w:tcMar>
              <w:top w:w="15" w:type="dxa"/>
              <w:left w:w="15" w:type="dxa"/>
              <w:right w:w="15" w:type="dxa"/>
            </w:tcMar>
            <w:vAlign w:val="center"/>
          </w:tcPr>
          <w:p w14:paraId="3731EFE8">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0DC5A618">
        <w:tblPrEx>
          <w:tblCellMar>
            <w:top w:w="0" w:type="dxa"/>
            <w:left w:w="0" w:type="dxa"/>
            <w:bottom w:w="0" w:type="dxa"/>
            <w:right w:w="0" w:type="dxa"/>
          </w:tblCellMar>
        </w:tblPrEx>
        <w:trPr>
          <w:trHeight w:val="225" w:hRule="atLeast"/>
          <w:jc w:val="center"/>
        </w:trPr>
        <w:tc>
          <w:tcPr>
            <w:tcW w:w="23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DE2A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项目名称</w:t>
            </w:r>
          </w:p>
        </w:tc>
        <w:tc>
          <w:tcPr>
            <w:tcW w:w="594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706B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信联办工作经费</w:t>
            </w:r>
          </w:p>
        </w:tc>
      </w:tr>
      <w:tr w14:paraId="4F261076">
        <w:tblPrEx>
          <w:tblCellMar>
            <w:top w:w="0" w:type="dxa"/>
            <w:left w:w="0" w:type="dxa"/>
            <w:bottom w:w="0" w:type="dxa"/>
            <w:right w:w="0" w:type="dxa"/>
          </w:tblCellMar>
        </w:tblPrEx>
        <w:trPr>
          <w:trHeight w:val="225" w:hRule="atLeast"/>
          <w:jc w:val="center"/>
        </w:trPr>
        <w:tc>
          <w:tcPr>
            <w:tcW w:w="23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3E2F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预算单位</w:t>
            </w:r>
          </w:p>
        </w:tc>
        <w:tc>
          <w:tcPr>
            <w:tcW w:w="594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5B3B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峨眉山市信访局</w:t>
            </w:r>
          </w:p>
        </w:tc>
      </w:tr>
      <w:tr w14:paraId="243C4749">
        <w:tblPrEx>
          <w:tblCellMar>
            <w:top w:w="0" w:type="dxa"/>
            <w:left w:w="0" w:type="dxa"/>
            <w:bottom w:w="0" w:type="dxa"/>
            <w:right w:w="0" w:type="dxa"/>
          </w:tblCellMar>
        </w:tblPrEx>
        <w:trPr>
          <w:trHeight w:val="225" w:hRule="atLeast"/>
          <w:jc w:val="center"/>
        </w:trPr>
        <w:tc>
          <w:tcPr>
            <w:tcW w:w="3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F530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预算执行情况(万元)</w:t>
            </w:r>
          </w:p>
        </w:tc>
        <w:tc>
          <w:tcPr>
            <w:tcW w:w="19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76AB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预算数:</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2E4C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10．28万元</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440E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执行数:</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EC3E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10．28万元</w:t>
            </w:r>
          </w:p>
        </w:tc>
      </w:tr>
      <w:tr w14:paraId="6C74ED46">
        <w:tblPrEx>
          <w:tblCellMar>
            <w:top w:w="0" w:type="dxa"/>
            <w:left w:w="0" w:type="dxa"/>
            <w:bottom w:w="0" w:type="dxa"/>
            <w:right w:w="0" w:type="dxa"/>
          </w:tblCellMar>
        </w:tblPrEx>
        <w:trPr>
          <w:trHeight w:val="225" w:hRule="atLeast"/>
          <w:jc w:val="center"/>
        </w:trPr>
        <w:tc>
          <w:tcPr>
            <w:tcW w:w="3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E41C2">
            <w:pPr>
              <w:jc w:val="center"/>
              <w:rPr>
                <w:rFonts w:ascii="仿宋_GB2312" w:hAnsi="宋体" w:eastAsia="仿宋_GB2312" w:cs="宋体"/>
                <w:color w:val="000000"/>
                <w:szCs w:val="21"/>
              </w:rPr>
            </w:pPr>
          </w:p>
        </w:tc>
        <w:tc>
          <w:tcPr>
            <w:tcW w:w="19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5AB2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8E6D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10．28万元</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FEEC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B7B5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10．28万元</w:t>
            </w:r>
          </w:p>
        </w:tc>
      </w:tr>
      <w:tr w14:paraId="65787A22">
        <w:tblPrEx>
          <w:tblCellMar>
            <w:top w:w="0" w:type="dxa"/>
            <w:left w:w="0" w:type="dxa"/>
            <w:bottom w:w="0" w:type="dxa"/>
            <w:right w:w="0" w:type="dxa"/>
          </w:tblCellMar>
        </w:tblPrEx>
        <w:trPr>
          <w:trHeight w:val="971" w:hRule="atLeast"/>
          <w:jc w:val="center"/>
        </w:trPr>
        <w:tc>
          <w:tcPr>
            <w:tcW w:w="3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E0C8B">
            <w:pPr>
              <w:jc w:val="center"/>
              <w:rPr>
                <w:rFonts w:ascii="仿宋_GB2312" w:hAnsi="宋体" w:eastAsia="仿宋_GB2312" w:cs="宋体"/>
                <w:color w:val="000000"/>
                <w:szCs w:val="21"/>
              </w:rPr>
            </w:pPr>
          </w:p>
        </w:tc>
        <w:tc>
          <w:tcPr>
            <w:tcW w:w="19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5613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31A1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0</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420E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E9896">
            <w:pPr>
              <w:jc w:val="center"/>
              <w:rPr>
                <w:rFonts w:ascii="仿宋_GB2312" w:hAnsi="宋体" w:eastAsia="仿宋_GB2312" w:cs="宋体"/>
                <w:color w:val="000000"/>
                <w:szCs w:val="21"/>
              </w:rPr>
            </w:pPr>
            <w:r>
              <w:rPr>
                <w:rFonts w:hint="eastAsia" w:ascii="仿宋_GB2312" w:hAnsi="宋体" w:eastAsia="仿宋_GB2312" w:cs="宋体"/>
                <w:color w:val="000000"/>
                <w:szCs w:val="21"/>
              </w:rPr>
              <w:t>0</w:t>
            </w:r>
          </w:p>
        </w:tc>
      </w:tr>
      <w:tr w14:paraId="015D5A45">
        <w:tblPrEx>
          <w:tblCellMar>
            <w:top w:w="0" w:type="dxa"/>
            <w:left w:w="0" w:type="dxa"/>
            <w:bottom w:w="0" w:type="dxa"/>
            <w:right w:w="0" w:type="dxa"/>
          </w:tblCellMar>
        </w:tblPrEx>
        <w:trPr>
          <w:trHeight w:val="225" w:hRule="atLeast"/>
          <w:jc w:val="center"/>
        </w:trPr>
        <w:tc>
          <w:tcPr>
            <w:tcW w:w="3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B3D9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年度目标完成情况</w:t>
            </w:r>
          </w:p>
        </w:tc>
        <w:tc>
          <w:tcPr>
            <w:tcW w:w="396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B91C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预期目标</w:t>
            </w:r>
          </w:p>
        </w:tc>
        <w:tc>
          <w:tcPr>
            <w:tcW w:w="39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8CA0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实际完成目标</w:t>
            </w:r>
          </w:p>
        </w:tc>
      </w:tr>
      <w:tr w14:paraId="2961ECBC">
        <w:tblPrEx>
          <w:tblCellMar>
            <w:top w:w="0" w:type="dxa"/>
            <w:left w:w="0" w:type="dxa"/>
            <w:bottom w:w="0" w:type="dxa"/>
            <w:right w:w="0" w:type="dxa"/>
          </w:tblCellMar>
        </w:tblPrEx>
        <w:trPr>
          <w:trHeight w:val="946" w:hRule="atLeast"/>
          <w:jc w:val="center"/>
        </w:trPr>
        <w:tc>
          <w:tcPr>
            <w:tcW w:w="3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FAF3A">
            <w:pPr>
              <w:jc w:val="center"/>
              <w:rPr>
                <w:rFonts w:ascii="仿宋_GB2312" w:hAnsi="宋体" w:eastAsia="仿宋_GB2312" w:cs="宋体"/>
                <w:color w:val="000000"/>
                <w:szCs w:val="21"/>
              </w:rPr>
            </w:pPr>
          </w:p>
        </w:tc>
        <w:tc>
          <w:tcPr>
            <w:tcW w:w="396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D2592">
            <w:pPr>
              <w:jc w:val="left"/>
              <w:rPr>
                <w:rFonts w:ascii="仿宋_GB2312" w:hAnsi="宋体" w:eastAsia="仿宋_GB2312" w:cs="宋体"/>
                <w:szCs w:val="21"/>
              </w:rPr>
            </w:pPr>
            <w:r>
              <w:rPr>
                <w:rFonts w:hint="eastAsia" w:ascii="仿宋_GB2312" w:eastAsia="仿宋_GB2312"/>
                <w:szCs w:val="21"/>
              </w:rPr>
              <w:t>协调和整合各方力量，及时解决信访突出问题，形成标本兼治的“大信访”工作格局。</w:t>
            </w:r>
          </w:p>
          <w:p w14:paraId="6581E7D8">
            <w:pPr>
              <w:widowControl/>
              <w:jc w:val="center"/>
              <w:textAlignment w:val="center"/>
              <w:rPr>
                <w:rFonts w:ascii="仿宋_GB2312" w:hAnsi="宋体" w:eastAsia="仿宋_GB2312" w:cs="宋体"/>
                <w:color w:val="000000"/>
                <w:szCs w:val="21"/>
              </w:rPr>
            </w:pPr>
          </w:p>
        </w:tc>
        <w:tc>
          <w:tcPr>
            <w:tcW w:w="396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E0B2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基本完成预期目标。</w:t>
            </w:r>
          </w:p>
        </w:tc>
      </w:tr>
      <w:tr w14:paraId="0BDB494B">
        <w:tblPrEx>
          <w:tblCellMar>
            <w:top w:w="0" w:type="dxa"/>
            <w:left w:w="0" w:type="dxa"/>
            <w:bottom w:w="0" w:type="dxa"/>
            <w:right w:w="0" w:type="dxa"/>
          </w:tblCellMar>
        </w:tblPrEx>
        <w:trPr>
          <w:trHeight w:val="719" w:hRule="atLeast"/>
          <w:jc w:val="center"/>
        </w:trPr>
        <w:tc>
          <w:tcPr>
            <w:tcW w:w="32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FD6BF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绩效指标完成情况</w:t>
            </w: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E159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CD58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E3F7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C6E78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预期指标值(包含数字及文字描述)</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4740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实际完成指标值(包含数字及文字描述)</w:t>
            </w:r>
          </w:p>
        </w:tc>
      </w:tr>
      <w:tr w14:paraId="3CB8F713">
        <w:tblPrEx>
          <w:tblCellMar>
            <w:top w:w="0" w:type="dxa"/>
            <w:left w:w="0" w:type="dxa"/>
            <w:bottom w:w="0" w:type="dxa"/>
            <w:right w:w="0" w:type="dxa"/>
          </w:tblCellMar>
        </w:tblPrEx>
        <w:trPr>
          <w:trHeight w:val="871" w:hRule="atLeast"/>
          <w:jc w:val="center"/>
        </w:trPr>
        <w:tc>
          <w:tcPr>
            <w:tcW w:w="324" w:type="dxa"/>
            <w:vMerge w:val="continue"/>
            <w:tcBorders>
              <w:left w:val="single" w:color="000000" w:sz="4" w:space="0"/>
              <w:right w:val="single" w:color="000000" w:sz="4" w:space="0"/>
            </w:tcBorders>
            <w:tcMar>
              <w:top w:w="15" w:type="dxa"/>
              <w:left w:w="15" w:type="dxa"/>
              <w:right w:w="15" w:type="dxa"/>
            </w:tcMar>
            <w:vAlign w:val="center"/>
          </w:tcPr>
          <w:p w14:paraId="234BC817">
            <w:pPr>
              <w:widowControl/>
              <w:jc w:val="center"/>
              <w:textAlignment w:val="center"/>
              <w:rPr>
                <w:rFonts w:ascii="仿宋_GB2312" w:hAnsi="宋体" w:eastAsia="仿宋_GB2312" w:cs="宋体"/>
                <w:color w:val="000000"/>
                <w:szCs w:val="21"/>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1711D">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5FFB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质量指标</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EB790">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信联办工作正常运行。</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7B145">
            <w:pPr>
              <w:jc w:val="left"/>
              <w:rPr>
                <w:rFonts w:ascii="仿宋_GB2312" w:hAnsi="宋体" w:eastAsia="仿宋_GB2312" w:cs="宋体"/>
                <w:szCs w:val="21"/>
              </w:rPr>
            </w:pPr>
            <w:r>
              <w:rPr>
                <w:rFonts w:hint="eastAsia" w:ascii="仿宋_GB2312" w:eastAsia="仿宋_GB2312"/>
                <w:szCs w:val="21"/>
              </w:rPr>
              <w:t>协调和整合各方力量，及时解决信访突出问题，保障工作正常运行。</w:t>
            </w:r>
          </w:p>
          <w:p w14:paraId="48E57560">
            <w:pPr>
              <w:widowControl/>
              <w:jc w:val="center"/>
              <w:textAlignment w:val="center"/>
              <w:rPr>
                <w:rFonts w:ascii="仿宋_GB2312" w:hAnsi="宋体" w:eastAsia="仿宋_GB2312" w:cs="宋体"/>
                <w:color w:val="000000"/>
                <w:szCs w:val="21"/>
              </w:rPr>
            </w:pP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3486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064BB203">
        <w:tblPrEx>
          <w:tblCellMar>
            <w:top w:w="0" w:type="dxa"/>
            <w:left w:w="0" w:type="dxa"/>
            <w:bottom w:w="0" w:type="dxa"/>
            <w:right w:w="0" w:type="dxa"/>
          </w:tblCellMar>
        </w:tblPrEx>
        <w:trPr>
          <w:trHeight w:val="735" w:hRule="atLeast"/>
          <w:jc w:val="center"/>
        </w:trPr>
        <w:tc>
          <w:tcPr>
            <w:tcW w:w="324" w:type="dxa"/>
            <w:vMerge w:val="continue"/>
            <w:tcBorders>
              <w:left w:val="single" w:color="000000" w:sz="4" w:space="0"/>
              <w:right w:val="single" w:color="000000" w:sz="4" w:space="0"/>
            </w:tcBorders>
            <w:tcMar>
              <w:top w:w="15" w:type="dxa"/>
              <w:left w:w="15" w:type="dxa"/>
              <w:right w:w="15" w:type="dxa"/>
            </w:tcMar>
            <w:vAlign w:val="center"/>
          </w:tcPr>
          <w:p w14:paraId="5958D325">
            <w:pPr>
              <w:widowControl/>
              <w:jc w:val="center"/>
              <w:textAlignment w:val="center"/>
              <w:rPr>
                <w:rFonts w:ascii="仿宋_GB2312" w:hAnsi="宋体" w:eastAsia="仿宋_GB2312" w:cs="宋体"/>
                <w:color w:val="000000"/>
                <w:szCs w:val="21"/>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FB32D">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A79B0">
            <w:pPr>
              <w:jc w:val="center"/>
              <w:rPr>
                <w:rFonts w:ascii="仿宋_GB2312" w:hAnsi="宋体" w:eastAsia="仿宋_GB2312" w:cs="宋体"/>
                <w:szCs w:val="21"/>
              </w:rPr>
            </w:pPr>
            <w:r>
              <w:rPr>
                <w:rFonts w:hint="eastAsia" w:ascii="仿宋_GB2312" w:eastAsia="仿宋_GB2312"/>
                <w:szCs w:val="21"/>
              </w:rPr>
              <w:t>时效指标</w:t>
            </w:r>
          </w:p>
          <w:p w14:paraId="08AFD969">
            <w:pPr>
              <w:widowControl/>
              <w:jc w:val="center"/>
              <w:textAlignment w:val="center"/>
              <w:rPr>
                <w:rFonts w:ascii="仿宋_GB2312" w:hAnsi="宋体" w:eastAsia="仿宋_GB2312" w:cs="宋体"/>
                <w:color w:val="000000"/>
                <w:szCs w:val="21"/>
              </w:rPr>
            </w:pP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9751C">
            <w:pPr>
              <w:jc w:val="center"/>
              <w:rPr>
                <w:rFonts w:ascii="仿宋_GB2312" w:hAnsi="宋体" w:eastAsia="仿宋_GB2312" w:cs="宋体"/>
                <w:szCs w:val="21"/>
              </w:rPr>
            </w:pPr>
            <w:r>
              <w:rPr>
                <w:rFonts w:hint="eastAsia" w:ascii="仿宋_GB2312" w:eastAsia="仿宋_GB2312"/>
                <w:szCs w:val="21"/>
              </w:rPr>
              <w:t>项目按期完成率</w:t>
            </w:r>
          </w:p>
          <w:p w14:paraId="39816213">
            <w:pPr>
              <w:widowControl/>
              <w:jc w:val="center"/>
              <w:textAlignment w:val="center"/>
              <w:rPr>
                <w:rFonts w:ascii="仿宋_GB2312" w:hAnsi="宋体" w:eastAsia="仿宋_GB2312" w:cs="宋体"/>
                <w:color w:val="000000"/>
                <w:szCs w:val="21"/>
              </w:rPr>
            </w:pP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86173">
            <w:pPr>
              <w:jc w:val="center"/>
              <w:rPr>
                <w:rFonts w:ascii="仿宋_GB2312" w:hAnsi="宋体" w:eastAsia="仿宋_GB2312" w:cs="宋体"/>
                <w:szCs w:val="21"/>
              </w:rPr>
            </w:pPr>
            <w:r>
              <w:rPr>
                <w:rFonts w:hint="eastAsia" w:ascii="仿宋_GB2312" w:eastAsia="仿宋_GB2312"/>
                <w:szCs w:val="21"/>
              </w:rPr>
              <w:t>2019年底完成。</w:t>
            </w:r>
          </w:p>
          <w:p w14:paraId="6DA5D70C">
            <w:pPr>
              <w:widowControl/>
              <w:jc w:val="center"/>
              <w:textAlignment w:val="center"/>
              <w:rPr>
                <w:rFonts w:ascii="仿宋_GB2312" w:hAnsi="宋体" w:eastAsia="仿宋_GB2312" w:cs="宋体"/>
                <w:color w:val="000000"/>
                <w:szCs w:val="21"/>
              </w:rPr>
            </w:pP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A132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13FA1717">
        <w:tblPrEx>
          <w:tblCellMar>
            <w:top w:w="0" w:type="dxa"/>
            <w:left w:w="0" w:type="dxa"/>
            <w:bottom w:w="0" w:type="dxa"/>
            <w:right w:w="0" w:type="dxa"/>
          </w:tblCellMar>
        </w:tblPrEx>
        <w:trPr>
          <w:trHeight w:val="687" w:hRule="atLeast"/>
          <w:jc w:val="center"/>
        </w:trPr>
        <w:tc>
          <w:tcPr>
            <w:tcW w:w="324" w:type="dxa"/>
            <w:vMerge w:val="continue"/>
            <w:tcBorders>
              <w:left w:val="single" w:color="000000" w:sz="4" w:space="0"/>
              <w:right w:val="single" w:color="000000" w:sz="4" w:space="0"/>
            </w:tcBorders>
            <w:tcMar>
              <w:top w:w="15" w:type="dxa"/>
              <w:left w:w="15" w:type="dxa"/>
              <w:right w:w="15" w:type="dxa"/>
            </w:tcMar>
            <w:vAlign w:val="center"/>
          </w:tcPr>
          <w:p w14:paraId="30258E73">
            <w:pPr>
              <w:widowControl/>
              <w:jc w:val="center"/>
              <w:textAlignment w:val="center"/>
              <w:rPr>
                <w:rFonts w:ascii="仿宋_GB2312" w:hAnsi="宋体" w:eastAsia="仿宋_GB2312" w:cs="宋体"/>
                <w:color w:val="000000"/>
                <w:szCs w:val="21"/>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673C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4A7AC">
            <w:pPr>
              <w:jc w:val="center"/>
              <w:rPr>
                <w:rFonts w:ascii="仿宋_GB2312" w:hAnsi="宋体" w:eastAsia="仿宋_GB2312" w:cs="宋体"/>
                <w:szCs w:val="21"/>
              </w:rPr>
            </w:pPr>
            <w:r>
              <w:rPr>
                <w:rFonts w:hint="eastAsia" w:ascii="仿宋_GB2312" w:eastAsia="仿宋_GB2312"/>
                <w:szCs w:val="21"/>
              </w:rPr>
              <w:t>社会效益指标</w:t>
            </w:r>
          </w:p>
          <w:p w14:paraId="7086F3A4">
            <w:pPr>
              <w:widowControl/>
              <w:jc w:val="center"/>
              <w:textAlignment w:val="center"/>
              <w:rPr>
                <w:rFonts w:ascii="仿宋_GB2312" w:hAnsi="宋体" w:eastAsia="仿宋_GB2312" w:cs="宋体"/>
                <w:color w:val="000000"/>
                <w:szCs w:val="21"/>
              </w:rPr>
            </w:pP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FFB37">
            <w:pPr>
              <w:jc w:val="center"/>
              <w:rPr>
                <w:rFonts w:ascii="仿宋_GB2312" w:hAnsi="宋体" w:eastAsia="仿宋_GB2312" w:cs="宋体"/>
                <w:color w:val="000000"/>
                <w:szCs w:val="21"/>
              </w:rPr>
            </w:pPr>
            <w:r>
              <w:rPr>
                <w:rFonts w:hint="eastAsia" w:ascii="仿宋_GB2312" w:eastAsia="仿宋_GB2312"/>
                <w:szCs w:val="21"/>
              </w:rPr>
              <w:t>及时解决信访突出问题</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5C8E0">
            <w:pPr>
              <w:jc w:val="left"/>
              <w:rPr>
                <w:rFonts w:ascii="仿宋_GB2312" w:hAnsi="宋体" w:eastAsia="仿宋_GB2312" w:cs="宋体"/>
                <w:color w:val="000000"/>
                <w:szCs w:val="21"/>
              </w:rPr>
            </w:pPr>
            <w:r>
              <w:rPr>
                <w:rFonts w:hint="eastAsia" w:ascii="仿宋_GB2312" w:hAnsi="宋体" w:eastAsia="仿宋_GB2312" w:cs="宋体"/>
                <w:color w:val="000000"/>
                <w:szCs w:val="21"/>
              </w:rPr>
              <w:t>化解积案，解决信访突出问题。</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F767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242AFF8C">
        <w:tblPrEx>
          <w:tblCellMar>
            <w:top w:w="0" w:type="dxa"/>
            <w:left w:w="0" w:type="dxa"/>
            <w:bottom w:w="0" w:type="dxa"/>
            <w:right w:w="0" w:type="dxa"/>
          </w:tblCellMar>
        </w:tblPrEx>
        <w:trPr>
          <w:trHeight w:val="857" w:hRule="atLeast"/>
          <w:jc w:val="center"/>
        </w:trPr>
        <w:tc>
          <w:tcPr>
            <w:tcW w:w="32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A320A67">
            <w:pPr>
              <w:widowControl/>
              <w:jc w:val="center"/>
              <w:textAlignment w:val="center"/>
              <w:rPr>
                <w:rFonts w:ascii="仿宋_GB2312" w:hAnsi="宋体" w:eastAsia="仿宋_GB2312" w:cs="宋体"/>
                <w:color w:val="000000"/>
                <w:szCs w:val="21"/>
              </w:rPr>
            </w:pPr>
          </w:p>
        </w:tc>
        <w:tc>
          <w:tcPr>
            <w:tcW w:w="1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3666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A15B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社会满意度</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844AC">
            <w:pPr>
              <w:jc w:val="left"/>
              <w:rPr>
                <w:rFonts w:ascii="仿宋_GB2312" w:hAnsi="宋体" w:eastAsia="仿宋_GB2312" w:cs="宋体"/>
                <w:color w:val="000000"/>
                <w:szCs w:val="21"/>
              </w:rPr>
            </w:pPr>
            <w:r>
              <w:rPr>
                <w:rFonts w:hint="eastAsia" w:ascii="仿宋_GB2312" w:hAnsi="宋体" w:eastAsia="仿宋_GB2312" w:cs="宋体"/>
                <w:color w:val="000000"/>
                <w:szCs w:val="21"/>
              </w:rPr>
              <w:t>群众对信访部门和信访事项处理责任部门满意率。</w:t>
            </w:r>
          </w:p>
        </w:tc>
        <w:tc>
          <w:tcPr>
            <w:tcW w:w="1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1366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群众满意度达标。</w:t>
            </w:r>
          </w:p>
        </w:tc>
        <w:tc>
          <w:tcPr>
            <w:tcW w:w="1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6F48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满意</w:t>
            </w:r>
          </w:p>
        </w:tc>
      </w:tr>
    </w:tbl>
    <w:p w14:paraId="376286AF">
      <w:pPr>
        <w:spacing w:line="580" w:lineRule="exact"/>
        <w:ind w:firstLine="640" w:firstLineChars="200"/>
        <w:rPr>
          <w:rFonts w:ascii="仿宋_GB2312" w:hAnsi="仿宋_GB2312" w:eastAsia="仿宋_GB2312" w:cs="仿宋_GB2312"/>
          <w:sz w:val="32"/>
          <w:szCs w:val="32"/>
        </w:rPr>
      </w:pPr>
    </w:p>
    <w:p w14:paraId="270CDE67">
      <w:pPr>
        <w:spacing w:line="580" w:lineRule="exact"/>
        <w:ind w:firstLine="640" w:firstLineChars="200"/>
        <w:rPr>
          <w:rFonts w:ascii="仿宋_GB2312" w:hAnsi="仿宋_GB2312" w:eastAsia="仿宋_GB2312" w:cs="仿宋_GB2312"/>
          <w:sz w:val="28"/>
          <w:szCs w:val="28"/>
        </w:rPr>
      </w:pPr>
      <w:r>
        <w:rPr>
          <w:rFonts w:hint="eastAsia" w:ascii="仿宋_GB2312" w:hAnsi="仿宋_GB2312" w:eastAsia="仿宋_GB2312" w:cs="仿宋_GB2312"/>
          <w:sz w:val="32"/>
          <w:szCs w:val="32"/>
        </w:rPr>
        <w:t>（4）</w:t>
      </w:r>
      <w:r>
        <w:rPr>
          <w:rFonts w:hint="eastAsia" w:ascii="仿宋_GB2312" w:hAnsi="仿宋_GB2312" w:eastAsia="仿宋_GB2312" w:cs="仿宋_GB2312"/>
          <w:sz w:val="28"/>
          <w:szCs w:val="28"/>
        </w:rPr>
        <w:t>信访网上视频接访工作经费项目绩效目标完成情况综述。项目全年预算数6.28万元，执行数为6.28万元，完成预算的100%。通过项目实施，完成与上级部门视频系统的对接互通，连接起国家、省、市、县信访工作机构。</w:t>
      </w:r>
    </w:p>
    <w:tbl>
      <w:tblPr>
        <w:tblStyle w:val="12"/>
        <w:tblpPr w:leftFromText="180" w:rightFromText="180" w:vertAnchor="text" w:horzAnchor="page" w:tblpXSpec="center" w:tblpY="423"/>
        <w:tblOverlap w:val="never"/>
        <w:tblW w:w="6977" w:type="dxa"/>
        <w:jc w:val="center"/>
        <w:tblLayout w:type="fixed"/>
        <w:tblCellMar>
          <w:top w:w="0" w:type="dxa"/>
          <w:left w:w="0" w:type="dxa"/>
          <w:bottom w:w="0" w:type="dxa"/>
          <w:right w:w="0" w:type="dxa"/>
        </w:tblCellMar>
      </w:tblPr>
      <w:tblGrid>
        <w:gridCol w:w="273"/>
        <w:gridCol w:w="957"/>
        <w:gridCol w:w="719"/>
        <w:gridCol w:w="1675"/>
        <w:gridCol w:w="1677"/>
        <w:gridCol w:w="1676"/>
      </w:tblGrid>
      <w:tr w14:paraId="4136E02F">
        <w:tblPrEx>
          <w:tblCellMar>
            <w:top w:w="0" w:type="dxa"/>
            <w:left w:w="0" w:type="dxa"/>
            <w:bottom w:w="0" w:type="dxa"/>
            <w:right w:w="0" w:type="dxa"/>
          </w:tblCellMar>
        </w:tblPrEx>
        <w:trPr>
          <w:trHeight w:val="689" w:hRule="atLeast"/>
          <w:jc w:val="center"/>
        </w:trPr>
        <w:tc>
          <w:tcPr>
            <w:tcW w:w="6976" w:type="dxa"/>
            <w:gridSpan w:val="6"/>
            <w:tcBorders>
              <w:top w:val="nil"/>
              <w:left w:val="nil"/>
              <w:bottom w:val="nil"/>
              <w:right w:val="nil"/>
            </w:tcBorders>
            <w:tcMar>
              <w:top w:w="15" w:type="dxa"/>
              <w:left w:w="15" w:type="dxa"/>
              <w:right w:w="15" w:type="dxa"/>
            </w:tcMar>
            <w:vAlign w:val="center"/>
          </w:tcPr>
          <w:p w14:paraId="40EC0770">
            <w:pPr>
              <w:widowControl/>
              <w:jc w:val="center"/>
              <w:textAlignment w:val="center"/>
              <w:rPr>
                <w:rFonts w:ascii="宋体" w:hAnsi="宋体" w:cs="宋体"/>
                <w:color w:val="000000"/>
                <w:kern w:val="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p w14:paraId="7BBE4F3E">
            <w:pPr>
              <w:widowControl/>
              <w:jc w:val="center"/>
              <w:textAlignment w:val="center"/>
              <w:rPr>
                <w:rFonts w:ascii="宋体" w:hAnsi="宋体" w:cs="宋体"/>
                <w:color w:val="000000"/>
                <w:sz w:val="36"/>
                <w:szCs w:val="36"/>
              </w:rPr>
            </w:pPr>
          </w:p>
        </w:tc>
      </w:tr>
      <w:tr w14:paraId="00D03A79">
        <w:tblPrEx>
          <w:tblCellMar>
            <w:top w:w="0" w:type="dxa"/>
            <w:left w:w="0" w:type="dxa"/>
            <w:bottom w:w="0" w:type="dxa"/>
            <w:right w:w="0" w:type="dxa"/>
          </w:tblCellMar>
        </w:tblPrEx>
        <w:trPr>
          <w:trHeight w:val="185" w:hRule="atLeast"/>
          <w:jc w:val="center"/>
        </w:trPr>
        <w:tc>
          <w:tcPr>
            <w:tcW w:w="194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316F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项目名称</w:t>
            </w:r>
          </w:p>
        </w:tc>
        <w:tc>
          <w:tcPr>
            <w:tcW w:w="50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59F48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信访网上视频接访工作经费</w:t>
            </w:r>
          </w:p>
        </w:tc>
      </w:tr>
      <w:tr w14:paraId="030AD33F">
        <w:tblPrEx>
          <w:tblCellMar>
            <w:top w:w="0" w:type="dxa"/>
            <w:left w:w="0" w:type="dxa"/>
            <w:bottom w:w="0" w:type="dxa"/>
            <w:right w:w="0" w:type="dxa"/>
          </w:tblCellMar>
        </w:tblPrEx>
        <w:trPr>
          <w:trHeight w:val="185" w:hRule="atLeast"/>
          <w:jc w:val="center"/>
        </w:trPr>
        <w:tc>
          <w:tcPr>
            <w:tcW w:w="194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1A47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预算单位</w:t>
            </w:r>
          </w:p>
        </w:tc>
        <w:tc>
          <w:tcPr>
            <w:tcW w:w="502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AA90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峨眉山市信访局</w:t>
            </w:r>
          </w:p>
        </w:tc>
      </w:tr>
      <w:tr w14:paraId="74231F22">
        <w:tblPrEx>
          <w:tblCellMar>
            <w:top w:w="0" w:type="dxa"/>
            <w:left w:w="0" w:type="dxa"/>
            <w:bottom w:w="0" w:type="dxa"/>
            <w:right w:w="0" w:type="dxa"/>
          </w:tblCellMar>
        </w:tblPrEx>
        <w:trPr>
          <w:trHeight w:val="185" w:hRule="atLeast"/>
          <w:jc w:val="center"/>
        </w:trPr>
        <w:tc>
          <w:tcPr>
            <w:tcW w:w="2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4F61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预算执行情况(万元)</w:t>
            </w:r>
          </w:p>
        </w:tc>
        <w:tc>
          <w:tcPr>
            <w:tcW w:w="16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38A6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预算数:</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EF07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6．28万元</w:t>
            </w:r>
          </w:p>
        </w:tc>
        <w:tc>
          <w:tcPr>
            <w:tcW w:w="1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046F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执行数:</w:t>
            </w:r>
          </w:p>
        </w:tc>
        <w:tc>
          <w:tcPr>
            <w:tcW w:w="1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3A5D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6．28万元</w:t>
            </w:r>
          </w:p>
        </w:tc>
      </w:tr>
      <w:tr w14:paraId="75F53F8B">
        <w:tblPrEx>
          <w:tblCellMar>
            <w:top w:w="0" w:type="dxa"/>
            <w:left w:w="0" w:type="dxa"/>
            <w:bottom w:w="0" w:type="dxa"/>
            <w:right w:w="0" w:type="dxa"/>
          </w:tblCellMar>
        </w:tblPrEx>
        <w:trPr>
          <w:trHeight w:val="185" w:hRule="atLeast"/>
          <w:jc w:val="center"/>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EDBA7">
            <w:pPr>
              <w:jc w:val="center"/>
              <w:rPr>
                <w:rFonts w:ascii="仿宋_GB2312" w:hAnsi="宋体" w:eastAsia="仿宋_GB2312" w:cs="宋体"/>
                <w:color w:val="000000"/>
                <w:szCs w:val="21"/>
              </w:rPr>
            </w:pPr>
          </w:p>
        </w:tc>
        <w:tc>
          <w:tcPr>
            <w:tcW w:w="16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DFB1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FB31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6．28万元</w:t>
            </w:r>
          </w:p>
        </w:tc>
        <w:tc>
          <w:tcPr>
            <w:tcW w:w="1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69F9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1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1693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6．28万元</w:t>
            </w:r>
          </w:p>
        </w:tc>
      </w:tr>
      <w:tr w14:paraId="6EE9A24D">
        <w:tblPrEx>
          <w:tblCellMar>
            <w:top w:w="0" w:type="dxa"/>
            <w:left w:w="0" w:type="dxa"/>
            <w:bottom w:w="0" w:type="dxa"/>
            <w:right w:w="0" w:type="dxa"/>
          </w:tblCellMar>
        </w:tblPrEx>
        <w:trPr>
          <w:trHeight w:val="1844" w:hRule="atLeast"/>
          <w:jc w:val="center"/>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1169F">
            <w:pPr>
              <w:jc w:val="center"/>
              <w:rPr>
                <w:rFonts w:ascii="仿宋_GB2312" w:hAnsi="宋体" w:eastAsia="仿宋_GB2312" w:cs="宋体"/>
                <w:color w:val="000000"/>
                <w:szCs w:val="21"/>
              </w:rPr>
            </w:pPr>
          </w:p>
        </w:tc>
        <w:tc>
          <w:tcPr>
            <w:tcW w:w="16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1666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4FCB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0</w:t>
            </w:r>
          </w:p>
        </w:tc>
        <w:tc>
          <w:tcPr>
            <w:tcW w:w="1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5B2D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1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54A71">
            <w:pPr>
              <w:jc w:val="center"/>
              <w:rPr>
                <w:rFonts w:ascii="仿宋_GB2312" w:hAnsi="宋体" w:eastAsia="仿宋_GB2312" w:cs="宋体"/>
                <w:color w:val="000000"/>
                <w:szCs w:val="21"/>
              </w:rPr>
            </w:pPr>
            <w:r>
              <w:rPr>
                <w:rFonts w:hint="eastAsia" w:ascii="仿宋_GB2312" w:hAnsi="宋体" w:eastAsia="仿宋_GB2312" w:cs="宋体"/>
                <w:color w:val="000000"/>
                <w:szCs w:val="21"/>
              </w:rPr>
              <w:t>0</w:t>
            </w:r>
          </w:p>
        </w:tc>
      </w:tr>
      <w:tr w14:paraId="5D0BBB99">
        <w:tblPrEx>
          <w:tblCellMar>
            <w:top w:w="0" w:type="dxa"/>
            <w:left w:w="0" w:type="dxa"/>
            <w:bottom w:w="0" w:type="dxa"/>
            <w:right w:w="0" w:type="dxa"/>
          </w:tblCellMar>
        </w:tblPrEx>
        <w:trPr>
          <w:trHeight w:val="185" w:hRule="atLeast"/>
          <w:jc w:val="center"/>
        </w:trPr>
        <w:tc>
          <w:tcPr>
            <w:tcW w:w="2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6973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目标完成情况</w:t>
            </w:r>
          </w:p>
        </w:tc>
        <w:tc>
          <w:tcPr>
            <w:tcW w:w="33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DC65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预期目标</w:t>
            </w:r>
          </w:p>
        </w:tc>
        <w:tc>
          <w:tcPr>
            <w:tcW w:w="33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46E8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实际完成目标</w:t>
            </w:r>
          </w:p>
        </w:tc>
      </w:tr>
      <w:tr w14:paraId="5304E04E">
        <w:tblPrEx>
          <w:tblCellMar>
            <w:top w:w="0" w:type="dxa"/>
            <w:left w:w="0" w:type="dxa"/>
            <w:bottom w:w="0" w:type="dxa"/>
            <w:right w:w="0" w:type="dxa"/>
          </w:tblCellMar>
        </w:tblPrEx>
        <w:trPr>
          <w:trHeight w:val="1868" w:hRule="atLeast"/>
          <w:jc w:val="center"/>
        </w:trPr>
        <w:tc>
          <w:tcPr>
            <w:tcW w:w="2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C4FD8">
            <w:pPr>
              <w:jc w:val="center"/>
              <w:rPr>
                <w:rFonts w:ascii="仿宋_GB2312" w:hAnsi="宋体" w:eastAsia="仿宋_GB2312" w:cs="宋体"/>
                <w:color w:val="000000"/>
                <w:szCs w:val="21"/>
              </w:rPr>
            </w:pPr>
          </w:p>
        </w:tc>
        <w:tc>
          <w:tcPr>
            <w:tcW w:w="335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847C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做好视频接访系统的维护使用。</w:t>
            </w:r>
          </w:p>
        </w:tc>
        <w:tc>
          <w:tcPr>
            <w:tcW w:w="33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8C358">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视频接访系统保持经常性维护，使用状况良好。</w:t>
            </w:r>
          </w:p>
        </w:tc>
      </w:tr>
      <w:tr w14:paraId="60707AF0">
        <w:tblPrEx>
          <w:tblCellMar>
            <w:top w:w="0" w:type="dxa"/>
            <w:left w:w="0" w:type="dxa"/>
            <w:bottom w:w="0" w:type="dxa"/>
            <w:right w:w="0" w:type="dxa"/>
          </w:tblCellMar>
        </w:tblPrEx>
        <w:trPr>
          <w:trHeight w:val="694" w:hRule="atLeast"/>
          <w:jc w:val="center"/>
        </w:trPr>
        <w:tc>
          <w:tcPr>
            <w:tcW w:w="2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B0F593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绩效指标完成情况</w:t>
            </w: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FA20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一级指标</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66BD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2EE7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1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6896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预期指标值(包含数字及文字描述)</w:t>
            </w:r>
          </w:p>
        </w:tc>
        <w:tc>
          <w:tcPr>
            <w:tcW w:w="1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C4A8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实际完成指标值(包含数字及文字描述)</w:t>
            </w:r>
          </w:p>
        </w:tc>
      </w:tr>
      <w:tr w14:paraId="3F339E5D">
        <w:tblPrEx>
          <w:tblCellMar>
            <w:top w:w="0" w:type="dxa"/>
            <w:left w:w="0" w:type="dxa"/>
            <w:bottom w:w="0" w:type="dxa"/>
            <w:right w:w="0" w:type="dxa"/>
          </w:tblCellMar>
        </w:tblPrEx>
        <w:trPr>
          <w:trHeight w:val="694" w:hRule="atLeast"/>
          <w:jc w:val="center"/>
        </w:trPr>
        <w:tc>
          <w:tcPr>
            <w:tcW w:w="273" w:type="dxa"/>
            <w:vMerge w:val="continue"/>
            <w:tcBorders>
              <w:top w:val="single" w:color="000000" w:sz="4" w:space="0"/>
              <w:left w:val="single" w:color="000000" w:sz="4" w:space="0"/>
              <w:right w:val="single" w:color="000000" w:sz="4" w:space="0"/>
            </w:tcBorders>
            <w:tcMar>
              <w:top w:w="15" w:type="dxa"/>
              <w:left w:w="15" w:type="dxa"/>
              <w:right w:w="15" w:type="dxa"/>
            </w:tcMar>
            <w:vAlign w:val="center"/>
          </w:tcPr>
          <w:p w14:paraId="2334F1F0">
            <w:pPr>
              <w:widowControl/>
              <w:jc w:val="center"/>
              <w:textAlignment w:val="center"/>
              <w:rPr>
                <w:rFonts w:ascii="仿宋_GB2312" w:hAnsi="宋体" w:eastAsia="仿宋_GB2312" w:cs="宋体"/>
                <w:color w:val="000000"/>
                <w:szCs w:val="21"/>
              </w:rPr>
            </w:pP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FA584">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项目完成指标</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1684E">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5A770">
            <w:pPr>
              <w:widowControl/>
              <w:jc w:val="left"/>
              <w:textAlignment w:val="center"/>
              <w:rPr>
                <w:rFonts w:ascii="仿宋_GB2312" w:hAnsi="宋体" w:eastAsia="仿宋_GB2312" w:cs="宋体"/>
                <w:color w:val="000000"/>
                <w:kern w:val="0"/>
                <w:szCs w:val="21"/>
              </w:rPr>
            </w:pPr>
            <w:r>
              <w:rPr>
                <w:rFonts w:hint="eastAsia" w:ascii="仿宋_GB2312" w:hAnsi="宋体" w:eastAsia="仿宋_GB2312" w:cs="宋体"/>
                <w:color w:val="000000"/>
                <w:szCs w:val="21"/>
              </w:rPr>
              <w:t>做好视频接访系统的维护使用</w:t>
            </w:r>
          </w:p>
        </w:tc>
        <w:tc>
          <w:tcPr>
            <w:tcW w:w="1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820F6">
            <w:pPr>
              <w:widowControl/>
              <w:jc w:val="left"/>
              <w:textAlignment w:val="center"/>
              <w:rPr>
                <w:rFonts w:ascii="仿宋_GB2312" w:hAnsi="宋体" w:eastAsia="仿宋_GB2312" w:cs="宋体"/>
                <w:color w:val="000000"/>
                <w:kern w:val="0"/>
                <w:szCs w:val="21"/>
              </w:rPr>
            </w:pPr>
            <w:r>
              <w:rPr>
                <w:rFonts w:hint="eastAsia" w:ascii="仿宋_GB2312" w:hAnsi="宋体" w:eastAsia="仿宋_GB2312" w:cs="宋体"/>
                <w:color w:val="000000"/>
                <w:szCs w:val="21"/>
              </w:rPr>
              <w:t>接访系统保持经常性维护，使用状况良好。</w:t>
            </w:r>
          </w:p>
        </w:tc>
        <w:tc>
          <w:tcPr>
            <w:tcW w:w="1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13758">
            <w:pPr>
              <w:widowControl/>
              <w:jc w:val="center"/>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基本完成</w:t>
            </w:r>
          </w:p>
        </w:tc>
      </w:tr>
      <w:tr w14:paraId="0FECA0B9">
        <w:tblPrEx>
          <w:tblCellMar>
            <w:top w:w="0" w:type="dxa"/>
            <w:left w:w="0" w:type="dxa"/>
            <w:bottom w:w="0" w:type="dxa"/>
            <w:right w:w="0" w:type="dxa"/>
          </w:tblCellMar>
        </w:tblPrEx>
        <w:trPr>
          <w:trHeight w:val="725" w:hRule="atLeast"/>
          <w:jc w:val="center"/>
        </w:trPr>
        <w:tc>
          <w:tcPr>
            <w:tcW w:w="273" w:type="dxa"/>
            <w:vMerge w:val="continue"/>
            <w:tcBorders>
              <w:left w:val="single" w:color="000000" w:sz="4" w:space="0"/>
              <w:right w:val="single" w:color="000000" w:sz="4" w:space="0"/>
            </w:tcBorders>
            <w:tcMar>
              <w:top w:w="15" w:type="dxa"/>
              <w:left w:w="15" w:type="dxa"/>
              <w:right w:w="15" w:type="dxa"/>
            </w:tcMar>
            <w:vAlign w:val="center"/>
          </w:tcPr>
          <w:p w14:paraId="5A7A5C0D">
            <w:pPr>
              <w:widowControl/>
              <w:jc w:val="center"/>
              <w:textAlignment w:val="center"/>
              <w:rPr>
                <w:rFonts w:ascii="仿宋_GB2312" w:hAnsi="宋体" w:eastAsia="仿宋_GB2312" w:cs="宋体"/>
                <w:color w:val="000000"/>
                <w:szCs w:val="21"/>
              </w:rPr>
            </w:pP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AB8C7">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FD7E8">
            <w:pPr>
              <w:jc w:val="center"/>
              <w:rPr>
                <w:rFonts w:ascii="仿宋_GB2312" w:hAnsi="宋体" w:eastAsia="仿宋_GB2312" w:cs="宋体"/>
                <w:color w:val="000000"/>
                <w:szCs w:val="21"/>
              </w:rPr>
            </w:pPr>
            <w:r>
              <w:rPr>
                <w:rFonts w:hint="eastAsia" w:ascii="仿宋_GB2312" w:eastAsia="仿宋_GB2312"/>
                <w:szCs w:val="21"/>
              </w:rPr>
              <w:t>时效指标</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0A35E">
            <w:pPr>
              <w:jc w:val="center"/>
              <w:rPr>
                <w:rFonts w:ascii="仿宋_GB2312" w:hAnsi="宋体" w:eastAsia="仿宋_GB2312" w:cs="宋体"/>
                <w:szCs w:val="21"/>
              </w:rPr>
            </w:pPr>
            <w:r>
              <w:rPr>
                <w:rFonts w:hint="eastAsia" w:ascii="仿宋_GB2312" w:eastAsia="仿宋_GB2312"/>
                <w:szCs w:val="21"/>
              </w:rPr>
              <w:t>项目按期完成率</w:t>
            </w:r>
          </w:p>
          <w:p w14:paraId="285E500C">
            <w:pPr>
              <w:widowControl/>
              <w:jc w:val="center"/>
              <w:textAlignment w:val="center"/>
              <w:rPr>
                <w:rFonts w:ascii="仿宋_GB2312" w:hAnsi="宋体" w:eastAsia="仿宋_GB2312" w:cs="宋体"/>
                <w:color w:val="000000"/>
                <w:szCs w:val="21"/>
              </w:rPr>
            </w:pPr>
          </w:p>
        </w:tc>
        <w:tc>
          <w:tcPr>
            <w:tcW w:w="1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FE4BD">
            <w:pPr>
              <w:jc w:val="center"/>
              <w:rPr>
                <w:rFonts w:ascii="仿宋_GB2312" w:hAnsi="宋体" w:eastAsia="仿宋_GB2312" w:cs="宋体"/>
                <w:szCs w:val="21"/>
              </w:rPr>
            </w:pPr>
            <w:r>
              <w:rPr>
                <w:rFonts w:hint="eastAsia" w:ascii="仿宋_GB2312" w:eastAsia="仿宋_GB2312"/>
                <w:szCs w:val="21"/>
              </w:rPr>
              <w:t>2019年底完成。</w:t>
            </w:r>
          </w:p>
          <w:p w14:paraId="120B5FF3">
            <w:pPr>
              <w:widowControl/>
              <w:jc w:val="center"/>
              <w:textAlignment w:val="center"/>
              <w:rPr>
                <w:rFonts w:ascii="仿宋_GB2312" w:hAnsi="宋体" w:eastAsia="仿宋_GB2312" w:cs="宋体"/>
                <w:color w:val="000000"/>
                <w:szCs w:val="21"/>
              </w:rPr>
            </w:pPr>
          </w:p>
        </w:tc>
        <w:tc>
          <w:tcPr>
            <w:tcW w:w="1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AC79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p w14:paraId="047CBCDE">
            <w:pPr>
              <w:widowControl/>
              <w:jc w:val="center"/>
              <w:textAlignment w:val="center"/>
              <w:rPr>
                <w:rFonts w:ascii="仿宋_GB2312" w:hAnsi="宋体" w:eastAsia="仿宋_GB2312" w:cs="宋体"/>
                <w:color w:val="000000"/>
                <w:szCs w:val="21"/>
              </w:rPr>
            </w:pPr>
          </w:p>
        </w:tc>
      </w:tr>
      <w:tr w14:paraId="264F9BE9">
        <w:tblPrEx>
          <w:tblCellMar>
            <w:top w:w="0" w:type="dxa"/>
            <w:left w:w="0" w:type="dxa"/>
            <w:bottom w:w="0" w:type="dxa"/>
            <w:right w:w="0" w:type="dxa"/>
          </w:tblCellMar>
        </w:tblPrEx>
        <w:trPr>
          <w:trHeight w:val="723" w:hRule="atLeast"/>
          <w:jc w:val="center"/>
        </w:trPr>
        <w:tc>
          <w:tcPr>
            <w:tcW w:w="273" w:type="dxa"/>
            <w:vMerge w:val="continue"/>
            <w:tcBorders>
              <w:left w:val="single" w:color="000000" w:sz="4" w:space="0"/>
              <w:right w:val="single" w:color="000000" w:sz="4" w:space="0"/>
            </w:tcBorders>
            <w:tcMar>
              <w:top w:w="15" w:type="dxa"/>
              <w:left w:w="15" w:type="dxa"/>
              <w:right w:w="15" w:type="dxa"/>
            </w:tcMar>
            <w:vAlign w:val="center"/>
          </w:tcPr>
          <w:p w14:paraId="1F07E79A">
            <w:pPr>
              <w:widowControl/>
              <w:jc w:val="center"/>
              <w:textAlignment w:val="center"/>
              <w:rPr>
                <w:rFonts w:ascii="仿宋_GB2312" w:hAnsi="宋体" w:eastAsia="仿宋_GB2312" w:cs="宋体"/>
                <w:color w:val="000000"/>
                <w:szCs w:val="21"/>
              </w:rPr>
            </w:pP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3981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效益指标</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B608F">
            <w:pPr>
              <w:jc w:val="left"/>
              <w:rPr>
                <w:rFonts w:ascii="仿宋_GB2312" w:hAnsi="宋体" w:eastAsia="仿宋_GB2312" w:cs="宋体"/>
                <w:szCs w:val="21"/>
              </w:rPr>
            </w:pPr>
            <w:r>
              <w:rPr>
                <w:rFonts w:hint="eastAsia" w:ascii="仿宋_GB2312" w:eastAsia="仿宋_GB2312"/>
                <w:szCs w:val="21"/>
              </w:rPr>
              <w:t>社会效益指标</w:t>
            </w:r>
          </w:p>
          <w:p w14:paraId="3C938D4F">
            <w:pPr>
              <w:widowControl/>
              <w:jc w:val="left"/>
              <w:textAlignment w:val="center"/>
              <w:rPr>
                <w:rFonts w:ascii="仿宋_GB2312" w:hAnsi="宋体" w:eastAsia="仿宋_GB2312" w:cs="宋体"/>
                <w:color w:val="000000"/>
                <w:szCs w:val="21"/>
              </w:rPr>
            </w:pP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3BF68">
            <w:pPr>
              <w:jc w:val="left"/>
              <w:rPr>
                <w:rFonts w:ascii="仿宋_GB2312" w:hAnsi="宋体" w:eastAsia="仿宋_GB2312" w:cs="宋体"/>
                <w:color w:val="000000"/>
                <w:szCs w:val="21"/>
              </w:rPr>
            </w:pPr>
            <w:r>
              <w:rPr>
                <w:rFonts w:hint="eastAsia" w:ascii="仿宋_GB2312" w:hAnsi="宋体" w:eastAsia="仿宋_GB2312" w:cs="宋体"/>
                <w:color w:val="000000"/>
                <w:szCs w:val="21"/>
              </w:rPr>
              <w:t>通过视频系统，加强接访工作</w:t>
            </w:r>
          </w:p>
        </w:tc>
        <w:tc>
          <w:tcPr>
            <w:tcW w:w="1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D7256">
            <w:pPr>
              <w:jc w:val="left"/>
              <w:rPr>
                <w:rFonts w:ascii="仿宋_GB2312" w:hAnsi="宋体" w:eastAsia="仿宋_GB2312" w:cs="宋体"/>
                <w:color w:val="000000"/>
                <w:szCs w:val="21"/>
              </w:rPr>
            </w:pPr>
            <w:r>
              <w:rPr>
                <w:rFonts w:hint="eastAsia" w:ascii="仿宋_GB2312" w:hAnsi="宋体" w:eastAsia="仿宋_GB2312" w:cs="宋体"/>
                <w:color w:val="000000"/>
                <w:szCs w:val="21"/>
              </w:rPr>
              <w:t>化解积案，解决信访突出问题。</w:t>
            </w:r>
          </w:p>
        </w:tc>
        <w:tc>
          <w:tcPr>
            <w:tcW w:w="1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1A2B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42A50442">
        <w:tblPrEx>
          <w:tblCellMar>
            <w:top w:w="0" w:type="dxa"/>
            <w:left w:w="0" w:type="dxa"/>
            <w:bottom w:w="0" w:type="dxa"/>
            <w:right w:w="0" w:type="dxa"/>
          </w:tblCellMar>
        </w:tblPrEx>
        <w:trPr>
          <w:trHeight w:val="114" w:hRule="atLeast"/>
          <w:jc w:val="center"/>
        </w:trPr>
        <w:tc>
          <w:tcPr>
            <w:tcW w:w="27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7255898">
            <w:pPr>
              <w:widowControl/>
              <w:jc w:val="center"/>
              <w:textAlignment w:val="center"/>
              <w:rPr>
                <w:rFonts w:ascii="仿宋_GB2312" w:hAnsi="宋体" w:eastAsia="仿宋_GB2312" w:cs="宋体"/>
                <w:color w:val="000000"/>
                <w:szCs w:val="21"/>
              </w:rPr>
            </w:pPr>
          </w:p>
        </w:tc>
        <w:tc>
          <w:tcPr>
            <w:tcW w:w="9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A653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满意度指标</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8CB0A">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社会满意度</w:t>
            </w:r>
          </w:p>
        </w:tc>
        <w:tc>
          <w:tcPr>
            <w:tcW w:w="1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615B5">
            <w:pPr>
              <w:jc w:val="left"/>
              <w:rPr>
                <w:rFonts w:ascii="仿宋_GB2312" w:hAnsi="宋体" w:eastAsia="仿宋_GB2312" w:cs="宋体"/>
                <w:color w:val="000000"/>
                <w:szCs w:val="21"/>
              </w:rPr>
            </w:pPr>
            <w:r>
              <w:rPr>
                <w:rFonts w:hint="eastAsia" w:ascii="仿宋_GB2312" w:hAnsi="宋体" w:eastAsia="仿宋_GB2312" w:cs="宋体"/>
                <w:color w:val="000000"/>
                <w:szCs w:val="21"/>
              </w:rPr>
              <w:t>畅通信访渠道，及时解决群众问题</w:t>
            </w:r>
          </w:p>
        </w:tc>
        <w:tc>
          <w:tcPr>
            <w:tcW w:w="1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CC82F">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群众满意度达标。</w:t>
            </w:r>
          </w:p>
        </w:tc>
        <w:tc>
          <w:tcPr>
            <w:tcW w:w="1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967F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满意</w:t>
            </w:r>
          </w:p>
        </w:tc>
      </w:tr>
    </w:tbl>
    <w:p w14:paraId="4B4C0236">
      <w:pPr>
        <w:spacing w:line="580" w:lineRule="exact"/>
        <w:ind w:firstLine="640" w:firstLineChars="200"/>
        <w:rPr>
          <w:rFonts w:ascii="仿宋_GB2312" w:hAnsi="仿宋_GB2312" w:eastAsia="仿宋_GB2312" w:cs="仿宋_GB2312"/>
          <w:sz w:val="32"/>
          <w:szCs w:val="32"/>
        </w:rPr>
      </w:pPr>
    </w:p>
    <w:p w14:paraId="65EC48DE">
      <w:pPr>
        <w:spacing w:line="580" w:lineRule="exact"/>
        <w:ind w:firstLine="560" w:firstLineChars="200"/>
        <w:rPr>
          <w:rFonts w:ascii="仿宋_GB2312" w:hAnsi="仿宋_GB2312" w:eastAsia="仿宋_GB2312" w:cs="仿宋_GB2312"/>
          <w:sz w:val="28"/>
          <w:szCs w:val="28"/>
        </w:rPr>
      </w:pPr>
    </w:p>
    <w:p w14:paraId="1B6CE08E">
      <w:pPr>
        <w:spacing w:line="580" w:lineRule="exact"/>
        <w:ind w:firstLine="560" w:firstLineChars="200"/>
        <w:rPr>
          <w:rFonts w:ascii="仿宋_GB2312" w:hAnsi="仿宋_GB2312" w:eastAsia="仿宋_GB2312" w:cs="仿宋_GB2312"/>
          <w:sz w:val="28"/>
          <w:szCs w:val="28"/>
        </w:rPr>
      </w:pPr>
    </w:p>
    <w:p w14:paraId="51DFD079">
      <w:pPr>
        <w:spacing w:line="580" w:lineRule="exact"/>
        <w:ind w:firstLine="560" w:firstLineChars="200"/>
        <w:rPr>
          <w:rFonts w:ascii="仿宋_GB2312" w:hAnsi="仿宋_GB2312" w:eastAsia="仿宋_GB2312" w:cs="仿宋_GB2312"/>
          <w:sz w:val="28"/>
          <w:szCs w:val="28"/>
        </w:rPr>
      </w:pPr>
    </w:p>
    <w:p w14:paraId="56174F54">
      <w:pPr>
        <w:spacing w:line="580" w:lineRule="exact"/>
        <w:ind w:firstLine="560" w:firstLineChars="200"/>
        <w:rPr>
          <w:rFonts w:ascii="仿宋_GB2312" w:hAnsi="仿宋_GB2312" w:eastAsia="仿宋_GB2312" w:cs="仿宋_GB2312"/>
          <w:sz w:val="28"/>
          <w:szCs w:val="28"/>
        </w:rPr>
      </w:pPr>
    </w:p>
    <w:p w14:paraId="27583090">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双创工作经费项目绩效目标完成情况综述。项目全年预算数2.03万元，执行数为2.03万元，完成预算的100%。通过项目实施，提升了城市卫生文明形象，提高了市民的文明卫生素质，保障了双创工作的顺利进行与圆满完成达标任务。存在问题：文明卫生意识不够强。下一步改过措施：进一步加强双创的宣传，卫生清理治理工作。</w:t>
      </w:r>
      <w:r>
        <w:rPr>
          <w:rFonts w:ascii="仿宋_GB2312" w:hAnsi="仿宋_GB2312" w:eastAsia="仿宋_GB2312" w:cs="仿宋_GB2312"/>
          <w:sz w:val="28"/>
          <w:szCs w:val="28"/>
        </w:rPr>
        <w:t xml:space="preserve"> </w:t>
      </w:r>
    </w:p>
    <w:tbl>
      <w:tblPr>
        <w:tblStyle w:val="12"/>
        <w:tblpPr w:leftFromText="180" w:rightFromText="180" w:vertAnchor="text" w:horzAnchor="page" w:tblpXSpec="center" w:tblpY="423"/>
        <w:tblOverlap w:val="never"/>
        <w:tblW w:w="7429" w:type="dxa"/>
        <w:jc w:val="center"/>
        <w:tblLayout w:type="fixed"/>
        <w:tblCellMar>
          <w:top w:w="0" w:type="dxa"/>
          <w:left w:w="0" w:type="dxa"/>
          <w:bottom w:w="0" w:type="dxa"/>
          <w:right w:w="0" w:type="dxa"/>
        </w:tblCellMar>
      </w:tblPr>
      <w:tblGrid>
        <w:gridCol w:w="289"/>
        <w:gridCol w:w="1020"/>
        <w:gridCol w:w="766"/>
        <w:gridCol w:w="1783"/>
        <w:gridCol w:w="1785"/>
        <w:gridCol w:w="1786"/>
      </w:tblGrid>
      <w:tr w14:paraId="29DF65E4">
        <w:tblPrEx>
          <w:tblCellMar>
            <w:top w:w="0" w:type="dxa"/>
            <w:left w:w="0" w:type="dxa"/>
            <w:bottom w:w="0" w:type="dxa"/>
            <w:right w:w="0" w:type="dxa"/>
          </w:tblCellMar>
        </w:tblPrEx>
        <w:trPr>
          <w:trHeight w:val="521" w:hRule="atLeast"/>
          <w:jc w:val="center"/>
        </w:trPr>
        <w:tc>
          <w:tcPr>
            <w:tcW w:w="7429" w:type="dxa"/>
            <w:gridSpan w:val="6"/>
            <w:tcBorders>
              <w:top w:val="nil"/>
              <w:left w:val="nil"/>
              <w:bottom w:val="nil"/>
              <w:right w:val="nil"/>
            </w:tcBorders>
            <w:tcMar>
              <w:top w:w="15" w:type="dxa"/>
              <w:left w:w="15" w:type="dxa"/>
              <w:right w:w="15" w:type="dxa"/>
            </w:tcMar>
            <w:vAlign w:val="center"/>
          </w:tcPr>
          <w:p w14:paraId="40616F2B">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6E67AC34">
        <w:tblPrEx>
          <w:tblCellMar>
            <w:top w:w="0" w:type="dxa"/>
            <w:left w:w="0" w:type="dxa"/>
            <w:bottom w:w="0" w:type="dxa"/>
            <w:right w:w="0" w:type="dxa"/>
          </w:tblCellMar>
        </w:tblPrEx>
        <w:trPr>
          <w:trHeight w:val="140" w:hRule="atLeast"/>
          <w:jc w:val="center"/>
        </w:trPr>
        <w:tc>
          <w:tcPr>
            <w:tcW w:w="20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9B9B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项目名称</w:t>
            </w:r>
          </w:p>
        </w:tc>
        <w:tc>
          <w:tcPr>
            <w:tcW w:w="53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21AF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双创工作经费</w:t>
            </w:r>
          </w:p>
        </w:tc>
      </w:tr>
      <w:tr w14:paraId="5F4A03E7">
        <w:tblPrEx>
          <w:tblCellMar>
            <w:top w:w="0" w:type="dxa"/>
            <w:left w:w="0" w:type="dxa"/>
            <w:bottom w:w="0" w:type="dxa"/>
            <w:right w:w="0" w:type="dxa"/>
          </w:tblCellMar>
        </w:tblPrEx>
        <w:trPr>
          <w:trHeight w:val="140" w:hRule="atLeast"/>
          <w:jc w:val="center"/>
        </w:trPr>
        <w:tc>
          <w:tcPr>
            <w:tcW w:w="20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7D3A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预算单位</w:t>
            </w:r>
          </w:p>
        </w:tc>
        <w:tc>
          <w:tcPr>
            <w:tcW w:w="53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5E2AD">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峨眉山市信访局</w:t>
            </w:r>
          </w:p>
        </w:tc>
      </w:tr>
      <w:tr w14:paraId="7EED2784">
        <w:tblPrEx>
          <w:tblCellMar>
            <w:top w:w="0" w:type="dxa"/>
            <w:left w:w="0" w:type="dxa"/>
            <w:bottom w:w="0" w:type="dxa"/>
            <w:right w:w="0" w:type="dxa"/>
          </w:tblCellMar>
        </w:tblPrEx>
        <w:trPr>
          <w:trHeight w:val="140" w:hRule="atLeast"/>
          <w:jc w:val="center"/>
        </w:trPr>
        <w:tc>
          <w:tcPr>
            <w:tcW w:w="2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6216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预算执行情况(万元)</w:t>
            </w:r>
          </w:p>
        </w:tc>
        <w:tc>
          <w:tcPr>
            <w:tcW w:w="1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E8B9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预算数:</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75AC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2．03万元</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CDE66">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执行数:</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42FF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2．03万元</w:t>
            </w:r>
          </w:p>
        </w:tc>
      </w:tr>
      <w:tr w14:paraId="464D5E5E">
        <w:tblPrEx>
          <w:tblCellMar>
            <w:top w:w="0" w:type="dxa"/>
            <w:left w:w="0" w:type="dxa"/>
            <w:bottom w:w="0" w:type="dxa"/>
            <w:right w:w="0" w:type="dxa"/>
          </w:tblCellMar>
        </w:tblPrEx>
        <w:trPr>
          <w:trHeight w:val="140" w:hRule="atLeast"/>
          <w:jc w:val="center"/>
        </w:trPr>
        <w:tc>
          <w:tcPr>
            <w:tcW w:w="2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481A9">
            <w:pPr>
              <w:jc w:val="center"/>
              <w:rPr>
                <w:rFonts w:ascii="仿宋_GB2312" w:hAnsi="宋体" w:eastAsia="仿宋_GB2312" w:cs="宋体"/>
                <w:color w:val="000000"/>
                <w:szCs w:val="21"/>
              </w:rPr>
            </w:pPr>
          </w:p>
        </w:tc>
        <w:tc>
          <w:tcPr>
            <w:tcW w:w="1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57A0E">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320F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2．03万元</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8471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其中-财政拨款:</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16AFB">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2．03万元</w:t>
            </w:r>
          </w:p>
        </w:tc>
      </w:tr>
      <w:tr w14:paraId="5FF8AE2F">
        <w:tblPrEx>
          <w:tblCellMar>
            <w:top w:w="0" w:type="dxa"/>
            <w:left w:w="0" w:type="dxa"/>
            <w:bottom w:w="0" w:type="dxa"/>
            <w:right w:w="0" w:type="dxa"/>
          </w:tblCellMar>
        </w:tblPrEx>
        <w:trPr>
          <w:trHeight w:val="598" w:hRule="atLeast"/>
          <w:jc w:val="center"/>
        </w:trPr>
        <w:tc>
          <w:tcPr>
            <w:tcW w:w="2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6C20B2">
            <w:pPr>
              <w:jc w:val="center"/>
              <w:rPr>
                <w:rFonts w:ascii="仿宋_GB2312" w:hAnsi="宋体" w:eastAsia="仿宋_GB2312" w:cs="宋体"/>
                <w:color w:val="000000"/>
                <w:szCs w:val="21"/>
              </w:rPr>
            </w:pPr>
          </w:p>
        </w:tc>
        <w:tc>
          <w:tcPr>
            <w:tcW w:w="1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5E20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B82C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0</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40D19">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其它资金:</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137BD">
            <w:pPr>
              <w:jc w:val="center"/>
              <w:rPr>
                <w:rFonts w:ascii="仿宋_GB2312" w:hAnsi="宋体" w:eastAsia="仿宋_GB2312" w:cs="宋体"/>
                <w:color w:val="000000"/>
                <w:szCs w:val="21"/>
              </w:rPr>
            </w:pPr>
            <w:r>
              <w:rPr>
                <w:rFonts w:hint="eastAsia" w:ascii="仿宋_GB2312" w:hAnsi="宋体" w:eastAsia="仿宋_GB2312" w:cs="宋体"/>
                <w:color w:val="000000"/>
                <w:szCs w:val="21"/>
              </w:rPr>
              <w:t>0</w:t>
            </w:r>
          </w:p>
        </w:tc>
      </w:tr>
      <w:tr w14:paraId="5EAA4534">
        <w:tblPrEx>
          <w:tblCellMar>
            <w:top w:w="0" w:type="dxa"/>
            <w:left w:w="0" w:type="dxa"/>
            <w:bottom w:w="0" w:type="dxa"/>
            <w:right w:w="0" w:type="dxa"/>
          </w:tblCellMar>
        </w:tblPrEx>
        <w:trPr>
          <w:trHeight w:val="140" w:hRule="atLeast"/>
          <w:jc w:val="center"/>
        </w:trPr>
        <w:tc>
          <w:tcPr>
            <w:tcW w:w="2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A2C7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年度目标完成情况</w:t>
            </w:r>
          </w:p>
        </w:tc>
        <w:tc>
          <w:tcPr>
            <w:tcW w:w="35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864B5">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预期目标</w:t>
            </w:r>
          </w:p>
        </w:tc>
        <w:tc>
          <w:tcPr>
            <w:tcW w:w="3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54610">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实际完成目标</w:t>
            </w:r>
          </w:p>
        </w:tc>
      </w:tr>
      <w:tr w14:paraId="5C5EF6AC">
        <w:tblPrEx>
          <w:tblCellMar>
            <w:top w:w="0" w:type="dxa"/>
            <w:left w:w="0" w:type="dxa"/>
            <w:bottom w:w="0" w:type="dxa"/>
            <w:right w:w="0" w:type="dxa"/>
          </w:tblCellMar>
        </w:tblPrEx>
        <w:trPr>
          <w:trHeight w:val="583" w:hRule="atLeast"/>
          <w:jc w:val="center"/>
        </w:trPr>
        <w:tc>
          <w:tcPr>
            <w:tcW w:w="2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906AA">
            <w:pPr>
              <w:jc w:val="center"/>
              <w:rPr>
                <w:rFonts w:ascii="仿宋_GB2312" w:hAnsi="宋体" w:eastAsia="仿宋_GB2312" w:cs="宋体"/>
                <w:color w:val="000000"/>
                <w:szCs w:val="21"/>
              </w:rPr>
            </w:pPr>
          </w:p>
        </w:tc>
        <w:tc>
          <w:tcPr>
            <w:tcW w:w="35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26226">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完成创建四川省文明城市和国家卫生城市工作。</w:t>
            </w:r>
          </w:p>
        </w:tc>
        <w:tc>
          <w:tcPr>
            <w:tcW w:w="357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DA219">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开展片区卫生清理整治、公益广告等，完成了双创工作。</w:t>
            </w:r>
          </w:p>
        </w:tc>
      </w:tr>
      <w:tr w14:paraId="48227283">
        <w:tblPrEx>
          <w:tblCellMar>
            <w:top w:w="0" w:type="dxa"/>
            <w:left w:w="0" w:type="dxa"/>
            <w:bottom w:w="0" w:type="dxa"/>
            <w:right w:w="0" w:type="dxa"/>
          </w:tblCellMar>
        </w:tblPrEx>
        <w:trPr>
          <w:trHeight w:val="722" w:hRule="atLeast"/>
          <w:jc w:val="center"/>
        </w:trPr>
        <w:tc>
          <w:tcPr>
            <w:tcW w:w="28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D19449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指标完成情况</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0300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一级指标</w:t>
            </w:r>
          </w:p>
        </w:tc>
        <w:tc>
          <w:tcPr>
            <w:tcW w:w="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1CFA2">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二级指标</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70C73">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三级指标</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411A7">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预期指标值(包含数字及文字描述)</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EBE9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实际完成指标值(包含数字及文字描述)</w:t>
            </w:r>
          </w:p>
        </w:tc>
      </w:tr>
      <w:tr w14:paraId="3C63C938">
        <w:tblPrEx>
          <w:tblCellMar>
            <w:top w:w="0" w:type="dxa"/>
            <w:left w:w="0" w:type="dxa"/>
            <w:bottom w:w="0" w:type="dxa"/>
            <w:right w:w="0" w:type="dxa"/>
          </w:tblCellMar>
        </w:tblPrEx>
        <w:trPr>
          <w:trHeight w:val="290" w:hRule="atLeast"/>
          <w:jc w:val="center"/>
        </w:trPr>
        <w:tc>
          <w:tcPr>
            <w:tcW w:w="289" w:type="dxa"/>
            <w:vMerge w:val="continue"/>
            <w:tcBorders>
              <w:left w:val="single" w:color="000000" w:sz="4" w:space="0"/>
              <w:right w:val="single" w:color="000000" w:sz="4" w:space="0"/>
            </w:tcBorders>
            <w:tcMar>
              <w:top w:w="15" w:type="dxa"/>
              <w:left w:w="15" w:type="dxa"/>
              <w:right w:w="15" w:type="dxa"/>
            </w:tcMar>
            <w:vAlign w:val="center"/>
          </w:tcPr>
          <w:p w14:paraId="60EA6FC3">
            <w:pPr>
              <w:widowControl/>
              <w:jc w:val="center"/>
              <w:textAlignment w:val="center"/>
              <w:rPr>
                <w:rFonts w:ascii="仿宋_GB2312" w:hAnsi="宋体" w:eastAsia="仿宋_GB2312"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E6051">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项目完成指标</w:t>
            </w:r>
          </w:p>
        </w:tc>
        <w:tc>
          <w:tcPr>
            <w:tcW w:w="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E58D4">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质量指标</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39D1B">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双创效果达到预期目标</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626F8">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开展卫生整治及创建卫生文明城市宣传</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0F1F3">
            <w:pPr>
              <w:widowControl/>
              <w:jc w:val="left"/>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整治了片区卫生，开展了创建卫生文明城市宣传。</w:t>
            </w:r>
          </w:p>
        </w:tc>
      </w:tr>
      <w:tr w14:paraId="4ABDEA4B">
        <w:tblPrEx>
          <w:tblCellMar>
            <w:top w:w="0" w:type="dxa"/>
            <w:left w:w="0" w:type="dxa"/>
            <w:bottom w:w="0" w:type="dxa"/>
            <w:right w:w="0" w:type="dxa"/>
          </w:tblCellMar>
        </w:tblPrEx>
        <w:trPr>
          <w:trHeight w:val="635" w:hRule="atLeast"/>
          <w:jc w:val="center"/>
        </w:trPr>
        <w:tc>
          <w:tcPr>
            <w:tcW w:w="289" w:type="dxa"/>
            <w:vMerge w:val="continue"/>
            <w:tcBorders>
              <w:left w:val="single" w:color="000000" w:sz="4" w:space="0"/>
              <w:right w:val="single" w:color="000000" w:sz="4" w:space="0"/>
            </w:tcBorders>
            <w:tcMar>
              <w:top w:w="15" w:type="dxa"/>
              <w:left w:w="15" w:type="dxa"/>
              <w:right w:w="15" w:type="dxa"/>
            </w:tcMar>
            <w:vAlign w:val="center"/>
          </w:tcPr>
          <w:p w14:paraId="666B110E">
            <w:pPr>
              <w:widowControl/>
              <w:jc w:val="center"/>
              <w:textAlignment w:val="center"/>
              <w:rPr>
                <w:rFonts w:ascii="仿宋_GB2312" w:hAnsi="宋体" w:eastAsia="仿宋_GB2312"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08DE4">
            <w:pPr>
              <w:widowControl/>
              <w:jc w:val="left"/>
              <w:textAlignment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项目完成指标</w:t>
            </w:r>
          </w:p>
        </w:tc>
        <w:tc>
          <w:tcPr>
            <w:tcW w:w="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34947">
            <w:pPr>
              <w:jc w:val="center"/>
              <w:rPr>
                <w:rFonts w:ascii="仿宋_GB2312" w:hAnsi="宋体" w:eastAsia="仿宋_GB2312" w:cs="宋体"/>
                <w:szCs w:val="21"/>
              </w:rPr>
            </w:pPr>
            <w:r>
              <w:rPr>
                <w:rFonts w:hint="eastAsia" w:ascii="仿宋_GB2312" w:eastAsia="仿宋_GB2312"/>
                <w:szCs w:val="21"/>
              </w:rPr>
              <w:t>时效指标</w:t>
            </w:r>
          </w:p>
          <w:p w14:paraId="58140259">
            <w:pPr>
              <w:widowControl/>
              <w:jc w:val="center"/>
              <w:textAlignment w:val="center"/>
              <w:rPr>
                <w:rFonts w:ascii="仿宋_GB2312" w:hAnsi="宋体" w:eastAsia="仿宋_GB2312" w:cs="宋体"/>
                <w:color w:val="000000"/>
                <w:szCs w:val="21"/>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1F1BA">
            <w:pPr>
              <w:jc w:val="center"/>
              <w:rPr>
                <w:rFonts w:ascii="仿宋_GB2312" w:hAnsi="宋体" w:eastAsia="仿宋_GB2312" w:cs="宋体"/>
                <w:szCs w:val="21"/>
              </w:rPr>
            </w:pPr>
            <w:r>
              <w:rPr>
                <w:rFonts w:hint="eastAsia" w:ascii="仿宋_GB2312" w:eastAsia="仿宋_GB2312"/>
                <w:szCs w:val="21"/>
              </w:rPr>
              <w:t>项目按期完成率</w:t>
            </w:r>
          </w:p>
          <w:p w14:paraId="781C8BD0">
            <w:pPr>
              <w:widowControl/>
              <w:jc w:val="center"/>
              <w:textAlignment w:val="center"/>
              <w:rPr>
                <w:rFonts w:ascii="仿宋_GB2312" w:hAnsi="宋体" w:eastAsia="仿宋_GB2312" w:cs="宋体"/>
                <w:color w:val="000000"/>
                <w:szCs w:val="21"/>
              </w:rPr>
            </w:pP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4B073">
            <w:pPr>
              <w:jc w:val="center"/>
              <w:rPr>
                <w:rFonts w:ascii="仿宋_GB2312" w:hAnsi="宋体" w:eastAsia="仿宋_GB2312" w:cs="宋体"/>
                <w:szCs w:val="21"/>
              </w:rPr>
            </w:pPr>
            <w:r>
              <w:rPr>
                <w:rFonts w:hint="eastAsia" w:ascii="仿宋_GB2312" w:eastAsia="仿宋_GB2312"/>
                <w:szCs w:val="21"/>
              </w:rPr>
              <w:t>2019年底完成。</w:t>
            </w:r>
          </w:p>
          <w:p w14:paraId="08711B55">
            <w:pPr>
              <w:widowControl/>
              <w:jc w:val="center"/>
              <w:textAlignment w:val="center"/>
              <w:rPr>
                <w:rFonts w:ascii="仿宋_GB2312" w:hAnsi="宋体" w:eastAsia="仿宋_GB2312" w:cs="宋体"/>
                <w:color w:val="000000"/>
                <w:szCs w:val="21"/>
              </w:rPr>
            </w:pP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EC56A">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26505082">
        <w:tblPrEx>
          <w:tblCellMar>
            <w:top w:w="0" w:type="dxa"/>
            <w:left w:w="0" w:type="dxa"/>
            <w:bottom w:w="0" w:type="dxa"/>
            <w:right w:w="0" w:type="dxa"/>
          </w:tblCellMar>
        </w:tblPrEx>
        <w:trPr>
          <w:trHeight w:val="252" w:hRule="atLeast"/>
          <w:jc w:val="center"/>
        </w:trPr>
        <w:tc>
          <w:tcPr>
            <w:tcW w:w="289" w:type="dxa"/>
            <w:vMerge w:val="continue"/>
            <w:tcBorders>
              <w:left w:val="single" w:color="000000" w:sz="4" w:space="0"/>
              <w:right w:val="single" w:color="000000" w:sz="4" w:space="0"/>
            </w:tcBorders>
            <w:tcMar>
              <w:top w:w="15" w:type="dxa"/>
              <w:left w:w="15" w:type="dxa"/>
              <w:right w:w="15" w:type="dxa"/>
            </w:tcMar>
            <w:vAlign w:val="center"/>
          </w:tcPr>
          <w:p w14:paraId="5B67C389">
            <w:pPr>
              <w:widowControl/>
              <w:jc w:val="center"/>
              <w:textAlignment w:val="center"/>
              <w:rPr>
                <w:rFonts w:ascii="仿宋_GB2312" w:hAnsi="宋体" w:eastAsia="仿宋_GB2312" w:cs="宋体"/>
                <w:color w:val="000000"/>
                <w:szCs w:val="21"/>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81261">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kern w:val="0"/>
                <w:szCs w:val="21"/>
              </w:rPr>
              <w:t>效益指标</w:t>
            </w:r>
          </w:p>
        </w:tc>
        <w:tc>
          <w:tcPr>
            <w:tcW w:w="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91B72">
            <w:pPr>
              <w:jc w:val="center"/>
              <w:rPr>
                <w:rFonts w:ascii="仿宋_GB2312" w:hAnsi="宋体" w:eastAsia="仿宋_GB2312" w:cs="宋体"/>
                <w:szCs w:val="21"/>
              </w:rPr>
            </w:pPr>
            <w:r>
              <w:rPr>
                <w:rFonts w:hint="eastAsia" w:ascii="仿宋_GB2312" w:eastAsia="仿宋_GB2312"/>
                <w:szCs w:val="21"/>
              </w:rPr>
              <w:t>社会效益指标</w:t>
            </w:r>
          </w:p>
          <w:p w14:paraId="18DAA0C2">
            <w:pPr>
              <w:widowControl/>
              <w:jc w:val="center"/>
              <w:textAlignment w:val="center"/>
              <w:rPr>
                <w:rFonts w:ascii="仿宋_GB2312" w:hAnsi="宋体" w:eastAsia="仿宋_GB2312" w:cs="宋体"/>
                <w:color w:val="000000"/>
                <w:szCs w:val="21"/>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6212F">
            <w:pPr>
              <w:jc w:val="left"/>
              <w:rPr>
                <w:rFonts w:ascii="仿宋_GB2312" w:hAnsi="宋体" w:eastAsia="仿宋_GB2312" w:cs="宋体"/>
                <w:color w:val="000000"/>
                <w:szCs w:val="21"/>
              </w:rPr>
            </w:pPr>
            <w:r>
              <w:rPr>
                <w:rFonts w:hint="eastAsia" w:ascii="仿宋_GB2312" w:hAnsi="宋体" w:eastAsia="仿宋_GB2312" w:cs="宋体"/>
                <w:color w:val="000000"/>
                <w:szCs w:val="21"/>
              </w:rPr>
              <w:t>提升城市卫生文明形象。</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9F3BC">
            <w:pPr>
              <w:jc w:val="left"/>
              <w:rPr>
                <w:rFonts w:ascii="仿宋_GB2312" w:hAnsi="宋体" w:eastAsia="仿宋_GB2312" w:cs="宋体"/>
                <w:color w:val="000000"/>
                <w:szCs w:val="21"/>
              </w:rPr>
            </w:pPr>
            <w:r>
              <w:rPr>
                <w:rFonts w:hint="eastAsia" w:ascii="仿宋_GB2312" w:hAnsi="宋体" w:eastAsia="仿宋_GB2312" w:cs="宋体"/>
                <w:color w:val="000000"/>
                <w:szCs w:val="21"/>
              </w:rPr>
              <w:t>提升城市文明形象。</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6850C">
            <w:pPr>
              <w:widowControl/>
              <w:jc w:val="center"/>
              <w:textAlignment w:val="center"/>
              <w:rPr>
                <w:rFonts w:ascii="仿宋_GB2312" w:hAnsi="宋体" w:eastAsia="仿宋_GB2312" w:cs="宋体"/>
                <w:color w:val="000000"/>
                <w:szCs w:val="21"/>
              </w:rPr>
            </w:pPr>
            <w:r>
              <w:rPr>
                <w:rFonts w:hint="eastAsia" w:ascii="仿宋_GB2312" w:hAnsi="宋体" w:eastAsia="仿宋_GB2312" w:cs="宋体"/>
                <w:color w:val="000000"/>
                <w:szCs w:val="21"/>
              </w:rPr>
              <w:t>基本完成</w:t>
            </w:r>
          </w:p>
        </w:tc>
      </w:tr>
      <w:tr w14:paraId="5A4E1AA0">
        <w:tblPrEx>
          <w:tblCellMar>
            <w:top w:w="0" w:type="dxa"/>
            <w:left w:w="0" w:type="dxa"/>
            <w:bottom w:w="0" w:type="dxa"/>
            <w:right w:w="0" w:type="dxa"/>
          </w:tblCellMar>
        </w:tblPrEx>
        <w:trPr>
          <w:trHeight w:val="528" w:hRule="atLeast"/>
          <w:jc w:val="center"/>
        </w:trPr>
        <w:tc>
          <w:tcPr>
            <w:tcW w:w="28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815B775">
            <w:pPr>
              <w:widowControl/>
              <w:jc w:val="center"/>
              <w:textAlignment w:val="center"/>
              <w:rPr>
                <w:rFonts w:ascii="仿宋_GB2312" w:hAnsi="宋体" w:eastAsia="仿宋_GB2312" w:cs="宋体"/>
                <w:color w:val="000000"/>
                <w:sz w:val="24"/>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5DCE9">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kern w:val="0"/>
                <w:sz w:val="24"/>
              </w:rPr>
              <w:t>满意度指标</w:t>
            </w:r>
          </w:p>
        </w:tc>
        <w:tc>
          <w:tcPr>
            <w:tcW w:w="7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95755">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社会满意度</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1B8D6">
            <w:pPr>
              <w:jc w:val="center"/>
              <w:rPr>
                <w:rFonts w:ascii="仿宋_GB2312" w:hAnsi="宋体" w:eastAsia="仿宋_GB2312" w:cs="宋体"/>
                <w:color w:val="000000"/>
                <w:sz w:val="24"/>
              </w:rPr>
            </w:pPr>
            <w:r>
              <w:rPr>
                <w:rFonts w:hint="eastAsia" w:ascii="仿宋_GB2312" w:hAnsi="宋体" w:eastAsia="仿宋_GB2312" w:cs="宋体"/>
                <w:color w:val="000000"/>
                <w:sz w:val="24"/>
              </w:rPr>
              <w:t>创建良好的城市环境</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0BF79">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群众满意度达标。</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9DB0F">
            <w:pPr>
              <w:widowControl/>
              <w:jc w:val="center"/>
              <w:textAlignment w:val="center"/>
              <w:rPr>
                <w:rFonts w:ascii="仿宋_GB2312" w:hAnsi="宋体" w:eastAsia="仿宋_GB2312" w:cs="宋体"/>
                <w:color w:val="000000"/>
                <w:sz w:val="24"/>
              </w:rPr>
            </w:pPr>
            <w:r>
              <w:rPr>
                <w:rFonts w:hint="eastAsia" w:ascii="仿宋_GB2312" w:hAnsi="宋体" w:eastAsia="仿宋_GB2312" w:cs="宋体"/>
                <w:color w:val="000000"/>
                <w:sz w:val="24"/>
              </w:rPr>
              <w:t>满意</w:t>
            </w:r>
          </w:p>
        </w:tc>
      </w:tr>
    </w:tbl>
    <w:p w14:paraId="5AA2CF1B">
      <w:pPr>
        <w:spacing w:line="580" w:lineRule="exact"/>
        <w:ind w:left="630"/>
        <w:rPr>
          <w:rFonts w:ascii="楷体_GB2312" w:hAnsi="楷体_GB2312" w:eastAsia="楷体_GB2312" w:cs="楷体_GB2312"/>
          <w:b/>
          <w:sz w:val="28"/>
          <w:szCs w:val="28"/>
        </w:rPr>
      </w:pPr>
    </w:p>
    <w:p w14:paraId="65F07591">
      <w:pPr>
        <w:spacing w:line="580" w:lineRule="exact"/>
        <w:ind w:left="630"/>
        <w:rPr>
          <w:rFonts w:ascii="仿宋_GB2312" w:hAnsi="仿宋_GB2312" w:eastAsia="仿宋_GB2312" w:cs="仿宋_GB2312"/>
          <w:b/>
          <w:sz w:val="28"/>
          <w:szCs w:val="28"/>
        </w:rPr>
      </w:pPr>
      <w:r>
        <w:rPr>
          <w:rFonts w:hint="eastAsia" w:ascii="楷体_GB2312" w:hAnsi="楷体_GB2312" w:eastAsia="楷体_GB2312" w:cs="楷体_GB2312"/>
          <w:b/>
          <w:sz w:val="28"/>
          <w:szCs w:val="28"/>
        </w:rPr>
        <w:t>2.部门绩效评价结果。</w:t>
      </w:r>
    </w:p>
    <w:p w14:paraId="72EBBE7E">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本部门按要求对2019年部门整体支出绩效评价情况开展自评，《峨眉山市信访局2019年部门整体支出绩效评价报告》见附件（附件1）。</w:t>
      </w:r>
    </w:p>
    <w:p w14:paraId="1C63E9B1">
      <w:pPr>
        <w:spacing w:line="580" w:lineRule="exact"/>
        <w:ind w:firstLine="640" w:firstLineChars="200"/>
        <w:rPr>
          <w:rFonts w:ascii="仿宋_GB2312" w:hAnsi="仿宋_GB2312" w:eastAsia="仿宋_GB2312" w:cs="仿宋_GB2312"/>
          <w:sz w:val="32"/>
          <w:szCs w:val="32"/>
          <w:highlight w:val="yellow"/>
        </w:rPr>
      </w:pPr>
    </w:p>
    <w:p w14:paraId="76427C29">
      <w:pPr>
        <w:numPr>
          <w:ilvl w:val="0"/>
          <w:numId w:val="4"/>
        </w:numPr>
        <w:spacing w:line="600" w:lineRule="exact"/>
        <w:ind w:firstLine="660" w:firstLineChars="150"/>
        <w:jc w:val="center"/>
        <w:outlineLvl w:val="0"/>
        <w:rPr>
          <w:rStyle w:val="24"/>
          <w:rFonts w:ascii="黑体" w:hAnsi="黑体" w:eastAsia="黑体"/>
          <w:b w:val="0"/>
        </w:rPr>
      </w:pPr>
      <w:bookmarkStart w:id="47" w:name="_Toc15396613"/>
      <w:bookmarkStart w:id="48" w:name="_Toc15377225"/>
      <w:r>
        <w:rPr>
          <w:rFonts w:hint="eastAsia" w:ascii="黑体" w:hAnsi="黑体" w:eastAsia="黑体"/>
          <w:color w:val="000000"/>
          <w:sz w:val="44"/>
          <w:szCs w:val="44"/>
        </w:rPr>
        <w:t xml:space="preserve">  名</w:t>
      </w:r>
      <w:r>
        <w:rPr>
          <w:rStyle w:val="24"/>
          <w:rFonts w:hint="eastAsia" w:ascii="黑体" w:hAnsi="黑体" w:eastAsia="黑体"/>
          <w:b w:val="0"/>
        </w:rPr>
        <w:t>词解释</w:t>
      </w:r>
      <w:bookmarkEnd w:id="47"/>
      <w:bookmarkEnd w:id="48"/>
    </w:p>
    <w:p w14:paraId="0D203147">
      <w:pPr>
        <w:spacing w:line="600" w:lineRule="exact"/>
        <w:jc w:val="left"/>
        <w:rPr>
          <w:rFonts w:ascii="宋体"/>
          <w:b/>
          <w:color w:val="000000"/>
          <w:sz w:val="44"/>
          <w:szCs w:val="44"/>
        </w:rPr>
      </w:pPr>
    </w:p>
    <w:p w14:paraId="73A9B065">
      <w:pPr>
        <w:pStyle w:val="22"/>
        <w:spacing w:line="560" w:lineRule="exact"/>
        <w:ind w:firstLine="560" w:firstLineChars="200"/>
        <w:rPr>
          <w:rFonts w:ascii="仿宋_GB2312" w:hAnsi="仿宋" w:eastAsia="仿宋_GB2312"/>
          <w:sz w:val="28"/>
          <w:szCs w:val="28"/>
        </w:rPr>
      </w:pPr>
      <w:bookmarkStart w:id="49" w:name="_Toc15396614"/>
      <w:bookmarkStart w:id="50" w:name="_Toc15377226"/>
      <w:r>
        <w:rPr>
          <w:rFonts w:hint="eastAsia" w:ascii="仿宋_GB2312" w:hAnsi="仿宋" w:eastAsia="仿宋_GB2312"/>
          <w:sz w:val="28"/>
          <w:szCs w:val="28"/>
        </w:rPr>
        <w:t xml:space="preserve">1.财政拨款收入：指省级财政当年拨付的资金。 </w:t>
      </w:r>
    </w:p>
    <w:p w14:paraId="7610022C">
      <w:pPr>
        <w:pStyle w:val="22"/>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2.事业收入：指事业单位开展专业业务活动及辅助活动所取得的收入。如（二级预算单位事业收入情况）等。</w:t>
      </w:r>
    </w:p>
    <w:p w14:paraId="220105BD">
      <w:pPr>
        <w:pStyle w:val="22"/>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3.经营收入：指事业单位在专业业务活动及其辅助活动之外开展非独立核算经营活动取得的收入。如（二级预算单位经营收入情况）等。</w:t>
      </w:r>
    </w:p>
    <w:p w14:paraId="2631DABA">
      <w:pPr>
        <w:pStyle w:val="22"/>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4.其他收入：指除上述“财政拨款收入”、“事业收入”、“经营收入”等以外的收入。 </w:t>
      </w:r>
    </w:p>
    <w:p w14:paraId="048B8277">
      <w:pPr>
        <w:pStyle w:val="22"/>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C0480D7">
      <w:pPr>
        <w:pStyle w:val="22"/>
        <w:spacing w:line="560" w:lineRule="exact"/>
        <w:ind w:firstLine="560" w:firstLineChars="200"/>
        <w:rPr>
          <w:rFonts w:hAnsi="仿宋"/>
          <w:sz w:val="32"/>
          <w:szCs w:val="32"/>
        </w:rPr>
      </w:pPr>
      <w:r>
        <w:rPr>
          <w:rFonts w:hint="eastAsia" w:ascii="仿宋_GB2312" w:hAnsi="仿宋" w:eastAsia="仿宋_GB2312"/>
          <w:sz w:val="28"/>
          <w:szCs w:val="28"/>
        </w:rPr>
        <w:t>6.年初结转和结余：指以前年度尚未完成、结转到本年按有关规定继续使用的资金。</w:t>
      </w:r>
      <w:r>
        <w:rPr>
          <w:rFonts w:hint="eastAsia" w:hAnsi="仿宋"/>
          <w:sz w:val="32"/>
          <w:szCs w:val="32"/>
        </w:rPr>
        <w:t xml:space="preserve"> </w:t>
      </w:r>
    </w:p>
    <w:p w14:paraId="3C6DAA03">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7.一般公共服务（类）</w:t>
      </w:r>
      <w:r>
        <w:rPr>
          <w:rStyle w:val="14"/>
          <w:rFonts w:hint="eastAsia" w:ascii="仿宋_GB2312" w:hAnsi="仿宋" w:eastAsia="仿宋_GB2312"/>
          <w:b w:val="0"/>
          <w:color w:val="000000"/>
          <w:sz w:val="28"/>
          <w:szCs w:val="28"/>
        </w:rPr>
        <w:t>党委办公厅（室）及相关（款）行政运行（项）</w:t>
      </w:r>
      <w:r>
        <w:rPr>
          <w:rFonts w:hint="eastAsia" w:ascii="仿宋_GB2312" w:hAnsi="仿宋" w:eastAsia="仿宋_GB2312"/>
          <w:color w:val="000000"/>
          <w:sz w:val="28"/>
          <w:szCs w:val="28"/>
        </w:rPr>
        <w:t>：指反映行政单位（包括实行公务员管理的事业单位）的基本支出。</w:t>
      </w:r>
    </w:p>
    <w:p w14:paraId="0C62F966">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8.一般公共服务（类）</w:t>
      </w:r>
      <w:r>
        <w:rPr>
          <w:rStyle w:val="14"/>
          <w:rFonts w:hint="eastAsia" w:ascii="仿宋_GB2312" w:hAnsi="仿宋" w:eastAsia="仿宋_GB2312"/>
          <w:b w:val="0"/>
          <w:color w:val="000000"/>
          <w:sz w:val="28"/>
          <w:szCs w:val="28"/>
        </w:rPr>
        <w:t>党委办公厅（室）及相关（款）一般行政管理事务（项）</w:t>
      </w:r>
      <w:r>
        <w:rPr>
          <w:rFonts w:hint="eastAsia" w:ascii="仿宋_GB2312" w:hAnsi="仿宋" w:eastAsia="仿宋_GB2312"/>
          <w:color w:val="000000"/>
          <w:sz w:val="28"/>
          <w:szCs w:val="28"/>
        </w:rPr>
        <w:t>：指反映行政单位（包括实行公务员管理的事业单位）未单独设置项级科目的其他项目支出。</w:t>
      </w:r>
    </w:p>
    <w:p w14:paraId="7102F5D7">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9.一般公共服务（类）</w:t>
      </w:r>
      <w:r>
        <w:rPr>
          <w:rStyle w:val="14"/>
          <w:rFonts w:hint="eastAsia" w:ascii="仿宋_GB2312" w:hAnsi="仿宋" w:eastAsia="仿宋_GB2312"/>
          <w:b w:val="0"/>
          <w:color w:val="000000"/>
          <w:sz w:val="28"/>
          <w:szCs w:val="28"/>
        </w:rPr>
        <w:t>党委办公厅（室）及相关（款）事业运行（项）</w:t>
      </w:r>
      <w:r>
        <w:rPr>
          <w:rFonts w:hint="eastAsia" w:ascii="仿宋_GB2312" w:hAnsi="仿宋" w:eastAsia="仿宋_GB2312"/>
          <w:color w:val="000000"/>
          <w:sz w:val="28"/>
          <w:szCs w:val="28"/>
        </w:rPr>
        <w:t>：指反映事业单位的基本支出，不包括行政单位（包括实行公务员管理的事业单位）后勤服务中心、医务室等附属事业单位。</w:t>
      </w:r>
    </w:p>
    <w:p w14:paraId="4F5160A0">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10.一般公共服务（类）</w:t>
      </w:r>
      <w:r>
        <w:rPr>
          <w:rStyle w:val="14"/>
          <w:rFonts w:hint="eastAsia" w:ascii="仿宋_GB2312" w:hAnsi="仿宋" w:eastAsia="仿宋_GB2312"/>
          <w:b w:val="0"/>
          <w:color w:val="000000"/>
          <w:sz w:val="28"/>
          <w:szCs w:val="28"/>
        </w:rPr>
        <w:t>党委办公厅（室）及相关（款）其他党委办公厅（室）及相关机构事务支出（项）</w:t>
      </w:r>
      <w:r>
        <w:rPr>
          <w:rFonts w:hint="eastAsia" w:ascii="仿宋_GB2312" w:hAnsi="仿宋" w:eastAsia="仿宋_GB2312"/>
          <w:color w:val="000000"/>
          <w:sz w:val="28"/>
          <w:szCs w:val="28"/>
        </w:rPr>
        <w:t>：反映除上述项目以外其他用于党委办公厅（室）及相关机构事务支出。</w:t>
      </w:r>
    </w:p>
    <w:p w14:paraId="28F8ED1B">
      <w:pPr>
        <w:spacing w:line="600" w:lineRule="exact"/>
        <w:ind w:firstLine="560" w:firstLineChars="200"/>
        <w:rPr>
          <w:rFonts w:ascii="仿宋_GB2312" w:hAnsi="仿宋" w:eastAsia="仿宋_GB2312"/>
          <w:color w:val="000000"/>
          <w:sz w:val="28"/>
          <w:szCs w:val="28"/>
        </w:rPr>
      </w:pPr>
      <w:r>
        <w:rPr>
          <w:rStyle w:val="14"/>
          <w:rFonts w:hint="eastAsia" w:ascii="仿宋_GB2312" w:hAnsi="仿宋" w:eastAsia="仿宋_GB2312"/>
          <w:b w:val="0"/>
          <w:color w:val="000000"/>
          <w:sz w:val="28"/>
          <w:szCs w:val="28"/>
        </w:rPr>
        <w:t>11.社会保障和就业（类）行政事业单位离退休（款）</w:t>
      </w:r>
      <w:r>
        <w:rPr>
          <w:rFonts w:hint="eastAsia" w:ascii="仿宋_GB2312" w:hAnsi="仿宋" w:eastAsia="仿宋_GB2312" w:cs="宋体"/>
          <w:color w:val="000000"/>
          <w:kern w:val="0"/>
          <w:sz w:val="28"/>
          <w:szCs w:val="28"/>
        </w:rPr>
        <w:t>机关事业单位基本养老保险缴费支出（项）：是指反映机关事业单位实施养老保险制度由单位缴纳的基本养老保险费支出</w:t>
      </w:r>
      <w:r>
        <w:rPr>
          <w:rFonts w:hint="eastAsia" w:ascii="仿宋_GB2312" w:hAnsi="仿宋" w:eastAsia="仿宋_GB2312"/>
          <w:color w:val="000000"/>
          <w:sz w:val="28"/>
          <w:szCs w:val="28"/>
        </w:rPr>
        <w:t>。</w:t>
      </w:r>
    </w:p>
    <w:p w14:paraId="52795CAC">
      <w:pPr>
        <w:spacing w:line="600" w:lineRule="exact"/>
        <w:ind w:firstLine="560" w:firstLineChars="200"/>
        <w:rPr>
          <w:rFonts w:ascii="仿宋_GB2312" w:hAnsi="仿宋" w:eastAsia="仿宋_GB2312"/>
          <w:color w:val="000000"/>
          <w:sz w:val="28"/>
          <w:szCs w:val="28"/>
        </w:rPr>
      </w:pPr>
      <w:r>
        <w:rPr>
          <w:rStyle w:val="14"/>
          <w:rFonts w:hint="eastAsia" w:ascii="仿宋_GB2312" w:hAnsi="仿宋" w:eastAsia="仿宋_GB2312"/>
          <w:b w:val="0"/>
          <w:color w:val="000000"/>
          <w:sz w:val="28"/>
          <w:szCs w:val="28"/>
        </w:rPr>
        <w:t>12.社会保障和就业（类）行政事业单位离退休（款）机关事业单位职业年金缴费支出（项）:是指反映机关事业单位实施养老保险制度由单位实际缴纳的职业年金支出</w:t>
      </w:r>
      <w:r>
        <w:rPr>
          <w:rFonts w:hint="eastAsia" w:ascii="仿宋_GB2312" w:hAnsi="仿宋" w:eastAsia="仿宋_GB2312"/>
          <w:color w:val="000000"/>
          <w:sz w:val="28"/>
          <w:szCs w:val="28"/>
        </w:rPr>
        <w:t>。</w:t>
      </w:r>
    </w:p>
    <w:p w14:paraId="1058CB31">
      <w:pPr>
        <w:spacing w:line="600" w:lineRule="exact"/>
        <w:ind w:firstLine="560" w:firstLineChars="200"/>
        <w:rPr>
          <w:rFonts w:ascii="仿宋_GB2312" w:hAnsi="仿宋" w:eastAsia="仿宋_GB2312"/>
          <w:color w:val="000000"/>
          <w:sz w:val="28"/>
          <w:szCs w:val="28"/>
        </w:rPr>
      </w:pPr>
      <w:r>
        <w:rPr>
          <w:rStyle w:val="14"/>
          <w:rFonts w:hint="eastAsia" w:ascii="仿宋_GB2312" w:hAnsi="仿宋" w:eastAsia="仿宋_GB2312"/>
          <w:b w:val="0"/>
          <w:color w:val="000000"/>
          <w:sz w:val="28"/>
          <w:szCs w:val="28"/>
        </w:rPr>
        <w:t>13.卫生健康支出（类）行政事业单位医疗（款）行政单位医疗（项）:反映财政部门安排的行政单位（包括实行公务员管理的事业单位）基本医疗保险缴费经费，未参加医疗保险的行政单位的公费医疗经费，</w:t>
      </w:r>
      <w:r>
        <w:rPr>
          <w:rFonts w:hint="eastAsia" w:ascii="仿宋_GB2312" w:hAnsi="仿宋" w:eastAsia="仿宋_GB2312" w:cs="仿宋"/>
          <w:color w:val="000000"/>
          <w:kern w:val="0"/>
          <w:sz w:val="28"/>
          <w:szCs w:val="28"/>
        </w:rPr>
        <w:t>按国家规定享受离退休人员、红军老战士待遇人员的医疗经费</w:t>
      </w:r>
      <w:r>
        <w:rPr>
          <w:rFonts w:hint="eastAsia" w:ascii="仿宋_GB2312" w:hAnsi="仿宋" w:eastAsia="仿宋_GB2312"/>
          <w:color w:val="000000"/>
          <w:sz w:val="28"/>
          <w:szCs w:val="28"/>
        </w:rPr>
        <w:t>。</w:t>
      </w:r>
    </w:p>
    <w:p w14:paraId="1C0D38EF">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14.</w:t>
      </w:r>
      <w:r>
        <w:rPr>
          <w:rStyle w:val="14"/>
          <w:rFonts w:hint="eastAsia" w:ascii="仿宋_GB2312" w:hAnsi="仿宋" w:eastAsia="仿宋_GB2312"/>
          <w:b w:val="0"/>
          <w:color w:val="000000"/>
          <w:sz w:val="28"/>
          <w:szCs w:val="28"/>
        </w:rPr>
        <w:t xml:space="preserve"> 住房保障支出（类）住房改革支出（款）住房公积金（项）:是指反映行政事业单位按人力资源和社会保障部、财政部规定的基本工资和津贴补贴以及规定比例为职工缴纳的住房公积金。</w:t>
      </w:r>
    </w:p>
    <w:p w14:paraId="05562C04">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15.结余分配：指事业单位按规定提取的职工福利基金、事业基金和缴纳的所得税，以及建设单位按规定应交回的基本建设竣工项目结余资金。</w:t>
      </w:r>
    </w:p>
    <w:p w14:paraId="2B2ADC81">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16.年末结转和结余：指本年度或以前年度预算安排、因客观条件发生变化无法按原计划实施，需延迟到以后年度按有关规定继续使用的资金。</w:t>
      </w:r>
    </w:p>
    <w:p w14:paraId="7FD34C6E">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17.基本支出：指为保障机构正常运转、完成日常工作任务而发生的人员支出和公用支出。</w:t>
      </w:r>
    </w:p>
    <w:p w14:paraId="22CD72CD">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 xml:space="preserve">18.项目支出：指在基本支出之外为完成特定行政任务和事业发展目标所发生的支出。 </w:t>
      </w:r>
    </w:p>
    <w:p w14:paraId="6FBCE9C5">
      <w:pPr>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19.经营支出：指事业单位在专业业务活动及其辅助活动之外开展非独立核算经营活动发生的支出。</w:t>
      </w:r>
    </w:p>
    <w:p w14:paraId="553891F2">
      <w:pPr>
        <w:pStyle w:val="22"/>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20.“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3511A5FD">
      <w:pPr>
        <w:pStyle w:val="22"/>
        <w:spacing w:line="560" w:lineRule="exact"/>
        <w:ind w:firstLine="560" w:firstLineChars="200"/>
        <w:rPr>
          <w:rFonts w:ascii="仿宋_GB2312" w:eastAsia="仿宋_GB2312"/>
          <w:sz w:val="28"/>
          <w:szCs w:val="28"/>
        </w:rPr>
      </w:pPr>
      <w:r>
        <w:rPr>
          <w:rFonts w:hint="eastAsia" w:ascii="仿宋_GB2312" w:hAnsi="仿宋" w:eastAsia="仿宋_GB2312"/>
          <w:sz w:val="28"/>
          <w:szCs w:val="28"/>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28"/>
          <w:szCs w:val="28"/>
        </w:rPr>
        <w:t>。</w:t>
      </w:r>
    </w:p>
    <w:p w14:paraId="77E077E6">
      <w:pPr>
        <w:spacing w:line="600" w:lineRule="exact"/>
        <w:jc w:val="center"/>
        <w:outlineLvl w:val="0"/>
        <w:rPr>
          <w:rFonts w:ascii="黑体" w:hAnsi="黑体" w:eastAsia="黑体"/>
          <w:color w:val="000000"/>
          <w:sz w:val="44"/>
          <w:szCs w:val="44"/>
        </w:rPr>
      </w:pPr>
    </w:p>
    <w:p w14:paraId="3F349B5A">
      <w:pPr>
        <w:spacing w:line="600" w:lineRule="exact"/>
        <w:jc w:val="center"/>
        <w:outlineLvl w:val="0"/>
        <w:rPr>
          <w:rFonts w:ascii="黑体" w:hAnsi="黑体" w:eastAsia="黑体"/>
          <w:color w:val="000000"/>
          <w:sz w:val="44"/>
          <w:szCs w:val="44"/>
        </w:rPr>
      </w:pPr>
    </w:p>
    <w:p w14:paraId="353318DF">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49"/>
    </w:p>
    <w:p w14:paraId="298DABB8">
      <w:pPr>
        <w:spacing w:line="600" w:lineRule="exact"/>
        <w:jc w:val="left"/>
        <w:outlineLvl w:val="0"/>
        <w:rPr>
          <w:rFonts w:ascii="方正小标宋简体" w:hAnsi="方正小标宋简体" w:eastAsia="方正小标宋简体" w:cs="方正小标宋简体"/>
          <w:sz w:val="28"/>
          <w:szCs w:val="28"/>
        </w:rPr>
      </w:pPr>
      <w:r>
        <w:rPr>
          <w:rFonts w:hint="eastAsia" w:ascii="黑体" w:hAnsi="黑体" w:eastAsia="黑体" w:cs="黑体"/>
          <w:sz w:val="28"/>
          <w:szCs w:val="28"/>
        </w:rPr>
        <w:t>附件1</w:t>
      </w:r>
    </w:p>
    <w:p w14:paraId="26C542B8">
      <w:pPr>
        <w:widowControl/>
        <w:shd w:val="clear" w:color="auto" w:fill="FFFFFF"/>
        <w:spacing w:beforeAutospacing="1" w:after="100" w:afterAutospacing="1" w:line="580" w:lineRule="exact"/>
        <w:ind w:firstLine="723" w:firstLineChars="200"/>
        <w:jc w:val="center"/>
        <w:rPr>
          <w:rFonts w:ascii="宋体" w:cs="宋体"/>
          <w:b/>
          <w:kern w:val="0"/>
          <w:sz w:val="36"/>
          <w:szCs w:val="36"/>
        </w:rPr>
      </w:pPr>
      <w:r>
        <w:rPr>
          <w:rFonts w:hint="eastAsia" w:ascii="宋体" w:hAnsi="宋体" w:cs="宋体"/>
          <w:b/>
          <w:kern w:val="0"/>
          <w:sz w:val="36"/>
          <w:szCs w:val="36"/>
        </w:rPr>
        <w:t>峨眉山市信访局2019年整体支出绩效评价报告</w:t>
      </w:r>
    </w:p>
    <w:p w14:paraId="4337D754">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28"/>
          <w:szCs w:val="28"/>
        </w:rPr>
      </w:pPr>
      <w:r>
        <w:rPr>
          <w:rFonts w:hint="eastAsia" w:ascii="仿宋_GB2312" w:hAnsi="宋体" w:eastAsia="仿宋_GB2312" w:cs="宋体"/>
          <w:b/>
          <w:bCs/>
          <w:kern w:val="0"/>
          <w:sz w:val="28"/>
          <w:szCs w:val="28"/>
        </w:rPr>
        <w:t>一、部门（单位）概况</w:t>
      </w:r>
    </w:p>
    <w:p w14:paraId="21868E37">
      <w:pPr>
        <w:widowControl/>
        <w:shd w:val="clear" w:color="auto" w:fill="FFFFFF"/>
        <w:adjustRightInd w:val="0"/>
        <w:snapToGrid w:val="0"/>
        <w:spacing w:before="100" w:beforeAutospacing="1" w:after="100" w:afterAutospacing="1" w:line="540" w:lineRule="exact"/>
        <w:ind w:firstLine="643"/>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（一）机构组成</w:t>
      </w:r>
    </w:p>
    <w:p w14:paraId="23860A16">
      <w:pPr>
        <w:shd w:val="clear" w:color="auto" w:fill="FFFFFF"/>
        <w:spacing w:line="540" w:lineRule="exact"/>
        <w:ind w:firstLine="560" w:firstLineChars="200"/>
        <w:rPr>
          <w:rFonts w:ascii="仿宋_GB2312" w:hAnsi="仿宋_GB2312" w:eastAsia="仿宋_GB2312" w:cs="仿宋_GB2312"/>
          <w:kern w:val="0"/>
          <w:sz w:val="28"/>
          <w:szCs w:val="28"/>
          <w:shd w:val="clear" w:color="auto" w:fill="FFFFFF"/>
        </w:rPr>
      </w:pPr>
      <w:r>
        <w:rPr>
          <w:rFonts w:hint="eastAsia" w:ascii="仿宋_GB2312" w:hAnsi="仿宋_GB2312" w:eastAsia="仿宋_GB2312" w:cs="仿宋_GB2312"/>
          <w:kern w:val="0"/>
          <w:sz w:val="28"/>
          <w:szCs w:val="28"/>
          <w:shd w:val="clear" w:color="auto" w:fill="FFFFFF"/>
        </w:rPr>
        <w:t>市信访局内设办公室、督查复查室、接访协调室、网络办信室4个科股室，下属财政全额拨款事业单位1个：峨眉山市群众来访接待中心，但预算未单列。</w:t>
      </w:r>
    </w:p>
    <w:p w14:paraId="15C7A4FC">
      <w:pPr>
        <w:widowControl/>
        <w:shd w:val="clear" w:color="auto" w:fill="FFFFFF"/>
        <w:adjustRightInd w:val="0"/>
        <w:snapToGrid w:val="0"/>
        <w:spacing w:before="100" w:beforeAutospacing="1" w:after="100" w:afterAutospacing="1" w:line="540" w:lineRule="exact"/>
        <w:ind w:firstLine="643"/>
        <w:jc w:val="left"/>
        <w:outlineLvl w:val="0"/>
        <w:rPr>
          <w:rFonts w:ascii="仿宋_GB2312" w:eastAsia="仿宋_GB2312" w:cs="宋体"/>
          <w:kern w:val="0"/>
          <w:sz w:val="28"/>
          <w:szCs w:val="28"/>
        </w:rPr>
      </w:pPr>
      <w:r>
        <w:rPr>
          <w:rFonts w:hint="eastAsia" w:ascii="仿宋_GB2312" w:hAnsi="宋体" w:eastAsia="仿宋_GB2312" w:cs="宋体"/>
          <w:kern w:val="0"/>
          <w:sz w:val="28"/>
          <w:szCs w:val="28"/>
        </w:rPr>
        <w:t>（二）机构职能</w:t>
      </w:r>
    </w:p>
    <w:p w14:paraId="01B8EB03">
      <w:pPr>
        <w:widowControl/>
        <w:shd w:val="clear" w:color="auto" w:fill="FFFFFF"/>
        <w:adjustRightInd w:val="0"/>
        <w:snapToGrid w:val="0"/>
        <w:spacing w:before="100" w:beforeAutospacing="1" w:after="100" w:afterAutospacing="1" w:line="540" w:lineRule="exact"/>
        <w:ind w:firstLine="643"/>
        <w:jc w:val="left"/>
        <w:rPr>
          <w:rFonts w:ascii="仿宋_GB2312" w:eastAsia="仿宋_GB2312" w:cs="宋体"/>
          <w:sz w:val="28"/>
          <w:szCs w:val="28"/>
          <w:shd w:val="clear" w:color="auto" w:fill="FFFFFF"/>
        </w:rPr>
      </w:pPr>
      <w:r>
        <w:rPr>
          <w:rFonts w:hint="eastAsia" w:ascii="仿宋_GB2312" w:hAnsi="宋体" w:eastAsia="仿宋_GB2312" w:cs="宋体"/>
          <w:sz w:val="28"/>
          <w:szCs w:val="28"/>
          <w:shd w:val="clear" w:color="auto" w:fill="FFFFFF"/>
        </w:rPr>
        <w:t>负责处理市内外群众给市委、市政府的来信，接待群众来访，保证信访渠道畅通；及时准确的向市委、市政府反映来信来访提出的重要建议、意见和问题；综合分析信访信息，开展调查研究，提出完善政策的建议；承办上级党委、政府和本级党委、政府交办的信访事项，督查检查领导同志有关信访指示的落实情况；向各镇乡和市级各部门交办信访事项，督促检查重要信访事项的处理和落实；协调处理跨镇乡和部门的重要信访问题；协调处理群众集体到市委、市政府及有关部门的信访事项；检查、指导、协调市级各部门和乡镇的信访工作；总结推广各镇乡、各部门信访工作的经验，提出改进和加强信访工作的意见和建议；了解掌握全市信访工作的队伍建设情况；负责信访工作的宣传和信息发布；协调信访工作对外交流和联络；完成市委、市政府交办的其他任务。</w:t>
      </w:r>
    </w:p>
    <w:p w14:paraId="78F8DF88">
      <w:pPr>
        <w:shd w:val="clear" w:color="auto" w:fill="FFFFFF"/>
        <w:spacing w:line="5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（三）人员概况</w:t>
      </w:r>
    </w:p>
    <w:p w14:paraId="3EA3B1E3">
      <w:pPr>
        <w:shd w:val="clear" w:color="auto" w:fill="FFFFFF"/>
        <w:spacing w:before="100" w:beforeAutospacing="1" w:after="100" w:afterAutospacing="1" w:line="540" w:lineRule="exact"/>
        <w:ind w:firstLine="560" w:firstLineChars="200"/>
        <w:rPr>
          <w:rFonts w:ascii="仿宋_GB2312" w:eastAsia="仿宋_GB2312" w:cs="宋体"/>
          <w:kern w:val="0"/>
          <w:sz w:val="28"/>
          <w:szCs w:val="28"/>
        </w:rPr>
      </w:pPr>
      <w:r>
        <w:rPr>
          <w:rFonts w:hint="eastAsia" w:ascii="仿宋_GB2312" w:hAnsi="仿宋" w:eastAsia="仿宋_GB2312"/>
          <w:sz w:val="28"/>
          <w:szCs w:val="28"/>
        </w:rPr>
        <w:t>核定行政编制11名，设领导职数3名。实际在岗公务员11人，退休人员2人。核定事业编制5名，实际在岗5人。</w:t>
      </w:r>
      <w:r>
        <w:rPr>
          <w:rFonts w:hint="eastAsia" w:ascii="仿宋_GB2312" w:hAnsi="宋体" w:eastAsia="仿宋_GB2312" w:cs="宋体"/>
          <w:kern w:val="0"/>
          <w:sz w:val="28"/>
          <w:szCs w:val="28"/>
        </w:rPr>
        <w:t>长期聘用人员1名。</w:t>
      </w:r>
    </w:p>
    <w:p w14:paraId="1AE93135">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28"/>
          <w:szCs w:val="28"/>
        </w:rPr>
      </w:pPr>
      <w:r>
        <w:rPr>
          <w:rFonts w:hint="eastAsia" w:ascii="仿宋_GB2312" w:hAnsi="宋体" w:eastAsia="仿宋_GB2312" w:cs="宋体"/>
          <w:b/>
          <w:bCs/>
          <w:kern w:val="0"/>
          <w:sz w:val="28"/>
          <w:szCs w:val="28"/>
        </w:rPr>
        <w:t>二、部门财政资金收支情况</w:t>
      </w:r>
    </w:p>
    <w:p w14:paraId="58A9B96B">
      <w:pPr>
        <w:widowControl/>
        <w:shd w:val="clear" w:color="auto" w:fill="FFFFFF"/>
        <w:adjustRightInd w:val="0"/>
        <w:snapToGrid w:val="0"/>
        <w:spacing w:before="100" w:beforeAutospacing="1" w:after="100" w:afterAutospacing="1" w:line="540" w:lineRule="exact"/>
        <w:ind w:firstLine="560" w:firstLineChars="200"/>
        <w:jc w:val="left"/>
        <w:outlineLvl w:val="0"/>
        <w:rPr>
          <w:rFonts w:ascii="仿宋_GB2312" w:eastAsia="仿宋_GB2312" w:cs="宋体"/>
          <w:kern w:val="0"/>
          <w:sz w:val="28"/>
          <w:szCs w:val="28"/>
        </w:rPr>
      </w:pPr>
      <w:r>
        <w:rPr>
          <w:rFonts w:hint="eastAsia" w:ascii="仿宋_GB2312" w:hAnsi="宋体" w:eastAsia="仿宋_GB2312" w:cs="宋体"/>
          <w:sz w:val="28"/>
          <w:szCs w:val="28"/>
        </w:rPr>
        <w:t>（一）</w:t>
      </w:r>
      <w:r>
        <w:rPr>
          <w:rFonts w:hint="eastAsia" w:ascii="仿宋_GB2312" w:hAnsi="宋体" w:eastAsia="仿宋_GB2312" w:cs="宋体"/>
          <w:kern w:val="0"/>
          <w:sz w:val="28"/>
          <w:szCs w:val="28"/>
        </w:rPr>
        <w:t>部门财政资金收入情况</w:t>
      </w:r>
    </w:p>
    <w:p w14:paraId="3510E99E">
      <w:pPr>
        <w:widowControl/>
        <w:shd w:val="clear" w:color="auto" w:fill="FFFFFF"/>
        <w:adjustRightInd w:val="0"/>
        <w:snapToGrid w:val="0"/>
        <w:spacing w:before="100" w:beforeAutospacing="1" w:after="100" w:afterAutospacing="1" w:line="540" w:lineRule="exact"/>
        <w:ind w:firstLine="560" w:firstLineChars="200"/>
        <w:jc w:val="left"/>
        <w:outlineLvl w:val="0"/>
        <w:rPr>
          <w:rFonts w:ascii="仿宋_GB2312" w:eastAsia="仿宋_GB2312" w:cs="宋体"/>
          <w:kern w:val="0"/>
          <w:sz w:val="28"/>
          <w:szCs w:val="28"/>
        </w:rPr>
      </w:pPr>
      <w:r>
        <w:rPr>
          <w:rFonts w:hint="eastAsia" w:ascii="仿宋_GB2312" w:hAnsi="宋体" w:eastAsia="仿宋_GB2312" w:cs="宋体"/>
          <w:kern w:val="0"/>
          <w:sz w:val="28"/>
          <w:szCs w:val="28"/>
        </w:rPr>
        <w:t>我单位2019年部门决算总收入为571.97万元，其中财政</w:t>
      </w:r>
      <w:r>
        <w:rPr>
          <w:rFonts w:hint="eastAsia" w:ascii="仿宋_GB2312" w:hAnsi="宋体" w:eastAsia="仿宋_GB2312" w:cs="宋体"/>
          <w:kern w:val="0"/>
          <w:sz w:val="28"/>
          <w:szCs w:val="28"/>
          <w:lang w:eastAsia="zh-CN"/>
        </w:rPr>
        <w:t>拨</w:t>
      </w:r>
      <w:r>
        <w:rPr>
          <w:rFonts w:hint="eastAsia" w:ascii="仿宋_GB2312" w:hAnsi="宋体" w:eastAsia="仿宋_GB2312" w:cs="宋体"/>
          <w:kern w:val="0"/>
          <w:sz w:val="28"/>
          <w:szCs w:val="28"/>
        </w:rPr>
        <w:t>款收入为518.25万元（一般公共预算财政</w:t>
      </w:r>
      <w:r>
        <w:rPr>
          <w:rFonts w:hint="eastAsia" w:ascii="仿宋_GB2312" w:hAnsi="宋体" w:eastAsia="仿宋_GB2312" w:cs="宋体"/>
          <w:kern w:val="0"/>
          <w:sz w:val="28"/>
          <w:szCs w:val="28"/>
          <w:lang w:eastAsia="zh-CN"/>
        </w:rPr>
        <w:t>拨</w:t>
      </w:r>
      <w:r>
        <w:rPr>
          <w:rFonts w:hint="eastAsia" w:ascii="仿宋_GB2312" w:hAnsi="宋体" w:eastAsia="仿宋_GB2312" w:cs="宋体"/>
          <w:kern w:val="0"/>
          <w:sz w:val="28"/>
          <w:szCs w:val="28"/>
        </w:rPr>
        <w:t>款收入为452.41万元，政府</w:t>
      </w:r>
      <w:bookmarkStart w:id="65" w:name="_GoBack"/>
      <w:bookmarkEnd w:id="65"/>
      <w:r>
        <w:rPr>
          <w:rFonts w:hint="eastAsia" w:ascii="仿宋_GB2312" w:hAnsi="宋体" w:eastAsia="仿宋_GB2312" w:cs="宋体"/>
          <w:kern w:val="0"/>
          <w:sz w:val="28"/>
          <w:szCs w:val="28"/>
        </w:rPr>
        <w:t>性基金预算财政</w:t>
      </w:r>
      <w:r>
        <w:rPr>
          <w:rFonts w:hint="eastAsia" w:ascii="仿宋_GB2312" w:hAnsi="宋体" w:eastAsia="仿宋_GB2312" w:cs="宋体"/>
          <w:kern w:val="0"/>
          <w:sz w:val="28"/>
          <w:szCs w:val="28"/>
          <w:lang w:eastAsia="zh-CN"/>
        </w:rPr>
        <w:t>拨</w:t>
      </w:r>
      <w:r>
        <w:rPr>
          <w:rFonts w:hint="eastAsia" w:ascii="仿宋_GB2312" w:hAnsi="宋体" w:eastAsia="仿宋_GB2312" w:cs="宋体"/>
          <w:kern w:val="0"/>
          <w:sz w:val="28"/>
          <w:szCs w:val="28"/>
        </w:rPr>
        <w:t>款收入为65.84万元），年初结转结余53.72万元。</w:t>
      </w:r>
      <w:r>
        <w:rPr>
          <w:rFonts w:ascii="仿宋_GB2312" w:eastAsia="仿宋_GB2312" w:cs="宋体"/>
          <w:kern w:val="0"/>
          <w:sz w:val="28"/>
          <w:szCs w:val="28"/>
        </w:rPr>
        <w:t xml:space="preserve"> </w:t>
      </w:r>
    </w:p>
    <w:p w14:paraId="4E0B38B9">
      <w:pPr>
        <w:widowControl/>
        <w:shd w:val="clear" w:color="auto" w:fill="FFFFFF"/>
        <w:adjustRightInd w:val="0"/>
        <w:snapToGrid w:val="0"/>
        <w:spacing w:before="100" w:beforeAutospacing="1" w:after="100" w:afterAutospacing="1" w:line="54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（二）部门财政资金支出情况</w:t>
      </w:r>
    </w:p>
    <w:p w14:paraId="4C2715BD">
      <w:pPr>
        <w:widowControl/>
        <w:shd w:val="clear" w:color="auto" w:fill="FFFFFF"/>
        <w:adjustRightInd w:val="0"/>
        <w:snapToGrid w:val="0"/>
        <w:spacing w:line="540" w:lineRule="exact"/>
        <w:ind w:firstLine="560" w:firstLineChars="200"/>
        <w:jc w:val="left"/>
        <w:rPr>
          <w:rFonts w:ascii="仿宋_GB2312" w:hAnsi="仿宋_GB2312" w:eastAsia="仿宋_GB2312" w:cs="仿宋_GB2312"/>
          <w:kern w:val="0"/>
          <w:sz w:val="28"/>
          <w:szCs w:val="28"/>
        </w:rPr>
      </w:pPr>
      <w:r>
        <w:rPr>
          <w:rFonts w:hint="eastAsia" w:ascii="仿宋_GB2312" w:hAnsi="宋体" w:eastAsia="仿宋_GB2312" w:cs="宋体"/>
          <w:kern w:val="0"/>
          <w:sz w:val="28"/>
          <w:szCs w:val="28"/>
        </w:rPr>
        <w:t>我单位2019年支出决算数为565.97万元，其中：基本支出314.81万元，项目支出251.16万元。主要内容为：工资福利支出282.06万元，商品和服务支出218.51万元，对个人和家庭的补助63.22万元，资本性支出2.18万元。无</w:t>
      </w:r>
      <w:r>
        <w:rPr>
          <w:rFonts w:hint="eastAsia" w:ascii="仿宋_GB2312" w:eastAsia="仿宋_GB2312"/>
          <w:color w:val="000000"/>
          <w:sz w:val="28"/>
          <w:szCs w:val="28"/>
        </w:rPr>
        <w:t>上缴上级支出、经营支出、对附属单位补助支出。</w:t>
      </w:r>
    </w:p>
    <w:p w14:paraId="602D54FC">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28"/>
          <w:szCs w:val="28"/>
        </w:rPr>
      </w:pPr>
      <w:r>
        <w:rPr>
          <w:rFonts w:hint="eastAsia" w:ascii="仿宋_GB2312" w:hAnsi="宋体" w:eastAsia="仿宋_GB2312" w:cs="宋体"/>
          <w:b/>
          <w:bCs/>
          <w:kern w:val="0"/>
          <w:sz w:val="28"/>
          <w:szCs w:val="28"/>
        </w:rPr>
        <w:t>三、部门整体预算绩效管理情况</w:t>
      </w:r>
    </w:p>
    <w:p w14:paraId="72FB62F3">
      <w:pPr>
        <w:widowControl/>
        <w:shd w:val="clear" w:color="auto" w:fill="FFFFFF"/>
        <w:adjustRightInd w:val="0"/>
        <w:snapToGrid w:val="0"/>
        <w:spacing w:before="100" w:beforeAutospacing="1" w:after="100" w:afterAutospacing="1" w:line="540" w:lineRule="exact"/>
        <w:ind w:firstLine="560" w:firstLineChars="200"/>
        <w:jc w:val="left"/>
        <w:outlineLvl w:val="0"/>
        <w:rPr>
          <w:rFonts w:ascii="仿宋_GB2312" w:eastAsia="仿宋_GB2312" w:cs="宋体"/>
          <w:sz w:val="28"/>
          <w:szCs w:val="28"/>
        </w:rPr>
      </w:pPr>
      <w:r>
        <w:rPr>
          <w:rFonts w:hint="eastAsia" w:ascii="仿宋_GB2312" w:hAnsi="宋体" w:eastAsia="仿宋_GB2312" w:cs="宋体"/>
          <w:sz w:val="28"/>
          <w:szCs w:val="28"/>
        </w:rPr>
        <w:t>（一）预决算编制情况</w:t>
      </w:r>
    </w:p>
    <w:p w14:paraId="0055BFCE">
      <w:pPr>
        <w:widowControl/>
        <w:shd w:val="clear" w:color="auto" w:fill="FFFFFF"/>
        <w:adjustRightInd w:val="0"/>
        <w:snapToGrid w:val="0"/>
        <w:spacing w:before="100" w:beforeAutospacing="1" w:after="100" w:afterAutospacing="1" w:line="540" w:lineRule="exact"/>
        <w:ind w:firstLine="700" w:firstLineChars="250"/>
        <w:jc w:val="left"/>
        <w:outlineLvl w:val="0"/>
        <w:rPr>
          <w:rFonts w:ascii="仿宋_GB2312" w:eastAsia="仿宋_GB2312" w:cs="宋体"/>
          <w:sz w:val="28"/>
          <w:szCs w:val="28"/>
        </w:rPr>
      </w:pPr>
      <w:r>
        <w:rPr>
          <w:rFonts w:hint="eastAsia" w:ascii="仿宋_GB2312" w:hAnsi="宋体" w:eastAsia="仿宋_GB2312" w:cs="宋体"/>
          <w:sz w:val="28"/>
          <w:szCs w:val="28"/>
        </w:rPr>
        <w:t>我单位严格按照财政部门的要求，实现编制预决算、填报绩效目标和专项项目进度表；项目实际完成情况达到预期绩效目标；年初预算编制较为科学准确。2019年收入预算为329.98万元，全部为公共财政预算收入；支出预算329.98万元(其中:基本支出预算229.98万元，项目预支出预算100万元)。决算收入为518.25万元，决算支出为565.97万元(其中:基本支出314.81万元，项目支出251.16万元)。</w:t>
      </w:r>
    </w:p>
    <w:p w14:paraId="1BBEFF46">
      <w:pPr>
        <w:widowControl/>
        <w:shd w:val="clear" w:color="auto" w:fill="FFFFFF"/>
        <w:adjustRightInd w:val="0"/>
        <w:snapToGrid w:val="0"/>
        <w:spacing w:before="100" w:beforeAutospacing="1" w:after="100" w:afterAutospacing="1" w:line="540" w:lineRule="exact"/>
        <w:ind w:firstLine="700" w:firstLineChars="250"/>
        <w:jc w:val="left"/>
        <w:outlineLvl w:val="0"/>
        <w:rPr>
          <w:rFonts w:ascii="仿宋_GB2312" w:eastAsia="仿宋_GB2312" w:cs="宋体"/>
          <w:sz w:val="28"/>
          <w:szCs w:val="28"/>
        </w:rPr>
      </w:pPr>
      <w:r>
        <w:rPr>
          <w:rFonts w:hint="eastAsia" w:ascii="仿宋_GB2312" w:hAnsi="宋体" w:eastAsia="仿宋_GB2312" w:cs="宋体"/>
          <w:sz w:val="28"/>
          <w:szCs w:val="28"/>
        </w:rPr>
        <w:t>（二）执行管理情况</w:t>
      </w:r>
    </w:p>
    <w:p w14:paraId="09B77C6B">
      <w:pPr>
        <w:snapToGrid w:val="0"/>
        <w:spacing w:line="588" w:lineRule="exact"/>
        <w:ind w:firstLine="700" w:firstLineChars="250"/>
        <w:rPr>
          <w:rFonts w:ascii="仿宋_GB2312" w:hAnsi="仿宋" w:eastAsia="仿宋_GB2312"/>
          <w:sz w:val="28"/>
          <w:szCs w:val="28"/>
        </w:rPr>
      </w:pPr>
      <w:r>
        <w:rPr>
          <w:rFonts w:hint="eastAsia" w:ascii="仿宋_GB2312" w:hAnsi="宋体" w:eastAsia="仿宋_GB2312" w:cs="宋体"/>
          <w:sz w:val="28"/>
          <w:szCs w:val="28"/>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w:t>
      </w:r>
      <w:r>
        <w:rPr>
          <w:rFonts w:hint="eastAsia" w:ascii="仿宋_GB2312" w:hAnsi="仿宋" w:eastAsia="仿宋_GB2312"/>
          <w:sz w:val="28"/>
          <w:szCs w:val="28"/>
        </w:rPr>
        <w:t>截止</w:t>
      </w:r>
      <w:r>
        <w:rPr>
          <w:rFonts w:ascii="仿宋_GB2312" w:hAnsi="仿宋" w:eastAsia="仿宋_GB2312"/>
          <w:sz w:val="28"/>
          <w:szCs w:val="28"/>
        </w:rPr>
        <w:t>201</w:t>
      </w:r>
      <w:r>
        <w:rPr>
          <w:rFonts w:hint="eastAsia" w:ascii="仿宋_GB2312" w:hAnsi="仿宋" w:eastAsia="仿宋_GB2312"/>
          <w:sz w:val="28"/>
          <w:szCs w:val="28"/>
        </w:rPr>
        <w:t>9年</w:t>
      </w:r>
      <w:r>
        <w:rPr>
          <w:rFonts w:ascii="仿宋_GB2312" w:hAnsi="仿宋" w:eastAsia="仿宋_GB2312"/>
          <w:sz w:val="28"/>
          <w:szCs w:val="28"/>
        </w:rPr>
        <w:t>6</w:t>
      </w:r>
      <w:r>
        <w:rPr>
          <w:rFonts w:hint="eastAsia" w:ascii="仿宋_GB2312" w:hAnsi="仿宋" w:eastAsia="仿宋_GB2312"/>
          <w:sz w:val="28"/>
          <w:szCs w:val="28"/>
        </w:rPr>
        <w:t>月支出390.48万元</w:t>
      </w:r>
      <w:r>
        <w:rPr>
          <w:rFonts w:ascii="仿宋_GB2312" w:hAnsi="仿宋" w:eastAsia="仿宋_GB2312"/>
          <w:sz w:val="28"/>
          <w:szCs w:val="28"/>
        </w:rPr>
        <w:t>,</w:t>
      </w:r>
      <w:r>
        <w:rPr>
          <w:rFonts w:hint="eastAsia" w:ascii="仿宋_GB2312" w:hAnsi="仿宋" w:eastAsia="仿宋_GB2312"/>
          <w:sz w:val="28"/>
          <w:szCs w:val="28"/>
        </w:rPr>
        <w:t>执行比例69.88</w:t>
      </w:r>
      <w:r>
        <w:rPr>
          <w:rFonts w:ascii="仿宋_GB2312" w:hAnsi="仿宋" w:eastAsia="仿宋_GB2312"/>
          <w:sz w:val="28"/>
          <w:szCs w:val="28"/>
        </w:rPr>
        <w:t>%;9</w:t>
      </w:r>
      <w:r>
        <w:rPr>
          <w:rFonts w:hint="eastAsia" w:ascii="仿宋_GB2312" w:hAnsi="仿宋" w:eastAsia="仿宋_GB2312"/>
          <w:sz w:val="28"/>
          <w:szCs w:val="28"/>
        </w:rPr>
        <w:t>月支出518.93万元</w:t>
      </w:r>
      <w:r>
        <w:rPr>
          <w:rFonts w:ascii="仿宋_GB2312" w:hAnsi="仿宋" w:eastAsia="仿宋_GB2312"/>
          <w:sz w:val="28"/>
          <w:szCs w:val="28"/>
        </w:rPr>
        <w:t>,</w:t>
      </w:r>
      <w:r>
        <w:rPr>
          <w:rFonts w:hint="eastAsia" w:ascii="仿宋_GB2312" w:hAnsi="仿宋" w:eastAsia="仿宋_GB2312"/>
          <w:sz w:val="28"/>
          <w:szCs w:val="28"/>
        </w:rPr>
        <w:t>执行比例83.31</w:t>
      </w:r>
      <w:r>
        <w:rPr>
          <w:rFonts w:ascii="仿宋_GB2312" w:hAnsi="仿宋" w:eastAsia="仿宋_GB2312"/>
          <w:sz w:val="28"/>
          <w:szCs w:val="28"/>
        </w:rPr>
        <w:t>%;1</w:t>
      </w:r>
      <w:r>
        <w:rPr>
          <w:rFonts w:hint="eastAsia" w:ascii="仿宋_GB2312" w:hAnsi="仿宋" w:eastAsia="仿宋_GB2312"/>
          <w:sz w:val="28"/>
          <w:szCs w:val="28"/>
        </w:rPr>
        <w:t>2月支出565.93万元</w:t>
      </w:r>
      <w:r>
        <w:rPr>
          <w:rFonts w:ascii="仿宋_GB2312" w:hAnsi="仿宋" w:eastAsia="仿宋_GB2312"/>
          <w:sz w:val="28"/>
          <w:szCs w:val="28"/>
        </w:rPr>
        <w:t>,</w:t>
      </w:r>
      <w:r>
        <w:rPr>
          <w:rFonts w:hint="eastAsia" w:ascii="仿宋_GB2312" w:hAnsi="仿宋" w:eastAsia="仿宋_GB2312"/>
          <w:sz w:val="28"/>
          <w:szCs w:val="28"/>
        </w:rPr>
        <w:t>执行比例100</w:t>
      </w:r>
      <w:r>
        <w:rPr>
          <w:rFonts w:ascii="仿宋_GB2312" w:hAnsi="仿宋" w:eastAsia="仿宋_GB2312"/>
          <w:sz w:val="28"/>
          <w:szCs w:val="28"/>
        </w:rPr>
        <w:t>%</w:t>
      </w:r>
      <w:r>
        <w:rPr>
          <w:rFonts w:hint="eastAsia" w:ascii="仿宋_GB2312" w:hAnsi="仿宋" w:eastAsia="仿宋_GB2312"/>
          <w:sz w:val="28"/>
          <w:szCs w:val="28"/>
        </w:rPr>
        <w:t>,全年支出执行良好。</w:t>
      </w:r>
    </w:p>
    <w:p w14:paraId="5C1FC642">
      <w:pPr>
        <w:widowControl/>
        <w:shd w:val="clear" w:color="auto" w:fill="FFFFFF"/>
        <w:adjustRightInd w:val="0"/>
        <w:snapToGrid w:val="0"/>
        <w:spacing w:before="100" w:beforeAutospacing="1" w:after="100" w:afterAutospacing="1" w:line="540" w:lineRule="exact"/>
        <w:ind w:firstLine="700" w:firstLineChars="250"/>
        <w:jc w:val="left"/>
        <w:outlineLvl w:val="0"/>
        <w:rPr>
          <w:rFonts w:ascii="仿宋_GB2312" w:eastAsia="仿宋_GB2312" w:cs="宋体"/>
          <w:sz w:val="28"/>
          <w:szCs w:val="28"/>
        </w:rPr>
      </w:pPr>
      <w:r>
        <w:rPr>
          <w:rFonts w:hint="eastAsia" w:ascii="仿宋_GB2312" w:hAnsi="宋体" w:eastAsia="仿宋_GB2312" w:cs="宋体"/>
          <w:sz w:val="28"/>
          <w:szCs w:val="28"/>
        </w:rPr>
        <w:t>（三）支出绩效情况</w:t>
      </w:r>
    </w:p>
    <w:p w14:paraId="4E9216A6">
      <w:pPr>
        <w:widowControl/>
        <w:shd w:val="clear" w:color="auto" w:fill="FFFFFF"/>
        <w:adjustRightInd w:val="0"/>
        <w:snapToGrid w:val="0"/>
        <w:spacing w:before="100" w:beforeAutospacing="1" w:after="100" w:afterAutospacing="1" w:line="540" w:lineRule="exact"/>
        <w:ind w:firstLine="700" w:firstLineChars="250"/>
        <w:jc w:val="left"/>
        <w:outlineLvl w:val="0"/>
        <w:rPr>
          <w:rFonts w:ascii="仿宋_GB2312" w:eastAsia="仿宋_GB2312" w:cs="宋体"/>
          <w:sz w:val="28"/>
          <w:szCs w:val="28"/>
        </w:rPr>
      </w:pPr>
      <w:r>
        <w:rPr>
          <w:rFonts w:hint="eastAsia" w:ascii="仿宋_GB2312" w:hAnsi="宋体" w:eastAsia="仿宋_GB2312" w:cs="宋体"/>
          <w:sz w:val="28"/>
          <w:szCs w:val="28"/>
        </w:rPr>
        <w:t>1.部门支出绩效</w:t>
      </w:r>
    </w:p>
    <w:p w14:paraId="17465A3D">
      <w:pPr>
        <w:widowControl/>
        <w:shd w:val="clear" w:color="auto" w:fill="FFFFFF"/>
        <w:adjustRightInd w:val="0"/>
        <w:snapToGrid w:val="0"/>
        <w:spacing w:before="100" w:beforeAutospacing="1" w:after="100" w:afterAutospacing="1" w:line="540" w:lineRule="exact"/>
        <w:ind w:firstLine="700" w:firstLineChars="250"/>
        <w:jc w:val="left"/>
        <w:outlineLvl w:val="0"/>
        <w:rPr>
          <w:rFonts w:ascii="仿宋_GB2312" w:eastAsia="仿宋_GB2312" w:cs="宋体"/>
          <w:sz w:val="28"/>
          <w:szCs w:val="28"/>
        </w:rPr>
      </w:pPr>
      <w:r>
        <w:rPr>
          <w:rFonts w:hint="eastAsia" w:ascii="仿宋_GB2312" w:hAnsi="宋体" w:eastAsia="仿宋_GB2312" w:cs="宋体"/>
          <w:sz w:val="28"/>
          <w:szCs w:val="28"/>
        </w:rPr>
        <w:t>（1）行政运行保障</w:t>
      </w:r>
    </w:p>
    <w:p w14:paraId="2EBE7746">
      <w:pPr>
        <w:widowControl/>
        <w:spacing w:line="480" w:lineRule="auto"/>
        <w:ind w:firstLine="560" w:firstLineChars="200"/>
        <w:rPr>
          <w:rFonts w:ascii="仿宋_GB2312" w:hAnsi="仿宋_GB2312" w:eastAsia="仿宋_GB2312" w:cs="仿宋_GB2312"/>
          <w:kern w:val="0"/>
          <w:sz w:val="28"/>
          <w:szCs w:val="28"/>
        </w:rPr>
      </w:pPr>
      <w:r>
        <w:rPr>
          <w:rFonts w:hint="eastAsia" w:ascii="仿宋_GB2312" w:hAnsi="宋体" w:eastAsia="仿宋_GB2312" w:cs="宋体"/>
          <w:kern w:val="0"/>
          <w:sz w:val="28"/>
          <w:szCs w:val="28"/>
        </w:rPr>
        <w:t>我单位基本支出的范围包括人员经费和日常公用经费，2019年基本支出决算数314.81万元，其中:人员经费283.71万元,日常公用经费31.1万元。</w:t>
      </w:r>
      <w:r>
        <w:rPr>
          <w:rFonts w:hint="eastAsia" w:ascii="仿宋_GB2312" w:hAnsi="仿宋_GB2312" w:eastAsia="仿宋_GB2312" w:cs="仿宋_GB2312"/>
          <w:kern w:val="0"/>
          <w:sz w:val="28"/>
          <w:szCs w:val="28"/>
        </w:rPr>
        <w:t>基本支出能够保障信访事务等管理职责的履行和机构运转。</w:t>
      </w:r>
    </w:p>
    <w:p w14:paraId="62E7A170">
      <w:pPr>
        <w:widowControl/>
        <w:spacing w:line="480" w:lineRule="auto"/>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（2）三公经费执行情况。</w:t>
      </w:r>
    </w:p>
    <w:p w14:paraId="330F81BC">
      <w:pPr>
        <w:snapToGrid w:val="0"/>
        <w:spacing w:line="360" w:lineRule="auto"/>
        <w:ind w:firstLine="560" w:firstLineChars="200"/>
        <w:rPr>
          <w:rFonts w:ascii="仿宋_GB2312" w:hAnsi="仿宋" w:eastAsia="仿宋_GB2312"/>
          <w:sz w:val="28"/>
          <w:szCs w:val="28"/>
        </w:rPr>
      </w:pPr>
      <w:r>
        <w:rPr>
          <w:rFonts w:hint="eastAsia" w:ascii="仿宋_GB2312" w:hAnsi="仿宋_GB2312" w:eastAsia="仿宋_GB2312" w:cs="仿宋_GB2312"/>
          <w:kern w:val="0"/>
          <w:sz w:val="28"/>
          <w:szCs w:val="28"/>
        </w:rPr>
        <w:t>2019年</w:t>
      </w:r>
      <w:r>
        <w:rPr>
          <w:rFonts w:hint="eastAsia" w:ascii="仿宋_GB2312" w:eastAsia="仿宋_GB2312"/>
          <w:color w:val="000000"/>
          <w:sz w:val="28"/>
          <w:szCs w:val="28"/>
        </w:rPr>
        <w:t xml:space="preserve"> “三公”经费财政拨款支出3.13万元（其中：因公出国（境）费支出决算0万元；公务用车购置及运行维护费支出2.11万元；公务接待费支出1.02万元），较2018年支出减少1.15万元，减少原因是</w:t>
      </w:r>
      <w:r>
        <w:rPr>
          <w:rFonts w:hint="eastAsia" w:ascii="仿宋_GB2312" w:hAnsi="仿宋" w:eastAsia="仿宋_GB2312"/>
          <w:sz w:val="28"/>
          <w:szCs w:val="28"/>
        </w:rPr>
        <w:t>2019年3月以后公务用车由政府办统一管理，公务用车运行维护费相对减少。</w:t>
      </w:r>
    </w:p>
    <w:p w14:paraId="6DF9ECC2">
      <w:pPr>
        <w:widowControl/>
        <w:spacing w:line="480" w:lineRule="auto"/>
        <w:ind w:firstLine="560" w:firstLineChars="200"/>
        <w:rPr>
          <w:rFonts w:ascii="仿宋_GB2312" w:eastAsia="仿宋_GB2312" w:cs="宋体"/>
          <w:kern w:val="0"/>
          <w:sz w:val="28"/>
          <w:szCs w:val="28"/>
        </w:rPr>
      </w:pPr>
      <w:r>
        <w:rPr>
          <w:rFonts w:hint="eastAsia" w:ascii="仿宋_GB2312" w:hAnsi="宋体" w:eastAsia="仿宋_GB2312" w:cs="宋体"/>
          <w:kern w:val="0"/>
          <w:sz w:val="28"/>
          <w:szCs w:val="28"/>
        </w:rPr>
        <w:t>2.专项预算项目支出绩效</w:t>
      </w:r>
    </w:p>
    <w:p w14:paraId="3A0FDDDA">
      <w:pPr>
        <w:widowControl/>
        <w:spacing w:line="48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（1）项目资金管理情况</w:t>
      </w:r>
    </w:p>
    <w:p w14:paraId="32E9DF2E">
      <w:pPr>
        <w:widowControl/>
        <w:spacing w:line="48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所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14:paraId="1F1B4E1D">
      <w:pPr>
        <w:widowControl/>
        <w:shd w:val="clear" w:color="auto" w:fill="FFFFFF"/>
        <w:adjustRightInd w:val="0"/>
        <w:snapToGrid w:val="0"/>
        <w:spacing w:line="540" w:lineRule="exact"/>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（2）绩效目标完成情况</w:t>
      </w:r>
    </w:p>
    <w:p w14:paraId="6649588F">
      <w:pPr>
        <w:spacing w:line="600" w:lineRule="exact"/>
        <w:ind w:firstLine="645"/>
        <w:rPr>
          <w:rFonts w:ascii="仿宋_GB2312" w:eastAsia="仿宋_GB2312"/>
          <w:sz w:val="28"/>
          <w:szCs w:val="28"/>
        </w:rPr>
      </w:pPr>
      <w:r>
        <w:rPr>
          <w:rFonts w:hint="eastAsia" w:ascii="仿宋_GB2312" w:eastAsia="仿宋_GB2312"/>
          <w:sz w:val="28"/>
          <w:szCs w:val="28"/>
        </w:rPr>
        <w:t>在市委、市政府高度重视下，进一步加强源头防范，坚持市、镇（乡）、村三级分析排查，实现矛盾纠纷排查化解工作常态化；积极开展信访积案化解工作；及时就地解决群众合理诉求；</w:t>
      </w:r>
      <w:r>
        <w:rPr>
          <w:rFonts w:hint="eastAsia" w:ascii="仿宋_GB2312" w:hAnsi="仿宋" w:eastAsia="仿宋_GB2312" w:cs="仿宋"/>
          <w:sz w:val="28"/>
          <w:szCs w:val="28"/>
        </w:rPr>
        <w:t>充分利用“信、访、网、电”四位一体的诉求表达渠道，并对信访事项及时进行交办，实行全程跟踪督查，督促责任单位限时解决；</w:t>
      </w:r>
      <w:r>
        <w:rPr>
          <w:rFonts w:hint="eastAsia" w:ascii="仿宋_GB2312" w:eastAsia="仿宋_GB2312"/>
          <w:sz w:val="28"/>
          <w:szCs w:val="28"/>
        </w:rPr>
        <w:t>加大力度整治信访乱象；强化信访队伍建设，增强干部信访业务能力。</w:t>
      </w:r>
    </w:p>
    <w:p w14:paraId="4B5F26AA">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（3）财务管理情况</w:t>
      </w:r>
    </w:p>
    <w:p w14:paraId="3C154878">
      <w:pPr>
        <w:widowControl/>
        <w:shd w:val="clear" w:color="auto" w:fill="FFFFFF"/>
        <w:adjustRightInd w:val="0"/>
        <w:snapToGrid w:val="0"/>
        <w:spacing w:line="540" w:lineRule="exact"/>
        <w:ind w:firstLine="555"/>
        <w:jc w:val="left"/>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14:paraId="137EC8F4">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b/>
          <w:bCs/>
          <w:kern w:val="0"/>
          <w:sz w:val="28"/>
          <w:szCs w:val="28"/>
        </w:rPr>
      </w:pPr>
      <w:r>
        <w:rPr>
          <w:rFonts w:hint="eastAsia" w:ascii="仿宋_GB2312" w:hAnsi="宋体" w:eastAsia="仿宋_GB2312" w:cs="宋体"/>
          <w:b/>
          <w:bCs/>
          <w:kern w:val="0"/>
          <w:sz w:val="28"/>
          <w:szCs w:val="28"/>
        </w:rPr>
        <w:t>四、评价结论及建议</w:t>
      </w:r>
    </w:p>
    <w:p w14:paraId="676A0481">
      <w:pPr>
        <w:widowControl/>
        <w:shd w:val="clear" w:color="auto" w:fill="FFFFFF"/>
        <w:adjustRightInd w:val="0"/>
        <w:snapToGrid w:val="0"/>
        <w:spacing w:before="100" w:beforeAutospacing="1" w:after="100" w:afterAutospacing="1" w:line="540" w:lineRule="exact"/>
        <w:ind w:firstLine="555"/>
        <w:jc w:val="left"/>
        <w:outlineLvl w:val="0"/>
        <w:rPr>
          <w:rFonts w:ascii="仿宋_GB2312" w:hAnsi="宋体" w:eastAsia="仿宋_GB2312" w:cs="宋体"/>
          <w:kern w:val="0"/>
          <w:sz w:val="28"/>
          <w:szCs w:val="28"/>
        </w:rPr>
      </w:pPr>
      <w:r>
        <w:rPr>
          <w:rFonts w:hint="eastAsia" w:ascii="仿宋_GB2312" w:hAnsi="宋体" w:eastAsia="仿宋_GB2312" w:cs="宋体"/>
          <w:kern w:val="0"/>
          <w:sz w:val="28"/>
          <w:szCs w:val="28"/>
        </w:rPr>
        <w:t>（一）评价结论。</w:t>
      </w:r>
    </w:p>
    <w:p w14:paraId="716EB3BF">
      <w:pPr>
        <w:widowControl/>
        <w:shd w:val="clear" w:color="auto" w:fill="FFFFFF"/>
        <w:adjustRightInd w:val="0"/>
        <w:snapToGrid w:val="0"/>
        <w:spacing w:before="100" w:beforeAutospacing="1" w:after="100" w:afterAutospacing="1" w:line="540" w:lineRule="exact"/>
        <w:ind w:firstLine="555"/>
        <w:jc w:val="left"/>
        <w:outlineLvl w:val="0"/>
        <w:rPr>
          <w:rFonts w:ascii="仿宋_GB2312" w:hAnsi="宋体" w:eastAsia="仿宋_GB2312" w:cs="宋体"/>
          <w:kern w:val="0"/>
          <w:sz w:val="28"/>
          <w:szCs w:val="28"/>
        </w:rPr>
      </w:pPr>
      <w:r>
        <w:rPr>
          <w:rFonts w:hint="eastAsia" w:ascii="仿宋_GB2312" w:hAnsi="宋体" w:eastAsia="仿宋_GB2312" w:cs="宋体"/>
          <w:kern w:val="0"/>
          <w:sz w:val="28"/>
          <w:szCs w:val="28"/>
        </w:rPr>
        <w:t>我局按照国家政策法规规定，结合实际情况，建立健全财务管理制度和约束机制，依法、有效地使用财政资金，提高财政资金使用效率，合理分配人、财、物，完成了部门职能目标，实现了较高的工作效率和支出绩效，单位部门支出绩效评价自查得分95分。</w:t>
      </w:r>
    </w:p>
    <w:p w14:paraId="107B3ADF">
      <w:pPr>
        <w:widowControl/>
        <w:shd w:val="clear" w:color="auto" w:fill="FFFFFF"/>
        <w:adjustRightInd w:val="0"/>
        <w:snapToGrid w:val="0"/>
        <w:spacing w:before="100" w:beforeAutospacing="1" w:after="100" w:afterAutospacing="1" w:line="540" w:lineRule="exact"/>
        <w:ind w:firstLine="555"/>
        <w:jc w:val="left"/>
        <w:outlineLvl w:val="0"/>
        <w:rPr>
          <w:rFonts w:ascii="仿宋_GB2312" w:eastAsia="仿宋_GB2312" w:cs="宋体"/>
          <w:sz w:val="28"/>
          <w:szCs w:val="28"/>
        </w:rPr>
      </w:pPr>
      <w:r>
        <w:rPr>
          <w:rFonts w:hint="eastAsia" w:ascii="仿宋_GB2312" w:hAnsi="宋体" w:eastAsia="仿宋_GB2312" w:cs="宋体"/>
          <w:sz w:val="28"/>
          <w:szCs w:val="28"/>
        </w:rPr>
        <w:t>（二）存在问题</w:t>
      </w:r>
    </w:p>
    <w:p w14:paraId="0F94E125">
      <w:pPr>
        <w:widowControl/>
        <w:shd w:val="clear" w:color="auto" w:fill="FFFFFF"/>
        <w:adjustRightInd w:val="0"/>
        <w:snapToGrid w:val="0"/>
        <w:spacing w:before="100" w:beforeAutospacing="1" w:after="100" w:afterAutospacing="1" w:line="540" w:lineRule="exact"/>
        <w:ind w:firstLine="560"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预算编制工作有待细化，预算编制的合理性需要提高，预算执行力度还要进一步加强。</w:t>
      </w:r>
    </w:p>
    <w:p w14:paraId="3307923A">
      <w:pPr>
        <w:widowControl/>
        <w:shd w:val="clear" w:color="auto" w:fill="FFFFFF"/>
        <w:adjustRightInd w:val="0"/>
        <w:snapToGrid w:val="0"/>
        <w:spacing w:before="100" w:beforeAutospacing="1" w:after="100" w:afterAutospacing="1" w:line="540" w:lineRule="exact"/>
        <w:ind w:firstLine="560" w:firstLineChars="200"/>
        <w:jc w:val="left"/>
        <w:rPr>
          <w:rFonts w:ascii="仿宋_GB2312" w:eastAsia="仿宋_GB2312" w:cs="宋体"/>
          <w:sz w:val="28"/>
          <w:szCs w:val="28"/>
        </w:rPr>
      </w:pPr>
      <w:r>
        <w:rPr>
          <w:rFonts w:hint="eastAsia" w:ascii="仿宋_GB2312" w:hAnsi="宋体" w:eastAsia="仿宋_GB2312" w:cs="宋体"/>
          <w:sz w:val="28"/>
          <w:szCs w:val="28"/>
        </w:rPr>
        <w:t>（三）改进建议</w:t>
      </w:r>
    </w:p>
    <w:p w14:paraId="770ABE8C">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28"/>
          <w:szCs w:val="28"/>
        </w:rPr>
      </w:pPr>
      <w:r>
        <w:rPr>
          <w:rFonts w:hint="eastAsia" w:ascii="仿宋_GB2312" w:hAnsi="宋体" w:eastAsia="仿宋_GB2312" w:cs="宋体"/>
          <w:kern w:val="0"/>
          <w:sz w:val="28"/>
          <w:szCs w:val="28"/>
        </w:rPr>
        <w:t>针对上述存在的问题及对外整体支出管理工作的需要，拟实施的改进措施如下：</w:t>
      </w:r>
    </w:p>
    <w:p w14:paraId="2A52403A">
      <w:pPr>
        <w:widowControl/>
        <w:shd w:val="clear" w:color="auto" w:fill="FFFFFF"/>
        <w:adjustRightInd w:val="0"/>
        <w:snapToGrid w:val="0"/>
        <w:spacing w:before="100" w:beforeAutospacing="1" w:after="100" w:afterAutospacing="1" w:line="540" w:lineRule="exact"/>
        <w:ind w:firstLine="640"/>
        <w:jc w:val="left"/>
        <w:rPr>
          <w:rFonts w:ascii="仿宋_GB2312" w:eastAsia="仿宋_GB2312" w:cs="宋体"/>
          <w:kern w:val="0"/>
          <w:sz w:val="28"/>
          <w:szCs w:val="28"/>
        </w:rPr>
      </w:pPr>
      <w:r>
        <w:rPr>
          <w:rFonts w:hint="eastAsia" w:ascii="仿宋_GB2312" w:hAnsi="宋体" w:eastAsia="仿宋_GB2312" w:cs="宋体"/>
          <w:kern w:val="0"/>
          <w:sz w:val="28"/>
          <w:szCs w:val="28"/>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53C7A775">
      <w:pPr>
        <w:widowControl/>
        <w:shd w:val="clear" w:color="auto" w:fill="FFFFFF"/>
        <w:adjustRightInd w:val="0"/>
        <w:snapToGrid w:val="0"/>
        <w:spacing w:before="100" w:beforeAutospacing="1" w:after="100" w:afterAutospacing="1" w:line="540" w:lineRule="exact"/>
        <w:ind w:firstLine="64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2、加强财务管理，严格财务审核。</w:t>
      </w:r>
    </w:p>
    <w:p w14:paraId="0E76DEDA">
      <w:pPr>
        <w:widowControl/>
        <w:shd w:val="clear" w:color="auto" w:fill="FFFFFF"/>
        <w:adjustRightInd w:val="0"/>
        <w:snapToGrid w:val="0"/>
        <w:spacing w:before="100" w:beforeAutospacing="1" w:after="100" w:afterAutospacing="1" w:line="540" w:lineRule="exact"/>
        <w:ind w:firstLine="618" w:firstLineChars="221"/>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3、加强对相关人员的培训，特别是针对《预算法》、《行政事业单位会计制度》等学习培训，规范部门预算收支核算，切实提高部门预算收支管理水平。</w:t>
      </w:r>
    </w:p>
    <w:p w14:paraId="7C03E935">
      <w:pPr>
        <w:spacing w:line="600" w:lineRule="exact"/>
        <w:jc w:val="center"/>
        <w:outlineLvl w:val="0"/>
        <w:rPr>
          <w:rStyle w:val="24"/>
          <w:rFonts w:ascii="黑体" w:hAnsi="黑体" w:eastAsia="黑体"/>
          <w:b w:val="0"/>
        </w:rPr>
      </w:pPr>
    </w:p>
    <w:p w14:paraId="530756B4">
      <w:pPr>
        <w:spacing w:line="600" w:lineRule="exact"/>
        <w:jc w:val="center"/>
        <w:outlineLvl w:val="0"/>
        <w:rPr>
          <w:rStyle w:val="24"/>
          <w:rFonts w:ascii="黑体" w:hAnsi="黑体" w:eastAsia="黑体"/>
          <w:b w:val="0"/>
        </w:rPr>
      </w:pPr>
      <w:bookmarkStart w:id="51"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0"/>
      <w:bookmarkEnd w:id="51"/>
      <w:bookmarkStart w:id="52" w:name="_Toc15396619"/>
    </w:p>
    <w:p w14:paraId="51E699A7">
      <w:pPr>
        <w:spacing w:line="600" w:lineRule="exact"/>
        <w:outlineLvl w:val="0"/>
        <w:rPr>
          <w:rStyle w:val="25"/>
          <w:rFonts w:ascii="仿宋_GB2312" w:hAnsi="仿宋" w:eastAsia="仿宋_GB2312"/>
          <w:sz w:val="28"/>
          <w:szCs w:val="28"/>
        </w:rPr>
      </w:pPr>
      <w:r>
        <w:rPr>
          <w:rFonts w:hint="eastAsia" w:ascii="仿宋_GB2312" w:hAnsi="仿宋" w:eastAsia="仿宋_GB2312"/>
          <w:b/>
          <w:color w:val="000000"/>
          <w:sz w:val="28"/>
          <w:szCs w:val="28"/>
        </w:rPr>
        <w:t>一、收</w:t>
      </w:r>
      <w:r>
        <w:rPr>
          <w:rStyle w:val="25"/>
          <w:rFonts w:hint="eastAsia" w:ascii="仿宋_GB2312" w:hAnsi="仿宋" w:eastAsia="仿宋_GB2312"/>
          <w:sz w:val="28"/>
          <w:szCs w:val="28"/>
        </w:rPr>
        <w:t>入支出决算总表</w:t>
      </w:r>
      <w:bookmarkEnd w:id="52"/>
      <w:bookmarkStart w:id="53" w:name="_Toc15396620"/>
    </w:p>
    <w:p w14:paraId="2A3E44AB">
      <w:pPr>
        <w:spacing w:line="600" w:lineRule="exact"/>
        <w:outlineLvl w:val="0"/>
        <w:rPr>
          <w:rStyle w:val="25"/>
          <w:rFonts w:ascii="仿宋_GB2312" w:hAnsi="仿宋" w:eastAsia="仿宋_GB2312"/>
          <w:sz w:val="28"/>
          <w:szCs w:val="28"/>
        </w:rPr>
      </w:pPr>
      <w:r>
        <w:rPr>
          <w:rFonts w:hint="eastAsia" w:ascii="仿宋_GB2312" w:hAnsi="仿宋" w:eastAsia="仿宋_GB2312"/>
          <w:b/>
          <w:color w:val="000000"/>
          <w:sz w:val="28"/>
          <w:szCs w:val="28"/>
        </w:rPr>
        <w:t>二、收</w:t>
      </w:r>
      <w:r>
        <w:rPr>
          <w:rStyle w:val="25"/>
          <w:rFonts w:hint="eastAsia" w:ascii="仿宋_GB2312" w:hAnsi="仿宋" w:eastAsia="仿宋_GB2312"/>
          <w:sz w:val="28"/>
          <w:szCs w:val="28"/>
        </w:rPr>
        <w:t>入决算表</w:t>
      </w:r>
      <w:bookmarkEnd w:id="53"/>
      <w:bookmarkStart w:id="54" w:name="_Toc15396621"/>
    </w:p>
    <w:p w14:paraId="38A66987">
      <w:pPr>
        <w:spacing w:line="600" w:lineRule="exact"/>
        <w:outlineLvl w:val="0"/>
        <w:rPr>
          <w:rStyle w:val="25"/>
          <w:rFonts w:ascii="仿宋_GB2312" w:hAnsi="仿宋" w:eastAsia="仿宋_GB2312"/>
          <w:sz w:val="28"/>
          <w:szCs w:val="28"/>
        </w:rPr>
      </w:pPr>
      <w:r>
        <w:rPr>
          <w:rStyle w:val="25"/>
          <w:rFonts w:hint="eastAsia" w:ascii="仿宋_GB2312" w:hAnsi="仿宋" w:eastAsia="仿宋_GB2312"/>
          <w:sz w:val="28"/>
          <w:szCs w:val="28"/>
        </w:rPr>
        <w:t>三、</w:t>
      </w:r>
      <w:r>
        <w:rPr>
          <w:rFonts w:hint="eastAsia" w:ascii="仿宋_GB2312" w:hAnsi="仿宋" w:eastAsia="仿宋_GB2312"/>
          <w:b/>
          <w:color w:val="000000"/>
          <w:sz w:val="28"/>
          <w:szCs w:val="28"/>
        </w:rPr>
        <w:t>支</w:t>
      </w:r>
      <w:r>
        <w:rPr>
          <w:rStyle w:val="25"/>
          <w:rFonts w:hint="eastAsia" w:ascii="仿宋_GB2312" w:hAnsi="仿宋" w:eastAsia="仿宋_GB2312"/>
          <w:sz w:val="28"/>
          <w:szCs w:val="28"/>
        </w:rPr>
        <w:t>出决算表</w:t>
      </w:r>
      <w:bookmarkEnd w:id="54"/>
      <w:bookmarkStart w:id="55" w:name="_Toc15396622"/>
    </w:p>
    <w:p w14:paraId="2EE5DDFD">
      <w:pPr>
        <w:spacing w:line="600" w:lineRule="exact"/>
        <w:outlineLvl w:val="0"/>
        <w:rPr>
          <w:rStyle w:val="25"/>
          <w:rFonts w:ascii="仿宋_GB2312" w:hAnsi="仿宋" w:eastAsia="仿宋_GB2312"/>
          <w:sz w:val="28"/>
          <w:szCs w:val="28"/>
        </w:rPr>
      </w:pPr>
      <w:r>
        <w:rPr>
          <w:rStyle w:val="25"/>
          <w:rFonts w:hint="eastAsia" w:ascii="仿宋_GB2312" w:hAnsi="仿宋" w:eastAsia="仿宋_GB2312"/>
          <w:sz w:val="28"/>
          <w:szCs w:val="28"/>
        </w:rPr>
        <w:t>四、</w:t>
      </w:r>
      <w:r>
        <w:rPr>
          <w:rFonts w:hint="eastAsia" w:ascii="仿宋_GB2312" w:hAnsi="仿宋" w:eastAsia="仿宋_GB2312"/>
          <w:b/>
          <w:color w:val="000000"/>
          <w:sz w:val="28"/>
          <w:szCs w:val="28"/>
        </w:rPr>
        <w:t>财</w:t>
      </w:r>
      <w:r>
        <w:rPr>
          <w:rStyle w:val="25"/>
          <w:rFonts w:hint="eastAsia" w:ascii="仿宋_GB2312" w:hAnsi="仿宋" w:eastAsia="仿宋_GB2312"/>
          <w:sz w:val="28"/>
          <w:szCs w:val="28"/>
        </w:rPr>
        <w:t>政拨款收入支出决算总表</w:t>
      </w:r>
      <w:bookmarkEnd w:id="55"/>
      <w:bookmarkStart w:id="56" w:name="_Toc15396623"/>
    </w:p>
    <w:p w14:paraId="4400E193">
      <w:pPr>
        <w:spacing w:line="600" w:lineRule="exact"/>
        <w:outlineLvl w:val="0"/>
        <w:rPr>
          <w:rStyle w:val="25"/>
          <w:rFonts w:ascii="仿宋_GB2312" w:hAnsi="仿宋" w:eastAsia="仿宋_GB2312"/>
          <w:sz w:val="28"/>
          <w:szCs w:val="28"/>
        </w:rPr>
      </w:pPr>
      <w:r>
        <w:rPr>
          <w:rStyle w:val="25"/>
          <w:rFonts w:hint="eastAsia" w:ascii="仿宋_GB2312" w:hAnsi="仿宋" w:eastAsia="仿宋_GB2312"/>
          <w:sz w:val="28"/>
          <w:szCs w:val="28"/>
        </w:rPr>
        <w:t>五、</w:t>
      </w:r>
      <w:r>
        <w:rPr>
          <w:rFonts w:hint="eastAsia" w:ascii="仿宋_GB2312" w:hAnsi="仿宋" w:eastAsia="仿宋_GB2312"/>
          <w:b/>
          <w:color w:val="000000"/>
          <w:sz w:val="28"/>
          <w:szCs w:val="28"/>
        </w:rPr>
        <w:t>财</w:t>
      </w:r>
      <w:r>
        <w:rPr>
          <w:rStyle w:val="25"/>
          <w:rFonts w:hint="eastAsia" w:ascii="仿宋_GB2312" w:hAnsi="仿宋" w:eastAsia="仿宋_GB2312"/>
          <w:sz w:val="28"/>
          <w:szCs w:val="28"/>
        </w:rPr>
        <w:t>政拨款支出决算明细表</w:t>
      </w:r>
      <w:bookmarkEnd w:id="56"/>
      <w:bookmarkStart w:id="57" w:name="_Toc15396624"/>
    </w:p>
    <w:p w14:paraId="52787D8E">
      <w:pPr>
        <w:spacing w:line="600" w:lineRule="exact"/>
        <w:outlineLvl w:val="0"/>
        <w:rPr>
          <w:rStyle w:val="25"/>
          <w:rFonts w:ascii="仿宋_GB2312" w:hAnsi="仿宋" w:eastAsia="仿宋_GB2312"/>
          <w:sz w:val="28"/>
          <w:szCs w:val="28"/>
        </w:rPr>
      </w:pPr>
      <w:r>
        <w:rPr>
          <w:rStyle w:val="25"/>
          <w:rFonts w:hint="eastAsia" w:ascii="仿宋_GB2312" w:hAnsi="仿宋" w:eastAsia="仿宋_GB2312"/>
          <w:sz w:val="28"/>
          <w:szCs w:val="28"/>
        </w:rPr>
        <w:t>六、</w:t>
      </w:r>
      <w:r>
        <w:rPr>
          <w:rFonts w:hint="eastAsia" w:ascii="仿宋_GB2312" w:hAnsi="仿宋" w:eastAsia="仿宋_GB2312"/>
          <w:b/>
          <w:color w:val="000000"/>
          <w:sz w:val="28"/>
          <w:szCs w:val="28"/>
        </w:rPr>
        <w:t>一</w:t>
      </w:r>
      <w:r>
        <w:rPr>
          <w:rStyle w:val="25"/>
          <w:rFonts w:hint="eastAsia" w:ascii="仿宋_GB2312" w:hAnsi="仿宋" w:eastAsia="仿宋_GB2312"/>
          <w:sz w:val="28"/>
          <w:szCs w:val="28"/>
        </w:rPr>
        <w:t>般公共预算财政拨款支出决算表</w:t>
      </w:r>
      <w:bookmarkEnd w:id="57"/>
      <w:bookmarkStart w:id="58" w:name="_Toc15396625"/>
    </w:p>
    <w:p w14:paraId="7D10C1E0">
      <w:pPr>
        <w:spacing w:line="600" w:lineRule="exact"/>
        <w:outlineLvl w:val="0"/>
        <w:rPr>
          <w:rStyle w:val="25"/>
          <w:rFonts w:ascii="仿宋_GB2312" w:hAnsi="仿宋" w:eastAsia="仿宋_GB2312"/>
          <w:sz w:val="28"/>
          <w:szCs w:val="28"/>
        </w:rPr>
      </w:pPr>
      <w:r>
        <w:rPr>
          <w:rStyle w:val="25"/>
          <w:rFonts w:hint="eastAsia" w:ascii="仿宋_GB2312" w:hAnsi="仿宋" w:eastAsia="仿宋_GB2312"/>
          <w:sz w:val="28"/>
          <w:szCs w:val="28"/>
        </w:rPr>
        <w:t>七、</w:t>
      </w:r>
      <w:r>
        <w:rPr>
          <w:rFonts w:hint="eastAsia" w:ascii="仿宋_GB2312" w:hAnsi="仿宋" w:eastAsia="仿宋_GB2312"/>
          <w:b/>
          <w:color w:val="000000"/>
          <w:sz w:val="28"/>
          <w:szCs w:val="28"/>
        </w:rPr>
        <w:t>一</w:t>
      </w:r>
      <w:r>
        <w:rPr>
          <w:rStyle w:val="25"/>
          <w:rFonts w:hint="eastAsia" w:ascii="仿宋_GB2312" w:hAnsi="仿宋" w:eastAsia="仿宋_GB2312"/>
          <w:sz w:val="28"/>
          <w:szCs w:val="28"/>
        </w:rPr>
        <w:t>般公共预算财政拨款支出决算明细表</w:t>
      </w:r>
      <w:bookmarkEnd w:id="58"/>
      <w:bookmarkStart w:id="59" w:name="_Toc15396626"/>
    </w:p>
    <w:p w14:paraId="59D16E79">
      <w:pPr>
        <w:spacing w:line="600" w:lineRule="exact"/>
        <w:outlineLvl w:val="0"/>
        <w:rPr>
          <w:rStyle w:val="25"/>
          <w:rFonts w:ascii="仿宋_GB2312" w:hAnsi="仿宋" w:eastAsia="仿宋_GB2312"/>
          <w:sz w:val="28"/>
          <w:szCs w:val="28"/>
        </w:rPr>
      </w:pPr>
      <w:r>
        <w:rPr>
          <w:rStyle w:val="25"/>
          <w:rFonts w:hint="eastAsia" w:ascii="仿宋_GB2312" w:hAnsi="仿宋" w:eastAsia="仿宋_GB2312"/>
          <w:sz w:val="28"/>
          <w:szCs w:val="28"/>
        </w:rPr>
        <w:t>八、</w:t>
      </w:r>
      <w:r>
        <w:rPr>
          <w:rFonts w:hint="eastAsia" w:ascii="仿宋_GB2312" w:hAnsi="仿宋" w:eastAsia="仿宋_GB2312"/>
          <w:b/>
          <w:color w:val="000000"/>
          <w:sz w:val="28"/>
          <w:szCs w:val="28"/>
        </w:rPr>
        <w:t>一</w:t>
      </w:r>
      <w:r>
        <w:rPr>
          <w:rStyle w:val="25"/>
          <w:rFonts w:hint="eastAsia" w:ascii="仿宋_GB2312" w:hAnsi="仿宋" w:eastAsia="仿宋_GB2312"/>
          <w:sz w:val="28"/>
          <w:szCs w:val="28"/>
        </w:rPr>
        <w:t>般公共预算财政拨款基本支出决算表</w:t>
      </w:r>
      <w:bookmarkEnd w:id="59"/>
      <w:bookmarkStart w:id="60" w:name="_Toc15396627"/>
    </w:p>
    <w:p w14:paraId="7F68DAF8">
      <w:pPr>
        <w:spacing w:line="600" w:lineRule="exact"/>
        <w:outlineLvl w:val="0"/>
        <w:rPr>
          <w:rStyle w:val="25"/>
          <w:rFonts w:ascii="仿宋_GB2312" w:hAnsi="仿宋" w:eastAsia="仿宋_GB2312"/>
          <w:sz w:val="28"/>
          <w:szCs w:val="28"/>
        </w:rPr>
      </w:pPr>
      <w:r>
        <w:rPr>
          <w:rStyle w:val="25"/>
          <w:rFonts w:hint="eastAsia" w:ascii="仿宋_GB2312" w:hAnsi="仿宋" w:eastAsia="仿宋_GB2312"/>
          <w:sz w:val="28"/>
          <w:szCs w:val="28"/>
        </w:rPr>
        <w:t>九、</w:t>
      </w:r>
      <w:r>
        <w:rPr>
          <w:rFonts w:hint="eastAsia" w:ascii="仿宋_GB2312" w:hAnsi="仿宋" w:eastAsia="仿宋_GB2312"/>
          <w:b/>
          <w:color w:val="000000"/>
          <w:sz w:val="28"/>
          <w:szCs w:val="28"/>
        </w:rPr>
        <w:t>一</w:t>
      </w:r>
      <w:r>
        <w:rPr>
          <w:rStyle w:val="25"/>
          <w:rFonts w:hint="eastAsia" w:ascii="仿宋_GB2312" w:hAnsi="仿宋" w:eastAsia="仿宋_GB2312"/>
          <w:sz w:val="28"/>
          <w:szCs w:val="28"/>
        </w:rPr>
        <w:t>般公共预算财政拨款项目支出决算表</w:t>
      </w:r>
      <w:bookmarkEnd w:id="60"/>
      <w:bookmarkStart w:id="61" w:name="_Toc15396628"/>
    </w:p>
    <w:p w14:paraId="26F25BAB">
      <w:pPr>
        <w:spacing w:line="600" w:lineRule="exact"/>
        <w:outlineLvl w:val="0"/>
        <w:rPr>
          <w:rStyle w:val="25"/>
          <w:rFonts w:ascii="仿宋_GB2312" w:hAnsi="仿宋" w:eastAsia="仿宋_GB2312"/>
          <w:sz w:val="28"/>
          <w:szCs w:val="28"/>
        </w:rPr>
      </w:pPr>
      <w:r>
        <w:rPr>
          <w:rStyle w:val="25"/>
          <w:rFonts w:hint="eastAsia" w:ascii="仿宋_GB2312" w:hAnsi="仿宋" w:eastAsia="仿宋_GB2312"/>
          <w:sz w:val="28"/>
          <w:szCs w:val="28"/>
        </w:rPr>
        <w:t>十、</w:t>
      </w:r>
      <w:r>
        <w:rPr>
          <w:rFonts w:hint="eastAsia" w:ascii="仿宋_GB2312" w:hAnsi="仿宋" w:eastAsia="仿宋_GB2312"/>
          <w:b/>
          <w:color w:val="000000"/>
          <w:sz w:val="28"/>
          <w:szCs w:val="28"/>
        </w:rPr>
        <w:t>一</w:t>
      </w:r>
      <w:r>
        <w:rPr>
          <w:rStyle w:val="25"/>
          <w:rFonts w:hint="eastAsia" w:ascii="仿宋_GB2312" w:hAnsi="仿宋" w:eastAsia="仿宋_GB2312"/>
          <w:sz w:val="28"/>
          <w:szCs w:val="28"/>
        </w:rPr>
        <w:t>般公共预算财政拨款“三公”经费支出决算表</w:t>
      </w:r>
      <w:bookmarkEnd w:id="61"/>
      <w:bookmarkStart w:id="62" w:name="_Toc15396629"/>
    </w:p>
    <w:p w14:paraId="0CD77680">
      <w:pPr>
        <w:spacing w:line="600" w:lineRule="exact"/>
        <w:outlineLvl w:val="0"/>
        <w:rPr>
          <w:rStyle w:val="25"/>
          <w:rFonts w:ascii="仿宋_GB2312" w:hAnsi="仿宋" w:eastAsia="仿宋_GB2312"/>
          <w:sz w:val="28"/>
          <w:szCs w:val="28"/>
        </w:rPr>
      </w:pPr>
      <w:r>
        <w:rPr>
          <w:rStyle w:val="25"/>
          <w:rFonts w:hint="eastAsia" w:ascii="仿宋_GB2312" w:hAnsi="仿宋" w:eastAsia="仿宋_GB2312"/>
          <w:sz w:val="28"/>
          <w:szCs w:val="28"/>
        </w:rPr>
        <w:t>十一、</w:t>
      </w:r>
      <w:r>
        <w:rPr>
          <w:rFonts w:hint="eastAsia" w:ascii="仿宋_GB2312" w:hAnsi="仿宋" w:eastAsia="仿宋_GB2312"/>
          <w:b/>
          <w:color w:val="000000"/>
          <w:sz w:val="28"/>
          <w:szCs w:val="28"/>
        </w:rPr>
        <w:t>政</w:t>
      </w:r>
      <w:r>
        <w:rPr>
          <w:rStyle w:val="25"/>
          <w:rFonts w:hint="eastAsia" w:ascii="仿宋_GB2312" w:hAnsi="仿宋" w:eastAsia="仿宋_GB2312"/>
          <w:sz w:val="28"/>
          <w:szCs w:val="28"/>
        </w:rPr>
        <w:t>府性基金预算财政拨款收入支出决算表</w:t>
      </w:r>
      <w:bookmarkEnd w:id="62"/>
      <w:bookmarkStart w:id="63" w:name="_Toc15396630"/>
    </w:p>
    <w:p w14:paraId="47010E85">
      <w:pPr>
        <w:spacing w:line="600" w:lineRule="exact"/>
        <w:outlineLvl w:val="0"/>
        <w:rPr>
          <w:rStyle w:val="25"/>
          <w:rFonts w:ascii="仿宋_GB2312" w:hAnsi="仿宋" w:eastAsia="仿宋_GB2312"/>
          <w:sz w:val="28"/>
          <w:szCs w:val="28"/>
        </w:rPr>
      </w:pPr>
      <w:r>
        <w:rPr>
          <w:rStyle w:val="25"/>
          <w:rFonts w:hint="eastAsia" w:ascii="仿宋_GB2312" w:hAnsi="仿宋" w:eastAsia="仿宋_GB2312"/>
          <w:sz w:val="28"/>
          <w:szCs w:val="28"/>
        </w:rPr>
        <w:t>十二、</w:t>
      </w:r>
      <w:r>
        <w:rPr>
          <w:rFonts w:hint="eastAsia" w:ascii="仿宋_GB2312" w:hAnsi="仿宋" w:eastAsia="仿宋_GB2312"/>
          <w:b/>
          <w:color w:val="000000"/>
          <w:sz w:val="28"/>
          <w:szCs w:val="28"/>
        </w:rPr>
        <w:t>政</w:t>
      </w:r>
      <w:r>
        <w:rPr>
          <w:rStyle w:val="25"/>
          <w:rFonts w:hint="eastAsia" w:ascii="仿宋_GB2312" w:hAnsi="仿宋" w:eastAsia="仿宋_GB2312"/>
          <w:sz w:val="28"/>
          <w:szCs w:val="28"/>
        </w:rPr>
        <w:t>府性基金预算财政拨款“三公”经费支出决算表</w:t>
      </w:r>
      <w:bookmarkEnd w:id="63"/>
      <w:bookmarkStart w:id="64" w:name="_Toc15396631"/>
    </w:p>
    <w:p w14:paraId="69069FEC">
      <w:pPr>
        <w:spacing w:line="600" w:lineRule="exact"/>
        <w:outlineLvl w:val="0"/>
        <w:rPr>
          <w:rFonts w:ascii="仿宋_GB2312" w:hAnsi="仿宋" w:eastAsia="仿宋_GB2312"/>
          <w:color w:val="000000"/>
          <w:sz w:val="28"/>
          <w:szCs w:val="28"/>
        </w:rPr>
      </w:pPr>
      <w:r>
        <w:rPr>
          <w:rStyle w:val="25"/>
          <w:rFonts w:hint="eastAsia" w:ascii="仿宋_GB2312" w:hAnsi="仿宋" w:eastAsia="仿宋_GB2312"/>
          <w:sz w:val="28"/>
          <w:szCs w:val="28"/>
        </w:rPr>
        <w:t>十三、</w:t>
      </w:r>
      <w:r>
        <w:rPr>
          <w:rFonts w:hint="eastAsia" w:ascii="仿宋_GB2312" w:hAnsi="仿宋" w:eastAsia="仿宋_GB2312"/>
          <w:b/>
          <w:color w:val="000000"/>
          <w:sz w:val="28"/>
          <w:szCs w:val="28"/>
        </w:rPr>
        <w:t>国</w:t>
      </w:r>
      <w:r>
        <w:rPr>
          <w:rStyle w:val="25"/>
          <w:rFonts w:hint="eastAsia" w:ascii="仿宋_GB2312" w:hAnsi="仿宋" w:eastAsia="仿宋_GB2312"/>
          <w:sz w:val="28"/>
          <w:szCs w:val="28"/>
        </w:rPr>
        <w:t>有资本经营预算支出决算表</w:t>
      </w:r>
      <w:bookmarkEnd w:id="6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257191D">
        <w:pPr>
          <w:pStyle w:val="8"/>
          <w:jc w:val="center"/>
        </w:pPr>
        <w:r>
          <w:fldChar w:fldCharType="begin"/>
        </w:r>
        <w:r>
          <w:instrText xml:space="preserve">PAGE   \* MERGEFORMAT</w:instrText>
        </w:r>
        <w:r>
          <w:fldChar w:fldCharType="separate"/>
        </w:r>
        <w:r>
          <w:rPr>
            <w:lang w:val="zh-CN"/>
          </w:rPr>
          <w:t>24</w:t>
        </w:r>
        <w:r>
          <w:rPr>
            <w:lang w:val="zh-CN"/>
          </w:rPr>
          <w:fldChar w:fldCharType="end"/>
        </w:r>
      </w:p>
    </w:sdtContent>
  </w:sdt>
  <w:p w14:paraId="2173A3F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FB0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6943A12"/>
    <w:multiLevelType w:val="multilevel"/>
    <w:tmpl w:val="56943A12"/>
    <w:lvl w:ilvl="0" w:tentative="0">
      <w:start w:val="1"/>
      <w:numFmt w:val="japaneseCounting"/>
      <w:lvlText w:val="%1、"/>
      <w:lvlJc w:val="left"/>
      <w:pPr>
        <w:ind w:left="630" w:hanging="63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2988"/>
    <w:rsid w:val="00006166"/>
    <w:rsid w:val="000222C6"/>
    <w:rsid w:val="0002549F"/>
    <w:rsid w:val="000351C9"/>
    <w:rsid w:val="00037CDD"/>
    <w:rsid w:val="000418F2"/>
    <w:rsid w:val="000468DB"/>
    <w:rsid w:val="000503BD"/>
    <w:rsid w:val="000535B4"/>
    <w:rsid w:val="00057F6D"/>
    <w:rsid w:val="000608AB"/>
    <w:rsid w:val="0006487A"/>
    <w:rsid w:val="00065F8F"/>
    <w:rsid w:val="00070A43"/>
    <w:rsid w:val="000768F2"/>
    <w:rsid w:val="00083E63"/>
    <w:rsid w:val="000845A6"/>
    <w:rsid w:val="0009184B"/>
    <w:rsid w:val="00094236"/>
    <w:rsid w:val="0009593C"/>
    <w:rsid w:val="00097322"/>
    <w:rsid w:val="000A5447"/>
    <w:rsid w:val="000A6A92"/>
    <w:rsid w:val="000B047F"/>
    <w:rsid w:val="000B3B1B"/>
    <w:rsid w:val="000B3C63"/>
    <w:rsid w:val="000B5923"/>
    <w:rsid w:val="000B5A48"/>
    <w:rsid w:val="000B6FF3"/>
    <w:rsid w:val="000C3467"/>
    <w:rsid w:val="000C3BDF"/>
    <w:rsid w:val="000C3CA6"/>
    <w:rsid w:val="000D0943"/>
    <w:rsid w:val="000D1267"/>
    <w:rsid w:val="000D1D50"/>
    <w:rsid w:val="000D5782"/>
    <w:rsid w:val="000E6613"/>
    <w:rsid w:val="000E7119"/>
    <w:rsid w:val="00114E9B"/>
    <w:rsid w:val="001159E9"/>
    <w:rsid w:val="0011606D"/>
    <w:rsid w:val="0012160D"/>
    <w:rsid w:val="00141530"/>
    <w:rsid w:val="00142216"/>
    <w:rsid w:val="00144D6A"/>
    <w:rsid w:val="0014729F"/>
    <w:rsid w:val="00157BAB"/>
    <w:rsid w:val="001654D1"/>
    <w:rsid w:val="00167FB7"/>
    <w:rsid w:val="00171CC1"/>
    <w:rsid w:val="00174518"/>
    <w:rsid w:val="0018106D"/>
    <w:rsid w:val="00185547"/>
    <w:rsid w:val="001877A7"/>
    <w:rsid w:val="00191536"/>
    <w:rsid w:val="00196588"/>
    <w:rsid w:val="00196687"/>
    <w:rsid w:val="001978C0"/>
    <w:rsid w:val="001A39B7"/>
    <w:rsid w:val="001C0962"/>
    <w:rsid w:val="001D5C43"/>
    <w:rsid w:val="001D7531"/>
    <w:rsid w:val="001E737D"/>
    <w:rsid w:val="001F0592"/>
    <w:rsid w:val="001F7506"/>
    <w:rsid w:val="002006CD"/>
    <w:rsid w:val="00202B36"/>
    <w:rsid w:val="00204B7A"/>
    <w:rsid w:val="00204CDE"/>
    <w:rsid w:val="0021101A"/>
    <w:rsid w:val="002144E7"/>
    <w:rsid w:val="00220536"/>
    <w:rsid w:val="00225A91"/>
    <w:rsid w:val="00235629"/>
    <w:rsid w:val="0024034C"/>
    <w:rsid w:val="00247CDF"/>
    <w:rsid w:val="00250B65"/>
    <w:rsid w:val="00260C38"/>
    <w:rsid w:val="002616C0"/>
    <w:rsid w:val="00265372"/>
    <w:rsid w:val="002662AA"/>
    <w:rsid w:val="002706CF"/>
    <w:rsid w:val="00277416"/>
    <w:rsid w:val="00280496"/>
    <w:rsid w:val="002939C8"/>
    <w:rsid w:val="00294DC9"/>
    <w:rsid w:val="00295495"/>
    <w:rsid w:val="002A31DE"/>
    <w:rsid w:val="002B2613"/>
    <w:rsid w:val="002D19B0"/>
    <w:rsid w:val="002D6D05"/>
    <w:rsid w:val="002F0F35"/>
    <w:rsid w:val="002F1818"/>
    <w:rsid w:val="002F567B"/>
    <w:rsid w:val="00306F12"/>
    <w:rsid w:val="00310F14"/>
    <w:rsid w:val="003216A9"/>
    <w:rsid w:val="00335A74"/>
    <w:rsid w:val="0033641E"/>
    <w:rsid w:val="00344A25"/>
    <w:rsid w:val="0036561B"/>
    <w:rsid w:val="00365804"/>
    <w:rsid w:val="0037013F"/>
    <w:rsid w:val="00380C92"/>
    <w:rsid w:val="003A484F"/>
    <w:rsid w:val="003A4883"/>
    <w:rsid w:val="003A626C"/>
    <w:rsid w:val="003B05D3"/>
    <w:rsid w:val="003B0BE0"/>
    <w:rsid w:val="003B0C1B"/>
    <w:rsid w:val="003B1EA0"/>
    <w:rsid w:val="003B688C"/>
    <w:rsid w:val="003C0291"/>
    <w:rsid w:val="003C39AE"/>
    <w:rsid w:val="003C4510"/>
    <w:rsid w:val="003C7B60"/>
    <w:rsid w:val="003D0C0F"/>
    <w:rsid w:val="003D1FB2"/>
    <w:rsid w:val="003D66DA"/>
    <w:rsid w:val="003E1310"/>
    <w:rsid w:val="003E1B06"/>
    <w:rsid w:val="003E6F55"/>
    <w:rsid w:val="00406254"/>
    <w:rsid w:val="00416CD4"/>
    <w:rsid w:val="004172E1"/>
    <w:rsid w:val="004223DE"/>
    <w:rsid w:val="00434489"/>
    <w:rsid w:val="00437085"/>
    <w:rsid w:val="00443880"/>
    <w:rsid w:val="004464F4"/>
    <w:rsid w:val="00466739"/>
    <w:rsid w:val="00471401"/>
    <w:rsid w:val="0047204B"/>
    <w:rsid w:val="00473F31"/>
    <w:rsid w:val="0048263A"/>
    <w:rsid w:val="00482DD9"/>
    <w:rsid w:val="0048494B"/>
    <w:rsid w:val="00484C4D"/>
    <w:rsid w:val="00487E5D"/>
    <w:rsid w:val="004A711F"/>
    <w:rsid w:val="004B199D"/>
    <w:rsid w:val="004B4690"/>
    <w:rsid w:val="004D126D"/>
    <w:rsid w:val="004E0A2D"/>
    <w:rsid w:val="004E206B"/>
    <w:rsid w:val="004E6323"/>
    <w:rsid w:val="004E6DF7"/>
    <w:rsid w:val="004F0353"/>
    <w:rsid w:val="004F0FBD"/>
    <w:rsid w:val="004F403E"/>
    <w:rsid w:val="00505A47"/>
    <w:rsid w:val="00512FDA"/>
    <w:rsid w:val="0052077D"/>
    <w:rsid w:val="00520B79"/>
    <w:rsid w:val="00520DA0"/>
    <w:rsid w:val="005471E1"/>
    <w:rsid w:val="005664BB"/>
    <w:rsid w:val="00566FFA"/>
    <w:rsid w:val="0057481D"/>
    <w:rsid w:val="00575F0B"/>
    <w:rsid w:val="0058486E"/>
    <w:rsid w:val="00585B33"/>
    <w:rsid w:val="0059014D"/>
    <w:rsid w:val="00596C3D"/>
    <w:rsid w:val="005A11B1"/>
    <w:rsid w:val="005B5C64"/>
    <w:rsid w:val="005C6BD0"/>
    <w:rsid w:val="005C6C4C"/>
    <w:rsid w:val="005D078F"/>
    <w:rsid w:val="005D1C8B"/>
    <w:rsid w:val="005D468D"/>
    <w:rsid w:val="005D4B42"/>
    <w:rsid w:val="005D5CED"/>
    <w:rsid w:val="005F1A4C"/>
    <w:rsid w:val="005F2173"/>
    <w:rsid w:val="00605688"/>
    <w:rsid w:val="006070AF"/>
    <w:rsid w:val="00607E6C"/>
    <w:rsid w:val="006101B1"/>
    <w:rsid w:val="00613D7C"/>
    <w:rsid w:val="00614E44"/>
    <w:rsid w:val="006169C8"/>
    <w:rsid w:val="0062270A"/>
    <w:rsid w:val="00622830"/>
    <w:rsid w:val="00623DA0"/>
    <w:rsid w:val="00630AEF"/>
    <w:rsid w:val="006322E4"/>
    <w:rsid w:val="006325F8"/>
    <w:rsid w:val="00633463"/>
    <w:rsid w:val="00634C9A"/>
    <w:rsid w:val="006440E4"/>
    <w:rsid w:val="00657A81"/>
    <w:rsid w:val="0066343B"/>
    <w:rsid w:val="0066423A"/>
    <w:rsid w:val="00664777"/>
    <w:rsid w:val="006748A4"/>
    <w:rsid w:val="006810D9"/>
    <w:rsid w:val="006816C7"/>
    <w:rsid w:val="00681A31"/>
    <w:rsid w:val="00683E73"/>
    <w:rsid w:val="006A3141"/>
    <w:rsid w:val="006A5E34"/>
    <w:rsid w:val="006B2422"/>
    <w:rsid w:val="006B2B9A"/>
    <w:rsid w:val="006B58FE"/>
    <w:rsid w:val="006C1937"/>
    <w:rsid w:val="006F020C"/>
    <w:rsid w:val="006F4193"/>
    <w:rsid w:val="0070160E"/>
    <w:rsid w:val="007127B7"/>
    <w:rsid w:val="0071798E"/>
    <w:rsid w:val="00727533"/>
    <w:rsid w:val="007416B6"/>
    <w:rsid w:val="00745887"/>
    <w:rsid w:val="00746F48"/>
    <w:rsid w:val="007518E7"/>
    <w:rsid w:val="0075404D"/>
    <w:rsid w:val="0076182A"/>
    <w:rsid w:val="00763CC7"/>
    <w:rsid w:val="00767B7E"/>
    <w:rsid w:val="007747AC"/>
    <w:rsid w:val="007770C3"/>
    <w:rsid w:val="00784D24"/>
    <w:rsid w:val="00785FBA"/>
    <w:rsid w:val="00786E4A"/>
    <w:rsid w:val="007875EB"/>
    <w:rsid w:val="0079426B"/>
    <w:rsid w:val="007A6C6D"/>
    <w:rsid w:val="007C3CF8"/>
    <w:rsid w:val="007D1682"/>
    <w:rsid w:val="007D312A"/>
    <w:rsid w:val="007D3F19"/>
    <w:rsid w:val="007E23B0"/>
    <w:rsid w:val="007E4CBF"/>
    <w:rsid w:val="007E7838"/>
    <w:rsid w:val="007F1991"/>
    <w:rsid w:val="007F2C2F"/>
    <w:rsid w:val="007F55FC"/>
    <w:rsid w:val="007F5665"/>
    <w:rsid w:val="00800112"/>
    <w:rsid w:val="00813348"/>
    <w:rsid w:val="008253BB"/>
    <w:rsid w:val="00833962"/>
    <w:rsid w:val="0083706E"/>
    <w:rsid w:val="008408F6"/>
    <w:rsid w:val="008423A5"/>
    <w:rsid w:val="0084347F"/>
    <w:rsid w:val="00850625"/>
    <w:rsid w:val="00853718"/>
    <w:rsid w:val="00855221"/>
    <w:rsid w:val="00860645"/>
    <w:rsid w:val="00862355"/>
    <w:rsid w:val="00871F71"/>
    <w:rsid w:val="00872FD8"/>
    <w:rsid w:val="00874BE1"/>
    <w:rsid w:val="00885AF4"/>
    <w:rsid w:val="00885D65"/>
    <w:rsid w:val="008939CD"/>
    <w:rsid w:val="00895755"/>
    <w:rsid w:val="00895D19"/>
    <w:rsid w:val="008B4C8C"/>
    <w:rsid w:val="008B768C"/>
    <w:rsid w:val="008C4DB1"/>
    <w:rsid w:val="008C4EAF"/>
    <w:rsid w:val="008C5176"/>
    <w:rsid w:val="008C7FD0"/>
    <w:rsid w:val="008D282E"/>
    <w:rsid w:val="008E1DE7"/>
    <w:rsid w:val="008E707C"/>
    <w:rsid w:val="00900B08"/>
    <w:rsid w:val="00902155"/>
    <w:rsid w:val="00902FA3"/>
    <w:rsid w:val="00906511"/>
    <w:rsid w:val="00920B15"/>
    <w:rsid w:val="00923564"/>
    <w:rsid w:val="0092392E"/>
    <w:rsid w:val="009315F9"/>
    <w:rsid w:val="00933499"/>
    <w:rsid w:val="00933D75"/>
    <w:rsid w:val="00934D8A"/>
    <w:rsid w:val="00935C98"/>
    <w:rsid w:val="00936C08"/>
    <w:rsid w:val="00946945"/>
    <w:rsid w:val="00951248"/>
    <w:rsid w:val="0095152F"/>
    <w:rsid w:val="00954C49"/>
    <w:rsid w:val="00955E37"/>
    <w:rsid w:val="009608C1"/>
    <w:rsid w:val="0097099F"/>
    <w:rsid w:val="00971997"/>
    <w:rsid w:val="00971FFC"/>
    <w:rsid w:val="0098660A"/>
    <w:rsid w:val="009931C3"/>
    <w:rsid w:val="009A7941"/>
    <w:rsid w:val="009B0CEA"/>
    <w:rsid w:val="009B2236"/>
    <w:rsid w:val="009B2C43"/>
    <w:rsid w:val="009B4B09"/>
    <w:rsid w:val="009B4EAE"/>
    <w:rsid w:val="009B7573"/>
    <w:rsid w:val="009C22F4"/>
    <w:rsid w:val="009C2E98"/>
    <w:rsid w:val="009C37FB"/>
    <w:rsid w:val="009D3447"/>
    <w:rsid w:val="009D4711"/>
    <w:rsid w:val="009D7806"/>
    <w:rsid w:val="009F1185"/>
    <w:rsid w:val="009F18CD"/>
    <w:rsid w:val="009F2A13"/>
    <w:rsid w:val="009F7527"/>
    <w:rsid w:val="00A039ED"/>
    <w:rsid w:val="00A04EB0"/>
    <w:rsid w:val="00A13CC1"/>
    <w:rsid w:val="00A1467A"/>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B66A0"/>
    <w:rsid w:val="00AC3C6A"/>
    <w:rsid w:val="00AD0F83"/>
    <w:rsid w:val="00AD5620"/>
    <w:rsid w:val="00AD656B"/>
    <w:rsid w:val="00AD7C1B"/>
    <w:rsid w:val="00AE16BA"/>
    <w:rsid w:val="00AE1EBE"/>
    <w:rsid w:val="00AE2752"/>
    <w:rsid w:val="00AF7515"/>
    <w:rsid w:val="00B03C9D"/>
    <w:rsid w:val="00B05F3B"/>
    <w:rsid w:val="00B060AE"/>
    <w:rsid w:val="00B10517"/>
    <w:rsid w:val="00B14E76"/>
    <w:rsid w:val="00B161B8"/>
    <w:rsid w:val="00B2048C"/>
    <w:rsid w:val="00B310B9"/>
    <w:rsid w:val="00B35F3F"/>
    <w:rsid w:val="00B36CBB"/>
    <w:rsid w:val="00B425E0"/>
    <w:rsid w:val="00B440AA"/>
    <w:rsid w:val="00B44B70"/>
    <w:rsid w:val="00B53C56"/>
    <w:rsid w:val="00B542A9"/>
    <w:rsid w:val="00B57236"/>
    <w:rsid w:val="00B57DAF"/>
    <w:rsid w:val="00B636B2"/>
    <w:rsid w:val="00B665A0"/>
    <w:rsid w:val="00B71A82"/>
    <w:rsid w:val="00B766CD"/>
    <w:rsid w:val="00B77EA6"/>
    <w:rsid w:val="00B802C2"/>
    <w:rsid w:val="00B81598"/>
    <w:rsid w:val="00B841F1"/>
    <w:rsid w:val="00B944D6"/>
    <w:rsid w:val="00BB4DF0"/>
    <w:rsid w:val="00BC2429"/>
    <w:rsid w:val="00BC289F"/>
    <w:rsid w:val="00BC2D50"/>
    <w:rsid w:val="00BC5361"/>
    <w:rsid w:val="00BC5460"/>
    <w:rsid w:val="00BC6B50"/>
    <w:rsid w:val="00BC71A9"/>
    <w:rsid w:val="00BD0E25"/>
    <w:rsid w:val="00BF3479"/>
    <w:rsid w:val="00BF5BD6"/>
    <w:rsid w:val="00C02298"/>
    <w:rsid w:val="00C03E31"/>
    <w:rsid w:val="00C30E69"/>
    <w:rsid w:val="00C33E72"/>
    <w:rsid w:val="00C354B2"/>
    <w:rsid w:val="00C35554"/>
    <w:rsid w:val="00C416C4"/>
    <w:rsid w:val="00C42709"/>
    <w:rsid w:val="00C533CC"/>
    <w:rsid w:val="00C55BCD"/>
    <w:rsid w:val="00C5751C"/>
    <w:rsid w:val="00C61BFC"/>
    <w:rsid w:val="00C62B85"/>
    <w:rsid w:val="00C65438"/>
    <w:rsid w:val="00C67846"/>
    <w:rsid w:val="00C72413"/>
    <w:rsid w:val="00C91CBB"/>
    <w:rsid w:val="00C931AD"/>
    <w:rsid w:val="00C96A4B"/>
    <w:rsid w:val="00CB4E70"/>
    <w:rsid w:val="00CC09B6"/>
    <w:rsid w:val="00CC666F"/>
    <w:rsid w:val="00CD07D2"/>
    <w:rsid w:val="00CD1E3F"/>
    <w:rsid w:val="00CD6879"/>
    <w:rsid w:val="00CE44F6"/>
    <w:rsid w:val="00CE49DA"/>
    <w:rsid w:val="00CE7B61"/>
    <w:rsid w:val="00D00095"/>
    <w:rsid w:val="00D01BAA"/>
    <w:rsid w:val="00D114F0"/>
    <w:rsid w:val="00D12068"/>
    <w:rsid w:val="00D20620"/>
    <w:rsid w:val="00D22C85"/>
    <w:rsid w:val="00D23EC4"/>
    <w:rsid w:val="00D252AF"/>
    <w:rsid w:val="00D254F7"/>
    <w:rsid w:val="00D26091"/>
    <w:rsid w:val="00D2685C"/>
    <w:rsid w:val="00D33CFF"/>
    <w:rsid w:val="00D34E7C"/>
    <w:rsid w:val="00D35489"/>
    <w:rsid w:val="00D36AFE"/>
    <w:rsid w:val="00D41325"/>
    <w:rsid w:val="00D508EA"/>
    <w:rsid w:val="00D51276"/>
    <w:rsid w:val="00D7035F"/>
    <w:rsid w:val="00D82CFE"/>
    <w:rsid w:val="00D84FD3"/>
    <w:rsid w:val="00DA634F"/>
    <w:rsid w:val="00DA65AC"/>
    <w:rsid w:val="00DB1913"/>
    <w:rsid w:val="00DC3E8D"/>
    <w:rsid w:val="00DC410D"/>
    <w:rsid w:val="00DC5A81"/>
    <w:rsid w:val="00DC68CA"/>
    <w:rsid w:val="00DC7CBA"/>
    <w:rsid w:val="00DD3431"/>
    <w:rsid w:val="00DD73B7"/>
    <w:rsid w:val="00DE5C39"/>
    <w:rsid w:val="00DF28BC"/>
    <w:rsid w:val="00DF2B8F"/>
    <w:rsid w:val="00DF2DB9"/>
    <w:rsid w:val="00DF34B9"/>
    <w:rsid w:val="00DF37D1"/>
    <w:rsid w:val="00E01053"/>
    <w:rsid w:val="00E061B6"/>
    <w:rsid w:val="00E07ACF"/>
    <w:rsid w:val="00E15669"/>
    <w:rsid w:val="00E26008"/>
    <w:rsid w:val="00E331A1"/>
    <w:rsid w:val="00E33202"/>
    <w:rsid w:val="00E336A9"/>
    <w:rsid w:val="00E3798D"/>
    <w:rsid w:val="00E472B1"/>
    <w:rsid w:val="00E50624"/>
    <w:rsid w:val="00E568DF"/>
    <w:rsid w:val="00E64269"/>
    <w:rsid w:val="00E66797"/>
    <w:rsid w:val="00E82267"/>
    <w:rsid w:val="00E83603"/>
    <w:rsid w:val="00E83E2B"/>
    <w:rsid w:val="00E853CE"/>
    <w:rsid w:val="00E867B6"/>
    <w:rsid w:val="00E87F08"/>
    <w:rsid w:val="00E970FE"/>
    <w:rsid w:val="00EA010F"/>
    <w:rsid w:val="00EB5C5B"/>
    <w:rsid w:val="00ED1B63"/>
    <w:rsid w:val="00ED3C1F"/>
    <w:rsid w:val="00ED4085"/>
    <w:rsid w:val="00ED420E"/>
    <w:rsid w:val="00ED6FBE"/>
    <w:rsid w:val="00EE2E1E"/>
    <w:rsid w:val="00EE2F57"/>
    <w:rsid w:val="00EF014B"/>
    <w:rsid w:val="00EF3220"/>
    <w:rsid w:val="00EF3DAD"/>
    <w:rsid w:val="00EF4C34"/>
    <w:rsid w:val="00EF77C6"/>
    <w:rsid w:val="00F03A29"/>
    <w:rsid w:val="00F05438"/>
    <w:rsid w:val="00F11A4A"/>
    <w:rsid w:val="00F1361C"/>
    <w:rsid w:val="00F156F0"/>
    <w:rsid w:val="00F160C7"/>
    <w:rsid w:val="00F2408F"/>
    <w:rsid w:val="00F240E9"/>
    <w:rsid w:val="00F36D8F"/>
    <w:rsid w:val="00F417B1"/>
    <w:rsid w:val="00F45853"/>
    <w:rsid w:val="00F52291"/>
    <w:rsid w:val="00F57EB1"/>
    <w:rsid w:val="00F602DF"/>
    <w:rsid w:val="00F754A1"/>
    <w:rsid w:val="00F81FD9"/>
    <w:rsid w:val="00F841AA"/>
    <w:rsid w:val="00F84A94"/>
    <w:rsid w:val="00F85755"/>
    <w:rsid w:val="00F87E96"/>
    <w:rsid w:val="00FA23E8"/>
    <w:rsid w:val="00FA2517"/>
    <w:rsid w:val="00FB3D6C"/>
    <w:rsid w:val="00FC13E5"/>
    <w:rsid w:val="00FD3CC1"/>
    <w:rsid w:val="00FF1E02"/>
    <w:rsid w:val="00FF30B4"/>
    <w:rsid w:val="10C055FF"/>
    <w:rsid w:val="16BB723D"/>
    <w:rsid w:val="1904091C"/>
    <w:rsid w:val="240371BF"/>
    <w:rsid w:val="29FD04D3"/>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69F9-8329-4D42-9547-8017DB5535E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10753</Words>
  <Characters>12440</Characters>
  <Lines>93</Lines>
  <Paragraphs>26</Paragraphs>
  <TotalTime>1007</TotalTime>
  <ScaleCrop>false</ScaleCrop>
  <LinksUpToDate>false</LinksUpToDate>
  <CharactersWithSpaces>12480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你是蝼蚁</cp:lastModifiedBy>
  <cp:lastPrinted>2020-10-26T09:08:00Z</cp:lastPrinted>
  <dcterms:modified xsi:type="dcterms:W3CDTF">2025-07-10T03:34:30Z</dcterms:modified>
  <dc:title>四川省***</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eyJoZGlkIjoiYmI5OWZjMWQyNmE1NzhmNGFlNGNiMTEwNGQxMDRiMTUiLCJ1c2VySWQiOiIyNDQyMDA5MjMifQ==</vt:lpwstr>
  </property>
  <property fmtid="{D5CDD505-2E9C-101B-9397-08002B2CF9AE}" pid="4" name="ICV">
    <vt:lpwstr>D3D2B1DAAC654D5DBB924AA1134104D6_12</vt:lpwstr>
  </property>
</Properties>
</file>