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96597"/>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77426"/>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乐山市峨眉山市乐都镇小学校部门决算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 27日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                                              4</w:t>
      </w:r>
    </w:p>
    <w:p>
      <w:pPr>
        <w:pStyle w:val="11"/>
        <w:adjustRightInd w:val="0"/>
        <w:snapToGrid w:val="0"/>
        <w:spacing w:line="440" w:lineRule="exact"/>
        <w:jc w:val="left"/>
        <w:rPr>
          <w:rFonts w:ascii="仿宋" w:hAnsi="仿宋" w:eastAsia="仿宋"/>
          <w:sz w:val="24"/>
        </w:rPr>
      </w:pPr>
      <w:r>
        <w:rPr>
          <w:rFonts w:hint="eastAsia"/>
          <w:sz w:val="24"/>
        </w:rPr>
        <w:t>一、基本职能及主要工作                                      4</w:t>
      </w:r>
    </w:p>
    <w:p>
      <w:pPr>
        <w:pStyle w:val="11"/>
        <w:adjustRightInd w:val="0"/>
        <w:snapToGrid w:val="0"/>
        <w:spacing w:line="440" w:lineRule="exact"/>
        <w:jc w:val="left"/>
        <w:rPr>
          <w:rFonts w:ascii="仿宋" w:hAnsi="仿宋" w:eastAsia="仿宋" w:cstheme="minorBidi"/>
          <w:sz w:val="24"/>
        </w:rPr>
      </w:pPr>
      <w:r>
        <w:rPr>
          <w:rFonts w:hint="eastAsia"/>
          <w:sz w:val="24"/>
        </w:rPr>
        <w:t>二、机构设置                                                5</w:t>
      </w:r>
    </w:p>
    <w:p>
      <w:pPr>
        <w:pStyle w:val="10"/>
        <w:adjustRightInd w:val="0"/>
        <w:snapToGrid w:val="0"/>
        <w:spacing w:before="0" w:line="440" w:lineRule="exact"/>
        <w:jc w:val="left"/>
        <w:rPr>
          <w:sz w:val="24"/>
          <w:szCs w:val="24"/>
        </w:rPr>
      </w:pPr>
      <w:r>
        <w:rPr>
          <w:rFonts w:hint="eastAsia"/>
          <w:sz w:val="24"/>
        </w:rPr>
        <w:t>第二部分度部门决算情况说明                                     6</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                                6</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                                        6</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                                        7</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                        7</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                    7</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                10</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                     10</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                          11</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                       11</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xml:space="preserve">                                11</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16</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                                                  23</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 xml:space="preserve">                                                      23</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 xml:space="preserve">                                                      32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                               37</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         37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                           37</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hAnsi="黑体" w:eastAsia="黑体"/>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 xml:space="preserve"> 实施小学义务教育，促进基础教育发展，小学学历教育。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1、2019年学校工作正常运转，年终综合评估优秀。绩效一等奖。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2、教学工作有声有色，2019年－2020学年度教学质量一等奖。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3、音体美抽考合格。开设艺术特色课“葫芦丝”，效果突出。</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4、参加市级运动会，获乙组第六名。</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5、参加文艺汇演、朗读比赛等，效果良好。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6、注重教师能力提升，学校教师外出听课达到人均2次。</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7、主动承担市级教研课，全年共4次。效果良好。</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8、协助“文体旅”做好学校足球场新建工作，立项成功。</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9、开展“乡村少年宫”活动，丰富学生课余生活，获得全校师生、家长一致好评。</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10、做好学校人才队伍建设工作，加强学校骨干教师培养，促进全校教师业务能力提升，提高全校教育教学质量。</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11、加强学校安全保卫工作，聘任两名保安，确保学校教育教学秩序正常。</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12、注重退休教师慰问工作，参加退协活动，春节慰问高龄退休教师，及时慰问生病退休教师及死亡退休教师家属。</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kern w:val="2"/>
          <w:sz w:val="32"/>
          <w:szCs w:val="32"/>
        </w:rPr>
        <w:t>13、注重学校德育工作开展，开展了“爱国主义教育”“庆六一”、 “少先队建队节”、“学校艺术节”、“健康、安全教育”、“贫困儿童爱心资助”等活动。</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峨眉山市乐都镇小学校下属二级单位0个，其中行政单位0个，参照公务员法管理的事业单位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2019年度收、支总计476.47万元。与2018年相比，收、支总计各减少22.97万元，下降4.59</w:t>
      </w:r>
      <w:r>
        <w:rPr>
          <w:rFonts w:ascii="仿宋" w:hAnsi="仿宋" w:eastAsia="仿宋"/>
          <w:color w:val="000000"/>
          <w:sz w:val="32"/>
          <w:szCs w:val="32"/>
        </w:rPr>
        <w:t>%</w:t>
      </w:r>
      <w:r>
        <w:rPr>
          <w:rFonts w:hint="eastAsia" w:ascii="仿宋" w:hAnsi="仿宋" w:eastAsia="仿宋"/>
          <w:color w:val="000000"/>
          <w:sz w:val="32"/>
          <w:szCs w:val="32"/>
        </w:rPr>
        <w:t>。主要变动原因是：在职教师退休2人，人员经费开支减少。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ind w:firstLine="945" w:firstLineChars="450"/>
      </w:pPr>
      <w:r>
        <w:drawing>
          <wp:inline distT="0" distB="0" distL="0" distR="0">
            <wp:extent cx="4001135" cy="1430655"/>
            <wp:effectExtent l="19050" t="0" r="18388"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9年本年收入合计465.51万元，其中：一般公共预算财政拨款收入459.51万元，占98.71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；政府性基金预算财政拨款收入3.00万元，占0.64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；事业收入3.00万元，占0.64</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735" w:firstLineChars="350"/>
      </w:pPr>
      <w:r>
        <w:drawing>
          <wp:inline distT="0" distB="0" distL="0" distR="0">
            <wp:extent cx="4051935" cy="1327785"/>
            <wp:effectExtent l="19050" t="0" r="24682" b="5633"/>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9年本年支出合计468.24万元，其中：基本支出456.87万元，占97.56</w:t>
      </w:r>
      <w:r>
        <w:rPr>
          <w:rFonts w:ascii="仿宋" w:hAnsi="仿宋" w:eastAsia="仿宋"/>
          <w:color w:val="000000"/>
          <w:sz w:val="32"/>
          <w:szCs w:val="32"/>
        </w:rPr>
        <w:t>%</w:t>
      </w:r>
      <w:r>
        <w:rPr>
          <w:rFonts w:hint="eastAsia" w:ascii="仿宋" w:hAnsi="仿宋" w:eastAsia="仿宋"/>
          <w:color w:val="000000"/>
          <w:sz w:val="32"/>
          <w:szCs w:val="32"/>
        </w:rPr>
        <w:t>；项目支出11.37万元，占2.4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ind w:firstLine="735" w:firstLineChars="350"/>
      </w:pPr>
      <w:r>
        <w:drawing>
          <wp:inline distT="0" distB="0" distL="0" distR="0">
            <wp:extent cx="4001135" cy="1463040"/>
            <wp:effectExtent l="19050" t="0" r="18388" b="381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9年财政拨款收、支总计473.47万元。与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8年相比，财政拨款收、支总计各减少17.42万元，下降3.52</w:t>
      </w:r>
      <w:r>
        <w:rPr>
          <w:rFonts w:ascii="仿宋" w:hAnsi="仿宋" w:eastAsia="仿宋"/>
          <w:color w:val="000000"/>
          <w:sz w:val="32"/>
          <w:szCs w:val="32"/>
        </w:rPr>
        <w:t>%</w:t>
      </w:r>
      <w:r>
        <w:rPr>
          <w:rFonts w:hint="eastAsia" w:ascii="仿宋" w:hAnsi="仿宋" w:eastAsia="仿宋"/>
          <w:color w:val="000000"/>
          <w:sz w:val="32"/>
          <w:szCs w:val="32"/>
        </w:rPr>
        <w:t>。主要变动原因是: 在职教师退休2人，人员经费开支减少。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ind w:firstLine="735" w:firstLineChars="350"/>
      </w:pPr>
      <w:r>
        <w:drawing>
          <wp:inline distT="0" distB="0" distL="0" distR="0">
            <wp:extent cx="4685030" cy="1446530"/>
            <wp:effectExtent l="19050" t="0" r="19740" b="662"/>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9年一般公共预算财政拨款支出462.24万元，占本年支出合计的97.01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8年相比，一般公共预算财政拨款减少21.52万元，下降4.47</w:t>
      </w:r>
      <w:r>
        <w:rPr>
          <w:rFonts w:ascii="仿宋" w:hAnsi="仿宋" w:eastAsia="仿宋"/>
          <w:color w:val="000000"/>
          <w:sz w:val="32"/>
          <w:szCs w:val="32"/>
        </w:rPr>
        <w:t>%</w:t>
      </w:r>
      <w:r>
        <w:rPr>
          <w:rFonts w:hint="eastAsia" w:ascii="仿宋" w:hAnsi="仿宋" w:eastAsia="仿宋"/>
          <w:color w:val="000000"/>
          <w:sz w:val="32"/>
          <w:szCs w:val="32"/>
        </w:rPr>
        <w:t>。主要变动原因是：在职教师退休2人，人员经费开支减少。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r>
        <w:rPr>
          <w:rFonts w:hint="eastAsia"/>
        </w:rPr>
        <w:t xml:space="preserve">      </w:t>
      </w:r>
      <w:r>
        <w:drawing>
          <wp:inline distT="0" distB="0" distL="0" distR="0">
            <wp:extent cx="4616450" cy="1732915"/>
            <wp:effectExtent l="19050" t="0" r="12590" b="16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rPr>
        <w:t xml:space="preserve"> </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政拨款支出462.24万元，主要用于以下方面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教育（2050202）支出</w:t>
      </w:r>
      <w:r>
        <w:rPr>
          <w:rFonts w:hint="eastAsia" w:ascii="仿宋" w:hAnsi="仿宋" w:eastAsia="仿宋"/>
          <w:color w:val="000000" w:themeColor="text1"/>
          <w:sz w:val="32"/>
          <w:szCs w:val="32"/>
        </w:rPr>
        <w:t>339.95万元，占73.54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w:t>
      </w:r>
      <w:r>
        <w:rPr>
          <w:rFonts w:hint="eastAsia" w:ascii="仿宋" w:hAnsi="仿宋" w:eastAsia="仿宋"/>
          <w:color w:val="000000" w:themeColor="text1"/>
          <w:sz w:val="32"/>
          <w:szCs w:val="32"/>
        </w:rPr>
        <w:t>(2050299)支出1.05万元，占0.22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社会保障和就业（2080505）</w:t>
      </w:r>
      <w:r>
        <w:rPr>
          <w:rFonts w:hint="eastAsia" w:ascii="仿宋" w:hAnsi="仿宋" w:eastAsia="仿宋"/>
          <w:color w:val="000000" w:themeColor="text1"/>
          <w:sz w:val="32"/>
          <w:szCs w:val="32"/>
        </w:rPr>
        <w:t>支出40.20万元，占8.69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w:t>
      </w:r>
      <w:r>
        <w:rPr>
          <w:rFonts w:hint="eastAsia" w:ascii="仿宋" w:hAnsi="仿宋" w:eastAsia="仿宋"/>
          <w:color w:val="000000" w:themeColor="text1"/>
          <w:sz w:val="32"/>
          <w:szCs w:val="32"/>
        </w:rPr>
        <w:t>(2080506)支出</w:t>
      </w:r>
      <w:r>
        <w:rPr>
          <w:rFonts w:hint="eastAsia" w:ascii="仿宋" w:hAnsi="仿宋" w:eastAsia="仿宋"/>
          <w:b/>
          <w:bCs/>
          <w:color w:val="000000" w:themeColor="text1"/>
          <w:sz w:val="32"/>
          <w:szCs w:val="32"/>
        </w:rPr>
        <w:t xml:space="preserve"> 21.06万元，占4.55</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社会保障和就业（2080801）</w:t>
      </w:r>
      <w:r>
        <w:rPr>
          <w:rFonts w:hint="eastAsia" w:ascii="仿宋" w:hAnsi="仿宋" w:eastAsia="仿宋"/>
          <w:color w:val="000000" w:themeColor="text1"/>
          <w:sz w:val="32"/>
          <w:szCs w:val="32"/>
        </w:rPr>
        <w:t>支出6.61万元，占1.43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社会保障和就业（2080899）</w:t>
      </w:r>
      <w:r>
        <w:rPr>
          <w:rFonts w:hint="eastAsia" w:ascii="仿宋" w:hAnsi="仿宋" w:eastAsia="仿宋"/>
          <w:color w:val="000000" w:themeColor="text1"/>
          <w:sz w:val="32"/>
          <w:szCs w:val="32"/>
        </w:rPr>
        <w:t>支出0.82万元，占0.17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 (2101102) 支出</w:t>
      </w:r>
      <w:r>
        <w:rPr>
          <w:rFonts w:hint="eastAsia" w:ascii="仿宋" w:hAnsi="仿宋" w:eastAsia="仿宋"/>
          <w:color w:val="000000" w:themeColor="text1"/>
          <w:sz w:val="32"/>
          <w:szCs w:val="32"/>
        </w:rPr>
        <w:t>14.53万元，占3.14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 (2210201) 支出38.02万元，占8.22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ind w:firstLine="525" w:firstLineChars="250"/>
      </w:pPr>
      <w:r>
        <w:drawing>
          <wp:inline distT="0" distB="0" distL="0" distR="0">
            <wp:extent cx="4733925" cy="1558290"/>
            <wp:effectExtent l="19050" t="0" r="28244" b="364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2019年一般公共预算支出决算数为467.46</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预算98.88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支出决算为339.95万元，完成预算98.49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教育（2050299）</w:t>
      </w:r>
      <w:r>
        <w:rPr>
          <w:rStyle w:val="14"/>
          <w:rFonts w:hint="eastAsia" w:ascii="仿宋" w:hAnsi="仿宋" w:eastAsia="仿宋"/>
          <w:b w:val="0"/>
          <w:bCs/>
          <w:color w:val="000000"/>
          <w:sz w:val="32"/>
          <w:szCs w:val="32"/>
        </w:rPr>
        <w:t>：支出决算为1.05万元，完成预算100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科学技术0（类）0（款）0（项）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文化旅游体育与传媒0（类）0（款）0（项）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ascii="仿宋" w:hAnsi="仿宋" w:eastAsia="仿宋"/>
          <w:bCs/>
          <w:color w:val="000000"/>
          <w:sz w:val="32"/>
          <w:szCs w:val="32"/>
        </w:rPr>
        <w:t xml:space="preserve"> </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支出决算为40.20万元，完成预算100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社会保障和就业（2080506）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支出决算为21.06万元，完成预算100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社会保障和就业（2080801）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社会保障和就业（2080899）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（2101102）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支出决算为14.53万元，完成预算100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（2210201）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支出决算为38.02万元，完成预算100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9年一般公共预算财政拨款基本支出453.86万元，其中：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436.26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17.60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
      <w:pPr>
        <w:spacing w:line="600" w:lineRule="exact"/>
        <w:ind w:firstLine="64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9年，峨眉山市乐都镇小学校机关运行经费支出17.6万元，比</w:t>
      </w:r>
      <w:r>
        <w:rPr>
          <w:rFonts w:ascii="仿宋_GB2312" w:eastAsia="仿宋_GB2312"/>
          <w:color w:val="000000"/>
          <w:sz w:val="32"/>
          <w:szCs w:val="32"/>
        </w:rPr>
        <w:t>201</w:t>
      </w:r>
      <w:r>
        <w:rPr>
          <w:rFonts w:hint="eastAsia" w:ascii="仿宋_GB2312" w:eastAsia="仿宋_GB2312"/>
          <w:color w:val="000000"/>
          <w:sz w:val="32"/>
          <w:szCs w:val="32"/>
        </w:rPr>
        <w:t>8年增加1.32万元，增加8.1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主要原因是日常办公经费支出增加。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9年，峨眉山市乐都镇小学校政府采购支出总额0万元，其中：政府采购货物支出0万元、政府采购工程支出0万元、政府采购服务支出0万元。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日，峨眉山市乐都镇小学校共有车辆0辆，其中：主要领导干部用车0辆、机要通信用车0辆、应急保障用车0辆、其他用车0辆……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根据预算绩效管理要求，本部门峨眉山市乐都镇小学校在年初预算编制阶段，组织对 “学校安保经费”、“人才队伍建设经费”、“义务教育学生免作业本费”开展了预算事前绩效评估，对学校安保经费、人才队伍建设经费、义务教育学生免作业本费3个项目编制了绩效目标，预算执行过程中，选取学校安保经费1个项目开展绩效监控，年终执行完毕后，对学校安保经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峨眉山市乐都镇小学校按要求对2019年部门整体支出开展绩效自评，从评价情况来看：全面完成绩效目标，完成情况良好。本部门还自行组织了1个项目支出绩效评价，从评价情况来看：全面完成绩效目标，完成情况良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“学校安保经费”、“人才队伍建设经费”、“义务教育学生免作业本费”等3个项目绩效目标实际完成情况。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经费”项目绩效目标完成情况综述。项目全年预算数7.00万元，执行数为7.00万元，完成预算的100%。通过项目实施，保障了学校安保工作的正常开展，维护校园安全稳定，为学校教育教学工作正常秩序提供保证。</w:t>
      </w: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峨眉山市乐都镇小学校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（2）“义务教育免作业本费”项目绩效目标完成情况综述。项目全年预算数0.64万元，执行数为0.64万元，完成预算的100%。通过项目实施，保障了贫困学生的就学，减轻了学生家庭负担。</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峨眉山市乐都镇小学校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0.64万元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0.64万元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215人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215人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0.72万元，执行数为0.72万元，完成预算的100%。通过项目实施，促进了学校人才队伍建设工作开展，提高了学校骨干教师业务能力，促进了全校教师教育教学能力的提升。提高了全校教学成绩。</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峨眉山市乐都镇小学校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0.72万元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0.72万元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0.72万元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0.72万元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本部门按要求对2019年部门整体支出绩效评价情况开展自评，《峨眉山市乐都镇小学校2019年部门整体支出绩效评价报告》见附件（附件1）。</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本部门自行组织对“学校安保工作经费”项目开展了绩效评价，《学校安保工作经费项目2019年绩效评价报告》见附件（附件2）。</w:t>
      </w:r>
      <w:bookmarkStart w:id="55" w:name="_Toc15396613"/>
      <w:bookmarkStart w:id="56" w:name="_Toc15377225"/>
    </w:p>
    <w:p>
      <w:pPr>
        <w:spacing w:line="580" w:lineRule="exact"/>
        <w:rPr>
          <w:rFonts w:ascii="黑体" w:hAnsi="黑体" w:eastAsia="黑体"/>
          <w:color w:val="000000"/>
          <w:sz w:val="44"/>
          <w:szCs w:val="44"/>
        </w:rPr>
      </w:pPr>
    </w:p>
    <w:p>
      <w:pPr>
        <w:spacing w:line="580" w:lineRule="exact"/>
        <w:ind w:firstLine="880" w:firstLineChars="200"/>
        <w:rPr>
          <w:rFonts w:ascii="黑体" w:hAnsi="黑体" w:eastAsia="黑体"/>
          <w:bCs/>
          <w:kern w:val="44"/>
          <w:sz w:val="44"/>
          <w:szCs w:val="44"/>
        </w:rPr>
      </w:pPr>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峨眉山市乐都镇小学校</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hd w:val="clear" w:color="auto" w:fill="FFFFFF"/>
        <w:spacing w:line="240" w:lineRule="atLeast"/>
        <w:ind w:firstLine="640" w:firstLineChars="200"/>
        <w:rPr>
          <w:rFonts w:ascii="仿宋_GB2312" w:hAnsi="仿宋_GB2312" w:eastAsia="仿宋_GB2312" w:cs="仿宋_GB2312"/>
          <w:kern w:val="0"/>
          <w:sz w:val="28"/>
          <w:szCs w:val="28"/>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仿宋_GB2312" w:eastAsia="仿宋_GB2312" w:cs="仿宋_GB2312"/>
          <w:kern w:val="0"/>
          <w:sz w:val="32"/>
          <w:szCs w:val="32"/>
          <w:shd w:val="clear" w:color="auto" w:fill="FFFFFF"/>
        </w:rPr>
        <w:t>我单位内设校长办公室、教务处、安办、少先队、后勤办公室5个部门，属财政全额拨款事业单位1个：峨眉山市乐都镇小学校。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实施小学义务教育，促进基础教育发展，小学学历教育。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仿宋" w:eastAsia="仿宋_GB2312"/>
          <w:sz w:val="32"/>
          <w:szCs w:val="32"/>
        </w:rPr>
        <w:t>核定事业编制28名，设领导职数1名。实际在岗人员28人。</w:t>
      </w:r>
      <w:r>
        <w:rPr>
          <w:rFonts w:hint="eastAsia" w:ascii="仿宋_GB2312" w:hAnsi="宋体" w:eastAsia="仿宋_GB2312" w:cs="宋体"/>
          <w:kern w:val="0"/>
          <w:sz w:val="32"/>
          <w:szCs w:val="32"/>
        </w:rPr>
        <w:t>长期聘用编外人员2名。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2019年部门年初预算收入为344.99万元。其中：一般公共财政拨款341.54，事业收入（财政专户收入）3.45万元；调整预算收入为476.45万元，其中：一般公共财政拨款467.45万元，政府性基金6.00万元；事业收入（财政专户收入）3.00万元；决算收入为465.50万元, 其中：一般公共财政拨款459.50万元，政府性基金3.00万元；事业收入（财政专户收入）3.00万元。年初财政结转结余10.94万元。全年总计决算收入476.45万元。</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决算收入比年初预算收入增加120.51万元，主要是财政预算调整（人员经费和项目经费）。</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我单位2019年支出年初预算算数为344.99万元；调整预算支出为476.45万元。其中：基本支出462.09万元（人员经费436.26万元，日常公用经费25.82万元），项目支出14.36万元（政府性基金6.00万元，公共</w:t>
      </w:r>
      <w:r>
        <w:rPr>
          <w:rFonts w:hint="eastAsia" w:ascii="仿宋_GB2312" w:hAnsi="宋体" w:eastAsia="仿宋_GB2312" w:cs="宋体"/>
          <w:kern w:val="0"/>
          <w:sz w:val="32"/>
          <w:szCs w:val="32"/>
          <w:lang w:eastAsia="zh-CN"/>
        </w:rPr>
        <w:t>财政拨款</w:t>
      </w:r>
      <w:r>
        <w:rPr>
          <w:rFonts w:hint="eastAsia" w:ascii="仿宋_GB2312" w:hAnsi="宋体" w:eastAsia="仿宋_GB2312" w:cs="宋体"/>
          <w:kern w:val="0"/>
          <w:sz w:val="32"/>
          <w:szCs w:val="32"/>
        </w:rPr>
        <w:t>8.36万元）。决算支出数为468.22万元，其中：基本支出456.86万元（其中人员经费436.26万元，日常公用经费支出20.60万元）；项目经费支出11.36万元。年末结转结余8.22万元。基本支出较预算减少的5.23万元，</w:t>
      </w:r>
      <w:r>
        <w:rPr>
          <w:rFonts w:hint="eastAsia" w:ascii="仿宋_GB2312" w:hAnsi="宋体" w:eastAsia="仿宋_GB2312" w:cs="宋体"/>
          <w:color w:val="000000" w:themeColor="text1"/>
          <w:kern w:val="0"/>
          <w:sz w:val="32"/>
          <w:szCs w:val="32"/>
        </w:rPr>
        <w:t>项目支出较预算减少3.00</w:t>
      </w:r>
      <w:r>
        <w:rPr>
          <w:rFonts w:hint="eastAsia" w:ascii="仿宋_GB2312" w:hAnsi="仿宋_GB2312" w:eastAsia="仿宋_GB2312" w:cs="仿宋_GB2312"/>
          <w:color w:val="000000" w:themeColor="text1"/>
          <w:kern w:val="0"/>
          <w:sz w:val="32"/>
          <w:szCs w:val="32"/>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ind w:firstLine="480" w:firstLineChars="150"/>
        <w:rPr>
          <w:rFonts w:ascii="仿宋_GB2312" w:hAnsi="宋体" w:eastAsia="仿宋_GB2312" w:cs="宋体"/>
          <w:sz w:val="32"/>
          <w:szCs w:val="32"/>
        </w:rPr>
      </w:pPr>
      <w:r>
        <w:rPr>
          <w:rFonts w:hint="eastAsia" w:ascii="仿宋_GB2312" w:hAnsi="宋体" w:eastAsia="仿宋_GB2312" w:cs="宋体"/>
          <w:sz w:val="32"/>
          <w:szCs w:val="32"/>
        </w:rPr>
        <w:t>（一）部门预算管理。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我单位严格按照财政部门的要求和实现编制预决算、填报绩效目标和专项项目进度表；2019年收入年初预算为344.99万元，调整预算为476.45万元，其中：一般公共</w:t>
      </w:r>
      <w:r>
        <w:rPr>
          <w:rFonts w:hint="eastAsia" w:ascii="仿宋_GB2312" w:hAnsi="宋体" w:eastAsia="仿宋_GB2312" w:cs="宋体"/>
          <w:sz w:val="32"/>
          <w:szCs w:val="32"/>
          <w:lang w:eastAsia="zh-CN"/>
        </w:rPr>
        <w:t>财政拨款</w:t>
      </w:r>
      <w:r>
        <w:rPr>
          <w:rFonts w:hint="eastAsia" w:ascii="仿宋_GB2312" w:hAnsi="宋体" w:eastAsia="仿宋_GB2312" w:cs="宋体"/>
          <w:sz w:val="32"/>
          <w:szCs w:val="32"/>
        </w:rPr>
        <w:t>467.45万元，政府性基金6.00万元；事业收入（财政专户收入）3.00万元。支出年初预算344.99万元，调整预算支出为476.45万元。其中：基本支出462.09万元（人员经费436.26万元，日常公用经费25.82万元），项目支出14.36万元（政府性基金6.00万元，公共</w:t>
      </w:r>
      <w:r>
        <w:rPr>
          <w:rFonts w:hint="eastAsia" w:ascii="仿宋_GB2312" w:hAnsi="宋体" w:eastAsia="仿宋_GB2312" w:cs="宋体"/>
          <w:sz w:val="32"/>
          <w:szCs w:val="32"/>
          <w:lang w:eastAsia="zh-CN"/>
        </w:rPr>
        <w:t>财政拨款</w:t>
      </w:r>
      <w:r>
        <w:rPr>
          <w:rFonts w:hint="eastAsia" w:ascii="仿宋_GB2312" w:hAnsi="宋体" w:eastAsia="仿宋_GB2312" w:cs="宋体"/>
          <w:sz w:val="32"/>
          <w:szCs w:val="32"/>
        </w:rPr>
        <w:t>8.36万元）。决算支出数为468.22万元，其中：基本支出456.86万元（其中人员经费436.26万元，日常公用经费支出20.60万元）；项目经费支出11.36万元。年末结转结余8.22万元。（基本支出较预算减少的5.23万元，项目支出较预算减少3.00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仿宋" w:eastAsia="仿宋_GB2312"/>
          <w:sz w:val="32"/>
          <w:szCs w:val="32"/>
        </w:rPr>
      </w:pPr>
      <w:r>
        <w:rPr>
          <w:rFonts w:hint="eastAsia" w:ascii="仿宋_GB2312" w:hAnsi="宋体" w:eastAsia="仿宋_GB2312" w:cs="宋体"/>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w:t>
      </w:r>
      <w:r>
        <w:rPr>
          <w:rFonts w:hint="eastAsia" w:ascii="仿宋_GB2312" w:hAnsi="宋体" w:eastAsia="仿宋_GB2312" w:cs="宋体"/>
          <w:kern w:val="0"/>
          <w:sz w:val="32"/>
          <w:szCs w:val="32"/>
        </w:rPr>
        <w:t>476.45</w:t>
      </w:r>
      <w:r>
        <w:rPr>
          <w:rFonts w:hint="eastAsia" w:ascii="仿宋_GB2312" w:hAnsi="宋体" w:eastAsia="仿宋_GB2312" w:cs="宋体"/>
          <w:sz w:val="32"/>
          <w:szCs w:val="32"/>
        </w:rPr>
        <w:t>万元,</w:t>
      </w:r>
      <w:r>
        <w:rPr>
          <w:rFonts w:hint="eastAsia" w:ascii="仿宋_GB2312" w:hAnsi="仿宋" w:eastAsia="仿宋_GB2312"/>
          <w:sz w:val="32"/>
          <w:szCs w:val="32"/>
        </w:rPr>
        <w:t>截止</w:t>
      </w:r>
      <w:r>
        <w:rPr>
          <w:rFonts w:ascii="仿宋_GB2312" w:hAnsi="仿宋" w:eastAsia="仿宋_GB2312"/>
          <w:sz w:val="32"/>
          <w:szCs w:val="32"/>
        </w:rPr>
        <w:t>201</w:t>
      </w:r>
      <w:r>
        <w:rPr>
          <w:rFonts w:hint="eastAsia" w:ascii="仿宋_GB2312" w:hAnsi="仿宋" w:eastAsia="仿宋_GB2312"/>
          <w:sz w:val="32"/>
          <w:szCs w:val="32"/>
        </w:rPr>
        <w:t>9年12月支出</w:t>
      </w:r>
      <w:r>
        <w:rPr>
          <w:rFonts w:hint="eastAsia" w:ascii="仿宋_GB2312" w:hAnsi="宋体" w:eastAsia="仿宋_GB2312" w:cs="宋体"/>
          <w:kern w:val="0"/>
          <w:sz w:val="32"/>
          <w:szCs w:val="32"/>
        </w:rPr>
        <w:t>468.22</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执行比例98.27</w:t>
      </w:r>
      <w:r>
        <w:rPr>
          <w:rFonts w:ascii="仿宋_GB2312" w:hAnsi="仿宋" w:eastAsia="仿宋_GB2312"/>
          <w:sz w:val="32"/>
          <w:szCs w:val="32"/>
        </w:rPr>
        <w:t>%</w:t>
      </w:r>
      <w:r>
        <w:rPr>
          <w:rFonts w:hint="eastAsia" w:ascii="仿宋_GB2312" w:hAnsi="仿宋" w:eastAsia="仿宋_GB2312"/>
          <w:sz w:val="32"/>
          <w:szCs w:val="32"/>
        </w:rPr>
        <w:t>,年末结转结余8.23万元。全年支出执行良好。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1.部门支出绩效</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（1）运行保障</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我单位基本支出的范围包括人员经费、日常公用经费。2019年基本支出决算数456.86万元，其中:人员经费436.26万元（工资福利支出368.31万元，对个人和家庭的补助69.31万元），日常公用经费20.60万元。</w:t>
      </w:r>
      <w:r>
        <w:rPr>
          <w:rFonts w:hint="eastAsia" w:ascii="仿宋_GB2312" w:hAnsi="仿宋_GB2312" w:eastAsia="仿宋_GB2312" w:cs="仿宋_GB2312"/>
          <w:kern w:val="0"/>
          <w:sz w:val="32"/>
          <w:szCs w:val="32"/>
        </w:rPr>
        <w:t>基本支出能够保障学校正常工作运转。</w:t>
      </w:r>
      <w:r>
        <w:rPr>
          <w:rFonts w:hint="eastAsia" w:ascii="仿宋_GB2312" w:hAnsi="宋体" w:eastAsia="仿宋_GB2312" w:cs="宋体"/>
          <w:kern w:val="0"/>
          <w:sz w:val="32"/>
          <w:szCs w:val="32"/>
        </w:rPr>
        <w:t>项目经费支出11.36万元。（乡村少年宫活动开展、安保工作展、三儿资助、免作业本费、人才队伍建设等）</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（2）学校厉行节约。</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因公出差、会议费、培训费、办公费等控制较好。2019办公费7.59万元，咨询费0.00万元，水费0.46万元，电费0.91万元，邮电费1.32万元，差旅费1.86万元，维修费0.87万元，会议费0.77万元，培训费1.10万元，专用材料费0.00万元，安保经费12.91万元，工会费0.25万元，福利费0.23万元，其它商品服务支出2.12万元。日常公用经费支出严格控制在年初预算内，并有节余。</w:t>
      </w:r>
    </w:p>
    <w:p>
      <w:pPr>
        <w:widowControl/>
        <w:spacing w:line="360" w:lineRule="auto"/>
        <w:ind w:firstLine="640" w:firstLineChars="200"/>
        <w:rPr>
          <w:rFonts w:ascii="仿宋_GB2312" w:eastAsia="仿宋_GB2312" w:cs="宋体"/>
          <w:kern w:val="0"/>
          <w:sz w:val="32"/>
          <w:szCs w:val="32"/>
        </w:rPr>
      </w:pPr>
      <w:r>
        <w:rPr>
          <w:rFonts w:hint="eastAsia" w:ascii="仿宋_GB2312" w:hAnsi="宋体" w:eastAsia="仿宋_GB2312" w:cs="宋体"/>
          <w:kern w:val="0"/>
          <w:sz w:val="32"/>
          <w:szCs w:val="32"/>
        </w:rPr>
        <w:t>2.预算项目支出绩效</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（1）资金绩效分配情况</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学校预算人员经费436.26万元（工资福利368.311万元、对个人和家庭补助69.31万元）。确保学校工作开展。</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日常公用经费20.60万元，确保学校工作正常运转。主要是教师出差、学校水电通讯等办公费、老师慰问费、大型修缮等。</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项目资金11.36万元。其中公共</w:t>
      </w:r>
      <w:r>
        <w:rPr>
          <w:rFonts w:hint="eastAsia" w:ascii="仿宋_GB2312" w:hAnsi="仿宋_GB2312" w:eastAsia="仿宋_GB2312" w:cs="仿宋_GB2312"/>
          <w:kern w:val="0"/>
          <w:sz w:val="32"/>
          <w:szCs w:val="32"/>
          <w:lang w:eastAsia="zh-CN"/>
        </w:rPr>
        <w:t>财政拨款</w:t>
      </w:r>
      <w:r>
        <w:rPr>
          <w:rFonts w:hint="eastAsia" w:ascii="仿宋_GB2312" w:hAnsi="仿宋_GB2312" w:eastAsia="仿宋_GB2312" w:cs="仿宋_GB2312"/>
          <w:kern w:val="0"/>
          <w:sz w:val="32"/>
          <w:szCs w:val="32"/>
        </w:rPr>
        <w:t>8.36万元。政府性基金3.00万元。保持乡村少年宫活动正常开展、三儿资助、骨干教师等。</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（2）项目资金管理情况</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360" w:lineRule="auto"/>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（3）绩效目标完成情况</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1、2019年学校工作正常运转，年终综合评估优秀。绩效一等奖。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2、教学工作有声有色，2019年－2020学年度教学质量一等奖。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3、音体美抽考合格。开设艺术特色课“葫芦丝”，效果突出。</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4、参加市级运动会，获乙组第六名。</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5、参加文艺汇演、朗读比赛等，效果良好。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6、注重教师能力提升，学校教师外出听课达到人均2次。</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7、主动承担市级教研课，全年共4次。效果良好。</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8、协助“文体旅”做好学校足球场新建工作，立项成功。</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9、开展“乡村少年宫”活动，丰富学生课余生活，获得全校师生、家长一致好评。</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10、做好学校人才队伍建设工作，加强学校骨干教师培养，促进全校教师业务能力提升，提高全校教育教学质量。</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11、加强学校安全保卫工作，聘任两名保安，确保学校教育教学秩序正常。</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12、注重退休教师慰问工作，参加退协活动，春节慰问高龄退休教师，及时慰问生病退休教师及死亡退休教师家属。</w:t>
      </w:r>
    </w:p>
    <w:p>
      <w:pPr>
        <w:widowControl/>
        <w:shd w:val="clear" w:color="auto" w:fill="FFFFFF"/>
        <w:adjustRightInd w:val="0"/>
        <w:snapToGrid w:val="0"/>
        <w:spacing w:line="360" w:lineRule="auto"/>
        <w:ind w:firstLine="713" w:firstLineChars="223"/>
        <w:jc w:val="left"/>
        <w:outlineLvl w:val="0"/>
        <w:rPr>
          <w:rFonts w:hint="eastAsia" w:ascii="仿宋" w:hAnsi="仿宋" w:eastAsia="仿宋"/>
          <w:sz w:val="32"/>
          <w:szCs w:val="32"/>
        </w:rPr>
      </w:pPr>
      <w:r>
        <w:rPr>
          <w:rFonts w:hint="eastAsia" w:ascii="仿宋" w:hAnsi="仿宋" w:eastAsia="仿宋"/>
          <w:sz w:val="32"/>
          <w:szCs w:val="32"/>
        </w:rPr>
        <w:t>13、注重学校德育工作开展，开展了“爱国主义教育”“庆六一”、 “少先队建队节”、“学校艺术节”、“健康、安全教育”、“贫困儿童爱心资助”等活动。</w:t>
      </w:r>
    </w:p>
    <w:p>
      <w:pPr>
        <w:widowControl/>
        <w:shd w:val="clear" w:color="auto" w:fill="FFFFFF"/>
        <w:adjustRightInd w:val="0"/>
        <w:snapToGrid w:val="0"/>
        <w:spacing w:line="360" w:lineRule="auto"/>
        <w:ind w:firstLine="713" w:firstLineChars="223"/>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（4）财务管理情况</w:t>
      </w:r>
    </w:p>
    <w:p>
      <w:pPr>
        <w:widowControl/>
        <w:shd w:val="clear" w:color="auto" w:fill="FFFFFF"/>
        <w:adjustRightInd w:val="0"/>
        <w:snapToGrid w:val="0"/>
        <w:spacing w:line="360" w:lineRule="auto"/>
        <w:ind w:firstLine="556"/>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360" w:lineRule="auto"/>
        <w:ind w:firstLine="555"/>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（5）绩效管理工作开展情况</w:t>
      </w:r>
    </w:p>
    <w:p>
      <w:pPr>
        <w:widowControl/>
        <w:shd w:val="clear" w:color="auto" w:fill="FFFFFF"/>
        <w:adjustRightInd w:val="0"/>
        <w:snapToGrid w:val="0"/>
        <w:spacing w:line="360" w:lineRule="auto"/>
        <w:ind w:firstLine="555"/>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根据《峨眉山市财政局关于开展2020年财政支出绩效评价工作的通知》（峨财通[2020]36号）文件精神</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通过绩效评价梳理出的问题，将通过座谈的形式传达给相关部门负责人，以便完善。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我单位部门支出绩效评价得分95 ，具体情况见下表：</w:t>
      </w:r>
    </w:p>
    <w:tbl>
      <w:tblPr>
        <w:tblStyle w:val="12"/>
        <w:tblW w:w="84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2530"/>
        <w:gridCol w:w="2672"/>
        <w:gridCol w:w="843"/>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一级指标</w:t>
            </w:r>
          </w:p>
        </w:tc>
        <w:tc>
          <w:tcPr>
            <w:tcW w:w="2530"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二级指标</w:t>
            </w:r>
          </w:p>
        </w:tc>
        <w:tc>
          <w:tcPr>
            <w:tcW w:w="2672"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三级指标</w:t>
            </w:r>
          </w:p>
        </w:tc>
        <w:tc>
          <w:tcPr>
            <w:tcW w:w="84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总分</w:t>
            </w:r>
          </w:p>
        </w:tc>
        <w:tc>
          <w:tcPr>
            <w:tcW w:w="89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报送时效</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基础信息更新</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预算草案报送</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编制质量</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预算编制准确</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预算执行调整</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部门预算审查</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绩效目标编制</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专项预算提前细化</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预控指标细化</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w:t>
            </w: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绩效分配</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项目绩效分配</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6月执行进度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12月执行进度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预算调整</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执行中期评估</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行政成本</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节能降耗</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廉洁行政</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支出绩效</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绩效评价</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专项预算项目绩效评价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决算审查</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部门决算差错率</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决算公开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结余注销率</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绩效管理</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工作开展</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合计</w:t>
            </w:r>
          </w:p>
        </w:tc>
        <w:tc>
          <w:tcPr>
            <w:tcW w:w="5202" w:type="dxa"/>
            <w:gridSpan w:val="2"/>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100</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95</w:t>
            </w:r>
          </w:p>
        </w:tc>
      </w:tr>
    </w:tbl>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2、部门支出相关（基本支出方面）的规章制度还不够完善。</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rPr>
      </w:pPr>
    </w:p>
    <w:p>
      <w:pPr>
        <w:widowControl/>
        <w:shd w:val="clear" w:color="auto" w:fill="FFFFFF"/>
        <w:adjustRightInd w:val="0"/>
        <w:snapToGrid w:val="0"/>
        <w:spacing w:before="100" w:beforeAutospacing="1" w:after="100" w:afterAutospacing="1" w:line="360" w:lineRule="auto"/>
        <w:ind w:firstLine="640"/>
        <w:jc w:val="righ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峨眉山市乐都镇小学校</w:t>
      </w:r>
    </w:p>
    <w:p>
      <w:pPr>
        <w:spacing w:line="580" w:lineRule="exact"/>
        <w:ind w:firstLine="5760" w:firstLineChars="18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2020年7月30日</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峨眉山市乐都镇小学校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7万元，每人每年预算标准为3.5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2019年，该项目预算资金7万元，年末市财政调减预算指标7万元。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2019年，该项目预算资金7万元，年末市财政调减预算指标7万元。项目由市教育局汇总学校情况，制定拨款报告给市财政局，市财政局审核后，将项目指标分解下达各学校并进行资金拨付。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2019年，该项目实际使用资金7万元，全额用于发放学校聘请的保安工资。项目预算标准为每人每年3.5万元，项目开支范围、标准及支付进度、支付依据均合规合法，资金支付与预算相符。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该项目对照预算，截止2019年12月31日，下达预算指标7万元，年末调减预算指标7万元，实际下达预算指标</w:t>
      </w:r>
      <w:r>
        <w:rPr>
          <w:rFonts w:hint="eastAsia" w:ascii="仿宋_GB2312" w:hAnsi="宋体" w:eastAsia="仿宋_GB2312"/>
          <w:sz w:val="32"/>
          <w:szCs w:val="32"/>
          <w:lang w:val="zh-CN"/>
        </w:rPr>
        <w:t>7万元。预算指标和资金拨付分春秋两季下达，全年使用资金7万元。资金拨付进度、拨付总额达到预期安排，项目完成情况较好，完成率100%。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保证了学校教育教学正常秩序，</w:t>
      </w:r>
      <w:r>
        <w:rPr>
          <w:rFonts w:hint="eastAsia" w:ascii="仿宋_GB2312" w:eastAsia="仿宋_GB2312" w:hAnsiTheme="minorEastAsia"/>
          <w:sz w:val="32"/>
          <w:szCs w:val="32"/>
        </w:rPr>
        <w:t>该项目实施的社会效益、经济效益明显</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580" w:lineRule="exact"/>
        <w:ind w:firstLine="640"/>
        <w:rPr>
          <w:rFonts w:ascii="仿宋_GB2312" w:hAnsi="仿宋_GB2312" w:eastAsia="仿宋_GB2312" w:cs="仿宋_GB2312"/>
          <w:sz w:val="32"/>
          <w:szCs w:val="32"/>
        </w:rPr>
      </w:pPr>
    </w:p>
    <w:p>
      <w:pPr>
        <w:spacing w:line="600" w:lineRule="exact"/>
        <w:ind w:right="640"/>
        <w:jc w:val="right"/>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峨眉山市乐都镇小学校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2020年10月22日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F86"/>
    <w:rsid w:val="00020B59"/>
    <w:rsid w:val="000222C6"/>
    <w:rsid w:val="0002549F"/>
    <w:rsid w:val="000468DB"/>
    <w:rsid w:val="0006487A"/>
    <w:rsid w:val="00065F8F"/>
    <w:rsid w:val="00070A43"/>
    <w:rsid w:val="000768F2"/>
    <w:rsid w:val="000878FD"/>
    <w:rsid w:val="0009184B"/>
    <w:rsid w:val="00094236"/>
    <w:rsid w:val="0009593C"/>
    <w:rsid w:val="00097322"/>
    <w:rsid w:val="000A1AB0"/>
    <w:rsid w:val="000A6A92"/>
    <w:rsid w:val="000B047F"/>
    <w:rsid w:val="000B5923"/>
    <w:rsid w:val="000B5A48"/>
    <w:rsid w:val="000B6FF3"/>
    <w:rsid w:val="000C3467"/>
    <w:rsid w:val="000C3CA6"/>
    <w:rsid w:val="000D1267"/>
    <w:rsid w:val="000D1D50"/>
    <w:rsid w:val="000D5782"/>
    <w:rsid w:val="000E6613"/>
    <w:rsid w:val="000E7119"/>
    <w:rsid w:val="000F756A"/>
    <w:rsid w:val="00114E9B"/>
    <w:rsid w:val="00142216"/>
    <w:rsid w:val="00144D6A"/>
    <w:rsid w:val="0014729F"/>
    <w:rsid w:val="00157BAB"/>
    <w:rsid w:val="001654D1"/>
    <w:rsid w:val="001703F9"/>
    <w:rsid w:val="001711E3"/>
    <w:rsid w:val="00174518"/>
    <w:rsid w:val="00177319"/>
    <w:rsid w:val="0018106D"/>
    <w:rsid w:val="001877A7"/>
    <w:rsid w:val="00191536"/>
    <w:rsid w:val="00196687"/>
    <w:rsid w:val="001C0962"/>
    <w:rsid w:val="001C4741"/>
    <w:rsid w:val="001D7531"/>
    <w:rsid w:val="001E737D"/>
    <w:rsid w:val="001E74FF"/>
    <w:rsid w:val="001F0592"/>
    <w:rsid w:val="001F7506"/>
    <w:rsid w:val="002006CD"/>
    <w:rsid w:val="00202B36"/>
    <w:rsid w:val="00204B7A"/>
    <w:rsid w:val="00204CDE"/>
    <w:rsid w:val="0021101A"/>
    <w:rsid w:val="00220536"/>
    <w:rsid w:val="00235629"/>
    <w:rsid w:val="002370FD"/>
    <w:rsid w:val="00260C38"/>
    <w:rsid w:val="002616C0"/>
    <w:rsid w:val="00265372"/>
    <w:rsid w:val="002662AA"/>
    <w:rsid w:val="00274573"/>
    <w:rsid w:val="00280496"/>
    <w:rsid w:val="00294DC9"/>
    <w:rsid w:val="00295495"/>
    <w:rsid w:val="002A31DE"/>
    <w:rsid w:val="002B2613"/>
    <w:rsid w:val="002B5DD3"/>
    <w:rsid w:val="002C1E69"/>
    <w:rsid w:val="002D19B0"/>
    <w:rsid w:val="002D6D05"/>
    <w:rsid w:val="002E2D8E"/>
    <w:rsid w:val="002F1818"/>
    <w:rsid w:val="002F567B"/>
    <w:rsid w:val="003216A9"/>
    <w:rsid w:val="00323ED2"/>
    <w:rsid w:val="00335A74"/>
    <w:rsid w:val="003418C0"/>
    <w:rsid w:val="0036561B"/>
    <w:rsid w:val="0037013F"/>
    <w:rsid w:val="0037519E"/>
    <w:rsid w:val="00380C92"/>
    <w:rsid w:val="003821DE"/>
    <w:rsid w:val="003A484F"/>
    <w:rsid w:val="003A4883"/>
    <w:rsid w:val="003B0BE0"/>
    <w:rsid w:val="003B0C1B"/>
    <w:rsid w:val="003B688C"/>
    <w:rsid w:val="003C0291"/>
    <w:rsid w:val="003C39AE"/>
    <w:rsid w:val="003C74B8"/>
    <w:rsid w:val="003C7B60"/>
    <w:rsid w:val="003D0C0F"/>
    <w:rsid w:val="003D1FB2"/>
    <w:rsid w:val="003D66DA"/>
    <w:rsid w:val="003E1310"/>
    <w:rsid w:val="003E4D48"/>
    <w:rsid w:val="003E5EA3"/>
    <w:rsid w:val="003E6F55"/>
    <w:rsid w:val="00406254"/>
    <w:rsid w:val="00416CD4"/>
    <w:rsid w:val="004223DE"/>
    <w:rsid w:val="00434489"/>
    <w:rsid w:val="00437085"/>
    <w:rsid w:val="00443880"/>
    <w:rsid w:val="004464F4"/>
    <w:rsid w:val="004629DC"/>
    <w:rsid w:val="00471401"/>
    <w:rsid w:val="00473F31"/>
    <w:rsid w:val="0048263A"/>
    <w:rsid w:val="00487E5D"/>
    <w:rsid w:val="004A711F"/>
    <w:rsid w:val="004B199D"/>
    <w:rsid w:val="004B4690"/>
    <w:rsid w:val="004D3C4A"/>
    <w:rsid w:val="004E0A2D"/>
    <w:rsid w:val="004E206B"/>
    <w:rsid w:val="004E6DF7"/>
    <w:rsid w:val="004F0FBD"/>
    <w:rsid w:val="004F403E"/>
    <w:rsid w:val="004F55D3"/>
    <w:rsid w:val="00505A47"/>
    <w:rsid w:val="00512FDA"/>
    <w:rsid w:val="00520DA0"/>
    <w:rsid w:val="00524090"/>
    <w:rsid w:val="005269E5"/>
    <w:rsid w:val="005664BB"/>
    <w:rsid w:val="00566FFA"/>
    <w:rsid w:val="0057481D"/>
    <w:rsid w:val="00575F0B"/>
    <w:rsid w:val="00581280"/>
    <w:rsid w:val="0058486E"/>
    <w:rsid w:val="00585B33"/>
    <w:rsid w:val="0059014D"/>
    <w:rsid w:val="00593B35"/>
    <w:rsid w:val="005B5C64"/>
    <w:rsid w:val="005C6BD0"/>
    <w:rsid w:val="005C6C4C"/>
    <w:rsid w:val="005D1C8B"/>
    <w:rsid w:val="005D468D"/>
    <w:rsid w:val="005D5CED"/>
    <w:rsid w:val="005D6723"/>
    <w:rsid w:val="005F1A4C"/>
    <w:rsid w:val="005F383F"/>
    <w:rsid w:val="00605688"/>
    <w:rsid w:val="006070AF"/>
    <w:rsid w:val="00607E6C"/>
    <w:rsid w:val="006101B1"/>
    <w:rsid w:val="00614E44"/>
    <w:rsid w:val="0062270A"/>
    <w:rsid w:val="00622830"/>
    <w:rsid w:val="00623DA0"/>
    <w:rsid w:val="006263AF"/>
    <w:rsid w:val="00630AEF"/>
    <w:rsid w:val="006325F8"/>
    <w:rsid w:val="00633463"/>
    <w:rsid w:val="00634C9A"/>
    <w:rsid w:val="006440E4"/>
    <w:rsid w:val="00651DCD"/>
    <w:rsid w:val="0066237F"/>
    <w:rsid w:val="0066343B"/>
    <w:rsid w:val="00664777"/>
    <w:rsid w:val="006748A4"/>
    <w:rsid w:val="00681A31"/>
    <w:rsid w:val="00683E73"/>
    <w:rsid w:val="006A3141"/>
    <w:rsid w:val="006A5E34"/>
    <w:rsid w:val="006B02D0"/>
    <w:rsid w:val="006B2422"/>
    <w:rsid w:val="006B2B9A"/>
    <w:rsid w:val="006C1937"/>
    <w:rsid w:val="006C4555"/>
    <w:rsid w:val="006D6228"/>
    <w:rsid w:val="006F020C"/>
    <w:rsid w:val="006F3697"/>
    <w:rsid w:val="00700309"/>
    <w:rsid w:val="00706C0D"/>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532D"/>
    <w:rsid w:val="007B3372"/>
    <w:rsid w:val="007D1682"/>
    <w:rsid w:val="007D255D"/>
    <w:rsid w:val="007D312A"/>
    <w:rsid w:val="007D3F19"/>
    <w:rsid w:val="007E23B0"/>
    <w:rsid w:val="007F0E44"/>
    <w:rsid w:val="007F1991"/>
    <w:rsid w:val="007F2C2F"/>
    <w:rsid w:val="007F55FC"/>
    <w:rsid w:val="007F5665"/>
    <w:rsid w:val="00800112"/>
    <w:rsid w:val="008013A4"/>
    <w:rsid w:val="00807CC8"/>
    <w:rsid w:val="008101EF"/>
    <w:rsid w:val="00813348"/>
    <w:rsid w:val="008253BB"/>
    <w:rsid w:val="00833962"/>
    <w:rsid w:val="008361FA"/>
    <w:rsid w:val="0083706E"/>
    <w:rsid w:val="008408F6"/>
    <w:rsid w:val="00840EE8"/>
    <w:rsid w:val="008423A5"/>
    <w:rsid w:val="00842686"/>
    <w:rsid w:val="00850625"/>
    <w:rsid w:val="00853718"/>
    <w:rsid w:val="00855221"/>
    <w:rsid w:val="00860645"/>
    <w:rsid w:val="008652D4"/>
    <w:rsid w:val="00870E8C"/>
    <w:rsid w:val="00870F31"/>
    <w:rsid w:val="00871F71"/>
    <w:rsid w:val="00872BBF"/>
    <w:rsid w:val="00872FD8"/>
    <w:rsid w:val="00885AF4"/>
    <w:rsid w:val="00886F26"/>
    <w:rsid w:val="008939CD"/>
    <w:rsid w:val="008B768C"/>
    <w:rsid w:val="008C4DB1"/>
    <w:rsid w:val="008C4EAF"/>
    <w:rsid w:val="008C5176"/>
    <w:rsid w:val="008C7FD0"/>
    <w:rsid w:val="008D29A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6727"/>
    <w:rsid w:val="0096704E"/>
    <w:rsid w:val="0097099F"/>
    <w:rsid w:val="00971997"/>
    <w:rsid w:val="00971FFC"/>
    <w:rsid w:val="00976D7B"/>
    <w:rsid w:val="0098660A"/>
    <w:rsid w:val="009931C3"/>
    <w:rsid w:val="009941E7"/>
    <w:rsid w:val="009B2C43"/>
    <w:rsid w:val="009B4EAE"/>
    <w:rsid w:val="009B7573"/>
    <w:rsid w:val="009C22F4"/>
    <w:rsid w:val="009C2E98"/>
    <w:rsid w:val="009C37FB"/>
    <w:rsid w:val="009C6BAD"/>
    <w:rsid w:val="009D3447"/>
    <w:rsid w:val="009D4711"/>
    <w:rsid w:val="009E60AD"/>
    <w:rsid w:val="009E7CB5"/>
    <w:rsid w:val="009F1185"/>
    <w:rsid w:val="009F18CD"/>
    <w:rsid w:val="009F2A13"/>
    <w:rsid w:val="009F7527"/>
    <w:rsid w:val="00A039ED"/>
    <w:rsid w:val="00A03F38"/>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264A"/>
    <w:rsid w:val="00A67AB5"/>
    <w:rsid w:val="00A733B2"/>
    <w:rsid w:val="00A741C2"/>
    <w:rsid w:val="00A91760"/>
    <w:rsid w:val="00A93B00"/>
    <w:rsid w:val="00A93C21"/>
    <w:rsid w:val="00AB55BF"/>
    <w:rsid w:val="00AB64C9"/>
    <w:rsid w:val="00AC3C6A"/>
    <w:rsid w:val="00AD0F83"/>
    <w:rsid w:val="00AD3D86"/>
    <w:rsid w:val="00AD5620"/>
    <w:rsid w:val="00AD60B8"/>
    <w:rsid w:val="00AD656B"/>
    <w:rsid w:val="00AD7C1B"/>
    <w:rsid w:val="00AE16BA"/>
    <w:rsid w:val="00AE1EBE"/>
    <w:rsid w:val="00AF0B8B"/>
    <w:rsid w:val="00AF47A0"/>
    <w:rsid w:val="00B03C9D"/>
    <w:rsid w:val="00B060AE"/>
    <w:rsid w:val="00B10517"/>
    <w:rsid w:val="00B14E76"/>
    <w:rsid w:val="00B161B8"/>
    <w:rsid w:val="00B2048C"/>
    <w:rsid w:val="00B2705B"/>
    <w:rsid w:val="00B27D01"/>
    <w:rsid w:val="00B310B9"/>
    <w:rsid w:val="00B35F3F"/>
    <w:rsid w:val="00B36CBB"/>
    <w:rsid w:val="00B425E0"/>
    <w:rsid w:val="00B440AA"/>
    <w:rsid w:val="00B44B70"/>
    <w:rsid w:val="00B53C56"/>
    <w:rsid w:val="00B57DAF"/>
    <w:rsid w:val="00B61F3B"/>
    <w:rsid w:val="00B77EA6"/>
    <w:rsid w:val="00B81598"/>
    <w:rsid w:val="00B841F1"/>
    <w:rsid w:val="00B944D6"/>
    <w:rsid w:val="00BB4DF0"/>
    <w:rsid w:val="00BC289F"/>
    <w:rsid w:val="00BC2D50"/>
    <w:rsid w:val="00BC5361"/>
    <w:rsid w:val="00BC5460"/>
    <w:rsid w:val="00BC6578"/>
    <w:rsid w:val="00BC6B50"/>
    <w:rsid w:val="00BD0E25"/>
    <w:rsid w:val="00BD2666"/>
    <w:rsid w:val="00BE1676"/>
    <w:rsid w:val="00BF3C3D"/>
    <w:rsid w:val="00BF5BD6"/>
    <w:rsid w:val="00C03E31"/>
    <w:rsid w:val="00C10875"/>
    <w:rsid w:val="00C273A3"/>
    <w:rsid w:val="00C30E69"/>
    <w:rsid w:val="00C33E72"/>
    <w:rsid w:val="00C34164"/>
    <w:rsid w:val="00C354B2"/>
    <w:rsid w:val="00C35554"/>
    <w:rsid w:val="00C42709"/>
    <w:rsid w:val="00C43E8D"/>
    <w:rsid w:val="00C533CC"/>
    <w:rsid w:val="00C5751C"/>
    <w:rsid w:val="00C61BFC"/>
    <w:rsid w:val="00C62B85"/>
    <w:rsid w:val="00C65438"/>
    <w:rsid w:val="00C91CBB"/>
    <w:rsid w:val="00C97CE5"/>
    <w:rsid w:val="00CA0068"/>
    <w:rsid w:val="00CB4E70"/>
    <w:rsid w:val="00CC09B6"/>
    <w:rsid w:val="00CC666F"/>
    <w:rsid w:val="00CD1E3F"/>
    <w:rsid w:val="00CE44F6"/>
    <w:rsid w:val="00CE49DA"/>
    <w:rsid w:val="00CE7B61"/>
    <w:rsid w:val="00D00095"/>
    <w:rsid w:val="00D0058C"/>
    <w:rsid w:val="00D05231"/>
    <w:rsid w:val="00D114F0"/>
    <w:rsid w:val="00D13C99"/>
    <w:rsid w:val="00D20620"/>
    <w:rsid w:val="00D254F7"/>
    <w:rsid w:val="00D26091"/>
    <w:rsid w:val="00D2685C"/>
    <w:rsid w:val="00D34E7C"/>
    <w:rsid w:val="00D35066"/>
    <w:rsid w:val="00D35489"/>
    <w:rsid w:val="00D36AFE"/>
    <w:rsid w:val="00D51276"/>
    <w:rsid w:val="00D660B2"/>
    <w:rsid w:val="00D7035F"/>
    <w:rsid w:val="00D9003B"/>
    <w:rsid w:val="00DA634F"/>
    <w:rsid w:val="00DA65AC"/>
    <w:rsid w:val="00DB1913"/>
    <w:rsid w:val="00DC410D"/>
    <w:rsid w:val="00DC5A81"/>
    <w:rsid w:val="00DC68CA"/>
    <w:rsid w:val="00DC7CBA"/>
    <w:rsid w:val="00DD73B7"/>
    <w:rsid w:val="00DF28BC"/>
    <w:rsid w:val="00DF34B9"/>
    <w:rsid w:val="00E01053"/>
    <w:rsid w:val="00E01D5E"/>
    <w:rsid w:val="00E07ACF"/>
    <w:rsid w:val="00E137A1"/>
    <w:rsid w:val="00E253DE"/>
    <w:rsid w:val="00E331A1"/>
    <w:rsid w:val="00E33202"/>
    <w:rsid w:val="00E336A9"/>
    <w:rsid w:val="00E4469B"/>
    <w:rsid w:val="00E472B1"/>
    <w:rsid w:val="00E50624"/>
    <w:rsid w:val="00E568DF"/>
    <w:rsid w:val="00E628D9"/>
    <w:rsid w:val="00E64269"/>
    <w:rsid w:val="00E66797"/>
    <w:rsid w:val="00E82267"/>
    <w:rsid w:val="00E853CE"/>
    <w:rsid w:val="00E867B6"/>
    <w:rsid w:val="00E87F08"/>
    <w:rsid w:val="00EA010F"/>
    <w:rsid w:val="00ED1B63"/>
    <w:rsid w:val="00ED3C1F"/>
    <w:rsid w:val="00ED4085"/>
    <w:rsid w:val="00ED420E"/>
    <w:rsid w:val="00ED6FBE"/>
    <w:rsid w:val="00EE2F57"/>
    <w:rsid w:val="00EF07B9"/>
    <w:rsid w:val="00EF4C34"/>
    <w:rsid w:val="00EF77C6"/>
    <w:rsid w:val="00F05438"/>
    <w:rsid w:val="00F1361C"/>
    <w:rsid w:val="00F156F0"/>
    <w:rsid w:val="00F160C7"/>
    <w:rsid w:val="00F2408F"/>
    <w:rsid w:val="00F240E9"/>
    <w:rsid w:val="00F36D8F"/>
    <w:rsid w:val="00F417B1"/>
    <w:rsid w:val="00F45853"/>
    <w:rsid w:val="00F602DF"/>
    <w:rsid w:val="00F61532"/>
    <w:rsid w:val="00F754A1"/>
    <w:rsid w:val="00F81FD9"/>
    <w:rsid w:val="00F841AA"/>
    <w:rsid w:val="00F84A94"/>
    <w:rsid w:val="00F87E96"/>
    <w:rsid w:val="00F90AE6"/>
    <w:rsid w:val="00F93243"/>
    <w:rsid w:val="00FA23E8"/>
    <w:rsid w:val="00FB1BDF"/>
    <w:rsid w:val="00FD3CC1"/>
    <w:rsid w:val="00FE1B53"/>
    <w:rsid w:val="00FE4EF6"/>
    <w:rsid w:val="00FF1450"/>
    <w:rsid w:val="00FF1E02"/>
    <w:rsid w:val="00FF30B4"/>
    <w:rsid w:val="10C055FF"/>
    <w:rsid w:val="123D7621"/>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Sheet1!$A$128:$A$131</c:f>
              <c:strCache>
                <c:ptCount val="2"/>
                <c:pt idx="0">
                  <c:v>2018年收、支</c:v>
                </c:pt>
                <c:pt idx="1">
                  <c:v>2019年收、支</c:v>
                </c:pt>
              </c:strCache>
            </c:strRef>
          </c:cat>
          <c:val>
            <c:numRef>
              <c:f>Sheet1!$B$128:$B$131</c:f>
              <c:numCache>
                <c:formatCode>General</c:formatCode>
                <c:ptCount val="4"/>
                <c:pt idx="0">
                  <c:v>499.429999999999</c:v>
                </c:pt>
                <c:pt idx="1">
                  <c:v>476.47</c:v>
                </c:pt>
              </c:numCache>
            </c:numRef>
          </c:val>
        </c:ser>
        <c:dLbls>
          <c:showLegendKey val="0"/>
          <c:showVal val="0"/>
          <c:showCatName val="0"/>
          <c:showSerName val="0"/>
          <c:showPercent val="0"/>
          <c:showBubbleSize val="0"/>
        </c:dLbls>
        <c:gapWidth val="150"/>
        <c:overlap val="100"/>
        <c:axId val="74746496"/>
        <c:axId val="75858304"/>
      </c:barChart>
      <c:catAx>
        <c:axId val="7474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5858304"/>
        <c:crosses val="autoZero"/>
        <c:auto val="1"/>
        <c:lblAlgn val="ctr"/>
        <c:lblOffset val="100"/>
        <c:noMultiLvlLbl val="0"/>
      </c:catAx>
      <c:valAx>
        <c:axId val="75858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474649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4"/>
                  <c:y val="0.009411636045494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9"/>
                  <c:y val="0.0279844706911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459.51</c:v>
                </c:pt>
                <c:pt idx="1">
                  <c:v>3</c:v>
                </c:pt>
                <c:pt idx="2">
                  <c:v>0</c:v>
                </c:pt>
                <c:pt idx="3">
                  <c:v>3</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3"/>
                  <c:y val="0.02567111402741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456.87</c:v>
                </c:pt>
                <c:pt idx="1">
                  <c:v>11.37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14950044063"/>
          <c:y val="0.114583721868632"/>
          <c:w val="0.611906184677699"/>
          <c:h val="0.673613395227713"/>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General</c:formatCode>
                <c:ptCount val="2"/>
                <c:pt idx="0">
                  <c:v>459.54</c:v>
                </c:pt>
                <c:pt idx="1">
                  <c:v>481.03</c:v>
                </c:pt>
              </c:numCache>
            </c:numRef>
          </c:val>
        </c:ser>
        <c:dLbls>
          <c:showLegendKey val="0"/>
          <c:showVal val="0"/>
          <c:showCatName val="0"/>
          <c:showSerName val="0"/>
          <c:showPercent val="0"/>
          <c:showBubbleSize val="0"/>
        </c:dLbls>
        <c:gapWidth val="150"/>
        <c:axId val="76534528"/>
        <c:axId val="76536064"/>
      </c:barChart>
      <c:catAx>
        <c:axId val="76534528"/>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6536064"/>
        <c:crosses val="autoZero"/>
        <c:auto val="1"/>
        <c:lblAlgn val="ctr"/>
        <c:lblOffset val="100"/>
        <c:noMultiLvlLbl val="0"/>
      </c:catAx>
      <c:valAx>
        <c:axId val="7653606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6534528"/>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459.51</c:v>
                </c:pt>
                <c:pt idx="1" c:formatCode="0.00_ ">
                  <c:v>481.03</c:v>
                </c:pt>
              </c:numCache>
            </c:numRef>
          </c:val>
        </c:ser>
        <c:dLbls>
          <c:showLegendKey val="0"/>
          <c:showVal val="0"/>
          <c:showCatName val="0"/>
          <c:showSerName val="0"/>
          <c:showPercent val="0"/>
          <c:showBubbleSize val="0"/>
        </c:dLbls>
        <c:gapWidth val="150"/>
        <c:overlap val="100"/>
        <c:axId val="77289344"/>
        <c:axId val="77290880"/>
      </c:barChart>
      <c:catAx>
        <c:axId val="7728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7290880"/>
        <c:crosses val="autoZero"/>
        <c:auto val="1"/>
        <c:lblAlgn val="ctr"/>
        <c:lblOffset val="100"/>
        <c:noMultiLvlLbl val="0"/>
      </c:catAx>
      <c:valAx>
        <c:axId val="772908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728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74"/>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341</c:v>
                </c:pt>
                <c:pt idx="3">
                  <c:v>68.69</c:v>
                </c:pt>
                <c:pt idx="4">
                  <c:v>14.53</c:v>
                </c:pt>
                <c:pt idx="5">
                  <c:v>0</c:v>
                </c:pt>
                <c:pt idx="6">
                  <c:v>38.02</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5"/>
          <c:y val="0.164"/>
          <c:w val="0.2555"/>
          <c:h val="0.633500000000001"/>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6388-B110-4806-AC79-F968BB0EE1A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13794</Words>
  <Characters>2953</Characters>
  <Lines>24</Lines>
  <Paragraphs>33</Paragraphs>
  <TotalTime>1099</TotalTime>
  <ScaleCrop>false</ScaleCrop>
  <LinksUpToDate>false</LinksUpToDate>
  <CharactersWithSpaces>16714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2025-07-11T06:42:54Z</dcterms:modified>
  <dc:title>四川省***</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E96C5740D2244586AC629CC7171C7F41</vt:lpwstr>
  </property>
</Properties>
</file>