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426"/>
      <w:bookmarkStart w:id="9" w:name="_Toc15306268"/>
      <w:bookmarkStart w:id="10" w:name="_Toc15377194"/>
      <w:bookmarkStart w:id="11" w:name="_Toc15378442"/>
      <w:r>
        <w:rPr>
          <w:rFonts w:hint="eastAsia" w:ascii="方正小标宋简体" w:hAnsi="宋体" w:eastAsia="方正小标宋简体"/>
          <w:color w:val="000000"/>
          <w:sz w:val="72"/>
          <w:szCs w:val="72"/>
        </w:rPr>
        <w:t>峨眉山市市场监督管理局部门决算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30</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31"/>
          <w:rFonts w:ascii="仿宋" w:hAnsi="仿宋" w:eastAsia="仿宋"/>
          <w:b w:val="0"/>
          <w:bCs w:val="0"/>
        </w:rPr>
      </w:pPr>
      <w:bookmarkStart w:id="14" w:name="_Toc15377197"/>
      <w:bookmarkStart w:id="15" w:name="_Toc15396600"/>
      <w:bookmarkStart w:id="16" w:name="_Toc15377204"/>
      <w:bookmarkStart w:id="17" w:name="_Toc15396602"/>
      <w:r>
        <w:rPr>
          <w:rFonts w:hint="eastAsia" w:ascii="黑体" w:hAnsi="黑体" w:eastAsia="黑体"/>
          <w:b w:val="0"/>
          <w:color w:val="000000"/>
        </w:rPr>
        <w:t>一、基</w:t>
      </w:r>
      <w:r>
        <w:rPr>
          <w:rStyle w:val="31"/>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5"/>
      <w:bookmarkStart w:id="19" w:name="_Toc15377198"/>
      <w:r>
        <w:rPr>
          <w:rFonts w:hint="eastAsia" w:ascii="仿宋" w:hAnsi="仿宋" w:eastAsia="仿宋"/>
          <w:bCs/>
          <w:color w:val="000000"/>
          <w:sz w:val="32"/>
          <w:szCs w:val="32"/>
        </w:rPr>
        <w:t>（一）主要职能。</w:t>
      </w:r>
      <w:bookmarkEnd w:id="18"/>
      <w:bookmarkEnd w:id="19"/>
      <w:bookmarkStart w:id="20" w:name="_Toc15377199"/>
      <w:bookmarkStart w:id="21" w:name="_Toc15378446"/>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负责全市市场综合监督管理工作。（2）负责各类企业、农民专业合作社和从事经营活动的单位、个体工商户等市场主体的监督管理工作。（3）负责组织和指导全市市场监督管理综合执法工作。（4）负责监督管理全市市场秩序。（5）负责全市宏观质量管理。（6）负责全市产品质量安全监督管理。（7）负责全市特种设备安全监督管理。（8）负责全市食品安全监督管理综合协调。（9）负责全市食品安全监督管理。（10）负责统一管理全市计量工作。（11）负责统一管理全市标准化工作。（12）负责统一管理全市检验检测工作。（13）负责统一管理全市认证认可、条码工作。（14）负责市场监督管理科技和信息化建设、新闻宣传。（15）负责拟订全市知识产权发展规划、政策；负责贯彻落实知识产权地方性法规。（16）负责促进全市民营经济发展。（17）负责全市药品（含中药、民族药）、医疗器械和化妆品安全监督管理，拟订全市监督管理政策规划。（18）负责全市药品、医疗器械和化妆品上市后风险管理。（19）负责职责范围内的安全生产和职业健康、生态环境保护、审批服务便民化等工作。（20）负责农贸市场的行业管理。</w:t>
      </w:r>
    </w:p>
    <w:p>
      <w:pPr>
        <w:pStyle w:val="2"/>
        <w:adjustRightInd w:val="0"/>
        <w:snapToGrid w:val="0"/>
        <w:spacing w:before="93" w:line="600" w:lineRule="exact"/>
        <w:outlineLvl w:val="2"/>
        <w:rPr>
          <w:rFonts w:hint="eastAsia" w:ascii="仿宋" w:hAnsi="仿宋" w:eastAsia="仿宋"/>
          <w:bCs/>
          <w:color w:val="000000"/>
          <w:sz w:val="32"/>
          <w:szCs w:val="32"/>
        </w:rPr>
      </w:pPr>
    </w:p>
    <w:p>
      <w:pPr>
        <w:pStyle w:val="2"/>
        <w:adjustRightInd w:val="0"/>
        <w:snapToGrid w:val="0"/>
        <w:spacing w:before="93" w:line="600" w:lineRule="exact"/>
        <w:ind w:firstLine="640" w:firstLineChars="20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0"/>
      <w:bookmarkEnd w:id="21"/>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1.市场监管工作</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检查医疗机构200家次、食品经营店2200家次，肉类经营户35家次，下发责令改正通知书20份。约谈了10余家房地产开发企业。积极处理了房地产企业涉嫌虚假宣传、欺骗消费者，极易引发群访事件的情况。</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2、食品安全工作</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加强乡镇、社区、村组食品安全协管员队伍建设，2019年聘任（调整）乡镇食品安全协管员62名，村级食品安全协管员269名，开展以食品等为主的培训50余场次。抽检食品（含食用农产品）1270 批次，合格率96.9%。查处各类食品案件121件,罚没金额68.67万元，查处渔政案件9件（其中移交公安机关案件1件）、农药案件5件、肥料案件1件、饲料案件1件、动物行政违法案件6件，极大地震慑了违法犯罪行为。</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3、深化商事制度改革</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开展双随机不定向抽查主体，共234户企业目前正在全面检查中。</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4、旅游市场秩序综合整治</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查办旅游市场违法违规案件6件，罚没款6.76万元，共受理游客投诉106件，受理率100%，挽回经济损失约5.6万元。</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5、强化市场秩序监管</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2019年共办理动产抵押登记23笔，主债权金额40160万元；注销登记19笔。对全市101家自营网站进行了建档，并规范了9家网店亮照经营行为，挂标及亮照率98%，入驻我市的美团网平台内的经营主体实现证照100%公示，处理网络消费者投诉1件，通过互联网广告监测，对3家自营网站、2户微信公众号及3户商家利用互联网不规范宣传的行为进行了行政约谈并要求整改。</w:t>
      </w:r>
    </w:p>
    <w:p>
      <w:pPr>
        <w:numPr>
          <w:ilvl w:val="0"/>
          <w:numId w:val="1"/>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放心舒心消费工作</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完成放心舒心“一店一码”经营户共计725户，完成示范街5条，示范农家乐5个，示范超市5个。特色小镇1个。出动执法车辆120台次，执法人员160人次，检查餐饮店260户次，购物点150户次，酒店100户次。</w:t>
      </w:r>
    </w:p>
    <w:p>
      <w:pPr>
        <w:numPr>
          <w:ilvl w:val="0"/>
          <w:numId w:val="1"/>
        </w:numPr>
        <w:spacing w:line="600" w:lineRule="exact"/>
        <w:ind w:left="0" w:leftChars="0"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 xml:space="preserve">消费者投诉举报 </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投诉举报中心半年共接受各类投诉1886件，其中心连心热线共1456件、电话上门共263件，12315平台100件、省长书记留言6件，12331平台4件、信访2件、网信办1件、自在社区1件，为消费者挽回经济损失92.9万余元。</w:t>
      </w:r>
    </w:p>
    <w:p>
      <w:pPr>
        <w:numPr>
          <w:ilvl w:val="0"/>
          <w:numId w:val="1"/>
        </w:numPr>
        <w:spacing w:line="600" w:lineRule="exact"/>
        <w:ind w:left="0" w:leftChars="0"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特种设备安全监察</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开展经常性的安全管理提示、法规宣传和警示教育16次，接受使用单位设备安全管理咨询40余次，累计发放宣传单和宣传册2800余份，接受群众咨询90余次,全年公开发布信息12条。处置电梯安全投诉15次，,现已建立50家、580台特种设备安全生产主体责任清单，累计检查使用单位189户次，其中生产单位2户次、经营单位11户次，使用单位176户次，下发安全监察指令书8份，办理案件3件，罚没款7万元。</w:t>
      </w:r>
    </w:p>
    <w:p>
      <w:pPr>
        <w:numPr>
          <w:ilvl w:val="0"/>
          <w:numId w:val="1"/>
        </w:numPr>
        <w:spacing w:line="600" w:lineRule="exact"/>
        <w:ind w:left="0" w:leftChars="0"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计量监管</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组织开展元旦、春节、五一、中秋、国庆前专项计量检查共出动车辆50余台次；检查人员100余人次；共检查集贸市13个、餐饮店72个、加油站42个（次）、商场（超市）63个（次）。抽查公平秤50余台件，电子称、台案秤等计量器具200余台件；加油机200余台；受检合格率为100%。在计量专项检查中，查获使用不合格计量器具3台，未经检定计量器具2台，共罚没600元。</w:t>
      </w:r>
    </w:p>
    <w:p>
      <w:pPr>
        <w:spacing w:line="600" w:lineRule="exact"/>
        <w:ind w:firstLine="640" w:firstLineChars="200"/>
        <w:rPr>
          <w:rFonts w:hint="default" w:ascii="仿宋" w:hAnsi="仿宋" w:eastAsia="仿宋" w:cs="Times New Roman"/>
          <w:bCs/>
          <w:color w:val="000000"/>
          <w:kern w:val="0"/>
          <w:sz w:val="32"/>
          <w:szCs w:val="32"/>
          <w:lang w:val="en-US" w:eastAsia="zh-CN" w:bidi="ar-SA"/>
        </w:rPr>
      </w:pPr>
    </w:p>
    <w:p>
      <w:pPr>
        <w:spacing w:line="600" w:lineRule="exact"/>
        <w:ind w:firstLine="640" w:firstLineChars="200"/>
        <w:rPr>
          <w:rFonts w:hint="default" w:ascii="仿宋" w:hAnsi="仿宋" w:eastAsia="仿宋" w:cs="Times New Roman"/>
          <w:bCs/>
          <w:color w:val="000000"/>
          <w:kern w:val="0"/>
          <w:sz w:val="32"/>
          <w:szCs w:val="32"/>
          <w:lang w:val="en-US" w:eastAsia="zh-CN" w:bidi="ar-SA"/>
        </w:rPr>
      </w:pPr>
    </w:p>
    <w:p>
      <w:pPr>
        <w:spacing w:line="600" w:lineRule="exact"/>
        <w:ind w:firstLine="640" w:firstLineChars="200"/>
        <w:rPr>
          <w:rFonts w:hint="eastAsia" w:ascii="黑体" w:hAnsi="黑体" w:eastAsia="黑体" w:cstheme="majorBidi"/>
          <w:b w:val="0"/>
          <w:bCs/>
          <w:color w:val="000000"/>
          <w:kern w:val="2"/>
          <w:sz w:val="32"/>
          <w:szCs w:val="32"/>
          <w:lang w:val="en-US" w:eastAsia="zh-CN" w:bidi="ar-SA"/>
        </w:rPr>
      </w:pPr>
      <w:bookmarkStart w:id="22" w:name="_Toc15396601"/>
      <w:bookmarkStart w:id="23" w:name="_Toc15377200"/>
      <w:r>
        <w:rPr>
          <w:rFonts w:hint="eastAsia" w:ascii="黑体" w:hAnsi="黑体" w:eastAsia="黑体" w:cstheme="majorBidi"/>
          <w:b w:val="0"/>
          <w:bCs/>
          <w:color w:val="000000"/>
          <w:kern w:val="2"/>
          <w:sz w:val="32"/>
          <w:szCs w:val="32"/>
          <w:lang w:val="en-US" w:eastAsia="zh-CN" w:bidi="ar-SA"/>
        </w:rPr>
        <w:t>二、机构设置</w:t>
      </w:r>
      <w:bookmarkEnd w:id="22"/>
      <w:bookmarkEnd w:id="23"/>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峨眉山市市场监督管理局下属二级单位3个，其中参照公务员法管理的事业单位1个，其他事业单位2个。</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无纳入2019年度部门决算编制范围的二级预算单位。</w:t>
      </w:r>
    </w:p>
    <w:p>
      <w:p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br w:type="page"/>
      </w:r>
    </w:p>
    <w:p>
      <w:pPr>
        <w:pStyle w:val="3"/>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w:t>
      </w:r>
      <w:r>
        <w:rPr>
          <w:rFonts w:ascii="仿宋" w:hAnsi="仿宋" w:eastAsia="仿宋"/>
          <w:color w:val="000000"/>
          <w:sz w:val="32"/>
          <w:szCs w:val="32"/>
        </w:rPr>
        <w:t>峨眉山市市场监督管理局本年收入合计3164.65万元，</w:t>
      </w:r>
      <w:bookmarkStart w:id="26" w:name="_Hlk54266597"/>
      <w:r>
        <w:rPr>
          <w:rFonts w:hint="eastAsia" w:ascii="仿宋" w:hAnsi="仿宋" w:eastAsia="仿宋"/>
          <w:color w:val="000000"/>
          <w:sz w:val="32"/>
          <w:szCs w:val="32"/>
        </w:rPr>
        <w:t>与2018年相比，收入总计减少</w:t>
      </w:r>
      <w:r>
        <w:rPr>
          <w:rFonts w:ascii="仿宋" w:hAnsi="仿宋" w:eastAsia="仿宋"/>
          <w:color w:val="000000"/>
          <w:sz w:val="32"/>
          <w:szCs w:val="32"/>
        </w:rPr>
        <w:t>56.26</w:t>
      </w:r>
      <w:r>
        <w:rPr>
          <w:rFonts w:hint="eastAsia" w:ascii="仿宋" w:hAnsi="仿宋" w:eastAsia="仿宋"/>
          <w:color w:val="000000"/>
          <w:sz w:val="32"/>
          <w:szCs w:val="32"/>
        </w:rPr>
        <w:t>万元，下降</w:t>
      </w:r>
      <w:r>
        <w:rPr>
          <w:rFonts w:ascii="仿宋" w:hAnsi="仿宋" w:eastAsia="仿宋"/>
          <w:color w:val="000000"/>
          <w:sz w:val="32"/>
          <w:szCs w:val="32"/>
        </w:rPr>
        <w:t>1.78</w:t>
      </w:r>
      <w:r>
        <w:rPr>
          <w:rFonts w:hint="eastAsia" w:ascii="仿宋" w:hAnsi="仿宋" w:eastAsia="仿宋"/>
          <w:color w:val="000000"/>
          <w:sz w:val="32"/>
          <w:szCs w:val="32"/>
        </w:rPr>
        <w:t>%。主要变动原因是</w:t>
      </w:r>
      <w:bookmarkEnd w:id="26"/>
      <w:r>
        <w:rPr>
          <w:rFonts w:hint="eastAsia" w:ascii="仿宋" w:hAnsi="仿宋" w:eastAsia="仿宋"/>
          <w:color w:val="000000"/>
          <w:sz w:val="32"/>
          <w:szCs w:val="32"/>
        </w:rPr>
        <w:t>严格执行预算管理。</w:t>
      </w:r>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2019年峨眉山市市场和质量监督管理局本年支出合计3186.32万元，</w:t>
      </w:r>
      <w:r>
        <w:rPr>
          <w:rFonts w:hint="eastAsia" w:ascii="仿宋" w:hAnsi="仿宋" w:eastAsia="仿宋"/>
          <w:color w:val="000000"/>
          <w:sz w:val="32"/>
          <w:szCs w:val="32"/>
        </w:rPr>
        <w:t>与2018年相比，支出总计减少</w:t>
      </w:r>
      <w:r>
        <w:rPr>
          <w:rFonts w:ascii="仿宋" w:hAnsi="仿宋" w:eastAsia="仿宋"/>
          <w:color w:val="000000"/>
          <w:sz w:val="32"/>
          <w:szCs w:val="32"/>
        </w:rPr>
        <w:t>149.91</w:t>
      </w:r>
      <w:r>
        <w:rPr>
          <w:rFonts w:hint="eastAsia" w:ascii="仿宋" w:hAnsi="仿宋" w:eastAsia="仿宋"/>
          <w:color w:val="000000"/>
          <w:sz w:val="32"/>
          <w:szCs w:val="32"/>
        </w:rPr>
        <w:t>万元，下降</w:t>
      </w:r>
      <w:r>
        <w:rPr>
          <w:rFonts w:ascii="仿宋" w:hAnsi="仿宋" w:eastAsia="仿宋"/>
          <w:color w:val="000000"/>
          <w:sz w:val="32"/>
          <w:szCs w:val="32"/>
        </w:rPr>
        <w:t>4.70</w:t>
      </w:r>
      <w:r>
        <w:rPr>
          <w:rFonts w:hint="eastAsia" w:ascii="仿宋" w:hAnsi="仿宋" w:eastAsia="仿宋"/>
          <w:color w:val="000000"/>
          <w:sz w:val="32"/>
          <w:szCs w:val="32"/>
        </w:rPr>
        <w:t>%。主要变动原因是严格执行预算管理。</w:t>
      </w:r>
    </w:p>
    <w:p>
      <w:pPr>
        <w:spacing w:line="600" w:lineRule="exact"/>
        <w:ind w:firstLine="640" w:firstLineChars="200"/>
        <w:rPr>
          <w:rFonts w:ascii="仿宋" w:hAnsi="仿宋" w:eastAsia="仿宋"/>
          <w:color w:val="000000" w:themeColor="text1"/>
          <w:sz w:val="32"/>
          <w:szCs w:val="32"/>
        </w:rPr>
      </w:pPr>
      <w:r>
        <w:rPr>
          <w:rFonts w:ascii="仿宋_GB2312" w:eastAsia="仿宋_GB2312"/>
          <w:color w:val="000000"/>
          <w:sz w:val="32"/>
          <w:szCs w:val="32"/>
        </w:rPr>
        <w:drawing>
          <wp:anchor distT="0" distB="0" distL="114300" distR="114300" simplePos="0" relativeHeight="251642880" behindDoc="1" locked="0" layoutInCell="1" allowOverlap="1">
            <wp:simplePos x="0" y="0"/>
            <wp:positionH relativeFrom="column">
              <wp:posOffset>57150</wp:posOffset>
            </wp:positionH>
            <wp:positionV relativeFrom="paragraph">
              <wp:posOffset>506095</wp:posOffset>
            </wp:positionV>
            <wp:extent cx="5274310" cy="3086100"/>
            <wp:effectExtent l="0" t="0" r="0" b="0"/>
            <wp:wrapTight wrapText="bothSides">
              <wp:wrapPolygon>
                <wp:start x="0" y="0"/>
                <wp:lineTo x="0" y="21467"/>
                <wp:lineTo x="21532" y="21467"/>
                <wp:lineTo x="21532"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3164.65</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3082.65</w:t>
      </w:r>
      <w:r>
        <w:rPr>
          <w:rFonts w:hint="eastAsia" w:ascii="仿宋" w:hAnsi="仿宋" w:eastAsia="仿宋"/>
          <w:color w:val="000000"/>
          <w:sz w:val="32"/>
          <w:szCs w:val="32"/>
        </w:rPr>
        <w:t>万元，占</w:t>
      </w:r>
      <w:r>
        <w:rPr>
          <w:rFonts w:ascii="仿宋" w:hAnsi="仿宋" w:eastAsia="仿宋"/>
          <w:color w:val="000000"/>
          <w:sz w:val="32"/>
          <w:szCs w:val="32"/>
        </w:rPr>
        <w:t>97.41%</w:t>
      </w:r>
      <w:r>
        <w:rPr>
          <w:rFonts w:hint="eastAsia" w:ascii="仿宋" w:hAnsi="仿宋" w:eastAsia="仿宋"/>
          <w:color w:val="000000"/>
          <w:sz w:val="32"/>
          <w:szCs w:val="32"/>
        </w:rPr>
        <w:t>；政府性基金预算财政拨款收入</w:t>
      </w:r>
      <w:r>
        <w:rPr>
          <w:rFonts w:ascii="仿宋" w:hAnsi="仿宋" w:eastAsia="仿宋"/>
          <w:color w:val="000000"/>
          <w:sz w:val="32"/>
          <w:szCs w:val="32"/>
        </w:rPr>
        <w:t>82.00</w:t>
      </w:r>
      <w:r>
        <w:rPr>
          <w:rFonts w:hint="eastAsia" w:ascii="仿宋" w:hAnsi="仿宋" w:eastAsia="仿宋"/>
          <w:color w:val="000000"/>
          <w:sz w:val="32"/>
          <w:szCs w:val="32"/>
        </w:rPr>
        <w:t>万元，占</w:t>
      </w:r>
      <w:r>
        <w:rPr>
          <w:rFonts w:ascii="仿宋" w:hAnsi="仿宋" w:eastAsia="仿宋"/>
          <w:color w:val="000000"/>
          <w:sz w:val="32"/>
          <w:szCs w:val="32"/>
        </w:rPr>
        <w:t>2.59%</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ascii="仿宋" w:hAnsi="仿宋" w:eastAsia="仿宋"/>
          <w:color w:val="000000" w:themeColor="text1"/>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1280" w:firstLineChars="400"/>
        <w:rPr>
          <w:rFonts w:hint="eastAsia" w:ascii="仿宋" w:hAnsi="仿宋" w:eastAsia="仿宋"/>
          <w:color w:val="000000" w:themeColor="text1"/>
          <w:sz w:val="32"/>
          <w:szCs w:val="32"/>
        </w:rPr>
      </w:pPr>
      <w:r>
        <w:rPr>
          <w:rFonts w:ascii="仿宋_GB2312" w:eastAsia="仿宋_GB2312"/>
          <w:color w:val="FF0000"/>
          <w:sz w:val="32"/>
          <w:szCs w:val="32"/>
        </w:rPr>
        <w:drawing>
          <wp:anchor distT="0" distB="0" distL="114300" distR="114300" simplePos="0" relativeHeight="251645952" behindDoc="1" locked="0" layoutInCell="1" allowOverlap="1">
            <wp:simplePos x="0" y="0"/>
            <wp:positionH relativeFrom="column">
              <wp:posOffset>66675</wp:posOffset>
            </wp:positionH>
            <wp:positionV relativeFrom="paragraph">
              <wp:posOffset>466725</wp:posOffset>
            </wp:positionV>
            <wp:extent cx="5274310" cy="3076575"/>
            <wp:effectExtent l="0" t="0" r="0" b="0"/>
            <wp:wrapTight wrapText="bothSides">
              <wp:wrapPolygon>
                <wp:start x="0" y="0"/>
                <wp:lineTo x="0" y="21533"/>
                <wp:lineTo x="21532" y="21533"/>
                <wp:lineTo x="21532"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3186.32</w:t>
      </w:r>
      <w:r>
        <w:rPr>
          <w:rFonts w:hint="eastAsia" w:ascii="仿宋" w:hAnsi="仿宋" w:eastAsia="仿宋"/>
          <w:color w:val="000000"/>
          <w:sz w:val="32"/>
          <w:szCs w:val="32"/>
        </w:rPr>
        <w:t>万元，其中：基本支出</w:t>
      </w:r>
      <w:r>
        <w:rPr>
          <w:rFonts w:ascii="仿宋" w:hAnsi="仿宋" w:eastAsia="仿宋"/>
          <w:color w:val="000000"/>
          <w:sz w:val="32"/>
          <w:szCs w:val="32"/>
        </w:rPr>
        <w:t>2357.76</w:t>
      </w:r>
      <w:r>
        <w:rPr>
          <w:rFonts w:hint="eastAsia" w:ascii="仿宋" w:hAnsi="仿宋" w:eastAsia="仿宋"/>
          <w:color w:val="000000"/>
          <w:sz w:val="32"/>
          <w:szCs w:val="32"/>
        </w:rPr>
        <w:t>万元，占</w:t>
      </w:r>
      <w:r>
        <w:rPr>
          <w:rFonts w:ascii="仿宋" w:hAnsi="仿宋" w:eastAsia="仿宋"/>
          <w:color w:val="000000"/>
          <w:sz w:val="32"/>
          <w:szCs w:val="32"/>
        </w:rPr>
        <w:t>74.00%</w:t>
      </w:r>
      <w:r>
        <w:rPr>
          <w:rFonts w:hint="eastAsia" w:ascii="仿宋" w:hAnsi="仿宋" w:eastAsia="仿宋"/>
          <w:color w:val="000000"/>
          <w:sz w:val="32"/>
          <w:szCs w:val="32"/>
        </w:rPr>
        <w:t>；项目支出</w:t>
      </w:r>
      <w:r>
        <w:rPr>
          <w:rFonts w:ascii="仿宋" w:hAnsi="仿宋" w:eastAsia="仿宋"/>
          <w:color w:val="000000"/>
          <w:sz w:val="32"/>
          <w:szCs w:val="32"/>
        </w:rPr>
        <w:t>828.56</w:t>
      </w:r>
      <w:r>
        <w:rPr>
          <w:rFonts w:hint="eastAsia" w:ascii="仿宋" w:hAnsi="仿宋" w:eastAsia="仿宋"/>
          <w:color w:val="000000"/>
          <w:sz w:val="32"/>
          <w:szCs w:val="32"/>
        </w:rPr>
        <w:t>万元，占</w:t>
      </w:r>
      <w:r>
        <w:rPr>
          <w:rFonts w:ascii="仿宋" w:hAnsi="仿宋" w:eastAsia="仿宋"/>
          <w:color w:val="000000"/>
          <w:sz w:val="32"/>
          <w:szCs w:val="32"/>
        </w:rPr>
        <w:t>26.00%</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ascii="仿宋_GB2312" w:eastAsia="仿宋_GB2312"/>
          <w:color w:val="FF0000"/>
          <w:sz w:val="32"/>
          <w:szCs w:val="32"/>
        </w:rPr>
        <w:drawing>
          <wp:anchor distT="0" distB="0" distL="114300" distR="114300" simplePos="0" relativeHeight="251655168" behindDoc="1" locked="0" layoutInCell="1" allowOverlap="1">
            <wp:simplePos x="0" y="0"/>
            <wp:positionH relativeFrom="column">
              <wp:posOffset>-19050</wp:posOffset>
            </wp:positionH>
            <wp:positionV relativeFrom="paragraph">
              <wp:posOffset>509905</wp:posOffset>
            </wp:positionV>
            <wp:extent cx="5274310" cy="3076575"/>
            <wp:effectExtent l="0" t="0" r="0" b="0"/>
            <wp:wrapTight wrapText="bothSides">
              <wp:wrapPolygon>
                <wp:start x="0" y="0"/>
                <wp:lineTo x="0" y="21533"/>
                <wp:lineTo x="21532" y="21533"/>
                <wp:lineTo x="21532"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9年财政拨款收入总计3</w:t>
      </w:r>
      <w:r>
        <w:rPr>
          <w:rFonts w:ascii="仿宋" w:hAnsi="仿宋" w:eastAsia="仿宋"/>
          <w:color w:val="000000"/>
          <w:sz w:val="32"/>
          <w:szCs w:val="32"/>
        </w:rPr>
        <w:t>164.65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8年相比，财政拨款收入总计减少</w:t>
      </w:r>
      <w:r>
        <w:rPr>
          <w:rFonts w:ascii="仿宋" w:hAnsi="仿宋" w:eastAsia="仿宋"/>
          <w:color w:val="000000"/>
          <w:sz w:val="32"/>
          <w:szCs w:val="32"/>
        </w:rPr>
        <w:t>215.66</w:t>
      </w:r>
      <w:r>
        <w:rPr>
          <w:rFonts w:hint="eastAsia" w:ascii="仿宋" w:hAnsi="仿宋" w:eastAsia="仿宋"/>
          <w:color w:val="000000"/>
          <w:sz w:val="32"/>
          <w:szCs w:val="32"/>
        </w:rPr>
        <w:t>万元，下降</w:t>
      </w:r>
      <w:r>
        <w:rPr>
          <w:rFonts w:ascii="仿宋" w:hAnsi="仿宋" w:eastAsia="仿宋"/>
          <w:color w:val="000000"/>
          <w:sz w:val="32"/>
          <w:szCs w:val="32"/>
        </w:rPr>
        <w:t>6.38%</w:t>
      </w:r>
      <w:r>
        <w:rPr>
          <w:rFonts w:hint="eastAsia" w:ascii="仿宋" w:hAnsi="仿宋" w:eastAsia="仿宋"/>
          <w:color w:val="000000"/>
          <w:sz w:val="32"/>
          <w:szCs w:val="32"/>
        </w:rPr>
        <w:t>。主要变动原因是是严格执行预算管理。</w:t>
      </w:r>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9年财政拨款支出总计3</w:t>
      </w:r>
      <w:r>
        <w:rPr>
          <w:rFonts w:ascii="仿宋" w:hAnsi="仿宋" w:eastAsia="仿宋"/>
          <w:color w:val="000000"/>
          <w:sz w:val="32"/>
          <w:szCs w:val="32"/>
        </w:rPr>
        <w:t>186.32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8年相比，财政拨款支出总计减少</w:t>
      </w:r>
      <w:r>
        <w:rPr>
          <w:rFonts w:ascii="仿宋" w:hAnsi="仿宋" w:eastAsia="仿宋"/>
          <w:color w:val="000000"/>
          <w:sz w:val="32"/>
          <w:szCs w:val="32"/>
        </w:rPr>
        <w:t>193.98</w:t>
      </w:r>
      <w:r>
        <w:rPr>
          <w:rFonts w:hint="eastAsia" w:ascii="仿宋" w:hAnsi="仿宋" w:eastAsia="仿宋"/>
          <w:color w:val="000000"/>
          <w:sz w:val="32"/>
          <w:szCs w:val="32"/>
        </w:rPr>
        <w:t>万元，下降</w:t>
      </w:r>
      <w:r>
        <w:rPr>
          <w:rFonts w:ascii="仿宋" w:hAnsi="仿宋" w:eastAsia="仿宋"/>
          <w:color w:val="000000"/>
          <w:sz w:val="32"/>
          <w:szCs w:val="32"/>
        </w:rPr>
        <w:t>5.74%</w:t>
      </w:r>
      <w:r>
        <w:rPr>
          <w:rFonts w:hint="eastAsia" w:ascii="仿宋" w:hAnsi="仿宋" w:eastAsia="仿宋"/>
          <w:color w:val="000000"/>
          <w:sz w:val="32"/>
          <w:szCs w:val="32"/>
        </w:rPr>
        <w:t>。主要变动原因是是</w:t>
      </w:r>
      <w:bookmarkStart w:id="33" w:name="_Hlk54268332"/>
      <w:r>
        <w:rPr>
          <w:rFonts w:hint="eastAsia" w:ascii="仿宋" w:hAnsi="仿宋" w:eastAsia="仿宋"/>
          <w:color w:val="000000"/>
          <w:sz w:val="32"/>
          <w:szCs w:val="32"/>
        </w:rPr>
        <w:t>严格执行预算管理。</w:t>
      </w:r>
      <w:bookmarkEnd w:id="33"/>
    </w:p>
    <w:p>
      <w:pPr>
        <w:spacing w:line="600" w:lineRule="exact"/>
        <w:ind w:firstLine="643" w:firstLineChars="200"/>
        <w:rPr>
          <w:rFonts w:ascii="仿宋" w:hAnsi="仿宋" w:eastAsia="仿宋"/>
          <w:color w:val="000000" w:themeColor="text1"/>
          <w:sz w:val="32"/>
          <w:szCs w:val="32"/>
        </w:rPr>
      </w:pPr>
      <w:r>
        <w:rPr>
          <w:rFonts w:ascii="仿宋" w:hAnsi="仿宋" w:eastAsia="仿宋"/>
          <w:b/>
          <w:color w:val="00B050"/>
          <w:sz w:val="32"/>
          <w:szCs w:val="32"/>
        </w:rPr>
        <w:drawing>
          <wp:anchor distT="0" distB="0" distL="114300" distR="114300" simplePos="0" relativeHeight="251665408" behindDoc="1" locked="0" layoutInCell="1" allowOverlap="1">
            <wp:simplePos x="0" y="0"/>
            <wp:positionH relativeFrom="column">
              <wp:posOffset>38100</wp:posOffset>
            </wp:positionH>
            <wp:positionV relativeFrom="paragraph">
              <wp:posOffset>533400</wp:posOffset>
            </wp:positionV>
            <wp:extent cx="5274310" cy="3219450"/>
            <wp:effectExtent l="0" t="0" r="0" b="0"/>
            <wp:wrapTight wrapText="bothSides">
              <wp:wrapPolygon>
                <wp:start x="0" y="0"/>
                <wp:lineTo x="0" y="21472"/>
                <wp:lineTo x="21532" y="21472"/>
                <wp:lineTo x="21532"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4" w:name="_Toc15396607"/>
      <w:bookmarkStart w:id="3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4"/>
      <w:bookmarkEnd w:id="35"/>
    </w:p>
    <w:p>
      <w:pPr>
        <w:spacing w:line="600" w:lineRule="exact"/>
        <w:ind w:firstLine="643" w:firstLineChars="200"/>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3104.32</w:t>
      </w:r>
      <w:r>
        <w:rPr>
          <w:rFonts w:hint="eastAsia" w:ascii="仿宋" w:hAnsi="仿宋" w:eastAsia="仿宋"/>
          <w:color w:val="000000"/>
          <w:sz w:val="32"/>
          <w:szCs w:val="32"/>
        </w:rPr>
        <w:t>万元，占本年支出合计的</w:t>
      </w:r>
      <w:r>
        <w:rPr>
          <w:rFonts w:ascii="仿宋" w:hAnsi="仿宋" w:eastAsia="仿宋"/>
          <w:color w:val="000000"/>
          <w:sz w:val="32"/>
          <w:szCs w:val="32"/>
        </w:rPr>
        <w:t>97.43%</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ascii="仿宋" w:hAnsi="仿宋" w:eastAsia="仿宋"/>
          <w:color w:val="000000"/>
          <w:sz w:val="32"/>
          <w:szCs w:val="32"/>
        </w:rPr>
        <w:t>/</w:t>
      </w:r>
      <w:r>
        <w:rPr>
          <w:rFonts w:hint="eastAsia" w:ascii="仿宋" w:hAnsi="仿宋" w:eastAsia="仿宋"/>
          <w:color w:val="000000"/>
          <w:sz w:val="32"/>
          <w:szCs w:val="32"/>
        </w:rPr>
        <w:t>减少</w:t>
      </w:r>
      <w:r>
        <w:rPr>
          <w:rFonts w:ascii="仿宋" w:hAnsi="仿宋" w:eastAsia="仿宋"/>
          <w:color w:val="000000"/>
          <w:sz w:val="32"/>
          <w:szCs w:val="32"/>
        </w:rPr>
        <w:t>198.29</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6.00%</w:t>
      </w:r>
      <w:r>
        <w:rPr>
          <w:rFonts w:hint="eastAsia" w:ascii="仿宋" w:hAnsi="仿宋" w:eastAsia="仿宋"/>
          <w:color w:val="000000"/>
          <w:sz w:val="32"/>
          <w:szCs w:val="32"/>
        </w:rPr>
        <w:t>。主要变动原因是严格执行预算管理。</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9504" behindDoc="1" locked="0" layoutInCell="1" allowOverlap="1">
            <wp:simplePos x="0" y="0"/>
            <wp:positionH relativeFrom="column">
              <wp:posOffset>123825</wp:posOffset>
            </wp:positionH>
            <wp:positionV relativeFrom="paragraph">
              <wp:posOffset>805180</wp:posOffset>
            </wp:positionV>
            <wp:extent cx="5274310" cy="3076575"/>
            <wp:effectExtent l="0" t="0" r="0" b="0"/>
            <wp:wrapTight wrapText="bothSides">
              <wp:wrapPolygon>
                <wp:start x="0" y="0"/>
                <wp:lineTo x="0" y="21533"/>
                <wp:lineTo x="21532" y="21533"/>
                <wp:lineTo x="21532"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hint="eastAsia"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ascii="仿宋" w:hAnsi="仿宋" w:eastAsia="仿宋"/>
          <w:color w:val="000000" w:themeColor="text1"/>
          <w:sz w:val="32"/>
          <w:szCs w:val="32"/>
        </w:rPr>
        <w:t>3104.32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 xml:space="preserve"> 一般公共服务</w:t>
      </w:r>
      <w:r>
        <w:rPr>
          <w:rFonts w:hint="eastAsia" w:ascii="仿宋" w:hAnsi="仿宋" w:eastAsia="仿宋"/>
          <w:b/>
          <w:bCs/>
          <w:color w:val="000000" w:themeColor="text1"/>
          <w:sz w:val="32"/>
          <w:szCs w:val="32"/>
        </w:rPr>
        <w:t>支出</w:t>
      </w:r>
      <w:r>
        <w:rPr>
          <w:rFonts w:hint="eastAsia" w:ascii="仿宋" w:hAnsi="仿宋" w:eastAsia="仿宋"/>
          <w:b/>
          <w:color w:val="000000" w:themeColor="text1"/>
          <w:sz w:val="32"/>
          <w:szCs w:val="32"/>
        </w:rPr>
        <w:t>（类）</w:t>
      </w:r>
      <w:r>
        <w:rPr>
          <w:rFonts w:ascii="仿宋" w:hAnsi="仿宋" w:eastAsia="仿宋"/>
          <w:color w:val="000000" w:themeColor="text1"/>
          <w:sz w:val="32"/>
          <w:szCs w:val="32"/>
        </w:rPr>
        <w:t>2598.51</w:t>
      </w:r>
      <w:r>
        <w:rPr>
          <w:rFonts w:hint="eastAsia" w:ascii="仿宋" w:hAnsi="仿宋" w:eastAsia="仿宋"/>
          <w:color w:val="000000" w:themeColor="text1"/>
          <w:sz w:val="32"/>
          <w:szCs w:val="32"/>
        </w:rPr>
        <w:t>元，占</w:t>
      </w:r>
      <w:r>
        <w:rPr>
          <w:rFonts w:ascii="仿宋" w:hAnsi="仿宋" w:eastAsia="仿宋"/>
          <w:color w:val="000000" w:themeColor="text1"/>
          <w:sz w:val="32"/>
          <w:szCs w:val="32"/>
        </w:rPr>
        <w:t>83.71%</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外交支出（类）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国防支出（类）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公共安全支出（类）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文化旅游体育与传媒支出（类）</w:t>
      </w:r>
      <w:r>
        <w:rPr>
          <w:rFonts w:ascii="仿宋" w:hAnsi="仿宋" w:eastAsia="仿宋"/>
          <w:b/>
          <w:bCs/>
          <w:color w:val="000000" w:themeColor="text1"/>
          <w:sz w:val="32"/>
          <w:szCs w:val="32"/>
        </w:rPr>
        <w:t>0</w:t>
      </w:r>
      <w:r>
        <w:rPr>
          <w:rFonts w:hint="eastAsia" w:ascii="仿宋" w:hAnsi="仿宋" w:eastAsia="仿宋"/>
          <w:b/>
          <w:bCs/>
          <w:color w:val="000000" w:themeColor="text1"/>
          <w:sz w:val="32"/>
          <w:szCs w:val="32"/>
        </w:rPr>
        <w:t>万元，占</w:t>
      </w:r>
      <w:r>
        <w:rPr>
          <w:rFonts w:ascii="仿宋" w:hAnsi="仿宋" w:eastAsia="仿宋"/>
          <w:b/>
          <w:bCs/>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社会保障和就业支出（类）</w:t>
      </w:r>
      <w:r>
        <w:rPr>
          <w:rFonts w:ascii="仿宋" w:hAnsi="仿宋" w:eastAsia="仿宋"/>
          <w:color w:val="000000" w:themeColor="text1"/>
          <w:sz w:val="32"/>
          <w:szCs w:val="32"/>
        </w:rPr>
        <w:t>262.72</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8.46%</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卫生健康支出（类）</w:t>
      </w:r>
      <w:r>
        <w:rPr>
          <w:rFonts w:ascii="仿宋" w:hAnsi="仿宋" w:eastAsia="仿宋"/>
          <w:color w:val="000000" w:themeColor="text1"/>
          <w:sz w:val="32"/>
          <w:szCs w:val="32"/>
        </w:rPr>
        <w:t>60.24</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1.94%</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节能环保支出（类）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城乡社区支出（类）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农林水支出（类）</w:t>
      </w:r>
      <w:r>
        <w:rPr>
          <w:rFonts w:ascii="仿宋" w:hAnsi="仿宋" w:eastAsia="仿宋"/>
          <w:color w:val="000000" w:themeColor="text1"/>
          <w:sz w:val="32"/>
          <w:szCs w:val="32"/>
        </w:rPr>
        <w:t>5.79</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0.19</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交通运输支出（类）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资源勘探信息等支出（类）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商业服务业等支出（类）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金融支出（类）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援助其他地区支出（类）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自然资源海洋气象等支出（类）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住房保障支出（类）</w:t>
      </w:r>
      <w:r>
        <w:rPr>
          <w:rFonts w:ascii="仿宋" w:hAnsi="仿宋" w:eastAsia="仿宋"/>
          <w:color w:val="000000" w:themeColor="text1"/>
          <w:sz w:val="32"/>
          <w:szCs w:val="32"/>
        </w:rPr>
        <w:t>177.04</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5.70%</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粮油物资储备支出</w:t>
      </w:r>
      <w:bookmarkStart w:id="38" w:name="_Hlk54206152"/>
      <w:r>
        <w:rPr>
          <w:rFonts w:hint="eastAsia" w:ascii="仿宋" w:hAnsi="仿宋" w:eastAsia="仿宋"/>
          <w:b/>
          <w:bCs/>
          <w:color w:val="000000" w:themeColor="text1"/>
          <w:sz w:val="32"/>
          <w:szCs w:val="32"/>
        </w:rPr>
        <w:t>支出</w:t>
      </w:r>
      <w:bookmarkEnd w:id="38"/>
      <w:r>
        <w:rPr>
          <w:rFonts w:hint="eastAsia" w:ascii="仿宋" w:hAnsi="仿宋" w:eastAsia="仿宋"/>
          <w:b/>
          <w:bCs/>
          <w:color w:val="000000" w:themeColor="text1"/>
          <w:sz w:val="32"/>
          <w:szCs w:val="32"/>
        </w:rPr>
        <w:t>（类）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灾害防治及应急管理支出（类）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其他支出（类）</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71552" behindDoc="1" locked="0" layoutInCell="1" allowOverlap="1">
            <wp:simplePos x="0" y="0"/>
            <wp:positionH relativeFrom="column">
              <wp:posOffset>152400</wp:posOffset>
            </wp:positionH>
            <wp:positionV relativeFrom="paragraph">
              <wp:posOffset>409575</wp:posOffset>
            </wp:positionV>
            <wp:extent cx="5274310" cy="3076575"/>
            <wp:effectExtent l="0" t="0" r="0" b="0"/>
            <wp:wrapTight wrapText="bothSides">
              <wp:wrapPolygon>
                <wp:start x="0" y="0"/>
                <wp:lineTo x="0" y="21533"/>
                <wp:lineTo x="21532" y="21533"/>
                <wp:lineTo x="21532"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pPr>
        <w:spacing w:line="600" w:lineRule="exact"/>
        <w:ind w:firstLine="643" w:firstLineChars="200"/>
        <w:outlineLvl w:val="2"/>
        <w:rPr>
          <w:rFonts w:ascii="仿宋" w:hAnsi="仿宋" w:eastAsia="仿宋"/>
          <w:color w:val="FF0000"/>
          <w:sz w:val="32"/>
          <w:szCs w:val="32"/>
        </w:rPr>
      </w:pPr>
      <w:bookmarkStart w:id="40" w:name="_Toc15377444"/>
      <w:bookmarkStart w:id="41" w:name="_Toc15378460"/>
      <w:bookmarkStart w:id="42" w:name="_Toc15377213"/>
      <w:r>
        <w:rPr>
          <w:rFonts w:hint="eastAsia" w:ascii="仿宋" w:hAnsi="仿宋" w:eastAsia="仿宋"/>
          <w:b/>
          <w:color w:val="000000" w:themeColor="text1"/>
          <w:sz w:val="32"/>
          <w:szCs w:val="32"/>
        </w:rPr>
        <w:t>2019年一般公共预算支出决算数为</w:t>
      </w:r>
      <w:r>
        <w:rPr>
          <w:rFonts w:ascii="仿宋" w:hAnsi="仿宋" w:eastAsia="仿宋"/>
          <w:b/>
          <w:color w:val="000000" w:themeColor="text1"/>
          <w:sz w:val="32"/>
          <w:szCs w:val="32"/>
        </w:rPr>
        <w:t>3104.32</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ascii="仿宋" w:hAnsi="仿宋" w:eastAsia="仿宋"/>
          <w:bCs/>
          <w:color w:val="000000"/>
          <w:sz w:val="32"/>
          <w:szCs w:val="32"/>
        </w:rPr>
        <w:t>100%</w:t>
      </w:r>
      <w:r>
        <w:rPr>
          <w:rStyle w:val="14"/>
          <w:rFonts w:hint="eastAsia" w:ascii="仿宋" w:hAnsi="仿宋" w:eastAsia="仿宋"/>
          <w:bCs/>
          <w:color w:val="000000"/>
          <w:sz w:val="32"/>
          <w:szCs w:val="32"/>
        </w:rPr>
        <w:t>。其中：</w:t>
      </w:r>
      <w:bookmarkEnd w:id="40"/>
      <w:bookmarkEnd w:id="41"/>
      <w:bookmarkEnd w:id="42"/>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一般公共服务支出（类）商贸事务（款）其他商贸事务支出（项）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1.58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一般公共服务支出（类）知识产权事务（款）专利试点和产业化推进（项）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w:t>
      </w:r>
      <w:r>
        <w:rPr>
          <w:rStyle w:val="14"/>
          <w:rFonts w:ascii="仿宋" w:hAnsi="仿宋" w:eastAsia="仿宋"/>
          <w:b w:val="0"/>
          <w:bCs/>
          <w:color w:val="000000"/>
          <w:sz w:val="32"/>
          <w:szCs w:val="32"/>
        </w:rPr>
        <w:t>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一般公共服务支出（类）知识产权事务（款）其他知识产权事务支出（项）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0.26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一般公共服务支出（类）市场监督管理事务（款）行政运行（项）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1779.43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一般公共服务支出（类）市场监督管理事务（款）一般行政管理事务（项）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83.14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一般公共服务支出（类）市场监督管理事务（款）市场监督管理专项（项）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142.47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7.</w:t>
      </w:r>
      <w:r>
        <w:rPr>
          <w:rStyle w:val="14"/>
          <w:rFonts w:hint="eastAsia" w:ascii="仿宋" w:hAnsi="仿宋" w:eastAsia="仿宋"/>
          <w:bCs/>
          <w:color w:val="000000"/>
          <w:sz w:val="32"/>
          <w:szCs w:val="32"/>
        </w:rPr>
        <w:t>一般公共服务支出（类）市场监督管理事务（款）市场监管执法（项）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100.00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8.</w:t>
      </w:r>
      <w:r>
        <w:rPr>
          <w:rStyle w:val="14"/>
          <w:rFonts w:hint="eastAsia" w:ascii="仿宋" w:hAnsi="仿宋" w:eastAsia="仿宋"/>
          <w:bCs/>
          <w:color w:val="000000"/>
          <w:sz w:val="32"/>
          <w:szCs w:val="32"/>
        </w:rPr>
        <w:t>一般公共服务支出（类）市场监督管理事务（款）消费者权益保护（项）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81.00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9.</w:t>
      </w:r>
      <w:r>
        <w:rPr>
          <w:rStyle w:val="14"/>
          <w:rFonts w:hint="eastAsia" w:ascii="仿宋" w:hAnsi="仿宋" w:eastAsia="仿宋"/>
          <w:bCs/>
          <w:color w:val="000000"/>
          <w:sz w:val="32"/>
          <w:szCs w:val="32"/>
        </w:rPr>
        <w:t>一般公共服务支出（类）市场监督管理事务（款）价格监督检查（项）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8.00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10.</w:t>
      </w:r>
      <w:r>
        <w:rPr>
          <w:rStyle w:val="14"/>
          <w:rFonts w:hint="eastAsia" w:ascii="仿宋" w:hAnsi="仿宋" w:eastAsia="仿宋"/>
          <w:bCs/>
          <w:color w:val="000000"/>
          <w:sz w:val="32"/>
          <w:szCs w:val="32"/>
        </w:rPr>
        <w:t>一般公共服务支出（类）市场监督管理事务（款）信息化建设（项）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50.00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10.</w:t>
      </w:r>
      <w:r>
        <w:rPr>
          <w:rStyle w:val="14"/>
          <w:rFonts w:hint="eastAsia" w:ascii="仿宋" w:hAnsi="仿宋" w:eastAsia="仿宋"/>
          <w:bCs/>
          <w:color w:val="000000"/>
          <w:sz w:val="32"/>
          <w:szCs w:val="32"/>
        </w:rPr>
        <w:t>一般公共服务支出（类）市场监督管理事务（款）市场监督管理技术支持（项）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w:t>
      </w:r>
      <w:r>
        <w:rPr>
          <w:rStyle w:val="14"/>
          <w:rFonts w:ascii="仿宋" w:hAnsi="仿宋" w:eastAsia="仿宋"/>
          <w:b w:val="0"/>
          <w:bCs/>
          <w:color w:val="000000"/>
          <w:sz w:val="32"/>
          <w:szCs w:val="32"/>
        </w:rPr>
        <w:t>88.54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12.</w:t>
      </w:r>
      <w:r>
        <w:rPr>
          <w:rStyle w:val="14"/>
          <w:rFonts w:hint="eastAsia" w:ascii="仿宋" w:hAnsi="仿宋" w:eastAsia="仿宋"/>
          <w:bCs/>
          <w:color w:val="000000"/>
          <w:sz w:val="32"/>
          <w:szCs w:val="32"/>
        </w:rPr>
        <w:t>一般公共服务支出（类）市场监督管理事务（款）事业运行（项）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89.72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13.</w:t>
      </w:r>
      <w:r>
        <w:rPr>
          <w:rStyle w:val="14"/>
          <w:rFonts w:hint="eastAsia" w:ascii="仿宋" w:hAnsi="仿宋" w:eastAsia="仿宋"/>
          <w:bCs/>
          <w:color w:val="000000"/>
          <w:sz w:val="32"/>
          <w:szCs w:val="32"/>
        </w:rPr>
        <w:t>一般公共服务支出（类）市场监督管理事务（款）其他市场监督管理事务（项）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59.34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14.</w:t>
      </w:r>
      <w:r>
        <w:rPr>
          <w:rStyle w:val="14"/>
          <w:rFonts w:hint="eastAsia" w:ascii="仿宋" w:hAnsi="仿宋" w:eastAsia="仿宋"/>
          <w:bCs/>
          <w:color w:val="000000"/>
          <w:sz w:val="32"/>
          <w:szCs w:val="32"/>
        </w:rPr>
        <w:t>社会保障和就业支出（类）行政事业单位离退休（款）机关事业单位基本养老保险缴费支出（项）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143.20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15.</w:t>
      </w:r>
      <w:r>
        <w:rPr>
          <w:rStyle w:val="14"/>
          <w:rFonts w:hint="eastAsia" w:ascii="仿宋" w:hAnsi="仿宋" w:eastAsia="仿宋"/>
          <w:bCs/>
          <w:color w:val="000000"/>
          <w:sz w:val="32"/>
          <w:szCs w:val="32"/>
        </w:rPr>
        <w:t>社会保障和就业支出（类）行政事业单位离退休（款）机关事业单位职业年金缴费支出（项）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71.30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16.</w:t>
      </w:r>
      <w:r>
        <w:rPr>
          <w:rStyle w:val="14"/>
          <w:rFonts w:hint="eastAsia" w:ascii="仿宋" w:hAnsi="仿宋" w:eastAsia="仿宋"/>
          <w:bCs/>
          <w:color w:val="000000"/>
          <w:sz w:val="32"/>
          <w:szCs w:val="32"/>
        </w:rPr>
        <w:t>社会保障和就业支出（类）抚恤（款）死亡抚恤（项）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44.28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17.</w:t>
      </w:r>
      <w:r>
        <w:rPr>
          <w:rStyle w:val="14"/>
          <w:rFonts w:hint="eastAsia" w:ascii="仿宋" w:hAnsi="仿宋" w:eastAsia="仿宋"/>
          <w:bCs/>
          <w:color w:val="000000"/>
          <w:sz w:val="32"/>
          <w:szCs w:val="32"/>
        </w:rPr>
        <w:t>社会保障和就业支出（类）抚恤（款）其他优抚支出（项）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3.96</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18.</w:t>
      </w:r>
      <w:r>
        <w:rPr>
          <w:rStyle w:val="14"/>
          <w:rFonts w:hint="eastAsia" w:ascii="仿宋" w:hAnsi="仿宋" w:eastAsia="仿宋"/>
          <w:bCs/>
          <w:color w:val="000000"/>
          <w:sz w:val="32"/>
          <w:szCs w:val="32"/>
        </w:rPr>
        <w:t>卫生健康支出（类）公共卫生（款）重大卫生专项（项）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11.42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19.</w:t>
      </w:r>
      <w:r>
        <w:rPr>
          <w:rStyle w:val="14"/>
          <w:rFonts w:hint="eastAsia" w:ascii="仿宋" w:hAnsi="仿宋" w:eastAsia="仿宋"/>
          <w:bCs/>
          <w:color w:val="000000"/>
          <w:sz w:val="32"/>
          <w:szCs w:val="32"/>
        </w:rPr>
        <w:t>卫生健康支出（类）行政事业单位医疗（款）行政单位医疗（项）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48.84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20.</w:t>
      </w:r>
      <w:r>
        <w:rPr>
          <w:rStyle w:val="14"/>
          <w:rFonts w:hint="eastAsia" w:ascii="仿宋" w:hAnsi="仿宋" w:eastAsia="仿宋"/>
          <w:bCs/>
          <w:color w:val="000000"/>
          <w:sz w:val="32"/>
          <w:szCs w:val="32"/>
        </w:rPr>
        <w:t>农林水支出（类）扶贫（款）其他扶贫支出（项）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5.79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hint="eastAsia" w:ascii="仿宋" w:hAnsi="仿宋" w:eastAsia="仿宋"/>
          <w:b/>
          <w:color w:val="000000"/>
          <w:sz w:val="32"/>
          <w:szCs w:val="32"/>
        </w:rPr>
      </w:pPr>
      <w:r>
        <w:rPr>
          <w:rStyle w:val="14"/>
          <w:rFonts w:ascii="仿宋" w:hAnsi="仿宋" w:eastAsia="仿宋"/>
          <w:bCs/>
          <w:color w:val="000000"/>
          <w:sz w:val="32"/>
          <w:szCs w:val="32"/>
        </w:rPr>
        <w:t>21.</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177.04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3" w:name="_Toc15396608"/>
      <w:bookmarkStart w:id="44"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3"/>
      <w:bookmarkEnd w:id="44"/>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ascii="仿宋" w:hAnsi="仿宋" w:eastAsia="仿宋"/>
          <w:color w:val="000000"/>
          <w:sz w:val="32"/>
          <w:szCs w:val="32"/>
        </w:rPr>
        <w:t>2357.76</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2104.99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252.77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5" w:name="_Toc15396609"/>
      <w:bookmarkStart w:id="46"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5"/>
      <w:bookmarkEnd w:id="46"/>
    </w:p>
    <w:p>
      <w:pPr>
        <w:spacing w:line="600" w:lineRule="exact"/>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ascii="仿宋" w:hAnsi="仿宋" w:eastAsia="仿宋"/>
          <w:color w:val="000000"/>
          <w:sz w:val="32"/>
          <w:szCs w:val="32"/>
        </w:rPr>
        <w:t>3.81</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，决算数小于预算数（或与预算数持平）的主要原因是……。</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8" w:name="_Toc15377217"/>
      <w:r>
        <w:rPr>
          <w:rFonts w:hint="eastAsia" w:ascii="仿宋" w:hAnsi="仿宋" w:eastAsia="仿宋"/>
          <w:b/>
          <w:color w:val="000000"/>
          <w:sz w:val="32"/>
          <w:szCs w:val="32"/>
        </w:rPr>
        <w:t>（二）“三公”经费财政拨款支出决算具体情况说明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1.15</w:t>
      </w:r>
      <w:r>
        <w:rPr>
          <w:rFonts w:hint="eastAsia" w:ascii="仿宋" w:hAnsi="仿宋" w:eastAsia="仿宋"/>
          <w:color w:val="000000"/>
          <w:sz w:val="32"/>
          <w:szCs w:val="32"/>
        </w:rPr>
        <w:t>万元，占</w:t>
      </w:r>
      <w:r>
        <w:rPr>
          <w:rFonts w:ascii="仿宋" w:hAnsi="仿宋" w:eastAsia="仿宋"/>
          <w:color w:val="000000"/>
          <w:sz w:val="32"/>
          <w:szCs w:val="32"/>
        </w:rPr>
        <w:t>30.15%</w:t>
      </w:r>
      <w:r>
        <w:rPr>
          <w:rFonts w:hint="eastAsia" w:ascii="仿宋" w:hAnsi="仿宋" w:eastAsia="仿宋"/>
          <w:color w:val="000000"/>
          <w:sz w:val="32"/>
          <w:szCs w:val="32"/>
        </w:rPr>
        <w:t>；公务接待费支出决算</w:t>
      </w:r>
      <w:r>
        <w:rPr>
          <w:rFonts w:ascii="仿宋" w:hAnsi="仿宋" w:eastAsia="仿宋"/>
          <w:color w:val="000000"/>
          <w:sz w:val="32"/>
          <w:szCs w:val="32"/>
        </w:rPr>
        <w:t>2.66</w:t>
      </w:r>
      <w:r>
        <w:rPr>
          <w:rFonts w:hint="eastAsia" w:ascii="仿宋" w:hAnsi="仿宋" w:eastAsia="仿宋"/>
          <w:color w:val="000000"/>
          <w:sz w:val="32"/>
          <w:szCs w:val="32"/>
        </w:rPr>
        <w:t>万元，占</w:t>
      </w:r>
      <w:r>
        <w:rPr>
          <w:rFonts w:ascii="仿宋" w:hAnsi="仿宋" w:eastAsia="仿宋"/>
          <w:color w:val="000000"/>
          <w:sz w:val="32"/>
          <w:szCs w:val="32"/>
        </w:rPr>
        <w:t>69.85%</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73600" behindDoc="1" locked="0" layoutInCell="1" allowOverlap="1">
            <wp:simplePos x="0" y="0"/>
            <wp:positionH relativeFrom="column">
              <wp:posOffset>9525</wp:posOffset>
            </wp:positionH>
            <wp:positionV relativeFrom="paragraph">
              <wp:posOffset>514350</wp:posOffset>
            </wp:positionV>
            <wp:extent cx="5274310" cy="3076575"/>
            <wp:effectExtent l="0" t="0" r="0" b="0"/>
            <wp:wrapTight wrapText="bothSides">
              <wp:wrapPolygon>
                <wp:start x="0" y="0"/>
                <wp:lineTo x="0" y="21533"/>
                <wp:lineTo x="21532" y="21533"/>
                <wp:lineTo x="21532"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0%</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1.15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0.14</w:t>
      </w:r>
      <w:r>
        <w:rPr>
          <w:rFonts w:hint="eastAsia" w:ascii="仿宋_GB2312" w:eastAsia="仿宋_GB2312"/>
          <w:color w:val="000000"/>
          <w:sz w:val="32"/>
          <w:szCs w:val="32"/>
        </w:rPr>
        <w:t>万元，增长</w:t>
      </w:r>
      <w:r>
        <w:rPr>
          <w:rFonts w:ascii="仿宋_GB2312" w:eastAsia="仿宋_GB2312"/>
          <w:color w:val="000000"/>
          <w:sz w:val="32"/>
          <w:szCs w:val="32"/>
        </w:rPr>
        <w:t>13.86%</w:t>
      </w:r>
      <w:r>
        <w:rPr>
          <w:rFonts w:hint="eastAsia" w:ascii="仿宋_GB2312" w:eastAsia="仿宋_GB2312"/>
          <w:color w:val="000000"/>
          <w:sz w:val="32"/>
          <w:szCs w:val="32"/>
        </w:rPr>
        <w:t>。主要原因是执法执勤用车维修。</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2</w:t>
      </w:r>
      <w:r>
        <w:rPr>
          <w:rFonts w:hint="eastAsia" w:ascii="仿宋_GB2312" w:eastAsia="仿宋_GB2312"/>
          <w:color w:val="000000"/>
          <w:sz w:val="32"/>
          <w:szCs w:val="32"/>
        </w:rPr>
        <w:t>辆、 执法执勤用车</w:t>
      </w:r>
      <w:r>
        <w:rPr>
          <w:rFonts w:ascii="仿宋_GB2312" w:eastAsia="仿宋_GB2312"/>
          <w:color w:val="000000"/>
          <w:sz w:val="32"/>
          <w:szCs w:val="32"/>
        </w:rPr>
        <w:t>30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1.15</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2.66</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0.12</w:t>
      </w:r>
      <w:r>
        <w:rPr>
          <w:rFonts w:hint="eastAsia" w:ascii="仿宋_GB2312" w:eastAsia="仿宋_GB2312"/>
          <w:color w:val="000000"/>
          <w:sz w:val="32"/>
          <w:szCs w:val="32"/>
        </w:rPr>
        <w:t>万元，下降</w:t>
      </w:r>
      <w:r>
        <w:rPr>
          <w:rFonts w:ascii="仿宋_GB2312" w:eastAsia="仿宋_GB2312"/>
          <w:color w:val="000000"/>
          <w:sz w:val="32"/>
          <w:szCs w:val="32"/>
        </w:rPr>
        <w:t>4.32%</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接待次数和标准均下调，</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2.66</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13</w:t>
      </w:r>
      <w:r>
        <w:rPr>
          <w:rFonts w:hint="eastAsia" w:ascii="仿宋_GB2312" w:eastAsia="仿宋_GB2312"/>
          <w:color w:val="000000"/>
          <w:sz w:val="32"/>
          <w:szCs w:val="32"/>
        </w:rPr>
        <w:t>批次，</w:t>
      </w:r>
      <w:r>
        <w:rPr>
          <w:rFonts w:ascii="仿宋_GB2312" w:eastAsia="仿宋_GB2312"/>
          <w:color w:val="000000"/>
          <w:sz w:val="32"/>
          <w:szCs w:val="32"/>
        </w:rPr>
        <w:t>107</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2.66</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ascii="仿宋_GB2312" w:eastAsia="仿宋_GB2312"/>
          <w:color w:val="000000" w:themeColor="text1"/>
          <w:sz w:val="32"/>
          <w:szCs w:val="32"/>
        </w:rPr>
        <w:t>0</w:t>
      </w:r>
      <w:r>
        <w:rPr>
          <w:rFonts w:hint="eastAsia" w:ascii="仿宋_GB2312" w:eastAsia="仿宋_GB2312"/>
          <w:color w:val="000000" w:themeColor="text1"/>
          <w:sz w:val="32"/>
          <w:szCs w:val="32"/>
        </w:rPr>
        <w:t>批次，</w:t>
      </w:r>
      <w:r>
        <w:rPr>
          <w:rFonts w:ascii="仿宋_GB2312" w:eastAsia="仿宋_GB2312"/>
          <w:color w:val="000000" w:themeColor="text1"/>
          <w:sz w:val="32"/>
          <w:szCs w:val="32"/>
        </w:rPr>
        <w:t>0</w:t>
      </w:r>
      <w:r>
        <w:rPr>
          <w:rFonts w:hint="eastAsia" w:ascii="仿宋_GB2312" w:eastAsia="仿宋_GB2312"/>
          <w:color w:val="000000" w:themeColor="text1"/>
          <w:sz w:val="32"/>
          <w:szCs w:val="32"/>
        </w:rPr>
        <w:t>人，共计支出</w:t>
      </w:r>
      <w:r>
        <w:rPr>
          <w:rFonts w:ascii="仿宋_GB2312" w:eastAsia="仿宋_GB2312"/>
          <w:color w:val="000000" w:themeColor="text1"/>
          <w:sz w:val="32"/>
          <w:szCs w:val="32"/>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9" w:name="_Toc15396610"/>
      <w:bookmarkStart w:id="50"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ascii="仿宋_GB2312" w:eastAsia="仿宋_GB2312"/>
          <w:color w:val="000000"/>
          <w:sz w:val="32"/>
          <w:szCs w:val="32"/>
        </w:rPr>
        <w:t>82.00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51" w:name="_Toc15377219"/>
      <w:bookmarkStart w:id="52" w:name="_Toc15396611"/>
      <w:r>
        <w:rPr>
          <w:rStyle w:val="25"/>
          <w:rFonts w:hint="eastAsia" w:ascii="黑体" w:hAnsi="黑体" w:eastAsia="黑体"/>
          <w:b w:val="0"/>
        </w:rPr>
        <w:t>国有资本经营预算支出决算情况说明</w:t>
      </w:r>
      <w:bookmarkEnd w:id="51"/>
      <w:bookmarkEnd w:id="5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3" w:name="_Toc15377221"/>
      <w:bookmarkStart w:id="54"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3"/>
      <w:bookmarkEnd w:id="54"/>
    </w:p>
    <w:p>
      <w:pPr>
        <w:spacing w:line="600" w:lineRule="exact"/>
        <w:ind w:firstLine="643" w:firstLineChars="200"/>
        <w:outlineLvl w:val="2"/>
        <w:rPr>
          <w:rFonts w:ascii="仿宋" w:hAnsi="仿宋" w:eastAsia="仿宋"/>
          <w:color w:val="000000"/>
          <w:sz w:val="32"/>
          <w:szCs w:val="32"/>
        </w:rPr>
      </w:pPr>
      <w:bookmarkStart w:id="55" w:name="_Toc15377222"/>
      <w:r>
        <w:rPr>
          <w:rFonts w:hint="eastAsia" w:ascii="仿宋" w:hAnsi="仿宋" w:eastAsia="仿宋"/>
          <w:b/>
          <w:color w:val="000000"/>
          <w:sz w:val="32"/>
          <w:szCs w:val="32"/>
        </w:rPr>
        <w:t>（一）机关运行经费支出情况</w:t>
      </w:r>
      <w:bookmarkEnd w:id="55"/>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9年，峨眉山市市场监督管理局机关运行经费支出</w:t>
      </w:r>
      <w:r>
        <w:rPr>
          <w:rFonts w:ascii="仿宋_GB2312" w:eastAsia="仿宋_GB2312"/>
          <w:color w:val="000000"/>
          <w:sz w:val="32"/>
          <w:szCs w:val="32"/>
        </w:rPr>
        <w:t>252.77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43.06</w:t>
      </w:r>
      <w:r>
        <w:rPr>
          <w:rFonts w:hint="eastAsia" w:ascii="仿宋_GB2312" w:eastAsia="仿宋_GB2312"/>
          <w:color w:val="000000"/>
          <w:sz w:val="32"/>
          <w:szCs w:val="32"/>
        </w:rPr>
        <w:t>万元，下降</w:t>
      </w:r>
      <w:r>
        <w:rPr>
          <w:rFonts w:ascii="仿宋_GB2312" w:eastAsia="仿宋_GB2312"/>
          <w:color w:val="000000"/>
          <w:sz w:val="32"/>
          <w:szCs w:val="32"/>
        </w:rPr>
        <w:t>14.56%</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主要原因是机构调整及人员退休。</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6" w:name="_Toc15377223"/>
      <w:r>
        <w:rPr>
          <w:rFonts w:hint="eastAsia" w:ascii="仿宋" w:hAnsi="仿宋" w:eastAsia="仿宋"/>
          <w:b/>
          <w:color w:val="000000"/>
          <w:sz w:val="32"/>
          <w:szCs w:val="32"/>
        </w:rPr>
        <w:t>（二）政府采购支出情况</w:t>
      </w:r>
      <w:bookmarkEnd w:id="5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峨眉山市市场监督管理局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46</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82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购买检验检测设备、购买办公设备、购买食品药品抽检服务、产品质量抽检服务、企业信用信息抽查服务等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32.8</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24.2</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4"/>
      <w:r>
        <w:rPr>
          <w:rFonts w:hint="eastAsia" w:ascii="仿宋" w:hAnsi="仿宋" w:eastAsia="仿宋"/>
          <w:b/>
          <w:color w:val="000000"/>
          <w:sz w:val="32"/>
          <w:szCs w:val="32"/>
        </w:rPr>
        <w:t>（三）国有资产占有使用情况</w:t>
      </w:r>
      <w:bookmarkEnd w:id="57"/>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日，峨眉山市市场监督管理局共有车辆3</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15</w:t>
      </w:r>
      <w:r>
        <w:rPr>
          <w:rFonts w:hint="eastAsia" w:ascii="仿宋_GB2312" w:eastAsia="仿宋_GB2312"/>
          <w:color w:val="000000"/>
          <w:sz w:val="32"/>
          <w:szCs w:val="32"/>
        </w:rPr>
        <w:t>辆、其他用车</w:t>
      </w:r>
      <w:r>
        <w:rPr>
          <w:rFonts w:ascii="仿宋_GB2312" w:eastAsia="仿宋_GB2312"/>
          <w:color w:val="000000"/>
          <w:sz w:val="32"/>
          <w:szCs w:val="32"/>
        </w:rPr>
        <w:t>17</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ascii="仿宋_GB2312" w:eastAsia="仿宋_GB2312"/>
          <w:color w:val="000000" w:themeColor="text1"/>
          <w:sz w:val="32"/>
          <w:szCs w:val="32"/>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根据预算绩效管理要求，本部门（单位）在年初预算编制阶段，组织对“基层市场监管运行经费”项目（项目名称）开展了预算事前绩效评估，对</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个项目开展了绩效目标完成情况自评。</w:t>
      </w:r>
    </w:p>
    <w:p>
      <w:pPr>
        <w:widowControl/>
        <w:adjustRightInd w:val="0"/>
        <w:snapToGrid w:val="0"/>
        <w:spacing w:line="580" w:lineRule="exact"/>
        <w:ind w:firstLine="72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部门按要求对2019年部门整体支出开展绩效自评，从评价情况来看预算决算编制坚持合法性原则，依法依规编制预算。严格控制“三公经费”、会议费、差旅费支出，控制和降低行政运行成本。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有效运用财政分配政策，促进峨眉山市市场监督管理局工作开展。</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食品药品抽检项目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该项目资金主要用于支付食品药品抽样检验相关费用，实际使用与项目申报内容相符、申报目标合理可行。</w:t>
      </w:r>
      <w:r>
        <w:rPr>
          <w:rFonts w:hint="eastAsia" w:ascii="仿宋_GB2312" w:hAnsi="仿宋_GB2312" w:eastAsia="仿宋_GB2312" w:cs="仿宋_GB2312"/>
          <w:sz w:val="32"/>
          <w:szCs w:val="32"/>
        </w:rPr>
        <w:t>全年完成食品抽检620个批次，其中食用农产品抽检300个批次，不合格30个批次；药品抽检100个批次,不合格1批次。及时超额完成了目标任务。强化食品药品安全监管</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及时对不合格产品进行风险研判和控制，并进行严厉查处，有效保障人民群众饮食用药安全。</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本部门在2019年度部门决算中反映“基层市场监管运行经费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整顿和规范市场经济秩序经费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2315</w:t>
      </w:r>
      <w:r>
        <w:rPr>
          <w:rFonts w:hint="eastAsia" w:ascii="仿宋_GB2312" w:hAnsi="仿宋_GB2312" w:eastAsia="仿宋_GB2312" w:cs="仿宋_GB2312"/>
          <w:sz w:val="32"/>
          <w:szCs w:val="32"/>
        </w:rPr>
        <w:t>维权工作经费”“食品药品检验检测能力建设”“执法办案工作经费”等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（1）“基层市场监管运行经费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%。通过项目实施，保障保障各基层所有效运行，对属地市场经济活动进行监督管理，维护正常的经济秩序，有力助推了地方经济的协调发展。发现的主要问题：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整顿和规范市场经济秩序经费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组织开展市场经济秩序整顿和规范宣传、教育、巡查工作，规范和维护市场秩序，营造诚实守信、公平竞争的市场环境。强化市场秩序监管;集中治理虚假宣传、违规促销等突出问题。强化广告导向监管和广告舆情处置，突出互联网广告、金融类广告整治。加强旅游市场监管，严查涉旅违法违规行为等。为促进我市消费市场规范有序、诚信和谐发展，优化消费环境，释放消费潜能，拉动消费增长动力，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（3）“食品药品检验检测能力建设”项目绩效目标完成情况综述。项目全年预算数</w:t>
      </w:r>
      <w:r>
        <w:rPr>
          <w:rFonts w:ascii="仿宋_GB2312" w:hAnsi="仿宋_GB2312" w:eastAsia="仿宋_GB2312" w:cs="仿宋_GB2312"/>
          <w:sz w:val="32"/>
          <w:szCs w:val="32"/>
        </w:rPr>
        <w:t>55.00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%。通过项目实施，保障完成省级食品安全示范县创建，加大食品药品行业日常监督检查力度，打击违法行为，整顿规范食品药品市场秩序，发现的主要问题：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2315</w:t>
      </w:r>
      <w:r>
        <w:rPr>
          <w:rFonts w:hint="eastAsia" w:ascii="仿宋_GB2312" w:hAnsi="仿宋_GB2312" w:eastAsia="仿宋_GB2312" w:cs="仿宋_GB2312"/>
          <w:sz w:val="32"/>
          <w:szCs w:val="32"/>
        </w:rPr>
        <w:t>维权工作经费”项目绩效目标完成情况综述。项目全年预算数</w:t>
      </w:r>
      <w:r>
        <w:rPr>
          <w:rFonts w:ascii="仿宋_GB2312" w:hAnsi="仿宋_GB2312" w:eastAsia="仿宋_GB2312" w:cs="仿宋_GB2312"/>
          <w:sz w:val="32"/>
          <w:szCs w:val="32"/>
        </w:rPr>
        <w:t>75.00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75.00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深入开展“放心舒心消费城市”创建,大力开展消费教育,拓展媒体和社会监督渠道，保护消费者合法权益，形成消费维权社会共治格局。发现的主要问题：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）“执法办案工作经费”项目绩效目标完成情况综述。项目全年预算数</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%。通过项目实施，依法打击扰乱市场经济秩序违法行为，保护地方经济健康发展。发现的主要问题：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基层市场监管运行经费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峨眉山市市场监督管理局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2975"/>
              </w:tabs>
              <w:ind w:firstLine="480" w:firstLineChars="20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保障各基层所有效运行，对属地市场经济活动进行监督管理，维护正常的经济秩序，有力助推了地方经济的协调发展。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 xml:space="preserve">  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各基层所有效运行，开展市场监管工作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各基层所有效运行，开展市场监管工作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各基层所有效运行，开展市场监管工作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各基层所有效运行，开展市场监管工作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维护正常的经济秩序，有力助推了地方经济的协调发展。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维护正常的经济秩序，有力助推了地方经济的协调发展。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维护正常的经济秩序，有力助推了地方经济的协调发展。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维护正常的经济秩序，有力助推了地方经济的协调发展。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整顿和规范市场经济秩序经费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峨眉山市市场监督管理局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组织开展市场经济秩序整顿和规范宣传、教育、巡查工作，规范和维护市场秩序，营造诚实守信、公平竞争的市场环境。为促进我市消费市场规范有序、诚信和谐发展，优化消费环境，释放消费潜能，拉动消费增长动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组织开展市场经济秩序整顿和规范宣传、教育、巡查工作，规范和维护市场秩序，营造诚实守信、公平竞争的市场环境。为促进我市消费市场规范有序、诚信和谐发展，优化消费环境，释放消费潜能，拉动消费增长动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扎实整顿和规范市场经济秩序，开展各类专项整治50次.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扎实整顿和规范市场经济秩序，开展各类专项整治50次.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开展各类专项整治50次.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开展各类专项整治50次.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default" w:ascii="宋体" w:hAnsi="宋体" w:cs="宋体"/>
                <w:color w:val="000000"/>
                <w:sz w:val="24"/>
                <w:lang w:val="en-US" w:eastAsia="zh-CN"/>
              </w:rPr>
              <w:t>以打击虚假宣传为重点，严肃清查各种广告违法行为,行政约谈、指导20次。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default" w:ascii="宋体" w:hAnsi="宋体" w:cs="宋体"/>
                <w:color w:val="000000"/>
                <w:sz w:val="24"/>
                <w:lang w:val="en-US" w:eastAsia="zh-CN"/>
              </w:rPr>
              <w:t>以打击虚假宣传为重点，严肃清查各种广告违法行为,行政约谈、指导20次。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default" w:ascii="宋体" w:hAnsi="宋体" w:cs="宋体"/>
                <w:color w:val="000000"/>
                <w:sz w:val="24"/>
                <w:lang w:val="en-US" w:eastAsia="zh-CN"/>
              </w:rPr>
              <w:t>进行行政约谈、指导20次。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default" w:ascii="宋体" w:hAnsi="宋体" w:cs="宋体"/>
                <w:color w:val="000000"/>
                <w:sz w:val="24"/>
                <w:lang w:val="en-US" w:eastAsia="zh-CN"/>
              </w:rPr>
              <w:t>进行行政约谈、指导20次。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打击传销、规范直销，开展宣传警示教育6次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打击传销、规范直销，开展宣传警示教育6次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开展宣传警示教育6次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开展宣传警示教育6次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default" w:ascii="宋体" w:hAnsi="宋体" w:cs="宋体"/>
                <w:color w:val="000000"/>
                <w:sz w:val="24"/>
                <w:lang w:val="en-US" w:eastAsia="zh-CN"/>
              </w:rPr>
              <w:t>规范社会经济秩序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default" w:ascii="宋体" w:hAnsi="宋体" w:cs="宋体"/>
                <w:color w:val="000000"/>
                <w:sz w:val="24"/>
                <w:lang w:val="en-US" w:eastAsia="zh-CN"/>
              </w:rPr>
              <w:t>规范社会经济秩序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default" w:ascii="宋体" w:hAnsi="宋体" w:cs="宋体"/>
                <w:color w:val="000000"/>
                <w:sz w:val="24"/>
                <w:lang w:val="en-US" w:eastAsia="zh-CN"/>
              </w:rPr>
              <w:t>规范社会经济秩序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default" w:ascii="宋体" w:hAnsi="宋体" w:cs="宋体"/>
                <w:color w:val="000000"/>
                <w:sz w:val="24"/>
                <w:lang w:val="en-US" w:eastAsia="zh-CN"/>
              </w:rPr>
              <w:t>规范社会经济秩序</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bl>
    <w:p>
      <w:pPr>
        <w:widowControl/>
        <w:jc w:val="center"/>
        <w:textAlignment w:val="center"/>
        <w:rPr>
          <w:rFonts w:hint="eastAsia" w:ascii="宋体" w:hAnsi="宋体" w:cs="宋体"/>
          <w:color w:val="000000"/>
          <w:sz w:val="24"/>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项目绩效目标完成情况表</w:t>
            </w:r>
            <w:r>
              <w:rPr>
                <w:rFonts w:hint="eastAsia" w:ascii="宋体" w:hAnsi="宋体" w:cs="宋体"/>
                <w:color w:val="000000"/>
                <w:sz w:val="24"/>
              </w:rPr>
              <w:br w:type="textWrapping"/>
            </w:r>
            <w:r>
              <w:rPr>
                <w:rFonts w:hint="eastAsia" w:ascii="宋体" w:hAnsi="宋体" w:cs="宋体"/>
                <w:color w:val="000000"/>
                <w:sz w:val="24"/>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食品药品检验检测能力建设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峨眉山市市场监督管理局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完成省级食品安全示范县创建，加大食品药品行业日常监督检查力度，打击违法行为，整顿规范食品药品市场秩序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完成省级食品安全示范县创建，加大食品药品行业日常监督检查力度，打击违法行为，整顿规范食品药品市场秩序</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开展各类培训70次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开展培训70次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开展培训70次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开展培训70次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开展科普宣传12次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开展科普宣传12次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开展科普宣传12次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开展科普宣传12次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检查经营户5000家次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检查经营户5000家次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检查经营户5000家次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检查经营户5000家次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智慧监管平台建设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平台初步建成，完成试运行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基本完成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基本完成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食品药品安全风险分析4次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食品药品安全风险分析4次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开展培训70次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食品药品安全风险分析4次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食品药品安全得到保障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食品药品安全社会共治局面逐渐形成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服务对象的满意度调查结果达85%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bl>
    <w:p>
      <w:pPr>
        <w:widowControl/>
        <w:jc w:val="center"/>
        <w:textAlignment w:val="center"/>
        <w:rPr>
          <w:rFonts w:hint="eastAsia" w:ascii="宋体" w:hAnsi="宋体" w:cs="宋体"/>
          <w:color w:val="000000"/>
          <w:sz w:val="24"/>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项目绩效目标完成情况表</w:t>
            </w:r>
            <w:r>
              <w:rPr>
                <w:rFonts w:hint="eastAsia" w:ascii="宋体" w:hAnsi="宋体" w:cs="宋体"/>
                <w:color w:val="000000"/>
                <w:sz w:val="24"/>
              </w:rPr>
              <w:br w:type="textWrapping"/>
            </w:r>
            <w:r>
              <w:rPr>
                <w:rFonts w:hint="eastAsia" w:ascii="宋体" w:hAnsi="宋体" w:cs="宋体"/>
                <w:color w:val="000000"/>
                <w:sz w:val="24"/>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12315</w:t>
            </w:r>
            <w:r>
              <w:rPr>
                <w:rFonts w:hint="eastAsia" w:ascii="宋体" w:hAnsi="宋体" w:cs="宋体"/>
                <w:color w:val="000000"/>
                <w:sz w:val="24"/>
              </w:rPr>
              <w:t>维权工作经费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峨眉山市市场监督管理局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75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75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75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eastAsia="zh-CN"/>
              </w:rPr>
              <w:t>通过</w:t>
            </w:r>
            <w:r>
              <w:rPr>
                <w:rFonts w:hint="eastAsia" w:ascii="宋体" w:hAnsi="宋体" w:cs="宋体"/>
                <w:color w:val="000000"/>
                <w:sz w:val="24"/>
              </w:rPr>
              <w:t>深入开展“放心舒心消费城市”创建,大力开展消费教育,拓展媒体和社会监督渠道，保护消费者合法权益，形成消费维权社会共治格局。</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eastAsia="zh-CN"/>
              </w:rPr>
              <w:t>通过</w:t>
            </w:r>
            <w:r>
              <w:rPr>
                <w:rFonts w:hint="eastAsia" w:ascii="宋体" w:hAnsi="宋体" w:cs="宋体"/>
                <w:color w:val="000000"/>
                <w:sz w:val="24"/>
              </w:rPr>
              <w:t>深入开展“放心舒心消费城市”创建,大力开展消费教育,拓展媒体和社会监督渠道，保护消费者合法权益，形成消费维权社会共治格局。</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深入开展“放心舒心消费城市”创建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一店一码300户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一店一码300户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一店一码300户</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大力开展消费教育。拓展媒体和社会监督渠道，形成消费维权社会共治格局。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投诉处理1500件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投诉处理1500件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投诉处理1500件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优化消费环境，提升“放心舒心消费城市”创建工作在建设全省区域中心城市中的作用。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优化消费环境，提升“放心舒心消费城市”创建工作在建设全省区域中心城市中的作用。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优化消费环境，提升“放心舒心消费城市”创建工作在建设全省区域中心城市中的作用。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优化消费环境，提升“放心舒心消费城市”创建工作在建设全省区域中心城市中的作用。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2"/>
              <w:tblW w:w="429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4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群众对消费环境建设满意率96%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4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群众对投诉处理满意率96%</w:t>
                  </w:r>
                </w:p>
              </w:tc>
            </w:tr>
          </w:tbl>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2"/>
              <w:tblW w:w="429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4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群众对消费环境建设满意率96%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4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群众对投诉处理满意率96%</w:t>
                  </w:r>
                </w:p>
              </w:tc>
            </w:tr>
          </w:tbl>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bl>
    <w:p>
      <w:pPr>
        <w:widowControl/>
        <w:jc w:val="center"/>
        <w:textAlignment w:val="center"/>
        <w:rPr>
          <w:rFonts w:hint="eastAsia" w:ascii="宋体" w:hAnsi="宋体" w:cs="宋体"/>
          <w:color w:val="000000"/>
          <w:sz w:val="24"/>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项目绩效目标完成情况表</w:t>
            </w:r>
            <w:r>
              <w:rPr>
                <w:rFonts w:hint="eastAsia" w:ascii="宋体" w:hAnsi="宋体" w:cs="宋体"/>
                <w:color w:val="000000"/>
                <w:sz w:val="24"/>
              </w:rPr>
              <w:br w:type="textWrapping"/>
            </w:r>
            <w:r>
              <w:rPr>
                <w:rFonts w:hint="eastAsia" w:ascii="宋体" w:hAnsi="宋体" w:cs="宋体"/>
                <w:color w:val="000000"/>
                <w:sz w:val="24"/>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执法办案工作经费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峨眉山市市场监督管理局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依法打击扰乱市场经济秩序违法行为，保护地方经济健康发展。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rPr>
              <w:t>依法打击扰乱市场经济秩序违法行为，保护地方经济健康发展。</w:t>
            </w: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按上级部署完成春雷行动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春雷行动先进单位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完成案件数126件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完成案件数126件</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知识产权铁拳行动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完成知识产权铁拳行动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完成知识产权案件8件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完成知识产权案件8件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保健食品专项行动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完成保健食品专项行动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完成保健食品相关案件6件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完成保健食品相关案件6件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监管对象满意度达85%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r>
    </w:tbl>
    <w:p>
      <w:pPr>
        <w:spacing w:line="580" w:lineRule="exact"/>
        <w:ind w:left="630"/>
        <w:rPr>
          <w:rFonts w:hint="eastAsia"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bookmarkStart w:id="60" w:name="_GoBack"/>
      <w:bookmarkEnd w:id="6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峨眉山市市场监督管理局</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本部门自行组织对项目、</w:t>
      </w:r>
      <w:r>
        <w:rPr>
          <w:rFonts w:hint="eastAsia" w:ascii="仿宋_GB2312" w:hAnsi="仿宋_GB2312" w:eastAsia="仿宋_GB2312" w:cs="仿宋_GB2312"/>
          <w:sz w:val="32"/>
          <w:szCs w:val="32"/>
          <w:lang w:eastAsia="zh-CN"/>
        </w:rPr>
        <w:t>食品药品抽检</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食品药品抽检</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8" w:name="_Toc15377225"/>
      <w:bookmarkStart w:id="59"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8"/>
      <w:bookmarkEnd w:id="59"/>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firstLineChars="1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10.市场监督管理事务20138：反映市场监督管理事务方面的支出。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1）行政运行（市场）2013801：反映行政单位的基本支出。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2）一般行政管理事务（市场）2013802：反映行政单位未单独设置项级科目的其他项目支出。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3）机关服务（市场）2013803：反映为行政单位提供后勤服务的各类后勤服务中心、医务室等附属事业单位的支出。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4）市场主体管理2013804：反映市场准入、许可审批、信用监管等市场主体管理专项工作支出。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5）市场秩序执法2013805：反映反垄断、价格监督、反不正当竞争、规范直销与打击传销、网络交易监管、广告监管、消费者权益保护、综合执法等市场秩序执法专项工作支出。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6）药品事务2013812：反映用于药品（含中药、民族药）监督管理方面的支出。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7）质量安全监管2013815：反映产品质量安全监管，特种设备安全监管等质量监管专项工作支出。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8）食品安全监管2013816：反映食品安全监管等专项工作支出。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9）事业运行（市场）20138505：反映事业单位的基本支出，不包括行政单位的后勤服务中心、医务室等附属事业单位。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10）其他市场监督管理事务2013899：反映用于除上述项目以外其他市场监督管理事务方面的支出。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w:t>
      </w:r>
      <w:r>
        <w:rPr>
          <w:rFonts w:hint="default"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行政事业单位离退休</w:t>
      </w:r>
      <w:r>
        <w:rPr>
          <w:rFonts w:hint="default" w:ascii="仿宋_GB2312" w:hAnsi="Calibri" w:eastAsia="仿宋_GB2312" w:cs="仿宋"/>
          <w:color w:val="000000"/>
          <w:kern w:val="0"/>
          <w:sz w:val="32"/>
          <w:szCs w:val="32"/>
          <w:lang w:val="en-US" w:eastAsia="zh-CN" w:bidi="ar-SA"/>
        </w:rPr>
        <w:t>20805：反映行政事业单位离退休方面的支出。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1）机关事业单位基本养老保险缴费支出2080505：反映机关事业单位实施养老保险制度由单位缴纳的基本养老保险费支出。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2）机关事业单位职业年金缴费支出2080506：反映机关事业单位实施养老保险制度由单位缴纳的职业年金支出。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w:t>
      </w:r>
      <w:r>
        <w:rPr>
          <w:rFonts w:hint="default"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抚恤</w:t>
      </w:r>
      <w:r>
        <w:rPr>
          <w:rFonts w:hint="default" w:ascii="仿宋_GB2312" w:hAnsi="Calibri" w:eastAsia="仿宋_GB2312" w:cs="仿宋"/>
          <w:color w:val="000000"/>
          <w:kern w:val="0"/>
          <w:sz w:val="32"/>
          <w:szCs w:val="32"/>
          <w:lang w:val="en-US" w:eastAsia="zh-CN" w:bidi="ar-SA"/>
        </w:rPr>
        <w:t>20808：反映用于各类优抚对象和优抚事业单位的支出。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1）其他优抚支出2080899：反映除上述项目以外其他用于优抚方面的支出、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w:t>
      </w:r>
      <w:r>
        <w:rPr>
          <w:rFonts w:hint="default"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其他社会保障和就业支出</w:t>
      </w:r>
      <w:r>
        <w:rPr>
          <w:rFonts w:hint="default" w:ascii="仿宋_GB2312" w:hAnsi="Calibri" w:eastAsia="仿宋_GB2312" w:cs="仿宋"/>
          <w:color w:val="000000"/>
          <w:kern w:val="0"/>
          <w:sz w:val="32"/>
          <w:szCs w:val="32"/>
          <w:lang w:val="en-US" w:eastAsia="zh-CN" w:bidi="ar-SA"/>
        </w:rPr>
        <w:t>20899：反映除上述项目以外其他用于社会保障和就业方面的支出。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1）其他社会保障和就业支出2089901：反映除上述项目以外其他用于社会保障和就业方面的支出。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14</w:t>
      </w:r>
      <w:r>
        <w:rPr>
          <w:rFonts w:hint="default"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行政事业单位医疗</w:t>
      </w:r>
      <w:r>
        <w:rPr>
          <w:rFonts w:hint="default" w:ascii="仿宋_GB2312" w:hAnsi="Calibri" w:eastAsia="仿宋_GB2312" w:cs="仿宋"/>
          <w:color w:val="000000"/>
          <w:kern w:val="0"/>
          <w:sz w:val="32"/>
          <w:szCs w:val="32"/>
          <w:lang w:val="en-US" w:eastAsia="zh-CN" w:bidi="ar-SA"/>
        </w:rPr>
        <w:t>21011：反映行政事业单位医疗方面的支出。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1）行政单位医疗2101101：反映财政部门安排的行政单位基本医疗保险缴费经费。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w:t>
      </w:r>
      <w:r>
        <w:rPr>
          <w:rFonts w:hint="default" w:ascii="仿宋_GB2312" w:hAnsi="Calibri" w:eastAsia="仿宋_GB2312" w:cs="仿宋"/>
          <w:color w:val="000000"/>
          <w:kern w:val="0"/>
          <w:sz w:val="32"/>
          <w:szCs w:val="32"/>
          <w:lang w:val="en-US" w:eastAsia="zh-CN" w:bidi="ar-SA"/>
        </w:rPr>
        <w:t>.</w:t>
      </w:r>
      <w:r>
        <w:rPr>
          <w:rFonts w:hint="eastAsia" w:ascii="仿宋_GB2312" w:hAnsi="Calibri" w:eastAsia="仿宋_GB2312" w:cs="仿宋"/>
          <w:color w:val="000000"/>
          <w:kern w:val="0"/>
          <w:sz w:val="32"/>
          <w:szCs w:val="32"/>
          <w:lang w:val="en-US" w:eastAsia="zh-CN" w:bidi="ar-SA"/>
        </w:rPr>
        <w:t>住房改革支出</w:t>
      </w:r>
      <w:r>
        <w:rPr>
          <w:rFonts w:hint="default" w:ascii="仿宋_GB2312" w:hAnsi="Calibri" w:eastAsia="仿宋_GB2312" w:cs="仿宋"/>
          <w:color w:val="000000"/>
          <w:kern w:val="0"/>
          <w:sz w:val="32"/>
          <w:szCs w:val="32"/>
          <w:lang w:val="en-US" w:eastAsia="zh-CN" w:bidi="ar-SA"/>
        </w:rPr>
        <w:t>22102：反映行政事业单位用财政拨款资金和其他资金等安排的住房改革支出。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w:t>
      </w:r>
      <w:r>
        <w:rPr>
          <w:rFonts w:hint="default" w:ascii="仿宋_GB2312" w:hAnsi="Calibri" w:eastAsia="仿宋_GB2312" w:cs="仿宋"/>
          <w:color w:val="000000"/>
          <w:kern w:val="0"/>
          <w:sz w:val="32"/>
          <w:szCs w:val="32"/>
          <w:lang w:val="en-US" w:eastAsia="zh-CN" w:bidi="ar-SA"/>
        </w:rPr>
        <w:t>1）住房公积金2210201：反映行政事业单位按人力资源和社会保障部、财政部规定的基本工资和津贴补贴以及规定比例为职工缴纳的住房公积金。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pStyle w:val="4"/>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AEB0ADE"/>
    <w:multiLevelType w:val="singleLevel"/>
    <w:tmpl w:val="5AEB0ADE"/>
    <w:lvl w:ilvl="0" w:tentative="0">
      <w:start w:val="6"/>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D1B"/>
    <w:rsid w:val="00114E9B"/>
    <w:rsid w:val="00142216"/>
    <w:rsid w:val="00144D6A"/>
    <w:rsid w:val="0014729F"/>
    <w:rsid w:val="00157BAB"/>
    <w:rsid w:val="001654D1"/>
    <w:rsid w:val="00174518"/>
    <w:rsid w:val="0018106D"/>
    <w:rsid w:val="001877A7"/>
    <w:rsid w:val="00191536"/>
    <w:rsid w:val="0019238A"/>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46C3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67366"/>
    <w:rsid w:val="00471401"/>
    <w:rsid w:val="00473F31"/>
    <w:rsid w:val="0048263A"/>
    <w:rsid w:val="00487E5D"/>
    <w:rsid w:val="004A711F"/>
    <w:rsid w:val="004B199D"/>
    <w:rsid w:val="004B4690"/>
    <w:rsid w:val="004E0A2D"/>
    <w:rsid w:val="004E206B"/>
    <w:rsid w:val="004E66CA"/>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5810"/>
    <w:rsid w:val="006F020C"/>
    <w:rsid w:val="0070602D"/>
    <w:rsid w:val="007127B7"/>
    <w:rsid w:val="0071798E"/>
    <w:rsid w:val="00727533"/>
    <w:rsid w:val="007416B6"/>
    <w:rsid w:val="00746F48"/>
    <w:rsid w:val="00747768"/>
    <w:rsid w:val="0075404D"/>
    <w:rsid w:val="0076182A"/>
    <w:rsid w:val="00767B7E"/>
    <w:rsid w:val="007770C3"/>
    <w:rsid w:val="00784D24"/>
    <w:rsid w:val="00785FBA"/>
    <w:rsid w:val="00786E4A"/>
    <w:rsid w:val="007875EB"/>
    <w:rsid w:val="0079426B"/>
    <w:rsid w:val="007C30FA"/>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3609"/>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382"/>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4E6"/>
    <w:rsid w:val="00F754A1"/>
    <w:rsid w:val="00F81FD9"/>
    <w:rsid w:val="00F841AA"/>
    <w:rsid w:val="00F84A94"/>
    <w:rsid w:val="00F87E96"/>
    <w:rsid w:val="00FA23E8"/>
    <w:rsid w:val="00FD3CC1"/>
    <w:rsid w:val="00FD5310"/>
    <w:rsid w:val="00FF1E02"/>
    <w:rsid w:val="00FF30B4"/>
    <w:rsid w:val="0A1F4707"/>
    <w:rsid w:val="10C055FF"/>
    <w:rsid w:val="12AF77C2"/>
    <w:rsid w:val="16BB723D"/>
    <w:rsid w:val="1988425A"/>
    <w:rsid w:val="240371BF"/>
    <w:rsid w:val="29FD04D3"/>
    <w:rsid w:val="2B333FA8"/>
    <w:rsid w:val="2D6222D5"/>
    <w:rsid w:val="319F7F4E"/>
    <w:rsid w:val="36974F52"/>
    <w:rsid w:val="3BCC0A30"/>
    <w:rsid w:val="4C7744CC"/>
    <w:rsid w:val="4ECE2238"/>
    <w:rsid w:val="53782E35"/>
    <w:rsid w:val="53C64ECD"/>
    <w:rsid w:val="55630F0A"/>
    <w:rsid w:val="5738167C"/>
    <w:rsid w:val="587053C0"/>
    <w:rsid w:val="5BD1720A"/>
    <w:rsid w:val="5D582BB0"/>
    <w:rsid w:val="5F1B2DB6"/>
    <w:rsid w:val="64CE72EE"/>
    <w:rsid w:val="6BFD204B"/>
    <w:rsid w:val="6D165145"/>
    <w:rsid w:val="72734D90"/>
    <w:rsid w:val="72E62BA9"/>
    <w:rsid w:val="7AEC1F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qowt-font5-gb2312"/>
    <w:basedOn w:val="13"/>
    <w:uiPriority w:val="0"/>
  </w:style>
  <w:style w:type="character" w:customStyle="1" w:styleId="31">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32">
    <w:name w:val="标题 1 Char"/>
    <w:basedOn w:val="13"/>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dLbl>
              <c:idx val="1"/>
              <c:layout>
                <c:manualLayout>
                  <c:x val="0"/>
                  <c:y val="0.0205761316872428"/>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3220.91</c:v>
                </c:pt>
                <c:pt idx="1">
                  <c:v>3336.23</c:v>
                </c:pt>
              </c:numCache>
            </c:numRef>
          </c:val>
        </c:ser>
        <c:ser>
          <c:idx val="1"/>
          <c:order val="1"/>
          <c:tx>
            <c:strRef>
              <c:f>Sheet1!$C$1</c:f>
              <c:strCache>
                <c:ptCount val="1"/>
                <c:pt idx="0">
                  <c:v>2019年度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3164.65</c:v>
                </c:pt>
                <c:pt idx="1">
                  <c:v>3186.32</c:v>
                </c:pt>
              </c:numCache>
            </c:numRef>
          </c:val>
        </c:ser>
        <c:dLbls>
          <c:showLegendKey val="0"/>
          <c:showVal val="0"/>
          <c:showCatName val="0"/>
          <c:showSerName val="0"/>
          <c:showPercent val="0"/>
          <c:showBubbleSize val="0"/>
        </c:dLbls>
        <c:gapWidth val="219"/>
        <c:overlap val="-27"/>
        <c:axId val="722650448"/>
        <c:axId val="722641592"/>
      </c:barChart>
      <c:catAx>
        <c:axId val="72265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641592"/>
        <c:crosses val="autoZero"/>
        <c:auto val="1"/>
        <c:lblAlgn val="ctr"/>
        <c:lblOffset val="100"/>
        <c:noMultiLvlLbl val="0"/>
      </c:catAx>
      <c:valAx>
        <c:axId val="722641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650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37304216096513"/>
                  <c:y val="-0.28328254633805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38663446024219"/>
                  <c:y val="0.041736346424189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77872176644907"/>
                  <c:y val="0.31202912329457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77148290487286"/>
                  <c:y val="0.11394846542015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86299819312858"/>
                  <c:y val="0.14284423425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5"/>
              <c:layout>
                <c:manualLayout>
                  <c:x val="0.284672876641684"/>
                  <c:y val="0.028231393676409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6"/>
              <c:layout>
                <c:manualLayout>
                  <c:x val="0.280158068069568"/>
                  <c:y val="0.23056353249961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c:v>
                </c:pt>
                <c:pt idx="1">
                  <c:v>政府性基金预算</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3082.65</c:v>
                </c:pt>
                <c:pt idx="1">
                  <c:v>82</c:v>
                </c:pt>
                <c:pt idx="2">
                  <c:v>0</c:v>
                </c:pt>
                <c:pt idx="3">
                  <c:v>0</c:v>
                </c:pt>
                <c:pt idx="4">
                  <c:v>0</c:v>
                </c:pt>
                <c:pt idx="5">
                  <c:v>0</c:v>
                </c:pt>
                <c:pt idx="6">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221526607271852"/>
                  <c:y val="0.066047471620227"/>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26486876956417"/>
                  <c:y val="-0.0041279669762642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303395136046232"/>
                  <c:y val="0.20639834881320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2357.76</c:v>
                </c:pt>
                <c:pt idx="1">
                  <c:v>828.56</c:v>
                </c:pt>
                <c:pt idx="2">
                  <c:v>0</c:v>
                </c:pt>
                <c:pt idx="3">
                  <c:v>0</c:v>
                </c:pt>
                <c:pt idx="4">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manualLayout>
          <c:xMode val="edge"/>
          <c:yMode val="edge"/>
          <c:x val="0.126775824705033"/>
          <c:y val="0.021333333333333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dLbl>
              <c:idx val="0"/>
              <c:layout>
                <c:manualLayout>
                  <c:x val="0"/>
                  <c:y val="0.0106666666666667"/>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Lst>
            </c:dLbl>
            <c:dLbl>
              <c:idx val="1"/>
              <c:layout>
                <c:manualLayout>
                  <c:x val="0"/>
                  <c:y val="0.0106666666666667"/>
                </c:manualLayout>
              </c:layout>
              <c:dLblPos val="outEnd"/>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3380.3</c:v>
                </c:pt>
                <c:pt idx="1">
                  <c:v>3380.3</c:v>
                </c:pt>
              </c:numCache>
            </c:numRef>
          </c:val>
        </c:ser>
        <c:ser>
          <c:idx val="1"/>
          <c:order val="1"/>
          <c:tx>
            <c:strRef>
              <c:f>Sheet1!$C$1</c:f>
              <c:strCache>
                <c:ptCount val="1"/>
                <c:pt idx="0">
                  <c:v>2019年度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3164.65</c:v>
                </c:pt>
                <c:pt idx="1">
                  <c:v>3186.32</c:v>
                </c:pt>
              </c:numCache>
            </c:numRef>
          </c:val>
        </c:ser>
        <c:dLbls>
          <c:showLegendKey val="0"/>
          <c:showVal val="0"/>
          <c:showCatName val="0"/>
          <c:showSerName val="0"/>
          <c:showPercent val="0"/>
          <c:showBubbleSize val="0"/>
        </c:dLbls>
        <c:gapWidth val="219"/>
        <c:overlap val="-27"/>
        <c:axId val="798647648"/>
        <c:axId val="798648304"/>
      </c:barChart>
      <c:catAx>
        <c:axId val="79864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8648304"/>
        <c:crosses val="autoZero"/>
        <c:auto val="1"/>
        <c:lblAlgn val="ctr"/>
        <c:lblOffset val="100"/>
        <c:noMultiLvlLbl val="0"/>
      </c:catAx>
      <c:valAx>
        <c:axId val="79864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8647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200" b="0" i="0" u="none" strike="noStrike" baseline="0">
                <a:effectLst/>
              </a:rPr>
              <a:t>一般公共预算财政拨款支出决算变动情况</a:t>
            </a:r>
            <a:r>
              <a:rPr lang="zh-CN" altLang="en-US" sz="1200" b="0" i="0" u="none" strike="noStrike" baseline="0">
                <a:effectLst/>
              </a:rPr>
              <a:t>（单位：万元）</a:t>
            </a:r>
            <a:endParaRPr lang="zh-CN" altLang="en-US" sz="1200"/>
          </a:p>
        </c:rich>
      </c:tx>
      <c:layout>
        <c:manualLayout>
          <c:xMode val="edge"/>
          <c:yMode val="edge"/>
          <c:x val="0.146039007946063"/>
          <c:y val="0.024767801857585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一般公共预算支出</c:v>
                </c:pt>
              </c:strCache>
            </c:strRef>
          </c:cat>
          <c:val>
            <c:numRef>
              <c:f>Sheet1!$B$2</c:f>
              <c:numCache>
                <c:formatCode>General</c:formatCode>
                <c:ptCount val="1"/>
                <c:pt idx="0">
                  <c:v>3302.61</c:v>
                </c:pt>
              </c:numCache>
            </c:numRef>
          </c:val>
        </c:ser>
        <c:ser>
          <c:idx val="1"/>
          <c:order val="1"/>
          <c:tx>
            <c:strRef>
              <c:f>Sheet1!$C$1</c:f>
              <c:strCache>
                <c:ptCount val="1"/>
                <c:pt idx="0">
                  <c:v>2019年度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一般公共预算支出</c:v>
                </c:pt>
              </c:strCache>
            </c:strRef>
          </c:cat>
          <c:val>
            <c:numRef>
              <c:f>Sheet1!$C$2</c:f>
              <c:numCache>
                <c:formatCode>General</c:formatCode>
                <c:ptCount val="1"/>
                <c:pt idx="0">
                  <c:v>3104.32</c:v>
                </c:pt>
              </c:numCache>
            </c:numRef>
          </c:val>
        </c:ser>
        <c:dLbls>
          <c:showLegendKey val="0"/>
          <c:showVal val="0"/>
          <c:showCatName val="0"/>
          <c:showSerName val="0"/>
          <c:showPercent val="0"/>
          <c:showBubbleSize val="0"/>
        </c:dLbls>
        <c:gapWidth val="219"/>
        <c:overlap val="-27"/>
        <c:axId val="854103640"/>
        <c:axId val="854102656"/>
      </c:barChart>
      <c:catAx>
        <c:axId val="854103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102656"/>
        <c:crosses val="autoZero"/>
        <c:auto val="1"/>
        <c:lblAlgn val="ctr"/>
        <c:lblOffset val="100"/>
        <c:noMultiLvlLbl val="0"/>
      </c:catAx>
      <c:valAx>
        <c:axId val="85410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4103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一般公共预算财政拨款支出决算机构图（单位：万元）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98369265363621"/>
                  <c:y val="-0.038297132363098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28259999886241"/>
                  <c:y val="0.25063000251903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56992099440496"/>
                  <c:y val="0.14062358304283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935321397490857"/>
                  <c:y val="0.0054212882832370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00744931564508"/>
                  <c:y val="0.018121775025799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2598.51</c:v>
                </c:pt>
                <c:pt idx="1">
                  <c:v>262.72</c:v>
                </c:pt>
                <c:pt idx="2">
                  <c:v>60.26</c:v>
                </c:pt>
                <c:pt idx="3">
                  <c:v>5.79</c:v>
                </c:pt>
                <c:pt idx="4">
                  <c:v>177.04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1.15</c:v>
                </c:pt>
                <c:pt idx="2">
                  <c:v>2.66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1815</Words>
  <Characters>10351</Characters>
  <Lines>86</Lines>
  <Paragraphs>24</Paragraphs>
  <TotalTime>2</TotalTime>
  <ScaleCrop>false</ScaleCrop>
  <LinksUpToDate>false</LinksUpToDate>
  <CharactersWithSpaces>12142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2020-10-26T04:53:54Z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