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193"/>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7194"/>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峨眉山市峨山镇小学校部门决算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7</w:t>
      </w:r>
      <w:bookmarkStart w:id="73" w:name="_GoBack"/>
      <w:bookmarkEnd w:id="73"/>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第一部分部门概况</w:t>
      </w:r>
    </w:p>
    <w:p>
      <w:pPr>
        <w:pStyle w:val="11"/>
        <w:adjustRightInd w:val="0"/>
        <w:snapToGrid w:val="0"/>
        <w:spacing w:line="440" w:lineRule="exact"/>
        <w:jc w:val="left"/>
        <w:rPr>
          <w:sz w:val="24"/>
        </w:rPr>
      </w:pPr>
      <w:r>
        <w:rPr>
          <w:rFonts w:hint="eastAsia"/>
          <w:sz w:val="24"/>
        </w:rPr>
        <w:t>一、基本职能及主要工作                               4</w:t>
      </w:r>
    </w:p>
    <w:p>
      <w:pPr>
        <w:pStyle w:val="11"/>
        <w:adjustRightInd w:val="0"/>
        <w:snapToGrid w:val="0"/>
        <w:spacing w:line="440" w:lineRule="exact"/>
        <w:jc w:val="left"/>
        <w:rPr>
          <w:rFonts w:ascii="仿宋" w:hAnsi="仿宋" w:cstheme="minorBidi"/>
          <w:sz w:val="24"/>
        </w:rPr>
      </w:pPr>
      <w:r>
        <w:rPr>
          <w:rFonts w:hint="eastAsia"/>
          <w:sz w:val="24"/>
        </w:rPr>
        <w:t>二、机构设置                                         5</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                         6</w:t>
      </w:r>
    </w:p>
    <w:p>
      <w:pPr>
        <w:pStyle w:val="11"/>
        <w:adjustRightInd w:val="0"/>
        <w:snapToGrid w:val="0"/>
        <w:spacing w:line="440" w:lineRule="exact"/>
        <w:jc w:val="left"/>
        <w:rPr>
          <w:rFonts w:ascii="仿宋" w:hAnsi="仿宋" w:cstheme="minorBidi"/>
          <w:sz w:val="24"/>
        </w:rPr>
      </w:pPr>
      <w:r>
        <w:rPr>
          <w:rFonts w:hint="eastAsia"/>
          <w:sz w:val="24"/>
        </w:rPr>
        <w:t>二、收入决算情况说明                                 6</w:t>
      </w:r>
    </w:p>
    <w:p>
      <w:pPr>
        <w:pStyle w:val="11"/>
        <w:adjustRightInd w:val="0"/>
        <w:snapToGrid w:val="0"/>
        <w:spacing w:line="440" w:lineRule="exact"/>
        <w:jc w:val="left"/>
        <w:rPr>
          <w:rFonts w:ascii="仿宋" w:hAnsi="仿宋" w:cstheme="minorBidi"/>
          <w:sz w:val="24"/>
        </w:rPr>
      </w:pPr>
      <w:r>
        <w:rPr>
          <w:rFonts w:hint="eastAsia"/>
          <w:sz w:val="24"/>
        </w:rPr>
        <w:t>三、支出决算情况说明                                 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                 7</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             8</w:t>
      </w:r>
    </w:p>
    <w:p>
      <w:pPr>
        <w:pStyle w:val="11"/>
        <w:adjustRightInd w:val="0"/>
        <w:snapToGrid w:val="0"/>
        <w:spacing w:line="440" w:lineRule="exact"/>
        <w:jc w:val="left"/>
        <w:rPr>
          <w:sz w:val="24"/>
        </w:rPr>
      </w:pPr>
      <w:r>
        <w:rPr>
          <w:rFonts w:hint="eastAsia"/>
          <w:sz w:val="24"/>
        </w:rPr>
        <w:t>六、一般公共预算财政拨款基本支出决算情况说明        10</w:t>
      </w:r>
    </w:p>
    <w:p>
      <w:pPr>
        <w:pStyle w:val="11"/>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             11</w:t>
      </w:r>
    </w:p>
    <w:p>
      <w:pPr>
        <w:pStyle w:val="11"/>
        <w:adjustRightInd w:val="0"/>
        <w:snapToGrid w:val="0"/>
        <w:spacing w:line="440" w:lineRule="exact"/>
        <w:jc w:val="left"/>
        <w:rPr>
          <w:rFonts w:ascii="仿宋" w:hAnsi="仿宋" w:cstheme="minorBidi"/>
          <w:sz w:val="24"/>
        </w:rPr>
      </w:pPr>
      <w:r>
        <w:rPr>
          <w:rFonts w:hint="eastAsia"/>
          <w:sz w:val="24"/>
        </w:rPr>
        <w:t xml:space="preserve">八、政府性基金预算支出决算情况说明                  13   </w:t>
      </w:r>
    </w:p>
    <w:p>
      <w:pPr>
        <w:pStyle w:val="11"/>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               13</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xml:space="preserve">                        13</w:t>
      </w:r>
    </w:p>
    <w:p>
      <w:pPr>
        <w:pStyle w:val="10"/>
        <w:adjustRightInd w:val="0"/>
        <w:snapToGrid w:val="0"/>
        <w:spacing w:before="0" w:line="440" w:lineRule="exact"/>
        <w:jc w:val="left"/>
        <w:rPr>
          <w:rFonts w:cstheme="minorBidi"/>
          <w:sz w:val="24"/>
          <w:szCs w:val="24"/>
        </w:rPr>
      </w:pPr>
      <w:r>
        <w:rPr>
          <w:rFonts w:hint="eastAsia"/>
          <w:sz w:val="24"/>
        </w:rPr>
        <w:t>第三部分名词解释                                       21</w:t>
      </w:r>
    </w:p>
    <w:p>
      <w:pPr>
        <w:pStyle w:val="10"/>
        <w:adjustRightInd w:val="0"/>
        <w:snapToGrid w:val="0"/>
        <w:spacing w:before="0" w:line="440" w:lineRule="exact"/>
        <w:jc w:val="left"/>
        <w:rPr>
          <w:rFonts w:cstheme="minorBidi"/>
          <w:sz w:val="24"/>
          <w:szCs w:val="24"/>
        </w:rPr>
      </w:pPr>
      <w:r>
        <w:rPr>
          <w:rFonts w:hint="eastAsia"/>
          <w:sz w:val="24"/>
        </w:rPr>
        <w:t>第四部分附件</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1</w:t>
      </w:r>
      <w:r>
        <w:rPr>
          <w:rFonts w:hint="eastAsia"/>
          <w:sz w:val="24"/>
        </w:rPr>
        <w:t xml:space="preserve">                                               27</w:t>
      </w:r>
    </w:p>
    <w:p>
      <w:pPr>
        <w:pStyle w:val="11"/>
        <w:adjustRightInd w:val="0"/>
        <w:snapToGrid w:val="0"/>
        <w:spacing w:line="440" w:lineRule="exact"/>
        <w:jc w:val="left"/>
        <w:rPr>
          <w:rFonts w:ascii="仿宋" w:hAnsi="仿宋" w:cstheme="minorBidi"/>
          <w:sz w:val="24"/>
        </w:rPr>
      </w:pPr>
      <w:r>
        <w:rPr>
          <w:rFonts w:hint="eastAsia"/>
          <w:sz w:val="24"/>
        </w:rPr>
        <w:t>附件</w:t>
      </w:r>
      <w:r>
        <w:rPr>
          <w:sz w:val="24"/>
        </w:rPr>
        <w:t>2</w:t>
      </w:r>
      <w:r>
        <w:rPr>
          <w:rFonts w:hint="eastAsia"/>
          <w:sz w:val="24"/>
        </w:rPr>
        <w:t xml:space="preserve">                                               37</w:t>
      </w:r>
    </w:p>
    <w:p>
      <w:pPr>
        <w:pStyle w:val="10"/>
        <w:adjustRightInd w:val="0"/>
        <w:snapToGrid w:val="0"/>
        <w:spacing w:before="0" w:line="440" w:lineRule="exact"/>
        <w:jc w:val="left"/>
        <w:rPr>
          <w:rFonts w:cstheme="minorBidi"/>
          <w:sz w:val="24"/>
          <w:szCs w:val="24"/>
        </w:rPr>
      </w:pPr>
      <w:r>
        <w:rPr>
          <w:rFonts w:hint="eastAsia"/>
          <w:sz w:val="24"/>
        </w:rPr>
        <w:t>第五部分附表</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四、</w:t>
      </w:r>
      <w:r>
        <w:rPr>
          <w:rFonts w:hint="eastAsia"/>
          <w:sz w:val="24"/>
        </w:rPr>
        <w:t>财政拨款收入支出决算总表                        43</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六、</w:t>
      </w:r>
      <w:r>
        <w:rPr>
          <w:rFonts w:hint="eastAsia"/>
          <w:sz w:val="24"/>
        </w:rPr>
        <w:t>一般公共预算财政拨款支出决算表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七、</w:t>
      </w:r>
      <w:r>
        <w:rPr>
          <w:rFonts w:hint="eastAsia"/>
          <w:sz w:val="24"/>
        </w:rPr>
        <w:t>一般公共预算财政拨款支出决算明细表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八、</w:t>
      </w:r>
      <w:r>
        <w:rPr>
          <w:rFonts w:hint="eastAsia"/>
          <w:sz w:val="24"/>
        </w:rPr>
        <w:t>一般公共预算财政拨款基本支出决算表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九、</w:t>
      </w:r>
      <w:r>
        <w:rPr>
          <w:rFonts w:hint="eastAsia"/>
          <w:sz w:val="24"/>
        </w:rPr>
        <w:t>一般公共预算财政拨款项目支出决算表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w:t>
      </w:r>
      <w:r>
        <w:rPr>
          <w:rFonts w:hint="eastAsia"/>
          <w:sz w:val="24"/>
        </w:rPr>
        <w:t>一般公共预算财政拨款“三公”经费支出决算表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十一、</w:t>
      </w:r>
      <w:r>
        <w:rPr>
          <w:rFonts w:hint="eastAsia"/>
          <w:sz w:val="24"/>
        </w:rPr>
        <w:t>政府性基金预算财政拨款收入支出决算表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十二、</w:t>
      </w:r>
      <w:r>
        <w:rPr>
          <w:rFonts w:hint="eastAsia"/>
          <w:sz w:val="24"/>
        </w:rPr>
        <w:t>政府性基金预算财政拨款“三公”经费支出决算表  43</w:t>
      </w:r>
    </w:p>
    <w:p>
      <w:pPr>
        <w:pStyle w:val="11"/>
        <w:adjustRightInd w:val="0"/>
        <w:snapToGrid w:val="0"/>
        <w:spacing w:line="440" w:lineRule="exact"/>
        <w:jc w:val="left"/>
        <w:rPr>
          <w:rFonts w:ascii="仿宋" w:hAnsi="仿宋" w:cstheme="minorBidi"/>
          <w:sz w:val="24"/>
        </w:rPr>
      </w:pPr>
      <w:r>
        <w:rPr>
          <w:rFonts w:hint="eastAsia" w:ascii="仿宋" w:hAnsi="仿宋" w:eastAsia="仿宋"/>
          <w:sz w:val="24"/>
        </w:rPr>
        <w:t>十三、</w:t>
      </w:r>
      <w:r>
        <w:rPr>
          <w:rFonts w:hint="eastAsia"/>
          <w:sz w:val="24"/>
        </w:rPr>
        <w:t>国有资本经营预算支出决算表                    43</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11"/>
        <w:adjustRightInd w:val="0"/>
        <w:snapToGrid w:val="0"/>
        <w:spacing w:line="440" w:lineRule="exact"/>
        <w:jc w:val="left"/>
        <w:rPr>
          <w:rFonts w:ascii="仿宋" w:hAnsi="仿宋"/>
          <w:sz w:val="24"/>
        </w:rPr>
      </w:pPr>
      <w:bookmarkStart w:id="16" w:name="_Toc15378445"/>
      <w:bookmarkStart w:id="17" w:name="_Toc15377198"/>
      <w:r>
        <w:rPr>
          <w:rFonts w:hint="eastAsia" w:ascii="仿宋" w:hAnsi="仿宋" w:eastAsia="仿宋"/>
          <w:bCs/>
          <w:color w:val="000000"/>
          <w:sz w:val="32"/>
          <w:szCs w:val="32"/>
        </w:rPr>
        <w:t>（一）主要职能。</w:t>
      </w:r>
      <w:r>
        <w:rPr>
          <w:rFonts w:hint="eastAsia"/>
          <w:sz w:val="24"/>
        </w:rPr>
        <w:t>实施小学义务教育，促进基础教育发展，从事小学学历教育。</w:t>
      </w:r>
    </w:p>
    <w:bookmarkEnd w:id="16"/>
    <w:bookmarkEnd w:id="17"/>
    <w:p>
      <w:pPr>
        <w:pStyle w:val="5"/>
        <w:adjustRightInd w:val="0"/>
        <w:snapToGrid w:val="0"/>
        <w:spacing w:before="93" w:line="600" w:lineRule="exact"/>
        <w:ind w:firstLine="320" w:firstLineChars="10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numPr>
          <w:ilvl w:val="0"/>
          <w:numId w:val="1"/>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党建工作扎实推进</w:t>
      </w:r>
    </w:p>
    <w:p>
      <w:pPr>
        <w:autoSpaceDN w:val="0"/>
        <w:spacing w:line="420" w:lineRule="exact"/>
        <w:outlineLvl w:val="1"/>
        <w:rPr>
          <w:rFonts w:ascii="宋体" w:hAnsi="宋体"/>
          <w:b/>
          <w:bCs/>
          <w:color w:val="000000"/>
          <w:sz w:val="24"/>
        </w:rPr>
      </w:pPr>
      <w:r>
        <w:rPr>
          <w:rFonts w:hint="eastAsia" w:ascii="宋体" w:hAnsi="宋体"/>
          <w:color w:val="000000"/>
          <w:sz w:val="24"/>
        </w:rPr>
        <w:t>按时每月召开主题党日活动，党员教师主动担任上精彩的党课，积极参与志愿服务活动，按期进行大走访大服务活动</w:t>
      </w:r>
    </w:p>
    <w:p>
      <w:pPr>
        <w:numPr>
          <w:ilvl w:val="0"/>
          <w:numId w:val="1"/>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教学质量提升强劲</w:t>
      </w:r>
    </w:p>
    <w:p>
      <w:pPr>
        <w:pStyle w:val="5"/>
        <w:adjustRightInd w:val="0"/>
        <w:snapToGrid w:val="0"/>
        <w:spacing w:before="93" w:line="600" w:lineRule="exact"/>
        <w:ind w:firstLine="504" w:firstLineChars="210"/>
        <w:outlineLvl w:val="2"/>
        <w:rPr>
          <w:rFonts w:ascii="宋体" w:hAnsi="宋体" w:eastAsia="宋体" w:cs="宋体"/>
          <w:b/>
          <w:bCs/>
          <w:color w:val="000000"/>
          <w:sz w:val="24"/>
        </w:rPr>
      </w:pPr>
      <w:r>
        <w:rPr>
          <w:rFonts w:hint="eastAsia" w:ascii="宋体" w:hAnsi="宋体" w:eastAsia="宋体" w:cs="宋体"/>
          <w:sz w:val="24"/>
        </w:rPr>
        <w:t>五六年级各学科于市平差距不大，较之去年略有提升，但幅度不大，且六年级双科优生率居全市前列；其余年级总体成绩略有上升。</w:t>
      </w:r>
      <w:r>
        <w:rPr>
          <w:rFonts w:hint="eastAsia" w:ascii="宋体" w:hAnsi="宋体" w:eastAsia="宋体" w:cs="宋体"/>
          <w:kern w:val="2"/>
          <w:sz w:val="24"/>
        </w:rPr>
        <w:t>2019年－2020学年度教学质量一等奖。</w:t>
      </w:r>
    </w:p>
    <w:p>
      <w:pPr>
        <w:numPr>
          <w:ilvl w:val="0"/>
          <w:numId w:val="1"/>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幼儿园稳步前行</w:t>
      </w:r>
    </w:p>
    <w:p>
      <w:pPr>
        <w:autoSpaceDN w:val="0"/>
        <w:spacing w:line="420" w:lineRule="exact"/>
        <w:rPr>
          <w:rFonts w:ascii="宋体" w:hAnsi="宋体"/>
          <w:b/>
          <w:bCs/>
          <w:color w:val="000000"/>
          <w:sz w:val="24"/>
        </w:rPr>
      </w:pPr>
      <w:r>
        <w:rPr>
          <w:rFonts w:hint="eastAsia" w:ascii="宋体" w:hAnsi="宋体"/>
          <w:color w:val="000000"/>
          <w:sz w:val="24"/>
        </w:rPr>
        <w:t>幼儿园保教常规和安全工作，有效地避免“小学化”倾向，确保我校幼儿学前教育的方向。</w:t>
      </w:r>
    </w:p>
    <w:p>
      <w:pPr>
        <w:numPr>
          <w:ilvl w:val="0"/>
          <w:numId w:val="1"/>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研训工作扎实有效</w:t>
      </w:r>
    </w:p>
    <w:p>
      <w:pPr>
        <w:pStyle w:val="5"/>
        <w:adjustRightInd w:val="0"/>
        <w:snapToGrid w:val="0"/>
        <w:spacing w:before="93" w:line="600" w:lineRule="exact"/>
        <w:ind w:firstLine="504" w:firstLineChars="210"/>
        <w:outlineLvl w:val="2"/>
        <w:rPr>
          <w:rFonts w:ascii="宋体" w:hAnsi="宋体" w:eastAsia="宋体" w:cs="宋体"/>
          <w:kern w:val="2"/>
          <w:sz w:val="24"/>
        </w:rPr>
      </w:pPr>
      <w:r>
        <w:rPr>
          <w:rFonts w:hint="eastAsia" w:ascii="宋体" w:hAnsi="宋体" w:eastAsia="宋体" w:cs="宋体"/>
          <w:color w:val="000000"/>
          <w:sz w:val="24"/>
        </w:rPr>
        <w:t>本期开展主题为“基于研创学习设计，建构教学评一体化”的课题研究；同时还承担的乐山市级课题《农村小学礼育文化建设研究》稳步推进，统领学校德育、文化建设工作。</w:t>
      </w:r>
      <w:r>
        <w:rPr>
          <w:rFonts w:hint="eastAsia" w:ascii="宋体" w:hAnsi="宋体" w:eastAsia="宋体" w:cs="宋体"/>
          <w:kern w:val="2"/>
          <w:sz w:val="24"/>
        </w:rPr>
        <w:t>2019年学校工作正常运转，年终综合评估优秀。绩效一等奖。</w:t>
      </w:r>
    </w:p>
    <w:p>
      <w:pPr>
        <w:numPr>
          <w:ilvl w:val="0"/>
          <w:numId w:val="1"/>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素质教育成效初显</w:t>
      </w:r>
    </w:p>
    <w:p>
      <w:pPr>
        <w:autoSpaceDN w:val="0"/>
        <w:spacing w:line="420" w:lineRule="exact"/>
        <w:ind w:left="420" w:leftChars="200"/>
        <w:outlineLvl w:val="1"/>
        <w:rPr>
          <w:rFonts w:ascii="宋体" w:hAnsi="宋体"/>
          <w:b/>
          <w:bCs/>
          <w:color w:val="000000"/>
          <w:sz w:val="24"/>
        </w:rPr>
      </w:pPr>
      <w:r>
        <w:rPr>
          <w:rFonts w:hint="eastAsia" w:ascii="宋体" w:hAnsi="宋体"/>
          <w:color w:val="000000"/>
          <w:sz w:val="24"/>
        </w:rPr>
        <w:t>我校本期开设了特色课程体系，通过美育、德育、体育等落实五育并举。我校2名学生获乐山市第十五届中小学电脑制作活动乐山市二、三等奖；</w:t>
      </w:r>
    </w:p>
    <w:p>
      <w:pPr>
        <w:numPr>
          <w:ilvl w:val="0"/>
          <w:numId w:val="2"/>
        </w:numPr>
        <w:autoSpaceDN w:val="0"/>
        <w:spacing w:line="420" w:lineRule="exact"/>
        <w:ind w:firstLine="482" w:firstLineChars="200"/>
        <w:outlineLvl w:val="1"/>
        <w:rPr>
          <w:rFonts w:ascii="宋体" w:hAnsi="宋体"/>
          <w:b/>
          <w:bCs/>
          <w:color w:val="000000"/>
          <w:sz w:val="24"/>
        </w:rPr>
      </w:pPr>
      <w:r>
        <w:rPr>
          <w:rFonts w:hint="eastAsia" w:ascii="宋体" w:hAnsi="宋体"/>
          <w:b/>
          <w:bCs/>
          <w:color w:val="000000"/>
          <w:sz w:val="24"/>
        </w:rPr>
        <w:t>常态工作常抓不懈</w:t>
      </w:r>
    </w:p>
    <w:p>
      <w:pPr>
        <w:pStyle w:val="5"/>
        <w:adjustRightInd w:val="0"/>
        <w:snapToGrid w:val="0"/>
        <w:spacing w:before="93" w:line="600" w:lineRule="exact"/>
        <w:ind w:firstLine="240" w:firstLineChars="100"/>
        <w:outlineLvl w:val="2"/>
        <w:rPr>
          <w:rFonts w:ascii="宋体" w:hAnsi="宋体" w:eastAsia="宋体" w:cs="宋体"/>
          <w:bCs/>
          <w:color w:val="000000"/>
          <w:sz w:val="24"/>
        </w:rPr>
      </w:pPr>
      <w:r>
        <w:rPr>
          <w:rFonts w:hint="eastAsia" w:ascii="宋体" w:hAnsi="宋体" w:eastAsia="宋体" w:cs="宋体"/>
          <w:color w:val="000000"/>
          <w:sz w:val="24"/>
        </w:rPr>
        <w:t>一是学校拟定了《两案九制》，先后修订了三次关于疫情防控工作的相关制度；二是坚持每月对临聘人员进行业务培训；三是每月组织全体师生进行安全应急演练；四是每月组织一次安全主题教育活动；四月份“传染病防控主题教育”和安全用电主题教育；五月份交通安全主题教育；六月份防溺水安全主题教育及安全生产月活动；七月份防校园欺凌主题教育；五是利用好乐山安全教育平台对学生开展各项安全教育，</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峨眉山市峨山镇小学校下属二级单位0个，其中行政单位0个，参照公务员法管理的事业单位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3"/>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2019年度收、支总计639.43万元。与2018年相比，收、支总计各增加34.8万元，增长5.8</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626745</wp:posOffset>
            </wp:positionH>
            <wp:positionV relativeFrom="paragraph">
              <wp:posOffset>266700</wp:posOffset>
            </wp:positionV>
            <wp:extent cx="3545840" cy="2089150"/>
            <wp:effectExtent l="0" t="0" r="5080" b="1397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3545840" cy="2089150"/>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9年本年收入合计629.61万元，其中：一般公共预算财政拨款收入623.3万元，占99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；事业收入6.31万元，占1</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431800</wp:posOffset>
            </wp:positionH>
            <wp:positionV relativeFrom="paragraph">
              <wp:posOffset>20955</wp:posOffset>
            </wp:positionV>
            <wp:extent cx="3756660" cy="1393190"/>
            <wp:effectExtent l="0" t="0" r="7620" b="8890"/>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3756660" cy="1393190"/>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9年本年支出合计632.34万元，其中：基本支出617.18万元，占97.60</w:t>
      </w:r>
      <w:r>
        <w:rPr>
          <w:rFonts w:ascii="仿宋" w:hAnsi="仿宋" w:eastAsia="仿宋"/>
          <w:color w:val="000000"/>
          <w:sz w:val="32"/>
          <w:szCs w:val="32"/>
        </w:rPr>
        <w:t>%</w:t>
      </w:r>
      <w:r>
        <w:rPr>
          <w:rFonts w:hint="eastAsia" w:ascii="仿宋" w:hAnsi="仿宋" w:eastAsia="仿宋"/>
          <w:color w:val="000000"/>
          <w:sz w:val="32"/>
          <w:szCs w:val="32"/>
        </w:rPr>
        <w:t>；项目支出15.16万元，占2.40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431800</wp:posOffset>
            </wp:positionH>
            <wp:positionV relativeFrom="paragraph">
              <wp:posOffset>97790</wp:posOffset>
            </wp:positionV>
            <wp:extent cx="4011295" cy="2137410"/>
            <wp:effectExtent l="0" t="0" r="12065" b="11430"/>
            <wp:wrapNone/>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011295" cy="2137410"/>
                    </a:xfrm>
                    <a:prstGeom prst="rect">
                      <a:avLst/>
                    </a:prstGeom>
                  </pic:spPr>
                </pic:pic>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9年财政拨款收、支总计631.64万元。与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8年相比，财政拨款收、支总计各增加39.95万元，增长6.75</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753110</wp:posOffset>
            </wp:positionH>
            <wp:positionV relativeFrom="paragraph">
              <wp:posOffset>267970</wp:posOffset>
            </wp:positionV>
            <wp:extent cx="4011295" cy="1887855"/>
            <wp:effectExtent l="0" t="0" r="12065" b="1905"/>
            <wp:wrapNone/>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4011295" cy="188785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9年一般公共预算财政拨款支出624.55万元，占本年支出合计的98.77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8年相比，一般公共预算财政拨款增加41.2万元，增长7.06</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558165</wp:posOffset>
            </wp:positionH>
            <wp:positionV relativeFrom="paragraph">
              <wp:posOffset>74930</wp:posOffset>
            </wp:positionV>
            <wp:extent cx="4584065" cy="2318385"/>
            <wp:effectExtent l="0" t="0" r="3175" b="13335"/>
            <wp:wrapNone/>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84065" cy="231838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政拨款支出624.55万元，主要用于以下方面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教育支出（2050201）学前教育支出</w:t>
      </w:r>
      <w:r>
        <w:rPr>
          <w:rFonts w:hint="eastAsia" w:ascii="仿宋" w:hAnsi="仿宋" w:eastAsia="仿宋"/>
          <w:color w:val="000000" w:themeColor="text1"/>
          <w:sz w:val="32"/>
          <w:szCs w:val="32"/>
        </w:rPr>
        <w:t>1.0万元，占0.16</w:t>
      </w:r>
      <w:r>
        <w:rPr>
          <w:rFonts w:ascii="仿宋" w:hAnsi="仿宋" w:eastAsia="仿宋"/>
          <w:color w:val="000000" w:themeColor="text1"/>
          <w:sz w:val="32"/>
          <w:szCs w:val="32"/>
        </w:rPr>
        <w:t>%</w:t>
      </w:r>
      <w:r>
        <w:rPr>
          <w:rFonts w:hint="eastAsia" w:ascii="仿宋" w:hAnsi="仿宋" w:eastAsia="仿宋"/>
          <w:color w:val="000000" w:themeColor="text1"/>
          <w:sz w:val="32"/>
          <w:szCs w:val="32"/>
        </w:rPr>
        <w:t>（2050202）小学教育支出467.8万元，占74.90</w:t>
      </w:r>
      <w:r>
        <w:rPr>
          <w:rFonts w:ascii="仿宋" w:hAnsi="仿宋" w:eastAsia="仿宋"/>
          <w:color w:val="000000" w:themeColor="text1"/>
          <w:sz w:val="32"/>
          <w:szCs w:val="32"/>
        </w:rPr>
        <w:t>%</w:t>
      </w:r>
      <w:r>
        <w:rPr>
          <w:rFonts w:hint="eastAsia" w:ascii="仿宋" w:hAnsi="仿宋" w:eastAsia="仿宋"/>
          <w:color w:val="000000" w:themeColor="text1"/>
          <w:sz w:val="32"/>
          <w:szCs w:val="32"/>
        </w:rPr>
        <w:t>，（2050299）其他普通教育支出支出2.21万元，占0.35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社会保障和就业（2080505）机关事业单位养老保险缴费支出</w:t>
      </w:r>
      <w:r>
        <w:rPr>
          <w:rFonts w:hint="eastAsia" w:ascii="仿宋" w:hAnsi="仿宋" w:eastAsia="仿宋"/>
          <w:color w:val="000000" w:themeColor="text1"/>
          <w:sz w:val="32"/>
          <w:szCs w:val="32"/>
        </w:rPr>
        <w:t>支出53.51万元，占8.57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（2080505）机关事业单位职业年金缴费</w:t>
      </w:r>
      <w:r>
        <w:rPr>
          <w:rFonts w:hint="eastAsia" w:ascii="仿宋" w:hAnsi="仿宋" w:eastAsia="仿宋"/>
          <w:color w:val="000000" w:themeColor="text1"/>
          <w:sz w:val="32"/>
          <w:szCs w:val="32"/>
        </w:rPr>
        <w:t>支出25.86万元，占4.14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卫生健康支出（2101102）事业单位医疗</w:t>
      </w:r>
      <w:r>
        <w:rPr>
          <w:rFonts w:hint="eastAsia" w:ascii="仿宋" w:hAnsi="仿宋" w:eastAsia="仿宋"/>
          <w:color w:val="000000" w:themeColor="text1"/>
          <w:sz w:val="32"/>
          <w:szCs w:val="32"/>
        </w:rPr>
        <w:t>19.26万元，占3.08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；住房保障（2010201）住房公积金支出50.52万元，占8.09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抚恤（2080801）（类）</w:t>
      </w:r>
      <w:r>
        <w:rPr>
          <w:rFonts w:hint="eastAsia" w:ascii="仿宋" w:hAnsi="仿宋" w:eastAsia="仿宋"/>
          <w:color w:val="000000" w:themeColor="text1"/>
          <w:sz w:val="32"/>
          <w:szCs w:val="32"/>
        </w:rPr>
        <w:t>支出4.59万元，占0.73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372110</wp:posOffset>
            </wp:positionH>
            <wp:positionV relativeFrom="paragraph">
              <wp:posOffset>320040</wp:posOffset>
            </wp:positionV>
            <wp:extent cx="4742815" cy="2567305"/>
            <wp:effectExtent l="0" t="0" r="12065" b="8255"/>
            <wp:wrapNone/>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4742815" cy="2567305"/>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2019年般公共预算支出决算数为624.53</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预算98.88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教育（类）20502（款）普通教育（项）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支出决算为471.01万元，完成预算100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.教育支出（2050201）支出决算为1.0万元，完成预算100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；小学教育（2050202）支出决算为467.8万元，完成预算99.32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，决算数小于预算数的主要原因是2018公用经费结转7.10万元；其他普通教育支出（2050299）支出决算为2.21万元，完成预算100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科学技术（类）0（款）0（项）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文化旅游体育与传媒（类）0（款）0（项）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社会保障和就业（类）（20805）（款）行政事业单位离退休（项）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支出决算为79.19万元，完成预算100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（类）（210）（款）21011行政事业单位医疗（项）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支出决算为19.26万元，完成预算100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（类）（221）（款）22102住房改革支出（项）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支出决算为50.52万元，完成预算100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9年一般公共预算财政拨款基本支出609.39万元，其中：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571.57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37.82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 w:hAnsi="仿宋" w:eastAsia="仿宋"/>
          <w:color w:val="000000"/>
          <w:sz w:val="32"/>
          <w:szCs w:val="32"/>
        </w:rPr>
        <w:t>609.39</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9年，四川省峨眉山市峨山镇小学校机关运行经费支出37.82万元，比</w:t>
      </w:r>
      <w:r>
        <w:rPr>
          <w:rFonts w:ascii="仿宋_GB2312" w:eastAsia="仿宋_GB2312"/>
          <w:color w:val="000000"/>
          <w:sz w:val="32"/>
          <w:szCs w:val="32"/>
        </w:rPr>
        <w:t>201</w:t>
      </w:r>
      <w:r>
        <w:rPr>
          <w:rFonts w:hint="eastAsia" w:ascii="仿宋_GB2312" w:eastAsia="仿宋_GB2312"/>
          <w:color w:val="000000"/>
          <w:sz w:val="32"/>
          <w:szCs w:val="32"/>
        </w:rPr>
        <w:t>8年增加2.24万元，增长6.3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主要原因是人员经费增加。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9年，四川省峨眉山市峨山镇小学校政府采购支出总额0万元，其中：政府采购货物支出0万元、政府采购工程支出0万元、政府采购服务支出0万元。主要用于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日，四川省峨眉山市峨山镇小学校共有车辆0辆，其中：主要领导干部用车0辆、机要通信用车0辆、应急保障用车0辆、其他用车0辆……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校园维修专项资金”、“学校安保经费”、“人才队伍建设经费”、“小学免作业本费”项目（项目名称）开展了预算事前绩效评估，对4个项目编制了绩效目标，预算执行过程中，选取4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简要说明整体绩效情况）。本部门还自行组织了1个项目支出绩效评价，从评价情况来看…………（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本部门在2019年度部门决算中反映“学校安保经费”、“人才队伍建设经费”、“小学免作业本费”“校园维修专项资金”、等4个项目绩效目标实际完成情况。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经费”项目绩效目标完成情况综述。项目全年预算数8.17万元，执行数为8.17万元，完成预算的100%。通过项目实施，保障了学校安保工作的正常开展，维护校园安全稳定，为学校教育教学工作正常秩序提供保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人才队伍建设资金”项目绩效目标完成情况综述。项目全年预算数1.44万元，执行数为1.44万元，完成预算的100%。通过项目实施，促进了学校人才队伍建设工作开展，提高了学校骨干教师业务能力，促进了全校教师教育教学能力的提升。提高了全校教学成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（3）“义务教育免作业本费”项目绩效目标完成情况综述。项目全年预算数1.542万元，执行数为1.542万元，完成预算的100%。通过项目实施，保障了贫困学生的就学，减轻了学生家庭负担。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（4）“校园维修专项资金”项目绩效目标完成情况综述。项目全年预算数4.0万元，执行数为4.0万元，完成预算的100%。通过项目实施，保障了学校教学环境的正常运行和学生安全。</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1.542万元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514人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514人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ind w:firstLine="800" w:firstLineChars="25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人才队伍建设</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1.44万元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1.44万元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骨干教师人数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20" w:firstLineChars="200"/>
                    <w:rPr>
                      <w:rFonts w:ascii="宋体" w:hAnsi="宋体" w:cs="宋体"/>
                      <w:sz w:val="32"/>
                      <w:szCs w:val="32"/>
                    </w:rPr>
                  </w:pPr>
                  <w:r>
                    <w:rPr>
                      <w:rFonts w:hint="eastAsia" w:ascii="宋体" w:hAnsi="宋体" w:cs="宋体"/>
                      <w:szCs w:val="21"/>
                    </w:rPr>
                    <w:t>促进了学校人才队伍建设工作开展，提高了学校骨干教师业务能力，促进了全校教师教育教学能力的提升。提高了全校教学成绩。</w:t>
                  </w:r>
                </w:p>
                <w:p>
                  <w:pPr>
                    <w:widowControl/>
                    <w:jc w:val="left"/>
                    <w:textAlignment w:val="center"/>
                    <w:rPr>
                      <w:rFonts w:cs="宋体" w:asciiTheme="minorEastAsia" w:hAnsiTheme="minorEastAsia" w:eastAsiaTheme="minorEastAsia"/>
                      <w:color w:val="000000"/>
                      <w:szCs w:val="21"/>
                    </w:rPr>
                  </w:pP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ascii="宋体" w:hAnsi="宋体" w:cs="宋体"/>
                      <w:szCs w:val="21"/>
                    </w:rPr>
                    <w:t>促进了学校人才队伍建设工作开展，提高了学校骨干教师业务能力</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校园维修专项资金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峨眉山市峨山镇小学校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改善了学校的教学条件，改善了校园环境，让学生在良好的学习环境里学习。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514人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514人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改善了学校的教学条件，改善了校园环境，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在规定时效内完成相关工作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让学生在良好的学习环境里学习，办人民满意学校。</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家长、教师、学生满意度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cs="宋体" w:asciiTheme="minorEastAsia" w:hAnsiTheme="minorEastAsia" w:eastAsiaTheme="minorEastAsia"/>
                <w:color w:val="000000"/>
                <w:szCs w:val="21"/>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本部门按要求对2019年部门整体支出绩效评价情况开展自评，《四川省峨眉山市峨山小学校部门2019年部门整体支出绩效评价报告》见附件（附件1）。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本部门自行组织对“学校安保经费”项目开展了绩效评价，《四川省峨眉山市峨山小学校项目2019年绩效评价报告》见附件（附件2）。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四川省峨眉山市峨山镇小学校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320" w:firstLineChars="1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我校是1个独立编制、独立核算财政全额拨款事业单位。内设校长办公室、教导办公室、安保办公室、后勤办公室和一个附属幼儿园。</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 w:hAnsi="仿宋" w:eastAsia="仿宋"/>
          <w:bCs/>
          <w:color w:val="000000"/>
          <w:sz w:val="32"/>
          <w:szCs w:val="32"/>
        </w:rPr>
        <w:t>实施小学义务教育，促进基础教育发展，小学学历教育。</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核定事业编制45名，实际在岗39人。学生517人。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2019年部门决算收入为629.61万元，预算收入为448.29万元，无政府性基金预算资金；决算收入与预算收入的差额181.32万元,主要为事业运行35.58万元，调资增28.91万元，职业年金做实1.3万元，安保经费8.17万元，春节慰问费76.52万元，死亡抚恤经费4.59万元，免作业本费1.54万元，其他24.71万元(学前教育经费、校园维修费、调增工伤保险和骨干教师费)。幼儿园收入较预算减少4.48万元。</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2019年支出决算数为632.33万元，其中：基本支出617.18万元，项目支出15.15万元；预算支出数为448.29万元，其中：基本支出448.29万元，项目支出为0。基本支出较预算增加的168.89万元，主要为2019年调整工资、公用经费和春节慰问费等。项目支出较预算增加15.15万元。主要为安保经费、支教补助、三儿资助金、死亡抚恤金、骨干教师津贴等。</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决算支出较决算收入多2.72万元，用事业基金弥补1.48万元，年初结转结余列支1.24万元（年初结转结余8.34万元，年末结转结余为 7.1 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财政部门的要求和实现编制预决算、填报绩效目标；2019年收入预算为448.29万元，其中公共财政预算收入432.19万元，财政专户收入16.1万元；支出预算448.29万元，其中基本支出预算448.29万元，项目预算支出为0。决算收入为629.61万元，决算支出为632.3</w:t>
      </w: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zh-CN"/>
        </w:rPr>
        <w:t>万元，其中基本支出617.18万元，项目支出15.1</w:t>
      </w:r>
      <w:r>
        <w:rPr>
          <w:rFonts w:hint="eastAsia" w:ascii="仿宋_GB2312" w:hAnsi="宋体" w:eastAsia="仿宋_GB2312" w:cs="宋体"/>
          <w:color w:val="000000"/>
          <w:kern w:val="0"/>
          <w:sz w:val="32"/>
          <w:szCs w:val="32"/>
          <w:shd w:val="clear" w:color="auto" w:fill="FFFFFF"/>
        </w:rPr>
        <w:t>6</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2019年度年初结转结余8.34万元，年末结转结余为 7.1 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我单位严格按照上报的资金计划完成资金拨付，根据预算合理控制支出数额及支出进度，基本支出部分按月均匀执行，项目支出部分按所报项目进度及时执行，全年支出执行良好。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（二）执行管理情况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我单位严格按照上报的资金计划完成资金拨付，根据预算合理控制支出数额及支出进度，基本支出部分按月均匀执行，项目支出部分按所报项目进度及时执行，全年支出执行良好。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（三）支出绩效情况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1.部门支出绩效</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（1）运行保障</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我单位基本支出的范围包括人员经费和日常公用经费，2019年基本支出决算数617.18万元，其中:人员经费571.57万元，日常公用经费38.82万元。基本支出能够保障学校正常运转。</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（2）厉行节约。</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2019年因公出国（境）费用、会议费、车辆购置及运行费用和公务接待经费等控制较好。2019年三公经费、会议费、培训费总额1.20万元，较2018年（总额2.94万元）略有减少。2019年各项费用与2018年对比情况如下：；会议费0.16万元，较2018年减少0.45万元，培训费1.04万元，较2018年减少1.29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（3）机关节能降耗</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2019年学校总能耗3.09万元，2018年学校总能耗4.07万元，较2018年减少0.98万元，节能降耗情况总体情况良好。</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2.项目支出绩效</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（1）资金绩效分配情况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安保经费。全年安保经费支出8.17万元，主要用于三位保安的工资和购买安保器械等.</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免作业本费：全年支出1.54万元，用于支付学生作业本费。</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骨干教师补贴：全年支出四名骨干教师津贴1.44万元。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④校园维修专项资金：全年支出4.00万元。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（2）项目资金管理情况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所有项目资金的管理都按照相关规定执行，实行专款专用，及时支付。</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 xml:space="preserve">   （3）绩效目标完成情况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安保经费。全年安保经费支出8.17万元，主要用于三位保安的工资和购买安保器械等.</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免作业本费：全年支出1.54万元，用于支付学生作业本费。</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骨干教师补贴：全年支出四名骨干教师津贴1.44万元。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④校园维修专项资金：全年支出4.00万元。</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（4）财务管理情况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所有专项资金实行专款专用，不得挪用、截留；在资金拨付阶段严格审核资金分配方案、对象主体资格、绩效评估报告、合同、文件、拨付审批等，确保资金拨付符合要求，合理合规。</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（5）绩效管理工作开展情况</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pacing w:line="480" w:lineRule="auto"/>
        <w:ind w:firstLine="600" w:firstLineChars="200"/>
        <w:rPr>
          <w:rFonts w:ascii="宋体" w:hAnsi="宋体" w:cs="宋体"/>
          <w:sz w:val="30"/>
          <w:szCs w:val="30"/>
        </w:rPr>
      </w:pPr>
      <w:r>
        <w:rPr>
          <w:rFonts w:hint="eastAsia" w:ascii="宋体" w:hAnsi="宋体" w:cs="宋体"/>
          <w:sz w:val="30"/>
          <w:szCs w:val="30"/>
        </w:rPr>
        <w:t>通过绩效评价梳理出的问题，将通过座谈的形式传达给相关领导，以便完善。</w:t>
      </w:r>
    </w:p>
    <w:p>
      <w:pPr>
        <w:widowControl/>
        <w:spacing w:line="480" w:lineRule="auto"/>
        <w:ind w:firstLine="600" w:firstLineChars="200"/>
        <w:rPr>
          <w:rFonts w:ascii="宋体" w:hAnsi="宋体" w:cs="仿宋_GB2312"/>
          <w:kern w:val="0"/>
          <w:sz w:val="30"/>
          <w:szCs w:val="30"/>
        </w:rPr>
      </w:pPr>
      <w:r>
        <w:rPr>
          <w:rFonts w:hint="eastAsia" w:ascii="宋体" w:hAnsi="宋体" w:cs="宋体"/>
          <w:kern w:val="0"/>
          <w:sz w:val="30"/>
          <w:szCs w:val="30"/>
        </w:rPr>
        <w:t>我单位基本支出的范围包括人员经费和日常公用经费，2019年基本支出决算数617.18万元，其中:人员经费571.57万元，日常公用经费45.61万元。</w:t>
      </w:r>
      <w:r>
        <w:rPr>
          <w:rFonts w:hint="eastAsia" w:ascii="宋体" w:hAnsi="宋体" w:cs="仿宋_GB2312"/>
          <w:kern w:val="0"/>
          <w:sz w:val="30"/>
          <w:szCs w:val="30"/>
        </w:rPr>
        <w:t>基本支出能够保障学校正常运转。</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（2）厉行节约。</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2019年因公出国（境）费用、会议费、车辆购置及运行费用和公务接待经费等控制较好。2019年三公经费、会议费、培训费总额1.20万元，较2018年（总额2.94万元）略有减少。2019年各项费用与2018年对比情况如下：；会议费0.16万元，较2018年减少0.45万元，培训费1.04万元，较2018年减少1.29万元。</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（3）机关节能降耗</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2019年学校总能耗3.09万元，2018年学校总能耗4.07万元，较2018年减少0.98万元，节能降耗情况总体情况良好。</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2.项目支出绩效</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（1）资金绩效分配情况</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1"/>
      </w:r>
      <w:r>
        <w:rPr>
          <w:rFonts w:hint="eastAsia" w:ascii="宋体" w:hAnsi="宋体" w:cs="仿宋_GB2312"/>
          <w:kern w:val="0"/>
          <w:sz w:val="30"/>
          <w:szCs w:val="30"/>
        </w:rPr>
        <w:t>安保经费。全年安保经费支出8.17万元，主要用于三位保安的工资和购买安保器械等.</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2"/>
      </w:r>
      <w:r>
        <w:rPr>
          <w:rFonts w:hint="eastAsia" w:ascii="宋体" w:hAnsi="宋体" w:cs="仿宋_GB2312"/>
          <w:kern w:val="0"/>
          <w:sz w:val="30"/>
          <w:szCs w:val="30"/>
        </w:rPr>
        <w:t>免作业本费：全年支出1.54万元，用于支付学生作业本费。</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3"/>
      </w:r>
      <w:r>
        <w:rPr>
          <w:rFonts w:hint="eastAsia" w:ascii="宋体" w:hAnsi="宋体" w:cs="仿宋_GB2312"/>
          <w:kern w:val="0"/>
          <w:sz w:val="30"/>
          <w:szCs w:val="30"/>
        </w:rPr>
        <w:t>骨干教师补贴：全年支出四名骨干教师津贴1.44万元。</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t>④校园维修专项资金：全年支出4.00万元。</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（2）项目资金管理情况</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所有项目资金的管理都按照相关规定执行，实行专款专用，及时支付。</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（二）执行管理情况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我单位严格按照上报的资金计划完成资金拨付，根据预算合理控制支出数额及支出进度，基本支出部分按月均匀执行，项目支出部分按所报项目进度及时执行，全年支出执行良好。</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（三）支出绩效情况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1.部门支出绩效</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（1）运行保障</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我单位基本支出的范围包括人员经费和日常公用经费，2019年基本支出决算数617.18万元，其中:人员经费571.57万元，日常公用经费45.61万元。基本支出能够保障学校正常运转。</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（2）厉行节约。</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2019年因公出国（境）费用、会议费、车辆购置及运行费用和公务接待经费等控制较好。2019年三公经费、会议费、培训费总额1.20万元，较2018年（总额2.94万元）略有减少。2019年各项费用与2018年对比情况如下：；会议费0.16万元，较2018年减少0.45万元，培训费1.04万元，较2018年减少1.29万元。</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（3）机关节能降耗</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2019年学校总能耗3.09万元，2018年学校总能耗4.07万元，较2018年减少0.98万元，节能降耗情况总体情况良好。</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2.项目支出绩效</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（1）资金绩效分配情况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安保经费。全年安保经费支出8.17万元，主要用于三位保安的工资和购买安保器械等.</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免作业本费：全年支出1.54万元，用于支付学生作业本费。</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骨干教师补贴：全年支出四名骨干教师津贴1.44万元。</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④校园维修专项资金：全年支出4.00万元。</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（2）项目资金管理情况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所有项目资金的管理都按照相关规定执行，实行专款专用，及时支付。</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 xml:space="preserve">   （3）绩效目标完成情况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安保经费。全年安保经费支出8.17万元，主要用于三位保安的工资和购买安保器械等.</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免作业本费：全年支出1.54万元，用于支付学生作业本费。</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骨干教师补贴：全年支出四名骨干教师津贴1.44万元。</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④校园维修专项资金：全年支出4.00万元。</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（4）财务管理情况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所有专项资金实行专款专用，不得挪用、截留；在资金拨付阶段严格审核资金分配方案、对象主体资格、绩效评估报告、合同、文件、拨付审批等，确保资金拨付符合要求，合理合规。</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（5）绩效管理工作开展情况</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adjustRightInd w:val="0"/>
        <w:snapToGrid w:val="0"/>
        <w:spacing w:line="580" w:lineRule="exact"/>
        <w:ind w:firstLine="600" w:firstLineChars="200"/>
        <w:contextualSpacing/>
        <w:jc w:val="left"/>
        <w:rPr>
          <w:rFonts w:ascii="宋体" w:hAnsi="宋体" w:cs="仿宋_GB2312"/>
          <w:sz w:val="30"/>
          <w:szCs w:val="30"/>
        </w:rPr>
      </w:pPr>
      <w:r>
        <w:rPr>
          <w:rFonts w:hint="eastAsia" w:ascii="宋体" w:hAnsi="宋体" w:cs="仿宋_GB2312"/>
          <w:sz w:val="30"/>
          <w:szCs w:val="30"/>
        </w:rPr>
        <w:t>通过绩效评价梳理出的问题，将通过座谈的形式传达给相关领导，以便完善。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我单位部门支出绩效评价得分95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94.5</w:t>
            </w:r>
          </w:p>
        </w:tc>
      </w:tr>
    </w:tbl>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2、部门支出相关（基本支出方面）的规章制度还不够完善。</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预算的编制。进一步加强单位内部机构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5120" w:firstLineChars="16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峨眉山市峨山小学校</w:t>
      </w:r>
    </w:p>
    <w:p>
      <w:pPr>
        <w:spacing w:line="580" w:lineRule="exact"/>
        <w:ind w:firstLine="5440" w:firstLineChars="17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2020年08月2日</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峨眉山市峨山镇小学校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8.17万元，预算人数为3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宿管人员工资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w:t>
      </w:r>
      <w:r>
        <w:rPr>
          <w:rFonts w:hint="eastAsia" w:ascii="仿宋_GB2312" w:hAnsi="宋体" w:eastAsia="仿宋_GB2312"/>
          <w:sz w:val="32"/>
          <w:szCs w:val="32"/>
        </w:rPr>
        <w:t>8.17</w:t>
      </w:r>
      <w:r>
        <w:rPr>
          <w:rFonts w:hint="eastAsia" w:ascii="仿宋_GB2312" w:hAnsi="宋体" w:eastAsia="仿宋_GB2312"/>
          <w:sz w:val="32"/>
          <w:szCs w:val="32"/>
          <w:lang w:val="zh-CN"/>
        </w:rPr>
        <w:t>万元，年末市财政调减预算指标</w:t>
      </w:r>
      <w:r>
        <w:rPr>
          <w:rFonts w:hint="eastAsia" w:ascii="仿宋_GB2312" w:hAnsi="宋体" w:eastAsia="仿宋_GB2312"/>
          <w:sz w:val="32"/>
          <w:szCs w:val="32"/>
        </w:rPr>
        <w:t>8.17</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2019年，该项目预算资金</w:t>
      </w:r>
      <w:r>
        <w:rPr>
          <w:rFonts w:hint="eastAsia" w:ascii="仿宋_GB2312" w:hAnsi="宋体" w:eastAsia="仿宋_GB2312"/>
          <w:sz w:val="32"/>
          <w:szCs w:val="32"/>
        </w:rPr>
        <w:t>8.17</w:t>
      </w:r>
      <w:r>
        <w:rPr>
          <w:rFonts w:hint="eastAsia" w:ascii="仿宋_GB2312" w:hAnsi="宋体" w:eastAsia="仿宋_GB2312"/>
          <w:sz w:val="32"/>
          <w:szCs w:val="32"/>
          <w:lang w:val="zh-CN"/>
        </w:rPr>
        <w:t>万元，年末市财政调减预算指标</w:t>
      </w:r>
      <w:r>
        <w:rPr>
          <w:rFonts w:hint="eastAsia" w:ascii="仿宋_GB2312" w:hAnsi="宋体" w:eastAsia="仿宋_GB2312"/>
          <w:sz w:val="32"/>
          <w:szCs w:val="32"/>
        </w:rPr>
        <w:t>8.17</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2019年，该项目实际使用资金</w:t>
      </w:r>
      <w:r>
        <w:rPr>
          <w:rFonts w:hint="eastAsia" w:ascii="仿宋_GB2312" w:hAnsi="宋体" w:eastAsia="仿宋_GB2312"/>
          <w:sz w:val="32"/>
          <w:szCs w:val="32"/>
        </w:rPr>
        <w:t>8.17</w:t>
      </w:r>
      <w:r>
        <w:rPr>
          <w:rFonts w:hint="eastAsia" w:ascii="仿宋_GB2312" w:hAnsi="宋体" w:eastAsia="仿宋_GB2312"/>
          <w:sz w:val="32"/>
          <w:szCs w:val="32"/>
          <w:lang w:val="zh-CN"/>
        </w:rPr>
        <w:t>万元，全额用于发放学校聘请的保安、宿管人员工资。项目开支范围、标准及支付进度、支付依据均合规合法，资金支付与预算相符。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宿管员。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该项目对照预算，截止2019年12月31日，下达预算指标8.17万元，年末调减预算指标8.17万元，实际下达预算指标</w:t>
      </w:r>
      <w:r>
        <w:rPr>
          <w:rFonts w:hint="eastAsia" w:ascii="仿宋_GB2312" w:hAnsi="宋体" w:eastAsia="仿宋_GB2312"/>
          <w:sz w:val="32"/>
          <w:szCs w:val="32"/>
        </w:rPr>
        <w:t>8.17</w:t>
      </w:r>
      <w:r>
        <w:rPr>
          <w:rFonts w:hint="eastAsia" w:ascii="仿宋_GB2312" w:hAnsi="宋体" w:eastAsia="仿宋_GB2312"/>
          <w:sz w:val="32"/>
          <w:szCs w:val="32"/>
          <w:lang w:val="zh-CN"/>
        </w:rPr>
        <w:t>万元。预算指标和资金拨付分春秋两季下达，全年使用资金</w:t>
      </w:r>
      <w:r>
        <w:rPr>
          <w:rFonts w:hint="eastAsia" w:ascii="仿宋_GB2312" w:hAnsi="宋体" w:eastAsia="仿宋_GB2312"/>
          <w:sz w:val="32"/>
          <w:szCs w:val="32"/>
        </w:rPr>
        <w:t>8.17</w:t>
      </w:r>
      <w:r>
        <w:rPr>
          <w:rFonts w:hint="eastAsia" w:ascii="仿宋_GB2312" w:hAnsi="宋体" w:eastAsia="仿宋_GB2312"/>
          <w:sz w:val="32"/>
          <w:szCs w:val="32"/>
          <w:lang w:val="zh-CN"/>
        </w:rPr>
        <w:t>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项目实施切实保障义教段公办学校按要求配齐、配足保安人员，公办寄宿制学校配足、配齐宿管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保证了学校教育教学正常秩序，</w:t>
      </w:r>
      <w:r>
        <w:rPr>
          <w:rFonts w:hint="eastAsia" w:ascii="仿宋_GB2312" w:eastAsia="仿宋_GB2312" w:hAnsiTheme="minorEastAsia"/>
          <w:sz w:val="32"/>
          <w:szCs w:val="32"/>
        </w:rPr>
        <w:t>该项目实施的社会效益、经济效益明显</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ind w:right="640"/>
        <w:jc w:val="right"/>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峨眉山市峨山镇小学校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2020年08月2日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9BB49"/>
    <w:multiLevelType w:val="singleLevel"/>
    <w:tmpl w:val="CCB9BB49"/>
    <w:lvl w:ilvl="0" w:tentative="0">
      <w:start w:val="6"/>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CFE3C4A"/>
    <w:multiLevelType w:val="singleLevel"/>
    <w:tmpl w:val="DCFE3C4A"/>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0637E5C"/>
    <w:multiLevelType w:val="singleLevel"/>
    <w:tmpl w:val="F0637E5C"/>
    <w:lvl w:ilvl="0" w:tentative="0">
      <w:start w:val="1"/>
      <w:numFmt w:val="decimal"/>
      <w:lvlText w:val="%1."/>
      <w:lvlJc w:val="left"/>
      <w:pPr>
        <w:tabs>
          <w:tab w:val="left" w:pos="312"/>
        </w:tabs>
      </w:pPr>
    </w:lvl>
  </w:abstractNum>
  <w:abstractNum w:abstractNumId="5">
    <w:nsid w:val="098B65E7"/>
    <w:multiLevelType w:val="singleLevel"/>
    <w:tmpl w:val="098B65E7"/>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6B12"/>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C107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365D29"/>
    <w:rsid w:val="03450337"/>
    <w:rsid w:val="04D63603"/>
    <w:rsid w:val="062543BB"/>
    <w:rsid w:val="088D22D9"/>
    <w:rsid w:val="0AE95173"/>
    <w:rsid w:val="0FE1081A"/>
    <w:rsid w:val="10C055FF"/>
    <w:rsid w:val="10D247E6"/>
    <w:rsid w:val="11CA5287"/>
    <w:rsid w:val="16BB723D"/>
    <w:rsid w:val="17220CEC"/>
    <w:rsid w:val="19553725"/>
    <w:rsid w:val="1DA43327"/>
    <w:rsid w:val="21710033"/>
    <w:rsid w:val="22023BA6"/>
    <w:rsid w:val="22BE25A4"/>
    <w:rsid w:val="240371BF"/>
    <w:rsid w:val="26AE5803"/>
    <w:rsid w:val="29FD04D3"/>
    <w:rsid w:val="2C376CF0"/>
    <w:rsid w:val="2D88650A"/>
    <w:rsid w:val="2DE12B41"/>
    <w:rsid w:val="2E0771DA"/>
    <w:rsid w:val="2F435FE7"/>
    <w:rsid w:val="300B4998"/>
    <w:rsid w:val="319F7F4E"/>
    <w:rsid w:val="352E688A"/>
    <w:rsid w:val="390C01E9"/>
    <w:rsid w:val="3A100939"/>
    <w:rsid w:val="3C577859"/>
    <w:rsid w:val="412B29C3"/>
    <w:rsid w:val="422207B4"/>
    <w:rsid w:val="427A32F0"/>
    <w:rsid w:val="44462BD7"/>
    <w:rsid w:val="4889677D"/>
    <w:rsid w:val="49F03D60"/>
    <w:rsid w:val="4A870710"/>
    <w:rsid w:val="4C987A49"/>
    <w:rsid w:val="4D3D4DAB"/>
    <w:rsid w:val="4E2567D1"/>
    <w:rsid w:val="4ECE2238"/>
    <w:rsid w:val="4ED977CD"/>
    <w:rsid w:val="5281563B"/>
    <w:rsid w:val="55502C5B"/>
    <w:rsid w:val="58502199"/>
    <w:rsid w:val="5E2262CB"/>
    <w:rsid w:val="60F25EEB"/>
    <w:rsid w:val="67225C54"/>
    <w:rsid w:val="675F26F6"/>
    <w:rsid w:val="6BF86CE7"/>
    <w:rsid w:val="6F15064D"/>
    <w:rsid w:val="6F613E3D"/>
    <w:rsid w:val="705A4579"/>
    <w:rsid w:val="7151016E"/>
    <w:rsid w:val="71D00172"/>
    <w:rsid w:val="72734D90"/>
    <w:rsid w:val="7366737E"/>
    <w:rsid w:val="7511456D"/>
    <w:rsid w:val="7A660B1F"/>
    <w:rsid w:val="7B9409D3"/>
    <w:rsid w:val="7DEC7F2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16136</Words>
  <Characters>2834</Characters>
  <Lines>23</Lines>
  <Paragraphs>37</Paragraphs>
  <TotalTime>25</TotalTime>
  <ScaleCrop>false</ScaleCrop>
  <LinksUpToDate>false</LinksUpToDate>
  <CharactersWithSpaces>18933</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2020-07-23T02:58:00Z</cp:lastPrinted>
  <dcterms:modified xsi:type="dcterms:W3CDTF">2020-10-27T07:17:33Z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