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425"/>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96598"/>
      <w:bookmarkStart w:id="8" w:name="_Toc15377426"/>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乐山市峨眉山市九里镇第一小学校部门决算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(范本)</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bookmarkStart w:id="12" w:name="_Toc15396599"/>
      <w:bookmarkStart w:id="13" w:name="_Toc15377196"/>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rPr>
          <w:sz w:val="32"/>
          <w:szCs w:val="32"/>
        </w:rPr>
      </w:pPr>
      <w:r>
        <w:rPr>
          <w:rFonts w:hint="eastAsia"/>
          <w:sz w:val="32"/>
          <w:szCs w:val="32"/>
        </w:rPr>
        <w:t>公开时间：2020年10月</w:t>
      </w:r>
      <w:r>
        <w:rPr>
          <w:rFonts w:hint="eastAsia"/>
          <w:sz w:val="32"/>
          <w:szCs w:val="32"/>
          <w:lang w:val="en-US" w:eastAsia="zh-CN"/>
        </w:rPr>
        <w:t>28</w:t>
      </w:r>
      <w:bookmarkStart w:id="73" w:name="_GoBack"/>
      <w:bookmarkEnd w:id="73"/>
      <w:r>
        <w:rPr>
          <w:rFonts w:hint="eastAsia"/>
          <w:sz w:val="32"/>
          <w:szCs w:val="32"/>
        </w:rPr>
        <w:t>日</w:t>
      </w:r>
    </w:p>
    <w:p>
      <w:pPr>
        <w:rPr>
          <w:rFonts w:ascii="仿宋" w:hAnsi="仿宋" w:eastAsia="仿宋"/>
          <w:sz w:val="32"/>
          <w:szCs w:val="32"/>
        </w:rPr>
      </w:pPr>
    </w:p>
    <w:p>
      <w:pPr>
        <w:pStyle w:val="10"/>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部门概况（4）</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一、基本职能及主要工作（4）</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二、机构设置（4）</w:t>
      </w:r>
    </w:p>
    <w:p>
      <w:pPr>
        <w:pStyle w:val="10"/>
        <w:adjustRightInd w:val="0"/>
        <w:snapToGrid w:val="0"/>
        <w:spacing w:before="0" w:line="440" w:lineRule="exact"/>
        <w:jc w:val="left"/>
        <w:rPr>
          <w:sz w:val="32"/>
          <w:szCs w:val="32"/>
        </w:rPr>
      </w:pPr>
      <w:r>
        <w:rPr>
          <w:rFonts w:hint="eastAsia"/>
          <w:sz w:val="32"/>
          <w:szCs w:val="32"/>
        </w:rPr>
        <w:t>第二部分度部门决算情况说明（5）</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一、收入支出决算总体情况说明（5）</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二、收入决算情况说明（5）</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三、支出决算情况说明（5-6）</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四、财政拨款收入支出决算总体情况说明（6-7）</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五、一般公共预算财政拨款支出决算情况说明（7-9）</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六、一般公共预算财政拨款基本支出决算情况说明（9-10）</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三公”经费财政拨款支出决算情况说明（10-11）</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八、政府性基金预算支出决算情况说明（11-12）</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 xml:space="preserve"> 国</w:t>
      </w:r>
      <w:r>
        <w:rPr>
          <w:rFonts w:hint="eastAsia" w:ascii="仿宋" w:hAnsi="仿宋" w:eastAsia="仿宋"/>
          <w:sz w:val="32"/>
          <w:szCs w:val="32"/>
        </w:rPr>
        <w:t>有资本经营预算支出决算情况说明（12）</w:t>
      </w:r>
    </w:p>
    <w:p>
      <w:pPr>
        <w:pStyle w:val="11"/>
        <w:adjustRightInd w:val="0"/>
        <w:snapToGrid w:val="0"/>
        <w:spacing w:line="440" w:lineRule="exact"/>
        <w:jc w:val="left"/>
        <w:rPr>
          <w:rFonts w:ascii="仿宋" w:hAnsi="仿宋" w:eastAsia="仿宋"/>
          <w:sz w:val="32"/>
          <w:szCs w:val="32"/>
        </w:rPr>
      </w:pPr>
      <w:r>
        <w:rPr>
          <w:rStyle w:val="15"/>
          <w:rFonts w:hint="eastAsia" w:ascii="仿宋" w:hAnsi="仿宋" w:eastAsia="仿宋"/>
          <w:color w:val="000000" w:themeColor="text1"/>
          <w:sz w:val="32"/>
          <w:szCs w:val="32"/>
          <w:u w:val="none"/>
        </w:rPr>
        <w:t>十、</w:t>
      </w:r>
      <w:r>
        <w:rPr>
          <w:rFonts w:hint="eastAsia" w:ascii="仿宋" w:hAnsi="仿宋" w:eastAsia="仿宋"/>
          <w:sz w:val="32"/>
          <w:szCs w:val="32"/>
        </w:rPr>
        <w:t>其他重要事项的情况说明（13-16）</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第三部分</w:t>
      </w:r>
      <w:r>
        <w:rPr>
          <w:rFonts w:ascii="仿宋" w:hAnsi="仿宋" w:eastAsia="仿宋"/>
          <w:sz w:val="32"/>
          <w:szCs w:val="32"/>
        </w:rPr>
        <w:t xml:space="preserve"> </w:t>
      </w:r>
      <w:r>
        <w:rPr>
          <w:rFonts w:hint="eastAsia" w:ascii="仿宋" w:hAnsi="仿宋" w:eastAsia="仿宋"/>
          <w:sz w:val="32"/>
          <w:szCs w:val="32"/>
        </w:rPr>
        <w:t>名词解释（17-19）</w:t>
      </w:r>
    </w:p>
    <w:p>
      <w:pPr>
        <w:pStyle w:val="10"/>
        <w:adjustRightInd w:val="0"/>
        <w:snapToGrid w:val="0"/>
        <w:spacing w:before="0" w:line="440" w:lineRule="exact"/>
        <w:jc w:val="left"/>
        <w:rPr>
          <w:rFonts w:cstheme="minorBidi"/>
          <w:sz w:val="32"/>
          <w:szCs w:val="32"/>
        </w:rPr>
      </w:pPr>
      <w:r>
        <w:rPr>
          <w:rFonts w:hint="eastAsia"/>
          <w:sz w:val="32"/>
          <w:szCs w:val="32"/>
        </w:rPr>
        <w:t>第四部分</w:t>
      </w:r>
      <w:r>
        <w:rPr>
          <w:sz w:val="32"/>
          <w:szCs w:val="32"/>
        </w:rPr>
        <w:t xml:space="preserve"> </w:t>
      </w:r>
      <w:r>
        <w:rPr>
          <w:rFonts w:hint="eastAsia"/>
          <w:sz w:val="32"/>
          <w:szCs w:val="32"/>
        </w:rPr>
        <w:t>附件</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r>
        <w:rPr>
          <w:rFonts w:hint="eastAsia" w:ascii="仿宋" w:hAnsi="仿宋" w:eastAsia="仿宋"/>
          <w:sz w:val="32"/>
          <w:szCs w:val="32"/>
        </w:rPr>
        <w:t>（20-28）</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（29-32）</w:t>
      </w:r>
    </w:p>
    <w:p>
      <w:pPr>
        <w:pStyle w:val="10"/>
        <w:adjustRightInd w:val="0"/>
        <w:snapToGrid w:val="0"/>
        <w:spacing w:before="0" w:line="440" w:lineRule="exact"/>
        <w:jc w:val="left"/>
        <w:rPr>
          <w:rFonts w:cstheme="minorBidi"/>
          <w:sz w:val="32"/>
          <w:szCs w:val="32"/>
        </w:rPr>
      </w:pPr>
      <w:r>
        <w:rPr>
          <w:rFonts w:hint="eastAsia"/>
          <w:sz w:val="32"/>
          <w:szCs w:val="32"/>
        </w:rPr>
        <w:t>第五部分</w:t>
      </w:r>
      <w:r>
        <w:rPr>
          <w:sz w:val="32"/>
          <w:szCs w:val="32"/>
        </w:rPr>
        <w:t xml:space="preserve"> </w:t>
      </w:r>
      <w:r>
        <w:rPr>
          <w:rFonts w:hint="eastAsia"/>
          <w:sz w:val="32"/>
          <w:szCs w:val="32"/>
        </w:rPr>
        <w:t>附表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一、收入支出决算总表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二、收入决算表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三、支出决算表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四、财政拨款收入支出决算总表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五、财政拨款支出决算明细表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六、一般公共预算财政拨款支出决算表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七、一般公共预算财政拨款支出决算明细表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八、一般公共预算财政拨款基本支出决算表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九、一般公共预算财政拨款项目支出决算表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十、一般公共预算财政拨款“三公”经费支出决算表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十一、政府性基金预算财政拨款收入支出决算表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十二、政府性基金预算财政拨款“三公”经费支出决算表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十三、国有资本经营预算支出决算表</w:t>
      </w:r>
    </w:p>
    <w:p>
      <w:pPr>
        <w:widowControl/>
        <w:jc w:val="center"/>
        <w:rPr>
          <w:rFonts w:ascii="仿宋" w:hAnsi="仿宋" w:eastAsia="仿宋"/>
          <w:bCs/>
          <w:kern w:val="44"/>
          <w:sz w:val="24"/>
        </w:rPr>
      </w:pPr>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r>
        <w:rPr>
          <w:rFonts w:hint="eastAsia" w:ascii="仿宋" w:hAnsi="仿宋" w:eastAsia="仿宋"/>
          <w:color w:val="0C0C0C"/>
          <w:sz w:val="32"/>
          <w:szCs w:val="32"/>
        </w:rPr>
        <w:t>实施小学义务教育。</w:t>
      </w:r>
      <w:r>
        <w:rPr>
          <w:rFonts w:hint="eastAsia" w:ascii="仿宋" w:hAnsi="仿宋" w:eastAsia="仿宋"/>
          <w:bCs/>
          <w:color w:val="000000"/>
          <w:sz w:val="32"/>
          <w:szCs w:val="32"/>
        </w:rPr>
        <w:t>（职能参照省政府批准的三定方案）</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 w:hAnsi="仿宋" w:eastAsia="仿宋"/>
          <w:bCs/>
          <w:color w:val="000000"/>
          <w:sz w:val="32"/>
          <w:szCs w:val="32"/>
        </w:rPr>
        <w:t>:</w:t>
      </w:r>
      <w:r>
        <w:rPr>
          <w:rFonts w:hint="eastAsia" w:ascii="仿宋" w:hAnsi="仿宋" w:eastAsia="仿宋"/>
          <w:color w:val="0C0C0C"/>
          <w:sz w:val="32"/>
          <w:szCs w:val="32"/>
        </w:rPr>
        <w:t xml:space="preserve"> 我校为小学义务教育学校，本年度在主管部门的领导下正常开展教育教学工作，小学教学质量全市一等奖</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峨眉山市九里镇第一小学校下属二级单位0个，其中行政单位0个，参照公务员法管理的事业单位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pStyle w:val="2"/>
        <w:ind w:right="1320"/>
        <w:rPr>
          <w:rFonts w:ascii="黑体" w:hAnsi="黑体" w:eastAsia="黑体"/>
          <w:b w:val="0"/>
          <w:color w:val="000000"/>
        </w:rPr>
      </w:pPr>
      <w:bookmarkStart w:id="22" w:name="_Toc15396602"/>
      <w:bookmarkStart w:id="23" w:name="_Toc15377204"/>
    </w:p>
    <w:p/>
    <w:p/>
    <w:p/>
    <w:p>
      <w:pPr>
        <w:pStyle w:val="2"/>
        <w:ind w:right="1320"/>
        <w:rPr>
          <w:rFonts w:hint="eastAsia" w:ascii="黑体" w:hAnsi="黑体" w:eastAsia="黑体"/>
          <w:b w:val="0"/>
          <w:color w:val="000000"/>
        </w:rPr>
      </w:pPr>
    </w:p>
    <w:p>
      <w:pPr>
        <w:pStyle w:val="2"/>
        <w:ind w:right="1320"/>
        <w:rPr>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2019年度部门决算情况明</w:t>
      </w:r>
      <w:bookmarkEnd w:id="22"/>
      <w:bookmarkEnd w:id="23"/>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w:t>
      </w:r>
      <w:r>
        <w:rPr>
          <w:rFonts w:ascii="仿宋" w:hAnsi="仿宋" w:eastAsia="仿宋"/>
          <w:color w:val="000000"/>
          <w:sz w:val="32"/>
          <w:szCs w:val="32"/>
        </w:rPr>
        <w:t>526.57</w:t>
      </w:r>
      <w:r>
        <w:rPr>
          <w:rFonts w:hint="eastAsia" w:ascii="仿宋" w:hAnsi="仿宋" w:eastAsia="仿宋"/>
          <w:color w:val="000000"/>
          <w:sz w:val="32"/>
          <w:szCs w:val="32"/>
        </w:rPr>
        <w:t>万元。与2018年相比，收、支总计各增加40.11万元。主要变动原因是人员人员经费和学校合并后开支增加。</w:t>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widowControl/>
        <w:jc w:val="left"/>
        <w:rPr>
          <w:rFonts w:ascii="宋体" w:hAnsi="宋体" w:cs="宋体"/>
          <w:kern w:val="0"/>
          <w:sz w:val="24"/>
        </w:rPr>
      </w:pPr>
      <w:r>
        <w:rPr>
          <w:rFonts w:ascii="宋体" w:hAnsi="宋体" w:cs="宋体"/>
          <w:kern w:val="0"/>
          <w:sz w:val="24"/>
        </w:rPr>
        <w:drawing>
          <wp:inline distT="0" distB="0" distL="0" distR="0">
            <wp:extent cx="2038350" cy="1407160"/>
            <wp:effectExtent l="19050" t="0" r="0" b="0"/>
            <wp:docPr id="1" name="图片 1" descr="C:\Users\Administrator\AppData\Roaming\Tencent\Users\511272269\QQ\WinTemp\RichOle\]_R13F4J5QHONU2H_S{_D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511272269\QQ\WinTemp\RichOle\]_R13F4J5QHONU2H_S{_DIV.png"/>
                    <pic:cNvPicPr>
                      <a:picLocks noChangeAspect="1" noChangeArrowheads="1"/>
                    </pic:cNvPicPr>
                  </pic:nvPicPr>
                  <pic:blipFill>
                    <a:blip r:embed="rId6"/>
                    <a:srcRect/>
                    <a:stretch>
                      <a:fillRect/>
                    </a:stretch>
                  </pic:blipFill>
                  <pic:spPr>
                    <a:xfrm>
                      <a:off x="0" y="0"/>
                      <a:ext cx="2043069" cy="1410474"/>
                    </a:xfrm>
                    <a:prstGeom prst="rect">
                      <a:avLst/>
                    </a:prstGeom>
                    <a:noFill/>
                    <a:ln w="9525">
                      <a:noFill/>
                      <a:miter lim="800000"/>
                      <a:headEnd/>
                      <a:tailEnd/>
                    </a:ln>
                  </pic:spPr>
                </pic:pic>
              </a:graphicData>
            </a:graphic>
          </wp:inline>
        </w:drawing>
      </w:r>
    </w:p>
    <w:p>
      <w:pPr>
        <w:spacing w:line="600" w:lineRule="exact"/>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仿宋" w:hAnsi="仿宋" w:eastAsia="仿宋" w:cs="Times New Roman"/>
          <w:b w:val="0"/>
          <w:bCs w:val="0"/>
          <w:color w:val="00000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r>
        <w:rPr>
          <w:rStyle w:val="25"/>
          <w:rFonts w:hint="eastAsia" w:ascii="黑体" w:hAnsi="黑体" w:eastAsia="黑体"/>
          <w:b w:val="0"/>
        </w:rPr>
        <w:t>来源于</w:t>
      </w:r>
    </w:p>
    <w:p>
      <w:pPr>
        <w:spacing w:line="600" w:lineRule="exact"/>
        <w:ind w:left="640" w:firstLine="160" w:firstLineChars="5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ascii="仿宋" w:hAnsi="仿宋" w:eastAsia="仿宋"/>
          <w:color w:val="000000"/>
          <w:sz w:val="32"/>
          <w:szCs w:val="32"/>
        </w:rPr>
        <w:t>521.61</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500.80</w:t>
      </w:r>
      <w:r>
        <w:rPr>
          <w:rFonts w:hint="eastAsia" w:ascii="仿宋" w:hAnsi="仿宋" w:eastAsia="仿宋"/>
          <w:color w:val="000000"/>
          <w:sz w:val="32"/>
          <w:szCs w:val="32"/>
        </w:rPr>
        <w:t>万元，占96.01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0.49</w:t>
      </w:r>
      <w:r>
        <w:rPr>
          <w:rFonts w:hint="eastAsia" w:ascii="仿宋" w:hAnsi="仿宋" w:eastAsia="仿宋"/>
          <w:color w:val="000000"/>
          <w:sz w:val="32"/>
          <w:szCs w:val="32"/>
        </w:rPr>
        <w:t>万元，占0.09</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；事业收入20.32万元，占3.90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widowControl/>
        <w:jc w:val="left"/>
        <w:rPr>
          <w:rFonts w:ascii="宋体" w:hAnsi="宋体" w:cs="宋体"/>
          <w:kern w:val="0"/>
          <w:sz w:val="24"/>
        </w:rPr>
      </w:pPr>
      <w:r>
        <w:rPr>
          <w:rFonts w:ascii="宋体" w:hAnsi="宋体" w:cs="宋体"/>
          <w:kern w:val="0"/>
          <w:sz w:val="24"/>
        </w:rPr>
        <w:drawing>
          <wp:inline distT="0" distB="0" distL="0" distR="0">
            <wp:extent cx="2755900" cy="1661795"/>
            <wp:effectExtent l="19050" t="0" r="5874" b="0"/>
            <wp:docPr id="3" name="图片 3" descr="C:\Users\Administrator\AppData\Roaming\Tencent\Users\511272269\QQ\WinTemp\RichOle\IHQED~MMX2QE9C658@XGEZ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511272269\QQ\WinTemp\RichOle\IHQED~MMX2QE9C658@XGEZT.png"/>
                    <pic:cNvPicPr>
                      <a:picLocks noChangeAspect="1" noChangeArrowheads="1"/>
                    </pic:cNvPicPr>
                  </pic:nvPicPr>
                  <pic:blipFill>
                    <a:blip r:embed="rId7"/>
                    <a:srcRect/>
                    <a:stretch>
                      <a:fillRect/>
                    </a:stretch>
                  </pic:blipFill>
                  <pic:spPr>
                    <a:xfrm>
                      <a:off x="0" y="0"/>
                      <a:ext cx="2757323" cy="1662393"/>
                    </a:xfrm>
                    <a:prstGeom prst="rect">
                      <a:avLst/>
                    </a:prstGeom>
                    <a:noFill/>
                    <a:ln w="9525">
                      <a:noFill/>
                      <a:miter lim="800000"/>
                      <a:headEnd/>
                      <a:tailEnd/>
                    </a:ln>
                  </pic:spPr>
                </pic:pic>
              </a:graphicData>
            </a:graphic>
          </wp:inline>
        </w:drawing>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pStyle w:val="23"/>
        <w:numPr>
          <w:ilvl w:val="0"/>
          <w:numId w:val="1"/>
        </w:numPr>
        <w:spacing w:line="600" w:lineRule="exact"/>
        <w:ind w:firstLineChars="0"/>
        <w:outlineLvl w:val="1"/>
        <w:rPr>
          <w:rStyle w:val="25"/>
          <w:rFonts w:ascii="仿宋" w:hAnsi="仿宋" w:eastAsia="仿宋" w:cs="Times New Roman"/>
          <w:b w:val="0"/>
          <w:bCs w:val="0"/>
          <w:color w:val="00000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left="640"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ascii="仿宋" w:hAnsi="仿宋" w:eastAsia="仿宋"/>
          <w:color w:val="000000"/>
          <w:sz w:val="32"/>
          <w:szCs w:val="32"/>
        </w:rPr>
        <w:t>440.09</w:t>
      </w:r>
      <w:r>
        <w:rPr>
          <w:rFonts w:hint="eastAsia" w:ascii="仿宋" w:hAnsi="仿宋" w:eastAsia="仿宋"/>
          <w:color w:val="000000"/>
          <w:sz w:val="32"/>
          <w:szCs w:val="32"/>
        </w:rPr>
        <w:t>万元，其中：基本支出</w:t>
      </w:r>
      <w:r>
        <w:rPr>
          <w:rFonts w:ascii="仿宋" w:hAnsi="仿宋" w:eastAsia="仿宋"/>
          <w:color w:val="000000"/>
          <w:sz w:val="32"/>
          <w:szCs w:val="32"/>
        </w:rPr>
        <w:t>426.34</w:t>
      </w:r>
      <w:r>
        <w:rPr>
          <w:rFonts w:hint="eastAsia" w:ascii="仿宋" w:hAnsi="仿宋" w:eastAsia="仿宋"/>
          <w:color w:val="000000"/>
          <w:sz w:val="32"/>
          <w:szCs w:val="32"/>
        </w:rPr>
        <w:t>万元，占96.88</w:t>
      </w:r>
      <w:r>
        <w:rPr>
          <w:rFonts w:ascii="仿宋" w:hAnsi="仿宋" w:eastAsia="仿宋"/>
          <w:color w:val="000000"/>
          <w:sz w:val="32"/>
          <w:szCs w:val="32"/>
        </w:rPr>
        <w:t>%</w:t>
      </w:r>
      <w:r>
        <w:rPr>
          <w:rFonts w:hint="eastAsia" w:ascii="仿宋" w:hAnsi="仿宋" w:eastAsia="仿宋"/>
          <w:color w:val="000000"/>
          <w:sz w:val="32"/>
          <w:szCs w:val="32"/>
        </w:rPr>
        <w:t>；；项目支出</w:t>
      </w:r>
      <w:r>
        <w:rPr>
          <w:rFonts w:ascii="仿宋" w:hAnsi="仿宋" w:eastAsia="仿宋"/>
          <w:color w:val="000000"/>
          <w:sz w:val="32"/>
          <w:szCs w:val="32"/>
        </w:rPr>
        <w:t>13.</w:t>
      </w:r>
      <w:r>
        <w:rPr>
          <w:rFonts w:hint="eastAsia" w:ascii="仿宋" w:hAnsi="仿宋" w:eastAsia="仿宋"/>
          <w:color w:val="000000"/>
          <w:sz w:val="32"/>
          <w:szCs w:val="32"/>
        </w:rPr>
        <w:t>75万元，占3.12</w:t>
      </w:r>
      <w:r>
        <w:rPr>
          <w:rFonts w:ascii="仿宋" w:hAnsi="仿宋" w:eastAsia="仿宋"/>
          <w:color w:val="000000"/>
          <w:sz w:val="32"/>
          <w:szCs w:val="32"/>
        </w:rPr>
        <w:t>%</w:t>
      </w:r>
      <w:r>
        <w:rPr>
          <w:rFonts w:hint="eastAsia" w:ascii="仿宋" w:hAnsi="仿宋" w:eastAsia="仿宋"/>
          <w:color w:val="000000"/>
          <w:sz w:val="32"/>
          <w:szCs w:val="32"/>
        </w:rPr>
        <w:t>；上缴上级支出0元，占0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themeColor="text1"/>
          <w:sz w:val="32"/>
          <w:szCs w:val="32"/>
        </w:rPr>
        <w:t>0</w:t>
      </w:r>
      <w:r>
        <w:rPr>
          <w:rFonts w:hint="eastAsia" w:ascii="仿宋" w:hAnsi="仿宋" w:eastAsia="仿宋"/>
          <w:color w:val="000000"/>
          <w:sz w:val="32"/>
          <w:szCs w:val="32"/>
        </w:rPr>
        <w:t>万元，占</w:t>
      </w:r>
      <w:r>
        <w:rPr>
          <w:rFonts w:hint="eastAsia" w:ascii="仿宋" w:hAnsi="仿宋" w:eastAsia="仿宋"/>
          <w:color w:val="000000" w:themeColor="text1"/>
          <w:sz w:val="32"/>
          <w:szCs w:val="32"/>
        </w:rPr>
        <w:t>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themeColor="text1"/>
          <w:sz w:val="32"/>
          <w:szCs w:val="32"/>
        </w:rPr>
        <w:t>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widowControl/>
        <w:jc w:val="left"/>
        <w:rPr>
          <w:rFonts w:ascii="宋体" w:hAnsi="宋体" w:cs="宋体"/>
          <w:kern w:val="0"/>
          <w:sz w:val="24"/>
        </w:rPr>
      </w:pPr>
      <w:r>
        <w:rPr>
          <w:rFonts w:ascii="宋体" w:hAnsi="宋体" w:cs="宋体"/>
          <w:kern w:val="0"/>
          <w:sz w:val="24"/>
        </w:rPr>
        <w:drawing>
          <wp:inline distT="0" distB="0" distL="0" distR="0">
            <wp:extent cx="2436495" cy="1501775"/>
            <wp:effectExtent l="19050" t="0" r="1865" b="0"/>
            <wp:docPr id="5" name="图片 5" descr="C:\Users\Administrator\AppData\Roaming\Tencent\Users\511272269\QQ\WinTemp\RichOle\`(871T0}Q]G2}1@]ME3J3T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Roaming\Tencent\Users\511272269\QQ\WinTemp\RichOle\`(871T0}Q]G2}1@]ME3J3TJ.png"/>
                    <pic:cNvPicPr>
                      <a:picLocks noChangeAspect="1" noChangeArrowheads="1"/>
                    </pic:cNvPicPr>
                  </pic:nvPicPr>
                  <pic:blipFill>
                    <a:blip r:embed="rId8"/>
                    <a:srcRect/>
                    <a:stretch>
                      <a:fillRect/>
                    </a:stretch>
                  </pic:blipFill>
                  <pic:spPr>
                    <a:xfrm>
                      <a:off x="0" y="0"/>
                      <a:ext cx="2436425" cy="1501863"/>
                    </a:xfrm>
                    <a:prstGeom prst="rect">
                      <a:avLst/>
                    </a:prstGeom>
                    <a:noFill/>
                    <a:ln w="9525">
                      <a:noFill/>
                      <a:miter lim="800000"/>
                      <a:headEnd/>
                      <a:tailEnd/>
                    </a:ln>
                  </pic:spPr>
                </pic:pic>
              </a:graphicData>
            </a:graphic>
          </wp:inline>
        </w:drawing>
      </w:r>
    </w:p>
    <w:p>
      <w:pPr>
        <w:spacing w:line="600" w:lineRule="exact"/>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ascii="仿宋" w:hAnsi="仿宋" w:eastAsia="仿宋"/>
          <w:color w:val="000000"/>
          <w:sz w:val="32"/>
          <w:szCs w:val="32"/>
        </w:rPr>
        <w:t>50</w:t>
      </w:r>
      <w:r>
        <w:rPr>
          <w:rFonts w:hint="eastAsia" w:ascii="仿宋" w:hAnsi="仿宋" w:eastAsia="仿宋"/>
          <w:color w:val="000000"/>
          <w:sz w:val="32"/>
          <w:szCs w:val="32"/>
        </w:rPr>
        <w:t>1.29万元。与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8年相比，财政拨款收/支增加49.02万元，上升9.68</w:t>
      </w:r>
      <w:r>
        <w:rPr>
          <w:rFonts w:ascii="仿宋" w:hAnsi="仿宋" w:eastAsia="仿宋"/>
          <w:color w:val="000000"/>
          <w:sz w:val="32"/>
          <w:szCs w:val="32"/>
        </w:rPr>
        <w:t>%</w:t>
      </w:r>
      <w:r>
        <w:rPr>
          <w:rFonts w:hint="eastAsia" w:ascii="仿宋" w:hAnsi="仿宋" w:eastAsia="仿宋"/>
          <w:color w:val="000000"/>
          <w:sz w:val="32"/>
          <w:szCs w:val="32"/>
        </w:rPr>
        <w:t>。主要变动原因是人员经费增加，学校合并后开支增加。</w:t>
      </w:r>
    </w:p>
    <w:p>
      <w:pPr>
        <w:widowControl/>
        <w:jc w:val="left"/>
        <w:rPr>
          <w:rFonts w:ascii="宋体" w:hAnsi="宋体" w:cs="宋体"/>
          <w:kern w:val="0"/>
          <w:sz w:val="24"/>
        </w:rPr>
      </w:pPr>
      <w:r>
        <w:rPr>
          <w:rFonts w:ascii="宋体" w:hAnsi="宋体" w:cs="宋体"/>
          <w:kern w:val="0"/>
          <w:sz w:val="24"/>
        </w:rPr>
        <w:drawing>
          <wp:inline distT="0" distB="0" distL="0" distR="0">
            <wp:extent cx="2205355" cy="1540510"/>
            <wp:effectExtent l="19050" t="0" r="4292" b="0"/>
            <wp:docPr id="9" name="图片 9" descr="C:\Users\Administrator\AppData\Roaming\Tencent\Users\511272269\QQ\WinTemp\RichOle\04G%$EAT`3F`$FX}GT[TK%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AppData\Roaming\Tencent\Users\511272269\QQ\WinTemp\RichOle\04G%$EAT`3F`$FX}GT[TK%X.png"/>
                    <pic:cNvPicPr>
                      <a:picLocks noChangeAspect="1" noChangeArrowheads="1"/>
                    </pic:cNvPicPr>
                  </pic:nvPicPr>
                  <pic:blipFill>
                    <a:blip r:embed="rId9"/>
                    <a:srcRect/>
                    <a:stretch>
                      <a:fillRect/>
                    </a:stretch>
                  </pic:blipFill>
                  <pic:spPr>
                    <a:xfrm>
                      <a:off x="0" y="0"/>
                      <a:ext cx="2205531" cy="1540786"/>
                    </a:xfrm>
                    <a:prstGeom prst="rect">
                      <a:avLst/>
                    </a:prstGeom>
                    <a:noFill/>
                    <a:ln w="9525">
                      <a:noFill/>
                      <a:miter lim="800000"/>
                      <a:headEnd/>
                      <a:tailEnd/>
                    </a:ln>
                  </pic:spPr>
                </pic:pic>
              </a:graphicData>
            </a:graphic>
          </wp:inline>
        </w:drawing>
      </w:r>
    </w:p>
    <w:p>
      <w:pPr>
        <w:widowControl/>
        <w:jc w:val="left"/>
        <w:rPr>
          <w:rFonts w:ascii="宋体" w:hAnsi="宋体" w:cs="宋体"/>
          <w:kern w:val="0"/>
          <w:sz w:val="24"/>
        </w:rPr>
      </w:pPr>
    </w:p>
    <w:p>
      <w:pPr>
        <w:widowControl/>
        <w:jc w:val="left"/>
        <w:rPr>
          <w:rFonts w:ascii="宋体" w:hAnsi="宋体" w:cs="宋体"/>
          <w:kern w:val="0"/>
          <w:sz w:val="24"/>
        </w:rPr>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ascii="仿宋" w:hAnsi="仿宋" w:eastAsia="仿宋"/>
          <w:color w:val="000000"/>
          <w:sz w:val="32"/>
          <w:szCs w:val="32"/>
        </w:rPr>
        <w:t>419.28</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8年相比，一般公共预算财政拨款支出减少37.95万元，</w:t>
      </w:r>
      <w:r>
        <w:rPr>
          <w:rFonts w:ascii="仿宋" w:hAnsi="仿宋" w:eastAsia="仿宋"/>
          <w:color w:val="000000"/>
          <w:sz w:val="32"/>
          <w:szCs w:val="32"/>
        </w:rPr>
        <w:t xml:space="preserve"> </w:t>
      </w:r>
      <w:r>
        <w:rPr>
          <w:rFonts w:hint="eastAsia" w:ascii="仿宋" w:hAnsi="仿宋" w:eastAsia="仿宋"/>
          <w:color w:val="000000"/>
          <w:sz w:val="32"/>
          <w:szCs w:val="32"/>
        </w:rPr>
        <w:t>下降9.06</w:t>
      </w:r>
      <w:r>
        <w:rPr>
          <w:rFonts w:ascii="仿宋" w:hAnsi="仿宋" w:eastAsia="仿宋"/>
          <w:color w:val="000000"/>
          <w:sz w:val="32"/>
          <w:szCs w:val="32"/>
        </w:rPr>
        <w:t>%</w:t>
      </w:r>
      <w:r>
        <w:rPr>
          <w:rFonts w:hint="eastAsia" w:ascii="仿宋" w:hAnsi="仿宋" w:eastAsia="仿宋"/>
          <w:color w:val="000000"/>
          <w:sz w:val="32"/>
          <w:szCs w:val="32"/>
        </w:rPr>
        <w:t>。主要变动原因是财政收回部分项目资金。</w:t>
      </w:r>
    </w:p>
    <w:p>
      <w:pPr>
        <w:widowControl/>
        <w:jc w:val="left"/>
        <w:rPr>
          <w:rFonts w:ascii="宋体" w:hAnsi="宋体" w:cs="宋体"/>
          <w:kern w:val="0"/>
          <w:sz w:val="24"/>
        </w:rPr>
      </w:pPr>
      <w:r>
        <w:rPr>
          <w:rFonts w:ascii="宋体" w:hAnsi="宋体" w:cs="宋体"/>
          <w:kern w:val="0"/>
          <w:sz w:val="24"/>
        </w:rPr>
        <w:drawing>
          <wp:inline distT="0" distB="0" distL="0" distR="0">
            <wp:extent cx="2219960" cy="1478915"/>
            <wp:effectExtent l="19050" t="0" r="8382" b="0"/>
            <wp:docPr id="2" name="图片 11" descr="C:\Users\Administrator\AppData\Roaming\Tencent\Users\511272269\QQ\WinTemp\RichOle\D@$25RWJIL{P]CPRNA9L20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C:\Users\Administrator\AppData\Roaming\Tencent\Users\511272269\QQ\WinTemp\RichOle\D@$25RWJIL{P]CPRNA9L20Y.png"/>
                    <pic:cNvPicPr>
                      <a:picLocks noChangeAspect="1" noChangeArrowheads="1"/>
                    </pic:cNvPicPr>
                  </pic:nvPicPr>
                  <pic:blipFill>
                    <a:blip r:embed="rId10"/>
                    <a:srcRect/>
                    <a:stretch>
                      <a:fillRect/>
                    </a:stretch>
                  </pic:blipFill>
                  <pic:spPr>
                    <a:xfrm>
                      <a:off x="0" y="0"/>
                      <a:ext cx="2226688" cy="1483086"/>
                    </a:xfrm>
                    <a:prstGeom prst="rect">
                      <a:avLst/>
                    </a:prstGeom>
                    <a:noFill/>
                    <a:ln w="9525">
                      <a:noFill/>
                      <a:miter lim="800000"/>
                      <a:headEnd/>
                      <a:tailEnd/>
                    </a:ln>
                  </pic:spPr>
                </pic:pic>
              </a:graphicData>
            </a:graphic>
          </wp:inline>
        </w:drawing>
      </w:r>
    </w:p>
    <w:p>
      <w:pPr>
        <w:spacing w:line="600" w:lineRule="exact"/>
        <w:ind w:firstLine="640" w:firstLineChars="200"/>
        <w:rPr>
          <w:rFonts w:ascii="仿宋" w:hAnsi="仿宋" w:eastAsia="仿宋"/>
          <w:color w:val="000000"/>
          <w:sz w:val="32"/>
          <w:szCs w:val="32"/>
        </w:rPr>
      </w:pPr>
    </w:p>
    <w:p>
      <w:pPr>
        <w:widowControl/>
        <w:jc w:val="left"/>
        <w:rPr>
          <w:rFonts w:ascii="宋体" w:hAnsi="宋体" w:cs="宋体"/>
          <w:kern w:val="0"/>
          <w:sz w:val="24"/>
        </w:rPr>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政拨款支出419.28万元，主要用于以下方面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w:t>
      </w:r>
      <w:r>
        <w:rPr>
          <w:rFonts w:ascii="仿宋" w:hAnsi="仿宋" w:eastAsia="仿宋"/>
          <w:color w:val="000000" w:themeColor="text1"/>
          <w:sz w:val="32"/>
          <w:szCs w:val="32"/>
        </w:rPr>
        <w:t>308.28</w:t>
      </w:r>
      <w:r>
        <w:rPr>
          <w:rFonts w:hint="eastAsia" w:ascii="仿宋" w:hAnsi="仿宋" w:eastAsia="仿宋"/>
          <w:color w:val="000000" w:themeColor="text1"/>
          <w:sz w:val="32"/>
          <w:szCs w:val="32"/>
        </w:rPr>
        <w:t>万元，占75.09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w:t>
      </w:r>
      <w:r>
        <w:rPr>
          <w:rFonts w:ascii="仿宋" w:hAnsi="仿宋" w:eastAsia="仿宋"/>
          <w:color w:val="000000" w:themeColor="text1"/>
          <w:sz w:val="32"/>
          <w:szCs w:val="32"/>
        </w:rPr>
        <w:t>63.23</w:t>
      </w:r>
      <w:r>
        <w:rPr>
          <w:rFonts w:hint="eastAsia" w:ascii="仿宋" w:hAnsi="仿宋" w:eastAsia="仿宋"/>
          <w:color w:val="000000" w:themeColor="text1"/>
          <w:sz w:val="32"/>
          <w:szCs w:val="32"/>
        </w:rPr>
        <w:t>万元，占13.99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color w:val="000000" w:themeColor="text1"/>
          <w:sz w:val="32"/>
          <w:szCs w:val="32"/>
        </w:rPr>
        <w:t>（210）</w:t>
      </w:r>
      <w:r>
        <w:rPr>
          <w:rFonts w:ascii="仿宋" w:hAnsi="仿宋" w:eastAsia="仿宋"/>
          <w:color w:val="000000" w:themeColor="text1"/>
          <w:sz w:val="32"/>
          <w:szCs w:val="32"/>
        </w:rPr>
        <w:t>12.33</w:t>
      </w:r>
      <w:r>
        <w:rPr>
          <w:rFonts w:hint="eastAsia" w:ascii="仿宋" w:hAnsi="仿宋" w:eastAsia="仿宋"/>
          <w:color w:val="000000" w:themeColor="text1"/>
          <w:sz w:val="32"/>
          <w:szCs w:val="32"/>
        </w:rPr>
        <w:t>万元，占2.1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住房保障支出（221）</w:t>
      </w:r>
      <w:r>
        <w:rPr>
          <w:rFonts w:ascii="仿宋" w:hAnsi="仿宋" w:eastAsia="仿宋"/>
          <w:color w:val="000000" w:themeColor="text1"/>
          <w:sz w:val="32"/>
          <w:szCs w:val="32"/>
        </w:rPr>
        <w:t>32.43</w:t>
      </w:r>
      <w:r>
        <w:rPr>
          <w:rFonts w:hint="eastAsia" w:ascii="仿宋" w:hAnsi="仿宋" w:eastAsia="仿宋"/>
          <w:color w:val="000000" w:themeColor="text1"/>
          <w:sz w:val="32"/>
          <w:szCs w:val="32"/>
        </w:rPr>
        <w:t>万元，占8.8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农林水支出（213）</w:t>
      </w:r>
      <w:r>
        <w:rPr>
          <w:rFonts w:ascii="仿宋" w:hAnsi="仿宋" w:eastAsia="仿宋"/>
          <w:color w:val="000000" w:themeColor="text1"/>
          <w:sz w:val="32"/>
          <w:szCs w:val="32"/>
        </w:rPr>
        <w:t>3.01</w:t>
      </w:r>
      <w:r>
        <w:rPr>
          <w:rFonts w:hint="eastAsia" w:ascii="仿宋" w:hAnsi="仿宋" w:eastAsia="仿宋"/>
          <w:color w:val="000000" w:themeColor="text1"/>
          <w:sz w:val="32"/>
          <w:szCs w:val="32"/>
        </w:rPr>
        <w:t>万元，占2.1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widowControl/>
        <w:jc w:val="left"/>
        <w:rPr>
          <w:rFonts w:ascii="宋体" w:hAnsi="宋体" w:cs="宋体"/>
          <w:kern w:val="0"/>
          <w:sz w:val="24"/>
        </w:rPr>
      </w:pPr>
    </w:p>
    <w:p>
      <w:pPr>
        <w:widowControl/>
        <w:jc w:val="left"/>
        <w:rPr>
          <w:rFonts w:ascii="宋体" w:hAnsi="宋体" w:cs="宋体"/>
          <w:kern w:val="0"/>
          <w:sz w:val="24"/>
        </w:rPr>
      </w:pPr>
      <w:r>
        <w:rPr>
          <w:rFonts w:ascii="宋体" w:hAnsi="宋体" w:cs="宋体"/>
          <w:kern w:val="0"/>
          <w:sz w:val="24"/>
        </w:rPr>
        <w:drawing>
          <wp:inline distT="0" distB="0" distL="0" distR="0">
            <wp:extent cx="3482340" cy="1696085"/>
            <wp:effectExtent l="19050" t="0" r="3479" b="0"/>
            <wp:docPr id="15" name="图片 15" descr="C:\Users\Administrator\AppData\Roaming\Tencent\Users\511272269\QQ\WinTemp\RichOle\[ZDRTN4{NS1I~ZTX3L}DD8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AppData\Roaming\Tencent\Users\511272269\QQ\WinTemp\RichOle\[ZDRTN4{NS1I~ZTX3L}DD8V.png"/>
                    <pic:cNvPicPr>
                      <a:picLocks noChangeAspect="1" noChangeArrowheads="1"/>
                    </pic:cNvPicPr>
                  </pic:nvPicPr>
                  <pic:blipFill>
                    <a:blip r:embed="rId11"/>
                    <a:srcRect/>
                    <a:stretch>
                      <a:fillRect/>
                    </a:stretch>
                  </pic:blipFill>
                  <pic:spPr>
                    <a:xfrm>
                      <a:off x="0" y="0"/>
                      <a:ext cx="3484954" cy="1697602"/>
                    </a:xfrm>
                    <a:prstGeom prst="rect">
                      <a:avLst/>
                    </a:prstGeom>
                    <a:noFill/>
                    <a:ln w="9525">
                      <a:noFill/>
                      <a:miter lim="800000"/>
                      <a:headEnd/>
                      <a:tailEnd/>
                    </a:ln>
                  </pic:spPr>
                </pic:pic>
              </a:graphicData>
            </a:graphic>
          </wp:inline>
        </w:drawing>
      </w:r>
    </w:p>
    <w:p>
      <w:pPr>
        <w:widowControl/>
        <w:jc w:val="left"/>
        <w:rPr>
          <w:rFonts w:ascii="仿宋" w:hAnsi="仿宋" w:eastAsia="仿宋"/>
          <w:color w:val="000000"/>
          <w:sz w:val="32"/>
          <w:szCs w:val="32"/>
        </w:rPr>
      </w:pPr>
    </w:p>
    <w:p>
      <w:pPr>
        <w:widowControl/>
        <w:jc w:val="left"/>
        <w:rPr>
          <w:rFonts w:ascii="宋体" w:hAnsi="宋体" w:cs="宋体"/>
          <w:kern w:val="0"/>
          <w:sz w:val="24"/>
        </w:rPr>
      </w:pPr>
      <w:r>
        <w:rPr>
          <w:rFonts w:hint="eastAsia" w:ascii="仿宋" w:hAnsi="仿宋" w:eastAsia="仿宋"/>
          <w:color w:val="000000"/>
          <w:sz w:val="32"/>
          <w:szCs w:val="32"/>
        </w:rPr>
        <w:t>（图6：一般公共预算财政拨款支出决算结构）（饼状图）</w:t>
      </w:r>
    </w:p>
    <w:p>
      <w:pPr>
        <w:spacing w:line="600" w:lineRule="exact"/>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2019年般公共预算支出决算数为</w:t>
      </w:r>
      <w:r>
        <w:rPr>
          <w:rFonts w:ascii="仿宋" w:hAnsi="仿宋" w:eastAsia="仿宋"/>
          <w:b/>
          <w:color w:val="000000" w:themeColor="text1"/>
          <w:sz w:val="32"/>
          <w:szCs w:val="32"/>
        </w:rPr>
        <w:t>419.28</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教育（类）205（款）0202（项）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ascii="仿宋" w:hAnsi="仿宋" w:eastAsia="仿宋"/>
          <w:color w:val="000000" w:themeColor="text1"/>
          <w:sz w:val="32"/>
          <w:szCs w:val="32"/>
        </w:rPr>
        <w:t>308.28</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社会保障和就业（类）208（款）0505（项）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ascii="仿宋" w:hAnsi="仿宋" w:eastAsia="仿宋"/>
          <w:color w:val="000000" w:themeColor="text1"/>
          <w:sz w:val="32"/>
          <w:szCs w:val="32"/>
        </w:rPr>
        <w:t>32.43</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（类）210（款）1102（项）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12.33</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7.</w:t>
      </w:r>
      <w:r>
        <w:rPr>
          <w:rFonts w:hint="eastAsia" w:ascii="仿宋" w:hAnsi="仿宋" w:eastAsia="仿宋"/>
          <w:b/>
          <w:color w:val="000000" w:themeColor="text1"/>
          <w:sz w:val="32"/>
          <w:szCs w:val="32"/>
        </w:rPr>
        <w:t xml:space="preserve"> 住房保障支出（221）</w:t>
      </w:r>
      <w:r>
        <w:rPr>
          <w:rFonts w:ascii="仿宋" w:hAnsi="仿宋" w:eastAsia="仿宋"/>
          <w:color w:val="000000" w:themeColor="text1"/>
          <w:sz w:val="32"/>
          <w:szCs w:val="32"/>
        </w:rPr>
        <w:t>32.43</w:t>
      </w:r>
      <w:r>
        <w:rPr>
          <w:rFonts w:hint="eastAsia" w:ascii="仿宋" w:hAnsi="仿宋" w:eastAsia="仿宋"/>
          <w:color w:val="000000" w:themeColor="text1"/>
          <w:sz w:val="32"/>
          <w:szCs w:val="32"/>
        </w:rPr>
        <w:t>万元，占100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Style w:val="14"/>
          <w:rFonts w:ascii="仿宋" w:hAnsi="仿宋" w:eastAsia="仿宋"/>
          <w:b w:val="0"/>
          <w:bCs/>
          <w:color w:val="000000"/>
          <w:sz w:val="32"/>
          <w:szCs w:val="32"/>
        </w:rPr>
      </w:pPr>
      <w:r>
        <w:rPr>
          <w:rFonts w:hint="eastAsia" w:ascii="仿宋" w:hAnsi="仿宋" w:eastAsia="仿宋"/>
          <w:b/>
          <w:color w:val="000000"/>
          <w:sz w:val="32"/>
          <w:szCs w:val="32"/>
        </w:rPr>
        <w:t>8.</w:t>
      </w:r>
      <w:r>
        <w:rPr>
          <w:rFonts w:hint="eastAsia"/>
        </w:rPr>
        <w:t xml:space="preserve"> </w:t>
      </w:r>
      <w:r>
        <w:rPr>
          <w:rFonts w:hint="eastAsia" w:ascii="仿宋" w:hAnsi="仿宋" w:eastAsia="仿宋"/>
          <w:b/>
          <w:color w:val="000000"/>
          <w:sz w:val="32"/>
          <w:szCs w:val="32"/>
        </w:rPr>
        <w:t>农林水支出（类）</w:t>
      </w:r>
      <w:r>
        <w:rPr>
          <w:rStyle w:val="14"/>
          <w:rFonts w:hint="eastAsia" w:ascii="仿宋" w:hAnsi="仿宋" w:eastAsia="仿宋"/>
          <w:bCs/>
          <w:color w:val="000000"/>
          <w:sz w:val="32"/>
          <w:szCs w:val="32"/>
        </w:rPr>
        <w:t>213（款）0599（项）</w:t>
      </w:r>
      <w:r>
        <w:rPr>
          <w:rFonts w:hint="eastAsia" w:ascii="仿宋" w:hAnsi="仿宋" w:eastAsia="仿宋"/>
          <w:color w:val="000000" w:themeColor="text1"/>
          <w:sz w:val="32"/>
          <w:szCs w:val="32"/>
        </w:rPr>
        <w:t>支出3.01万元，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9年一般公共预算财政拨款基本支出406.03万元，其中：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388.20</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17.83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r>
        <w:drawing>
          <wp:inline distT="0" distB="0" distL="0" distR="0">
            <wp:extent cx="2500630" cy="1303655"/>
            <wp:effectExtent l="19050" t="0" r="1339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0"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9年政府性基金预算拨款支出0.49万元。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w:t>
      </w:r>
      <w:r>
        <w:rPr>
          <w:rFonts w:hint="eastAsia" w:ascii="仿宋_GB2312" w:eastAsia="仿宋_GB2312"/>
          <w:color w:val="000000"/>
          <w:sz w:val="32"/>
          <w:szCs w:val="32"/>
        </w:rPr>
        <w:t>机关运行经费支出</w:t>
      </w:r>
      <w:r>
        <w:rPr>
          <w:rFonts w:ascii="仿宋_GB2312" w:eastAsia="仿宋_GB2312"/>
          <w:color w:val="000000"/>
          <w:sz w:val="32"/>
          <w:szCs w:val="32"/>
        </w:rPr>
        <w:t>**</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8年决算数持平cj7表）。</w:t>
      </w:r>
      <w:r>
        <w:rPr>
          <w:rFonts w:hint="eastAsia" w:ascii="仿宋_GB2312" w:eastAsia="仿宋_GB2312"/>
          <w:color w:val="000000" w:themeColor="text1"/>
          <w:sz w:val="32"/>
          <w:szCs w:val="32"/>
        </w:rPr>
        <w:t>主要原因是……</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r>
        <w:rPr>
          <w:rFonts w:hint="eastAsia" w:ascii="仿宋" w:hAnsi="仿宋" w:eastAsia="仿宋"/>
          <w:b/>
          <w:color w:val="000000"/>
          <w:sz w:val="32"/>
          <w:szCs w:val="32"/>
        </w:rPr>
        <w:t>——</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9年，峨眉山市九里镇第一小学校政府采购支出总额0万元，其中：政府采购货物支出0万元、政府采购工程支出0万元、政府采购服务支出0万元。主要用于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日，峨眉山市九里镇第一小学校共有车辆0辆，其中：主要领导干部用车0辆、机要通信用车0辆、应急保障用车0辆、其他用车0辆……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项目（项目名称）开展了预算事前绩效评估，对安保经费个项目编制了绩效目标，预算执行过程中，选取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完成情况良好（简要说明整体绩效情况）。本部门还自行组织了1个项目支出绩效评价，从评价情况来看效果良好（简要说明项目绩效情况；若未开展项目支出绩效评价，则说明未开展情况。如：本部门无专项预算项目，因此未组织开展项目支出绩效评价/本部门未组织开展项目支出绩效评价）。</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本部门在2019年度部门决算中反映“安保经费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等1个项目绩效目标实际完成情况。（本单位部门项目绩效目标个数在5个以上的，选取5个项目进行公开，目标个数在5个以下的，全部进行公开，公开内容包括选取的全部项目完成情况综述和完成情况表）。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（1）安保经费项目绩效目标完成情况综述。项目全年预算数</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万元，完成预算的100%。通过项目实施，保障学校安全保卫工作 (按照项目总体目标简要描述项目成效）。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（2）安保经费项目绩效目标完成情况综述。项目全年预算数</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万元，完成预算的100%。通过项目实施，保障安全保卫工作（支持、促进、提高……）。</w:t>
      </w: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803" w:type="dxa"/>
        <w:jc w:val="center"/>
        <w:tblLayout w:type="fixed"/>
        <w:tblCellMar>
          <w:top w:w="0" w:type="dxa"/>
          <w:left w:w="0" w:type="dxa"/>
          <w:bottom w:w="0" w:type="dxa"/>
          <w:right w:w="0" w:type="dxa"/>
        </w:tblCellMar>
      </w:tblPr>
      <w:tblGrid>
        <w:gridCol w:w="233"/>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803" w:type="dxa"/>
            <w:gridSpan w:val="6"/>
            <w:tcBorders>
              <w:top w:val="nil"/>
              <w:left w:val="nil"/>
              <w:bottom w:val="nil"/>
              <w:right w:val="nil"/>
            </w:tcBorders>
            <w:tcMar>
              <w:top w:w="15" w:type="dxa"/>
              <w:left w:w="15" w:type="dxa"/>
              <w:right w:w="15" w:type="dxa"/>
            </w:tcMar>
            <w:vAlign w:val="center"/>
          </w:tcPr>
          <w:p>
            <w:pPr>
              <w:widowControl/>
              <w:ind w:firstLine="3072" w:firstLineChars="850"/>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6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6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峨眉山市九里镇第一小学校</w:t>
            </w:r>
          </w:p>
        </w:tc>
      </w:tr>
      <w:tr>
        <w:tblPrEx>
          <w:tblCellMar>
            <w:top w:w="0" w:type="dxa"/>
            <w:left w:w="0" w:type="dxa"/>
            <w:bottom w:w="0" w:type="dxa"/>
            <w:right w:w="0" w:type="dxa"/>
          </w:tblCellMar>
        </w:tblPrEx>
        <w:trPr>
          <w:trHeight w:val="276" w:hRule="atLeast"/>
          <w:jc w:val="center"/>
        </w:trPr>
        <w:tc>
          <w:tcPr>
            <w:tcW w:w="2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276"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p>
        </w:tc>
      </w:tr>
      <w:tr>
        <w:tblPrEx>
          <w:tblCellMar>
            <w:top w:w="0" w:type="dxa"/>
            <w:left w:w="0" w:type="dxa"/>
            <w:bottom w:w="0" w:type="dxa"/>
            <w:right w:w="0" w:type="dxa"/>
          </w:tblCellMar>
        </w:tblPrEx>
        <w:trPr>
          <w:trHeight w:val="1511"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2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保障学校安全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2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安保人数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r>
      <w:tr>
        <w:tblPrEx>
          <w:tblCellMar>
            <w:top w:w="0" w:type="dxa"/>
            <w:left w:w="0" w:type="dxa"/>
            <w:bottom w:w="0" w:type="dxa"/>
            <w:right w:w="0" w:type="dxa"/>
          </w:tblCellMar>
        </w:tblPrEx>
        <w:trPr>
          <w:trHeight w:val="1297"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保障安保人员最低生活标准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在规定时限内完成工资支付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让社会对学校的安全标准工资得到认可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学生及家长认可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803" w:type="dxa"/>
        <w:jc w:val="center"/>
        <w:tblLayout w:type="fixed"/>
        <w:tblCellMar>
          <w:top w:w="0" w:type="dxa"/>
          <w:left w:w="0" w:type="dxa"/>
          <w:bottom w:w="0" w:type="dxa"/>
          <w:right w:w="0" w:type="dxa"/>
        </w:tblCellMar>
      </w:tblPr>
      <w:tblGrid>
        <w:gridCol w:w="233"/>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803" w:type="dxa"/>
            <w:gridSpan w:val="6"/>
            <w:tcBorders>
              <w:top w:val="nil"/>
              <w:left w:val="nil"/>
              <w:bottom w:val="nil"/>
              <w:right w:val="nil"/>
            </w:tcBorders>
            <w:tcMar>
              <w:top w:w="15" w:type="dxa"/>
              <w:left w:w="15" w:type="dxa"/>
              <w:right w:w="15" w:type="dxa"/>
            </w:tcMar>
            <w:vAlign w:val="center"/>
          </w:tcPr>
          <w:p>
            <w:pPr>
              <w:widowControl/>
              <w:ind w:firstLine="2349" w:firstLineChars="650"/>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6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义教段免作业本费</w:t>
            </w:r>
          </w:p>
        </w:tc>
      </w:tr>
      <w:tr>
        <w:tblPrEx>
          <w:tblCellMar>
            <w:top w:w="0" w:type="dxa"/>
            <w:left w:w="0" w:type="dxa"/>
            <w:bottom w:w="0" w:type="dxa"/>
            <w:right w:w="0" w:type="dxa"/>
          </w:tblCellMar>
        </w:tblPrEx>
        <w:trPr>
          <w:trHeight w:val="276" w:hRule="atLeast"/>
          <w:jc w:val="center"/>
        </w:trPr>
        <w:tc>
          <w:tcPr>
            <w:tcW w:w="26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峨眉山市九里镇第一小学校</w:t>
            </w:r>
          </w:p>
        </w:tc>
      </w:tr>
      <w:tr>
        <w:tblPrEx>
          <w:tblCellMar>
            <w:top w:w="0" w:type="dxa"/>
            <w:left w:w="0" w:type="dxa"/>
            <w:bottom w:w="0" w:type="dxa"/>
            <w:right w:w="0" w:type="dxa"/>
          </w:tblCellMar>
        </w:tblPrEx>
        <w:trPr>
          <w:trHeight w:val="276" w:hRule="atLeast"/>
          <w:jc w:val="center"/>
        </w:trPr>
        <w:tc>
          <w:tcPr>
            <w:tcW w:w="2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276"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0.59</w:t>
            </w:r>
          </w:p>
        </w:tc>
      </w:tr>
      <w:tr>
        <w:tblPrEx>
          <w:tblCellMar>
            <w:top w:w="0" w:type="dxa"/>
            <w:left w:w="0" w:type="dxa"/>
            <w:bottom w:w="0" w:type="dxa"/>
            <w:right w:w="0" w:type="dxa"/>
          </w:tblCellMar>
        </w:tblPrEx>
        <w:trPr>
          <w:trHeight w:val="1511"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2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保障学校安全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2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265</w:t>
            </w:r>
          </w:p>
        </w:tc>
      </w:tr>
      <w:tr>
        <w:tblPrEx>
          <w:tblCellMar>
            <w:top w:w="0" w:type="dxa"/>
            <w:left w:w="0" w:type="dxa"/>
            <w:bottom w:w="0" w:type="dxa"/>
            <w:right w:w="0" w:type="dxa"/>
          </w:tblCellMar>
        </w:tblPrEx>
        <w:trPr>
          <w:trHeight w:val="1297"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保障学习任务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在规定时限内完成工资支付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让社会对学校得到认可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学生及家长认可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本部门按要求对2019年部门整体支出绩效评价情况开展自评，《峨眉山市九里镇第一小学校部门2019年部门整体支出绩效评价报告》见附件（附件1）。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经费项目《峨眉山市九里镇第一小学校安保经费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ind w:firstLine="1760" w:firstLineChars="400"/>
        <w:jc w:val="left"/>
        <w:rPr>
          <w:rStyle w:val="24"/>
          <w:rFonts w:ascii="仿宋_GB2312" w:eastAsia="仿宋_GB2312"/>
          <w:bCs w:val="0"/>
          <w:color w:val="000000"/>
          <w:kern w:val="2"/>
          <w:sz w:val="32"/>
          <w:szCs w:val="32"/>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pStyle w:val="22"/>
        <w:spacing w:line="560" w:lineRule="exact"/>
        <w:ind w:firstLine="480" w:firstLineChars="15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0"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黑体" w:hAnsi="黑体" w:eastAsia="黑体"/>
          <w:b/>
          <w:color w:val="000000"/>
          <w:kern w:val="0"/>
          <w:sz w:val="40"/>
          <w:szCs w:val="44"/>
        </w:rPr>
      </w:pPr>
      <w:r>
        <w:rPr>
          <w:rFonts w:hint="eastAsia" w:ascii="黑体" w:hAnsi="黑体" w:eastAsia="黑体"/>
          <w:b/>
          <w:color w:val="000000"/>
          <w:kern w:val="0"/>
          <w:sz w:val="40"/>
          <w:szCs w:val="44"/>
        </w:rPr>
        <w:t>峨眉山市九里镇第一小学校</w:t>
      </w:r>
      <w:r>
        <w:rPr>
          <w:rFonts w:hint="eastAsia" w:ascii="黑体" w:hAnsi="黑体" w:eastAsia="黑体"/>
          <w:b/>
          <w:color w:val="000000"/>
          <w:kern w:val="0"/>
          <w:sz w:val="40"/>
          <w:szCs w:val="44"/>
          <w:lang w:val="zh-CN"/>
        </w:rPr>
        <w:t>部门</w:t>
      </w:r>
      <w:r>
        <w:rPr>
          <w:rFonts w:ascii="黑体" w:hAnsi="黑体" w:eastAsia="黑体"/>
          <w:b/>
          <w:color w:val="000000"/>
          <w:kern w:val="0"/>
          <w:sz w:val="40"/>
          <w:szCs w:val="44"/>
        </w:rPr>
        <w:t>2019年部门</w:t>
      </w:r>
    </w:p>
    <w:p>
      <w:pPr>
        <w:spacing w:line="600" w:lineRule="exact"/>
        <w:jc w:val="center"/>
        <w:rPr>
          <w:rFonts w:ascii="黑体" w:hAnsi="黑体" w:eastAsia="黑体"/>
          <w:b/>
          <w:color w:val="000000"/>
          <w:kern w:val="0"/>
          <w:sz w:val="40"/>
          <w:szCs w:val="44"/>
          <w:lang w:val="zh-CN"/>
        </w:rPr>
      </w:pPr>
      <w:r>
        <w:rPr>
          <w:rFonts w:hint="eastAsia" w:ascii="黑体" w:hAnsi="黑体" w:eastAsia="黑体"/>
          <w:b/>
          <w:color w:val="000000"/>
          <w:kern w:val="0"/>
          <w:sz w:val="40"/>
          <w:szCs w:val="44"/>
          <w:lang w:val="zh-CN"/>
        </w:rPr>
        <w:t>整体支出绩效评价报告</w:t>
      </w:r>
    </w:p>
    <w:p>
      <w:pPr>
        <w:widowControl/>
        <w:spacing w:line="580" w:lineRule="exact"/>
        <w:ind w:firstLine="643" w:firstLineChars="200"/>
        <w:contextualSpacing/>
        <w:jc w:val="center"/>
        <w:rPr>
          <w:rFonts w:ascii="黑体" w:hAnsi="黑体" w:eastAsia="黑体"/>
          <w:b/>
          <w:sz w:val="32"/>
          <w:szCs w:val="32"/>
          <w:shd w:val="clear" w:color="auto" w:fill="FFFFFF"/>
        </w:rPr>
      </w:pPr>
      <w:r>
        <w:rPr>
          <w:rFonts w:hint="eastAsia" w:ascii="黑体" w:hAnsi="黑体" w:eastAsia="黑体"/>
          <w:b/>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shd w:val="clear" w:color="auto" w:fill="FFFFFF"/>
        <w:adjustRightInd w:val="0"/>
        <w:snapToGrid w:val="0"/>
        <w:spacing w:line="540" w:lineRule="exact"/>
        <w:ind w:firstLine="643"/>
        <w:jc w:val="left"/>
        <w:rPr>
          <w:rFonts w:ascii="仿宋" w:hAnsi="仿宋" w:eastAsia="仿宋" w:cstheme="minorEastAsia"/>
          <w:kern w:val="0"/>
          <w:sz w:val="32"/>
          <w:szCs w:val="32"/>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 w:hAnsi="仿宋" w:eastAsia="仿宋" w:cstheme="minorEastAsia"/>
          <w:kern w:val="0"/>
          <w:sz w:val="32"/>
          <w:szCs w:val="32"/>
          <w:shd w:val="clear" w:color="auto" w:fill="FFFFFF"/>
        </w:rPr>
        <w:t>峨眉山市九里镇第一小学校内设校长办公室.教导办公室.后勤办公室.安保室。</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cstheme="minorEastAsia"/>
          <w:sz w:val="32"/>
          <w:szCs w:val="32"/>
          <w:shd w:val="clear" w:color="auto" w:fill="FFFFFF"/>
        </w:rPr>
        <w:t>从事义务教育阶段小学教育教学工作。</w:t>
      </w:r>
    </w:p>
    <w:p>
      <w:pPr>
        <w:shd w:val="clear" w:color="auto" w:fill="FFFFFF"/>
        <w:spacing w:before="100" w:beforeAutospacing="1" w:after="100" w:afterAutospacing="1"/>
        <w:ind w:firstLine="640" w:firstLineChars="200"/>
        <w:rPr>
          <w:rFonts w:ascii="仿宋" w:hAnsi="仿宋" w:eastAsia="仿宋" w:cs="仿宋_GB2312"/>
          <w:kern w:val="0"/>
          <w:sz w:val="32"/>
          <w:szCs w:val="32"/>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 w:hAnsi="仿宋" w:eastAsia="仿宋" w:cs="仿宋_GB2312"/>
          <w:sz w:val="32"/>
          <w:szCs w:val="32"/>
        </w:rPr>
        <w:t>核定事业编制32名，实际在编在岗人员25名。</w:t>
      </w:r>
      <w:r>
        <w:rPr>
          <w:rFonts w:hint="eastAsia" w:ascii="仿宋" w:hAnsi="仿宋" w:eastAsia="仿宋" w:cs="仿宋_GB2312"/>
          <w:kern w:val="0"/>
          <w:sz w:val="32"/>
          <w:szCs w:val="32"/>
        </w:rPr>
        <w:t>长期聘用人员2名。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shd w:val="clear" w:color="auto" w:fill="FFFFFF"/>
        <w:adjustRightInd w:val="0"/>
        <w:snapToGrid w:val="0"/>
        <w:spacing w:before="100" w:beforeAutospacing="1" w:after="100" w:afterAutospacing="1"/>
        <w:ind w:firstLine="640" w:firstLineChars="200"/>
        <w:jc w:val="left"/>
        <w:outlineLvl w:val="0"/>
        <w:rPr>
          <w:rFonts w:ascii="仿宋" w:hAnsi="仿宋" w:eastAsia="仿宋" w:cs="仿宋_GB2312"/>
          <w:kern w:val="0"/>
          <w:sz w:val="32"/>
          <w:szCs w:val="32"/>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 w:hAnsi="仿宋" w:eastAsia="仿宋" w:cs="仿宋_GB2312"/>
          <w:kern w:val="0"/>
          <w:sz w:val="32"/>
          <w:szCs w:val="32"/>
        </w:rPr>
        <w:t>我单位2019年部门决算收入为526.57万元，调整预算收入为526.57万元，无政府性基金预算资金；决算收入与预算收入的差额0万元.</w:t>
      </w:r>
    </w:p>
    <w:p>
      <w:pPr>
        <w:widowControl/>
        <w:shd w:val="clear" w:color="auto" w:fill="FFFFFF"/>
        <w:adjustRightInd w:val="0"/>
        <w:snapToGrid w:val="0"/>
        <w:ind w:firstLine="640" w:firstLineChars="200"/>
        <w:jc w:val="left"/>
        <w:rPr>
          <w:rFonts w:ascii="仿宋" w:hAnsi="仿宋" w:eastAsia="仿宋" w:cs="仿宋_GB2312"/>
          <w:color w:val="000000" w:themeColor="text1"/>
          <w:kern w:val="0"/>
          <w:sz w:val="32"/>
          <w:szCs w:val="32"/>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 w:hAnsi="仿宋" w:eastAsia="仿宋" w:cs="仿宋_GB2312"/>
          <w:kern w:val="0"/>
          <w:sz w:val="32"/>
          <w:szCs w:val="32"/>
        </w:rPr>
        <w:t>我单位2019年支出决算数为526.57万元，其中：基本支出388.20万元，项目支出13.76元；预算数为308.33万元，其中：基本支出298.73万元，项目支出0万元。基本支出较预算增加的125.48万元，主要为调资等；</w:t>
      </w:r>
      <w:r>
        <w:rPr>
          <w:rFonts w:hint="eastAsia" w:ascii="仿宋" w:hAnsi="仿宋" w:eastAsia="仿宋" w:cs="仿宋_GB2312"/>
          <w:color w:val="000000" w:themeColor="text1"/>
          <w:kern w:val="0"/>
          <w:sz w:val="32"/>
          <w:szCs w:val="32"/>
        </w:rPr>
        <w:t>项目支出较预算减少79万元,主要为运动场改建经费。</w:t>
      </w:r>
    </w:p>
    <w:p>
      <w:pPr>
        <w:widowControl/>
        <w:shd w:val="clear" w:color="auto" w:fill="FFFFFF"/>
        <w:adjustRightInd w:val="0"/>
        <w:snapToGri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决算支出较决算收入减少74.46万元，年初结转结余列支4,96万元，年末结转结余为86.47万元。</w:t>
      </w:r>
    </w:p>
    <w:p>
      <w:pPr>
        <w:widowControl/>
        <w:shd w:val="clear" w:color="auto" w:fill="FFFFFF"/>
        <w:adjustRightInd w:val="0"/>
        <w:snapToGrid w:val="0"/>
        <w:spacing w:line="540" w:lineRule="exact"/>
        <w:ind w:firstLine="480" w:firstLineChars="200"/>
        <w:jc w:val="left"/>
        <w:outlineLvl w:val="0"/>
        <w:rPr>
          <w:rFonts w:asciiTheme="minorEastAsia" w:hAnsiTheme="minorEastAsia" w:eastAsiaTheme="minorEastAsia" w:cstheme="minorEastAsia"/>
          <w:kern w:val="0"/>
          <w:sz w:val="24"/>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shd w:val="clear" w:color="auto" w:fill="FFFFFF"/>
        <w:adjustRightInd w:val="0"/>
        <w:snapToGrid w:val="0"/>
        <w:spacing w:before="100" w:beforeAutospacing="1" w:after="100" w:afterAutospacing="1"/>
        <w:ind w:firstLine="640" w:firstLineChars="200"/>
        <w:jc w:val="left"/>
        <w:outlineLvl w:val="0"/>
        <w:rPr>
          <w:rFonts w:ascii="仿宋" w:hAnsi="仿宋" w:eastAsia="仿宋" w:cs="仿宋_GB2312"/>
          <w:sz w:val="32"/>
          <w:szCs w:val="32"/>
        </w:rPr>
      </w:pPr>
      <w:r>
        <w:rPr>
          <w:rFonts w:hint="eastAsia" w:ascii="仿宋_GB2312" w:hAnsi="宋体" w:eastAsia="仿宋_GB2312" w:cs="宋体"/>
          <w:color w:val="000000"/>
          <w:kern w:val="0"/>
          <w:sz w:val="32"/>
          <w:szCs w:val="32"/>
          <w:shd w:val="clear" w:color="auto" w:fill="FFFFFF"/>
          <w:lang w:val="zh-CN"/>
        </w:rPr>
        <w:t>（一）部门预算管理。</w:t>
      </w:r>
      <w:r>
        <w:rPr>
          <w:rFonts w:hint="eastAsia" w:ascii="仿宋" w:hAnsi="仿宋" w:eastAsia="仿宋" w:cs="仿宋_GB2312"/>
          <w:sz w:val="32"/>
          <w:szCs w:val="32"/>
        </w:rPr>
        <w:t>（一）预决算编制情况</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我单位严格按照财政部门的要求和实现编制预决算、填报绩效目标和专项项目进度表；2019年收入预算为308.83万元，公共财政预算收入273,83，事业收入34.50万元；支出预算308.83万元。决算收入526.57万元，决算支出为526,57万元，其中基本支出433.81万元，项目支出13,76万元。</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2019年度年初结转结余4.96万元，其中基本支出结转结余4.96万元，项目支出结转结余0万元。</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2019年年末结转结余86.47万元，其中:基本支出结转结余7.47万元，项目支出结转结余为79万元。</w:t>
      </w:r>
    </w:p>
    <w:p>
      <w:pPr>
        <w:widowControl/>
        <w:shd w:val="clear" w:color="auto" w:fill="FFFFFF"/>
        <w:adjustRightInd w:val="0"/>
        <w:snapToGrid w:val="0"/>
        <w:spacing w:before="100" w:beforeAutospacing="1" w:after="100" w:afterAutospacing="1"/>
        <w:ind w:firstLine="640" w:firstLineChars="200"/>
        <w:jc w:val="left"/>
        <w:outlineLvl w:val="0"/>
        <w:rPr>
          <w:rFonts w:ascii="仿宋" w:hAnsi="仿宋" w:eastAsia="仿宋" w:cs="仿宋_GB2312"/>
          <w:sz w:val="32"/>
          <w:szCs w:val="32"/>
        </w:rPr>
      </w:pPr>
      <w:r>
        <w:rPr>
          <w:rFonts w:hint="eastAsia" w:ascii="仿宋" w:hAnsi="仿宋" w:eastAsia="仿宋" w:cs="仿宋_GB2312"/>
          <w:sz w:val="32"/>
          <w:szCs w:val="32"/>
        </w:rPr>
        <w:t>（二）执行管理情况</w:t>
      </w:r>
    </w:p>
    <w:p>
      <w:pPr>
        <w:snapToGrid w:val="0"/>
        <w:ind w:firstLine="800" w:firstLineChars="250"/>
        <w:rPr>
          <w:rFonts w:ascii="仿宋" w:hAnsi="仿宋" w:eastAsia="仿宋" w:cs="仿宋_GB2312"/>
          <w:sz w:val="32"/>
          <w:szCs w:val="32"/>
        </w:rPr>
      </w:pPr>
      <w:r>
        <w:rPr>
          <w:rFonts w:hint="eastAsia" w:ascii="仿宋" w:hAnsi="仿宋" w:eastAsia="仿宋" w:cs="仿宋_GB2312"/>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2019年调整收入预算505.76万元,截止2019年12月支出447.57万元,执行比例88.49%，全年支出执行良好。</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（三）支出绩效情况</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1.部门支出绩效</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（1）行政运行保障</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我单位基本支出的范围包括人员经费和日常公用经费，2019年基本支出决算数426.34万元，其中:人员经费388.20万元（工资福利支出311.78万元，对个人和家庭的补助80.84万元），日常公用经费38.14万元。基本支出能够保障职责的履行和机构运转。</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（2）机关厉行节约。</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2019年因公出国（境）费用、会议费、车辆购置及运行费用和公务接待经费等控制较好。2018年三公经费、会议费、培训费总额0.93万元，较2018年（总额2.24万元）大幅下降。2019年各项费用与2018年对比情况如下：无因公出国出境费用、公务车运行维护费，与2018年相同；公务接待费0万元;会议费0万元，较2018年下降1.08万元，下降100%，主要遵守中央八项规定，励行节约；培训费0.93,万元，较2018年减少0.23万元。</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（3）学校节能降耗</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2018年学校总能耗3.26万元，较增加0.03万元，节能降耗情况总体情况良好。2018年能耗情况与2017年对比情况如下：水费0.49万元，较2016年减少加0.01万元；电费1.77万元，较2016年增加0.6万元；燃油费0万元。</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2.专项预算项目支出绩效</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（1）资金绩效分配情况</w:t>
      </w:r>
    </w:p>
    <w:p>
      <w:pPr>
        <w:widowControl/>
        <w:spacing w:line="480" w:lineRule="auto"/>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（1）资金绩效分配情况</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sym w:font="Wingdings" w:char="F081"/>
      </w:r>
      <w:r>
        <w:rPr>
          <w:rFonts w:hint="eastAsia" w:ascii="仿宋" w:hAnsi="仿宋" w:eastAsia="仿宋" w:cs="仿宋_GB2312"/>
          <w:kern w:val="0"/>
          <w:sz w:val="32"/>
          <w:szCs w:val="32"/>
        </w:rPr>
        <w:t>学前教育“三儿资助”1.11万元。</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sym w:font="Wingdings" w:char="F082"/>
      </w:r>
      <w:r>
        <w:rPr>
          <w:rFonts w:hint="eastAsia" w:ascii="仿宋" w:hAnsi="仿宋" w:eastAsia="仿宋" w:cs="仿宋_GB2312"/>
          <w:kern w:val="0"/>
          <w:sz w:val="32"/>
          <w:szCs w:val="32"/>
        </w:rPr>
        <w:t>小学教育安保经费9.33万元。</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sym w:font="Wingdings" w:char="F083"/>
      </w:r>
      <w:r>
        <w:rPr>
          <w:rFonts w:hint="eastAsia" w:ascii="仿宋" w:hAnsi="仿宋" w:eastAsia="仿宋" w:cs="仿宋_GB2312"/>
          <w:kern w:val="0"/>
          <w:sz w:val="32"/>
          <w:szCs w:val="32"/>
        </w:rPr>
        <w:t>骨干教师津贴0.24万元.</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④义务教育免作业本费0.33万元.</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⑤对口帮扶马边工作经费3,50万元。</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（2）项目资金管理情况</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 xml:space="preserve">   （3）绩效目标完成情况</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 xml:space="preserve">一学年以来，学校以党的十九大为主线，深入学习贯彻习近平总书记系列重要讲话精神和治国理政新理念新思想新战略，认真贯彻《国家中长期教育改革和发展规划纲要》和《峨眉山市教育发展“十三五”规划》精神，围绕上级教育主管部门的决策部署和工作要求，实践“为孩子明天幸福奠定基础”的办学理念，努力打造以“幸福教育”为特色的农村学校夯实“德育育人”，推进“幸福校园”工程，1、做好课程育人。充分发挥课堂教学的主渠道作用，统筹安排地方和学校课程，将中小学德育内容细化落实到教育教学全过程，深入开展法治、廉洁、反邪教、文明礼仪、环境、心理健康、劳动、毒品预防、影视等专题教育。 2、做好文化育人。因地制宜开展“幸福”校园文化建设，让校园处处成为育人场所；全面推进书香班级、书香校园建设，向学生推荐阅读书目，调动学生阅读积极性；全面建设好网络文化，搭建校园网站、论坛、信箱、博客、微信群、QQ群等网上宣传交流平台，引导学生合理使用网络，防止网络沉迷和伤害，提升网络素养，打造清朗的校园网络文化。 ３、做好活动育人。继续以“成长的印迹”为主线，深入开展“习礼”、“好习惯养成”实验教育展示、入学、入队、毕业等仪式主题教育活动；充分利用中秋、重阳等中华传统节日开展文化育人活动，增强传统节日的体验感和文化感；利用教师节、国庆节等节庆日开展爱党爱国、民族团结、热爱劳动、尊师重教、爱护环境等主题教育活动。 4、做好实践育人。充分利用爱国主义教育基地等各类校外活动场所、专题教育社会实践基地等资源，开展不同主题的实践活动。 5、做好管理育人。全面加强师德师风建设，培育、宣传师德标兵、教学骨干和优秀班主任、德育工作者等先进典型，引导教师争做“四有”好教师。 6、做好协同育人。积极争取家庭、社会共同参与和支持学校德育工作，进一步推进家长委员会、家长学校、家长会、家访、家长开放日、家长接待日、家长进课堂等各种家校沟通渠道建设，提升全员育人水平。一学期来，学校积极参加上级主管部门组织的各项活动， 学校共有264名学生获奖 ，24位家长进课堂亲自与学生分享知识。 一学期以来我校以积极开拓的奋斗精神，不断地丰富学校办学内涵，行进在为实现“幸福教育”为主要办学特色的农村学校这一目标的路上，积极实践“为孩子明天幸福奠定基础”的办学理念。 </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（4）财务管理情况</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540" w:lineRule="exact"/>
        <w:ind w:firstLine="640" w:firstLineChars="200"/>
        <w:jc w:val="left"/>
        <w:outlineLvl w:val="0"/>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shd w:val="clear" w:color="auto" w:fill="FFFFFF"/>
        <w:adjustRightInd w:val="0"/>
        <w:snapToGrid w:val="0"/>
        <w:spacing w:line="540" w:lineRule="exact"/>
        <w:ind w:firstLine="555"/>
        <w:jc w:val="left"/>
        <w:outlineLvl w:val="0"/>
        <w:rPr>
          <w:rFonts w:ascii="仿宋" w:hAnsi="仿宋" w:eastAsia="仿宋" w:cstheme="minorEastAsia"/>
          <w:kern w:val="0"/>
          <w:sz w:val="32"/>
          <w:szCs w:val="32"/>
        </w:rPr>
      </w:pPr>
      <w:r>
        <w:rPr>
          <w:rFonts w:hint="eastAsia" w:ascii="仿宋_GB2312" w:hAnsi="宋体" w:eastAsia="仿宋_GB2312" w:cs="宋体"/>
          <w:color w:val="000000"/>
          <w:kern w:val="0"/>
          <w:sz w:val="32"/>
          <w:szCs w:val="32"/>
          <w:shd w:val="clear" w:color="auto" w:fill="FFFFFF"/>
          <w:lang w:val="zh-CN"/>
        </w:rPr>
        <w:t>（二）结果应用情况。</w:t>
      </w:r>
      <w:r>
        <w:rPr>
          <w:rFonts w:hint="eastAsia" w:ascii="仿宋" w:hAnsi="仿宋" w:eastAsia="仿宋" w:cstheme="minorEastAsia"/>
          <w:kern w:val="0"/>
          <w:sz w:val="32"/>
          <w:szCs w:val="32"/>
        </w:rPr>
        <w:t>根据《峨眉山市财政局关于开展2020年财政支出绩效评价工作的通知》（峨财通[2020]36号）文件精神</w:t>
      </w:r>
      <w:r>
        <w:rPr>
          <w:rFonts w:hint="eastAsia" w:ascii="仿宋" w:hAnsi="仿宋" w:eastAsia="仿宋" w:cstheme="minorEastAsia"/>
          <w:sz w:val="32"/>
          <w:szCs w:val="32"/>
        </w:rPr>
        <w:t>，</w:t>
      </w:r>
      <w:r>
        <w:rPr>
          <w:rFonts w:hint="eastAsia" w:ascii="仿宋" w:hAnsi="仿宋" w:eastAsia="仿宋" w:cstheme="minorEastAsia"/>
          <w:kern w:val="0"/>
          <w:sz w:val="32"/>
          <w:szCs w:val="32"/>
        </w:rPr>
        <w:t>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adjustRightInd w:val="0"/>
        <w:snapToGrid w:val="0"/>
        <w:spacing w:line="580" w:lineRule="exact"/>
        <w:ind w:firstLine="320" w:firstLineChars="1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shd w:val="clear" w:color="auto" w:fill="FFFFFF"/>
        <w:adjustRightInd w:val="0"/>
        <w:snapToGrid w:val="0"/>
        <w:spacing w:line="540" w:lineRule="exact"/>
        <w:ind w:left="640"/>
        <w:jc w:val="left"/>
        <w:rPr>
          <w:rFonts w:ascii="仿宋" w:hAnsi="仿宋" w:eastAsia="仿宋" w:cstheme="minorEastAsia"/>
          <w:kern w:val="0"/>
          <w:sz w:val="32"/>
          <w:szCs w:val="32"/>
        </w:rPr>
      </w:pPr>
    </w:p>
    <w:p>
      <w:pPr>
        <w:widowControl/>
        <w:shd w:val="clear" w:color="auto" w:fill="FFFFFF"/>
        <w:adjustRightInd w:val="0"/>
        <w:snapToGrid w:val="0"/>
        <w:spacing w:line="540" w:lineRule="exact"/>
        <w:ind w:left="640"/>
        <w:jc w:val="left"/>
        <w:rPr>
          <w:rFonts w:ascii="仿宋" w:hAnsi="仿宋" w:eastAsia="仿宋" w:cstheme="minorEastAsia"/>
          <w:kern w:val="0"/>
          <w:sz w:val="32"/>
          <w:szCs w:val="32"/>
        </w:rPr>
      </w:pPr>
    </w:p>
    <w:p>
      <w:pPr>
        <w:widowControl/>
        <w:shd w:val="clear" w:color="auto" w:fill="FFFFFF"/>
        <w:adjustRightInd w:val="0"/>
        <w:snapToGrid w:val="0"/>
        <w:spacing w:line="540" w:lineRule="exact"/>
        <w:ind w:left="640"/>
        <w:jc w:val="left"/>
        <w:rPr>
          <w:rFonts w:ascii="仿宋" w:hAnsi="仿宋" w:eastAsia="仿宋" w:cstheme="minorEastAsia"/>
          <w:kern w:val="0"/>
          <w:sz w:val="32"/>
          <w:szCs w:val="32"/>
        </w:rPr>
      </w:pPr>
    </w:p>
    <w:p>
      <w:pPr>
        <w:widowControl/>
        <w:shd w:val="clear" w:color="auto" w:fill="FFFFFF"/>
        <w:adjustRightInd w:val="0"/>
        <w:snapToGrid w:val="0"/>
        <w:spacing w:line="540" w:lineRule="exact"/>
        <w:ind w:left="640"/>
        <w:jc w:val="left"/>
        <w:rPr>
          <w:rFonts w:ascii="仿宋" w:hAnsi="仿宋" w:eastAsia="仿宋" w:cstheme="minorEastAsia"/>
          <w:b/>
          <w:bCs/>
          <w:kern w:val="0"/>
          <w:sz w:val="32"/>
          <w:szCs w:val="32"/>
        </w:rPr>
      </w:pPr>
      <w:r>
        <w:rPr>
          <w:rFonts w:hint="eastAsia" w:ascii="仿宋" w:hAnsi="仿宋" w:eastAsia="仿宋" w:cstheme="minorEastAsia"/>
          <w:kern w:val="0"/>
          <w:sz w:val="32"/>
          <w:szCs w:val="32"/>
        </w:rPr>
        <w:t>（一）评价结论：我单位部门支出绩效评价得分95 ，具体情况见下表：</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一级指标</w:t>
            </w:r>
          </w:p>
        </w:tc>
        <w:tc>
          <w:tcPr>
            <w:tcW w:w="2551"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二级指标</w:t>
            </w:r>
          </w:p>
        </w:tc>
        <w:tc>
          <w:tcPr>
            <w:tcW w:w="2694"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三级指标</w:t>
            </w:r>
          </w:p>
        </w:tc>
        <w:tc>
          <w:tcPr>
            <w:tcW w:w="850"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总分</w:t>
            </w:r>
          </w:p>
        </w:tc>
        <w:tc>
          <w:tcPr>
            <w:tcW w:w="901"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预算编制</w:t>
            </w: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报送时效</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基础信息更新</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预算草案报送</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编制质量</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预算编制准确</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预算执行调整</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部门预算审查</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绩效目标</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绩效目标编制</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5</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专项预算提前细化</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预控指标细化</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5</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预算公开</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公开内容</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预算执行</w:t>
            </w: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绩效分配</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项目绩效分配</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10</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执行进度</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6月执行进度</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9月执行进度</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执行进度</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12月执行进度</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预算调整</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执行中期评估</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9</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行政成本</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节能降耗</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廉洁行政</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支出绩效</w:t>
            </w: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绩效评价</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部门预算绩效评价</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专项预算项目绩效评价</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决算审查</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部门决算差错率</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决算公开</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公开内容</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结余注销</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结余注销率</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绩效管理</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工作开展</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合计</w:t>
            </w:r>
          </w:p>
        </w:tc>
        <w:tc>
          <w:tcPr>
            <w:tcW w:w="5245" w:type="dxa"/>
            <w:gridSpan w:val="2"/>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100</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92.5</w:t>
            </w:r>
          </w:p>
        </w:tc>
      </w:tr>
    </w:tbl>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p>
    <w:p>
      <w:pPr>
        <w:widowControl/>
        <w:shd w:val="clear" w:color="auto" w:fill="FFFFFF"/>
        <w:adjustRightInd w:val="0"/>
        <w:snapToGrid w:val="0"/>
        <w:spacing w:line="540" w:lineRule="exact"/>
        <w:ind w:firstLine="640" w:firstLineChars="200"/>
        <w:jc w:val="left"/>
        <w:rPr>
          <w:rFonts w:ascii="仿宋" w:hAnsi="仿宋" w:eastAsia="仿宋" w:cstheme="minorEastAsia"/>
          <w:kern w:val="0"/>
          <w:sz w:val="32"/>
          <w:szCs w:val="32"/>
        </w:rPr>
      </w:pPr>
      <w:r>
        <w:rPr>
          <w:rFonts w:hint="eastAsia" w:ascii="黑体" w:hAnsi="黑体" w:eastAsia="黑体" w:cs="宋体"/>
          <w:color w:val="000000"/>
          <w:kern w:val="0"/>
          <w:sz w:val="32"/>
          <w:szCs w:val="32"/>
          <w:shd w:val="clear" w:color="auto" w:fill="FFFFFF"/>
          <w:lang w:val="zh-CN"/>
        </w:rPr>
        <w:t>（二）存在问题。</w:t>
      </w:r>
      <w:r>
        <w:rPr>
          <w:rFonts w:hint="eastAsia" w:ascii="仿宋" w:hAnsi="仿宋" w:eastAsia="仿宋" w:cstheme="minorEastAsia"/>
          <w:kern w:val="0"/>
          <w:sz w:val="32"/>
          <w:szCs w:val="32"/>
        </w:rPr>
        <w:t>预算编制工作有待细化。预算编制不够明确和细化，预算编制的合理性需要提高，预算执行力度还要进一步加强。</w:t>
      </w:r>
    </w:p>
    <w:p>
      <w:pPr>
        <w:widowControl/>
        <w:shd w:val="clear" w:color="auto" w:fill="FFFFFF"/>
        <w:adjustRightInd w:val="0"/>
        <w:snapToGrid w:val="0"/>
        <w:spacing w:line="540" w:lineRule="exact"/>
        <w:ind w:firstLine="640"/>
        <w:jc w:val="left"/>
        <w:rPr>
          <w:rFonts w:ascii="仿宋" w:hAnsi="仿宋" w:eastAsia="仿宋" w:cstheme="minorEastAsia"/>
          <w:kern w:val="0"/>
          <w:sz w:val="32"/>
          <w:szCs w:val="32"/>
        </w:rPr>
      </w:pPr>
      <w:r>
        <w:rPr>
          <w:rFonts w:hint="eastAsia" w:ascii="黑体" w:hAnsi="黑体" w:eastAsia="黑体" w:cs="宋体"/>
          <w:color w:val="000000"/>
          <w:kern w:val="0"/>
          <w:sz w:val="32"/>
          <w:szCs w:val="32"/>
          <w:shd w:val="clear" w:color="auto" w:fill="FFFFFF"/>
          <w:lang w:val="zh-CN"/>
        </w:rPr>
        <w:t>（三）改进建议。</w:t>
      </w:r>
      <w:r>
        <w:rPr>
          <w:rFonts w:hint="eastAsia" w:ascii="仿宋" w:hAnsi="仿宋" w:eastAsia="仿宋" w:cstheme="minorEastAsia"/>
          <w:kern w:val="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line="540" w:lineRule="exact"/>
        <w:ind w:firstLine="640"/>
        <w:jc w:val="left"/>
        <w:rPr>
          <w:rFonts w:ascii="仿宋" w:hAnsi="仿宋" w:eastAsia="仿宋" w:cstheme="minorEastAsia"/>
          <w:kern w:val="0"/>
          <w:sz w:val="32"/>
          <w:szCs w:val="32"/>
        </w:rPr>
      </w:pPr>
      <w:r>
        <w:rPr>
          <w:rFonts w:hint="eastAsia" w:ascii="仿宋" w:hAnsi="仿宋" w:eastAsia="仿宋" w:cstheme="minorEastAsia"/>
          <w:kern w:val="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line="540" w:lineRule="exact"/>
        <w:ind w:firstLine="640"/>
        <w:jc w:val="left"/>
        <w:rPr>
          <w:rFonts w:ascii="仿宋" w:hAnsi="仿宋" w:eastAsia="仿宋" w:cstheme="minorEastAsia"/>
          <w:kern w:val="0"/>
          <w:sz w:val="32"/>
          <w:szCs w:val="32"/>
        </w:rPr>
      </w:pPr>
      <w:r>
        <w:rPr>
          <w:rFonts w:hint="eastAsia" w:ascii="仿宋" w:hAnsi="仿宋" w:eastAsia="仿宋" w:cstheme="minorEastAsia"/>
          <w:kern w:val="0"/>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line="540" w:lineRule="exact"/>
        <w:ind w:firstLine="480"/>
        <w:jc w:val="left"/>
        <w:rPr>
          <w:rFonts w:ascii="仿宋" w:hAnsi="仿宋" w:eastAsia="仿宋" w:cstheme="minorEastAsia"/>
          <w:kern w:val="0"/>
          <w:sz w:val="32"/>
          <w:szCs w:val="32"/>
        </w:rPr>
      </w:pPr>
      <w:r>
        <w:rPr>
          <w:rFonts w:hint="eastAsia" w:ascii="仿宋" w:hAnsi="仿宋" w:eastAsia="仿宋" w:cstheme="minorEastAsia"/>
          <w:kern w:val="0"/>
          <w:sz w:val="32"/>
          <w:szCs w:val="32"/>
        </w:rPr>
        <w:t>4、对相关人员加强培训，特别是针对《预算法》、《政府会计制度》等学习培训，规范部门预算收支核算，切实提高部门预算收支管理水平。</w:t>
      </w:r>
    </w:p>
    <w:p>
      <w:pPr>
        <w:widowControl/>
        <w:adjustRightInd w:val="0"/>
        <w:snapToGrid w:val="0"/>
        <w:spacing w:line="580" w:lineRule="exact"/>
        <w:ind w:firstLine="48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Theme="minorEastAsia" w:hAnsiTheme="minorEastAsia" w:eastAsiaTheme="minorEastAsia" w:cstheme="minorEastAsia"/>
          <w:kern w:val="0"/>
          <w:sz w:val="24"/>
        </w:rPr>
        <w:t xml:space="preserve">                                 </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pStyle w:val="31"/>
        <w:spacing w:line="600" w:lineRule="exact"/>
        <w:jc w:val="center"/>
        <w:rPr>
          <w:rFonts w:ascii="黑体" w:hAnsi="黑体" w:eastAsia="黑体"/>
          <w:b/>
          <w:sz w:val="32"/>
          <w:szCs w:val="32"/>
        </w:rPr>
      </w:pPr>
      <w:r>
        <w:rPr>
          <w:rFonts w:hint="eastAsia" w:ascii="黑体" w:hAnsi="黑体" w:eastAsia="黑体"/>
          <w:b/>
          <w:sz w:val="32"/>
          <w:szCs w:val="32"/>
        </w:rPr>
        <w:t>峨眉山市九里镇第一小学校</w:t>
      </w:r>
    </w:p>
    <w:p>
      <w:pPr>
        <w:pStyle w:val="31"/>
        <w:spacing w:line="600" w:lineRule="exact"/>
        <w:jc w:val="center"/>
        <w:rPr>
          <w:rFonts w:ascii="黑体" w:hAnsi="黑体" w:eastAsia="黑体"/>
          <w:b/>
          <w:sz w:val="32"/>
          <w:szCs w:val="32"/>
        </w:rPr>
      </w:pPr>
      <w:r>
        <w:rPr>
          <w:rFonts w:hint="eastAsia" w:ascii="黑体" w:hAnsi="黑体" w:eastAsia="黑体"/>
          <w:b/>
          <w:sz w:val="32"/>
          <w:szCs w:val="32"/>
        </w:rPr>
        <w:t>2019年学校安保经费补助项目支出绩效</w:t>
      </w:r>
    </w:p>
    <w:p>
      <w:pPr>
        <w:pStyle w:val="31"/>
        <w:spacing w:line="600" w:lineRule="exact"/>
        <w:jc w:val="center"/>
        <w:rPr>
          <w:rFonts w:ascii="黑体" w:hAnsi="黑体" w:eastAsia="黑体"/>
          <w:b/>
          <w:sz w:val="32"/>
          <w:szCs w:val="32"/>
        </w:rPr>
      </w:pPr>
      <w:r>
        <w:rPr>
          <w:rFonts w:hint="eastAsia" w:ascii="黑体" w:hAnsi="黑体" w:eastAsia="黑体"/>
          <w:b/>
          <w:sz w:val="32"/>
          <w:szCs w:val="32"/>
        </w:rPr>
        <w:t>自评报告</w:t>
      </w:r>
    </w:p>
    <w:p>
      <w:pPr>
        <w:adjustRightInd w:val="0"/>
        <w:snapToGrid w:val="0"/>
        <w:spacing w:line="600" w:lineRule="exact"/>
        <w:ind w:firstLine="480" w:firstLineChars="15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Theme="minorEastAsia" w:hAnsiTheme="minorEastAsia" w:eastAsiaTheme="minorEastAsia"/>
          <w:sz w:val="32"/>
          <w:szCs w:val="32"/>
        </w:rPr>
      </w:pPr>
      <w:r>
        <w:rPr>
          <w:rFonts w:hint="eastAsia" w:ascii="仿宋" w:hAnsi="仿宋" w:eastAsia="仿宋"/>
          <w:sz w:val="32"/>
          <w:szCs w:val="32"/>
          <w:lang w:val="zh-CN"/>
        </w:rPr>
        <w:t>（一）项目资金申报及批复情况。</w:t>
      </w:r>
      <w:r>
        <w:rPr>
          <w:rFonts w:hint="eastAsia" w:ascii="仿宋_GB2312" w:eastAsia="仿宋_GB2312" w:hAnsiTheme="minorEastAsia"/>
          <w:sz w:val="32"/>
          <w:szCs w:val="32"/>
        </w:rPr>
        <w:t>为进一步加强我校学校安全工作，切实保障广大师生人身安全，维护教育系统长期安全稳定，根据《中共峨眉山市委办公室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由市财政本级预算“学校安保经费补助”项目予以保障。2019年，市人大批复教育系统年初预算“学校安保经费补助”每人每年预算标准为3.5万元，预算人数为2.5人（2019年9月与峨眉山市九里镇第二小学校合并，划入1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（二）项目绩效目标。</w:t>
      </w:r>
      <w:r>
        <w:rPr>
          <w:rFonts w:hint="eastAsia" w:ascii="仿宋_GB2312" w:eastAsia="仿宋_GB2312" w:hAnsiTheme="minorEastAsia"/>
          <w:sz w:val="32"/>
          <w:szCs w:val="32"/>
        </w:rPr>
        <w:t>保障义教段公办学校按要求配齐、配足保安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人员工资发放。</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对加强我校安全工作，保障学校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2．资金使用。2019年，该项目实际使用资金9.86万元，全额用于发放学校聘请的保安工资。项目预算标准为每人每年3.5万元，项目开支范围、标准及支付进度、支付依据均合规合法，资金支付与预算相符。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由市教育局统一编制预算，由市教育局安全股收集核实学校保安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该项目对照预算，截止2019年12月31日，下达预算指标9.86万元，</w:t>
      </w:r>
      <w:r>
        <w:rPr>
          <w:rFonts w:hint="eastAsia" w:ascii="仿宋_GB2312" w:hAnsi="宋体" w:eastAsia="仿宋_GB2312"/>
          <w:sz w:val="32"/>
          <w:szCs w:val="32"/>
          <w:lang w:val="zh-CN"/>
        </w:rPr>
        <w:t>预算指标和资金拨付分春秋两季下达，全年使用资金9.86万元。资金拨付进度、拨付总额达到预期安排，项目完成情况较好，完成率100%。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义教段公办学校按要求配齐、配足保安人员，避免学校因经费不足导致安保人员配备不达标、或拖欠安保人员工资等情况发生。对加强我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仿宋_GB2312" w:eastAsia="仿宋_GB2312" w:hAnsiTheme="minorEastAsia"/>
          <w:sz w:val="32"/>
          <w:szCs w:val="32"/>
        </w:rPr>
      </w:pPr>
      <w:r>
        <w:rPr>
          <w:rFonts w:hint="eastAsia" w:ascii="楷体_GB2312" w:eastAsia="楷体_GB2312" w:hAnsiTheme="minorEastAsia"/>
          <w:sz w:val="32"/>
          <w:szCs w:val="32"/>
        </w:rPr>
        <w:t>（一）存在问题。</w:t>
      </w: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pPr>
        <w:spacing w:line="600" w:lineRule="exact"/>
        <w:ind w:firstLine="4160" w:firstLineChars="1300"/>
        <w:rPr>
          <w:rFonts w:ascii="仿宋_GB2312" w:eastAsia="仿宋_GB2312" w:hAnsiTheme="minorEastAsia"/>
          <w:sz w:val="32"/>
          <w:szCs w:val="32"/>
        </w:rPr>
      </w:pPr>
    </w:p>
    <w:p>
      <w:pPr>
        <w:spacing w:line="600" w:lineRule="exact"/>
        <w:ind w:firstLine="4160" w:firstLineChars="1300"/>
        <w:rPr>
          <w:rFonts w:ascii="仿宋_GB2312" w:eastAsia="仿宋_GB2312" w:hAnsiTheme="minorEastAsia"/>
          <w:sz w:val="32"/>
          <w:szCs w:val="32"/>
        </w:rPr>
      </w:pPr>
      <w:r>
        <w:rPr>
          <w:rFonts w:hint="eastAsia" w:ascii="仿宋_GB2312" w:eastAsia="仿宋_GB2312" w:hAnsiTheme="minorEastAsia"/>
          <w:sz w:val="32"/>
          <w:szCs w:val="32"/>
        </w:rPr>
        <w:t>峨眉山市九里镇第一小学校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2020年10月28日</w:t>
      </w:r>
    </w:p>
    <w:p>
      <w:pPr>
        <w:spacing w:line="600" w:lineRule="exact"/>
        <w:ind w:firstLine="2420" w:firstLineChars="550"/>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宋体"/>
    <w:panose1 w:val="00000000000000000000"/>
    <w:charset w:val="00"/>
    <w:family w:val="roman"/>
    <w:pitch w:val="default"/>
    <w:sig w:usb0="00000000" w:usb1="00000000" w:usb2="00000000"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28B7"/>
    <w:rsid w:val="0002549F"/>
    <w:rsid w:val="00045F86"/>
    <w:rsid w:val="000468DB"/>
    <w:rsid w:val="00056634"/>
    <w:rsid w:val="0006487A"/>
    <w:rsid w:val="00064E55"/>
    <w:rsid w:val="00065F8F"/>
    <w:rsid w:val="00070A43"/>
    <w:rsid w:val="000768F2"/>
    <w:rsid w:val="00080810"/>
    <w:rsid w:val="00081D60"/>
    <w:rsid w:val="0009184B"/>
    <w:rsid w:val="000921CF"/>
    <w:rsid w:val="00094236"/>
    <w:rsid w:val="00094BD1"/>
    <w:rsid w:val="0009593C"/>
    <w:rsid w:val="00097322"/>
    <w:rsid w:val="000A6A92"/>
    <w:rsid w:val="000B047F"/>
    <w:rsid w:val="000B5923"/>
    <w:rsid w:val="000B5A48"/>
    <w:rsid w:val="000B6FF3"/>
    <w:rsid w:val="000C3467"/>
    <w:rsid w:val="000C3CA6"/>
    <w:rsid w:val="000D1267"/>
    <w:rsid w:val="000D1D50"/>
    <w:rsid w:val="000D5782"/>
    <w:rsid w:val="000D645F"/>
    <w:rsid w:val="000E306F"/>
    <w:rsid w:val="000E6613"/>
    <w:rsid w:val="000E7119"/>
    <w:rsid w:val="00114E9B"/>
    <w:rsid w:val="00116CEB"/>
    <w:rsid w:val="001243B8"/>
    <w:rsid w:val="00142216"/>
    <w:rsid w:val="00144D6A"/>
    <w:rsid w:val="0014729F"/>
    <w:rsid w:val="00157BAB"/>
    <w:rsid w:val="001654D1"/>
    <w:rsid w:val="00174518"/>
    <w:rsid w:val="0018106D"/>
    <w:rsid w:val="001877A7"/>
    <w:rsid w:val="001900AD"/>
    <w:rsid w:val="00191536"/>
    <w:rsid w:val="00196687"/>
    <w:rsid w:val="001B3504"/>
    <w:rsid w:val="001C0962"/>
    <w:rsid w:val="001D7531"/>
    <w:rsid w:val="001E737D"/>
    <w:rsid w:val="001F0592"/>
    <w:rsid w:val="001F18CF"/>
    <w:rsid w:val="001F7506"/>
    <w:rsid w:val="002006CD"/>
    <w:rsid w:val="00202B36"/>
    <w:rsid w:val="002042E2"/>
    <w:rsid w:val="00204B7A"/>
    <w:rsid w:val="00204CDE"/>
    <w:rsid w:val="0021101A"/>
    <w:rsid w:val="00220536"/>
    <w:rsid w:val="00235629"/>
    <w:rsid w:val="00255CCC"/>
    <w:rsid w:val="00260C38"/>
    <w:rsid w:val="002616C0"/>
    <w:rsid w:val="00265372"/>
    <w:rsid w:val="002662AA"/>
    <w:rsid w:val="0027710F"/>
    <w:rsid w:val="00280496"/>
    <w:rsid w:val="00294DC9"/>
    <w:rsid w:val="00295495"/>
    <w:rsid w:val="002A31DE"/>
    <w:rsid w:val="002B2613"/>
    <w:rsid w:val="002D19B0"/>
    <w:rsid w:val="002D6D05"/>
    <w:rsid w:val="002E1700"/>
    <w:rsid w:val="002E1A4B"/>
    <w:rsid w:val="002F1818"/>
    <w:rsid w:val="002F293E"/>
    <w:rsid w:val="002F567B"/>
    <w:rsid w:val="003216A9"/>
    <w:rsid w:val="00335A74"/>
    <w:rsid w:val="00342685"/>
    <w:rsid w:val="00343A1A"/>
    <w:rsid w:val="0036561B"/>
    <w:rsid w:val="00365FB3"/>
    <w:rsid w:val="0037013F"/>
    <w:rsid w:val="00377C56"/>
    <w:rsid w:val="00380C92"/>
    <w:rsid w:val="003A484F"/>
    <w:rsid w:val="003A4883"/>
    <w:rsid w:val="003B0BE0"/>
    <w:rsid w:val="003B0C1B"/>
    <w:rsid w:val="003B5FE4"/>
    <w:rsid w:val="003B688C"/>
    <w:rsid w:val="003C0291"/>
    <w:rsid w:val="003C39AE"/>
    <w:rsid w:val="003C5604"/>
    <w:rsid w:val="003C7B60"/>
    <w:rsid w:val="003D0C0F"/>
    <w:rsid w:val="003D1FB2"/>
    <w:rsid w:val="003D66DA"/>
    <w:rsid w:val="003E1310"/>
    <w:rsid w:val="003E6F55"/>
    <w:rsid w:val="00402C3C"/>
    <w:rsid w:val="00406254"/>
    <w:rsid w:val="00416CD4"/>
    <w:rsid w:val="004223DE"/>
    <w:rsid w:val="00434489"/>
    <w:rsid w:val="00437085"/>
    <w:rsid w:val="004379BD"/>
    <w:rsid w:val="00440B0A"/>
    <w:rsid w:val="00443880"/>
    <w:rsid w:val="004464F4"/>
    <w:rsid w:val="00456A4F"/>
    <w:rsid w:val="00471401"/>
    <w:rsid w:val="00473F31"/>
    <w:rsid w:val="00475F7F"/>
    <w:rsid w:val="0048263A"/>
    <w:rsid w:val="00487E5D"/>
    <w:rsid w:val="004A711F"/>
    <w:rsid w:val="004B199D"/>
    <w:rsid w:val="004B4690"/>
    <w:rsid w:val="004D6657"/>
    <w:rsid w:val="004E0A2D"/>
    <w:rsid w:val="004E144D"/>
    <w:rsid w:val="004E206B"/>
    <w:rsid w:val="004E622B"/>
    <w:rsid w:val="004E6DF7"/>
    <w:rsid w:val="004F0FBD"/>
    <w:rsid w:val="004F403E"/>
    <w:rsid w:val="00505646"/>
    <w:rsid w:val="00505A47"/>
    <w:rsid w:val="005106F8"/>
    <w:rsid w:val="00512FDA"/>
    <w:rsid w:val="00520DA0"/>
    <w:rsid w:val="005357F1"/>
    <w:rsid w:val="005664BB"/>
    <w:rsid w:val="00566FFA"/>
    <w:rsid w:val="0057481D"/>
    <w:rsid w:val="00575F0B"/>
    <w:rsid w:val="00576AC6"/>
    <w:rsid w:val="0058486E"/>
    <w:rsid w:val="00585B33"/>
    <w:rsid w:val="0059014D"/>
    <w:rsid w:val="0059121E"/>
    <w:rsid w:val="005B5C64"/>
    <w:rsid w:val="005C29ED"/>
    <w:rsid w:val="005C36FA"/>
    <w:rsid w:val="005C6BD0"/>
    <w:rsid w:val="005C6C4C"/>
    <w:rsid w:val="005D1C8B"/>
    <w:rsid w:val="005D468D"/>
    <w:rsid w:val="005D5CED"/>
    <w:rsid w:val="005F1A4C"/>
    <w:rsid w:val="00605688"/>
    <w:rsid w:val="006070AF"/>
    <w:rsid w:val="00607E6C"/>
    <w:rsid w:val="006101B1"/>
    <w:rsid w:val="00610274"/>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5D63"/>
    <w:rsid w:val="006A3141"/>
    <w:rsid w:val="006A5E34"/>
    <w:rsid w:val="006A7788"/>
    <w:rsid w:val="006B034A"/>
    <w:rsid w:val="006B100B"/>
    <w:rsid w:val="006B2422"/>
    <w:rsid w:val="006B2B9A"/>
    <w:rsid w:val="006C1937"/>
    <w:rsid w:val="006C299D"/>
    <w:rsid w:val="006F020C"/>
    <w:rsid w:val="007127B7"/>
    <w:rsid w:val="0071798E"/>
    <w:rsid w:val="00727533"/>
    <w:rsid w:val="00736236"/>
    <w:rsid w:val="007416B6"/>
    <w:rsid w:val="00746F48"/>
    <w:rsid w:val="0075404D"/>
    <w:rsid w:val="00755D63"/>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03262"/>
    <w:rsid w:val="00804891"/>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0B6C"/>
    <w:rsid w:val="008A3112"/>
    <w:rsid w:val="008B768C"/>
    <w:rsid w:val="008C1823"/>
    <w:rsid w:val="008C4DB1"/>
    <w:rsid w:val="008C4EAF"/>
    <w:rsid w:val="008C5176"/>
    <w:rsid w:val="008C7FD0"/>
    <w:rsid w:val="008E1DE7"/>
    <w:rsid w:val="008E707C"/>
    <w:rsid w:val="008F5101"/>
    <w:rsid w:val="008F7084"/>
    <w:rsid w:val="00900B08"/>
    <w:rsid w:val="00902155"/>
    <w:rsid w:val="00902FA3"/>
    <w:rsid w:val="0091710C"/>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7241"/>
    <w:rsid w:val="009B2C43"/>
    <w:rsid w:val="009B4EAE"/>
    <w:rsid w:val="009B6B37"/>
    <w:rsid w:val="009B7573"/>
    <w:rsid w:val="009C22F4"/>
    <w:rsid w:val="009C2E98"/>
    <w:rsid w:val="009C37FB"/>
    <w:rsid w:val="009D3447"/>
    <w:rsid w:val="009D4711"/>
    <w:rsid w:val="009E57A4"/>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0A0C"/>
    <w:rsid w:val="00A67AB5"/>
    <w:rsid w:val="00A72B60"/>
    <w:rsid w:val="00A733B2"/>
    <w:rsid w:val="00A7361B"/>
    <w:rsid w:val="00A741C2"/>
    <w:rsid w:val="00A91760"/>
    <w:rsid w:val="00A93952"/>
    <w:rsid w:val="00A93B00"/>
    <w:rsid w:val="00A93C21"/>
    <w:rsid w:val="00AB64C9"/>
    <w:rsid w:val="00AC3C6A"/>
    <w:rsid w:val="00AD0F83"/>
    <w:rsid w:val="00AD5620"/>
    <w:rsid w:val="00AD656B"/>
    <w:rsid w:val="00AD7C1B"/>
    <w:rsid w:val="00AE16BA"/>
    <w:rsid w:val="00AE1EBE"/>
    <w:rsid w:val="00B03C9D"/>
    <w:rsid w:val="00B060AE"/>
    <w:rsid w:val="00B0685E"/>
    <w:rsid w:val="00B10517"/>
    <w:rsid w:val="00B14E76"/>
    <w:rsid w:val="00B161B8"/>
    <w:rsid w:val="00B2048C"/>
    <w:rsid w:val="00B310B9"/>
    <w:rsid w:val="00B35F3F"/>
    <w:rsid w:val="00B36CBB"/>
    <w:rsid w:val="00B425E0"/>
    <w:rsid w:val="00B440AA"/>
    <w:rsid w:val="00B44B70"/>
    <w:rsid w:val="00B53C56"/>
    <w:rsid w:val="00B57DAF"/>
    <w:rsid w:val="00B75CDE"/>
    <w:rsid w:val="00B77EA6"/>
    <w:rsid w:val="00B81598"/>
    <w:rsid w:val="00B841F1"/>
    <w:rsid w:val="00B922E0"/>
    <w:rsid w:val="00B93E7A"/>
    <w:rsid w:val="00B944D6"/>
    <w:rsid w:val="00BA06B9"/>
    <w:rsid w:val="00BB4DF0"/>
    <w:rsid w:val="00BC289F"/>
    <w:rsid w:val="00BC2D50"/>
    <w:rsid w:val="00BC5361"/>
    <w:rsid w:val="00BC5460"/>
    <w:rsid w:val="00BC5D22"/>
    <w:rsid w:val="00BC6B50"/>
    <w:rsid w:val="00BD0E25"/>
    <w:rsid w:val="00BD4216"/>
    <w:rsid w:val="00BF5BD6"/>
    <w:rsid w:val="00C03E31"/>
    <w:rsid w:val="00C30E69"/>
    <w:rsid w:val="00C33E72"/>
    <w:rsid w:val="00C354B2"/>
    <w:rsid w:val="00C35554"/>
    <w:rsid w:val="00C37B4F"/>
    <w:rsid w:val="00C42709"/>
    <w:rsid w:val="00C533CC"/>
    <w:rsid w:val="00C5751C"/>
    <w:rsid w:val="00C61BFC"/>
    <w:rsid w:val="00C62B85"/>
    <w:rsid w:val="00C65438"/>
    <w:rsid w:val="00C91B0D"/>
    <w:rsid w:val="00C91CBB"/>
    <w:rsid w:val="00CB4E70"/>
    <w:rsid w:val="00CB6752"/>
    <w:rsid w:val="00CC09B6"/>
    <w:rsid w:val="00CC666F"/>
    <w:rsid w:val="00CC743C"/>
    <w:rsid w:val="00CD1E3F"/>
    <w:rsid w:val="00CE1A43"/>
    <w:rsid w:val="00CE44F6"/>
    <w:rsid w:val="00CE4908"/>
    <w:rsid w:val="00CE49DA"/>
    <w:rsid w:val="00CE7B61"/>
    <w:rsid w:val="00CF06D1"/>
    <w:rsid w:val="00D00095"/>
    <w:rsid w:val="00D114F0"/>
    <w:rsid w:val="00D20620"/>
    <w:rsid w:val="00D254F7"/>
    <w:rsid w:val="00D26091"/>
    <w:rsid w:val="00D2685C"/>
    <w:rsid w:val="00D34E7C"/>
    <w:rsid w:val="00D35489"/>
    <w:rsid w:val="00D36AFE"/>
    <w:rsid w:val="00D51276"/>
    <w:rsid w:val="00D51282"/>
    <w:rsid w:val="00D60C1A"/>
    <w:rsid w:val="00D7035F"/>
    <w:rsid w:val="00DA634F"/>
    <w:rsid w:val="00DA65AC"/>
    <w:rsid w:val="00DB1913"/>
    <w:rsid w:val="00DC410D"/>
    <w:rsid w:val="00DC5A81"/>
    <w:rsid w:val="00DC68CA"/>
    <w:rsid w:val="00DC7CBA"/>
    <w:rsid w:val="00DD73B7"/>
    <w:rsid w:val="00DF28BC"/>
    <w:rsid w:val="00DF3116"/>
    <w:rsid w:val="00DF34B9"/>
    <w:rsid w:val="00E01053"/>
    <w:rsid w:val="00E07ACF"/>
    <w:rsid w:val="00E331A1"/>
    <w:rsid w:val="00E33202"/>
    <w:rsid w:val="00E336A9"/>
    <w:rsid w:val="00E472B1"/>
    <w:rsid w:val="00E50624"/>
    <w:rsid w:val="00E5293E"/>
    <w:rsid w:val="00E568DF"/>
    <w:rsid w:val="00E64269"/>
    <w:rsid w:val="00E66797"/>
    <w:rsid w:val="00E80961"/>
    <w:rsid w:val="00E82267"/>
    <w:rsid w:val="00E853CE"/>
    <w:rsid w:val="00E867B6"/>
    <w:rsid w:val="00E87F08"/>
    <w:rsid w:val="00E9276C"/>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7647"/>
    <w:rsid w:val="00FB1227"/>
    <w:rsid w:val="00FD3CC1"/>
    <w:rsid w:val="00FF1E02"/>
    <w:rsid w:val="00FF30B4"/>
    <w:rsid w:val="10C055FF"/>
    <w:rsid w:val="16BB723D"/>
    <w:rsid w:val="240371BF"/>
    <w:rsid w:val="29FD04D3"/>
    <w:rsid w:val="319F7F4E"/>
    <w:rsid w:val="4ECE2238"/>
    <w:rsid w:val="678C596B"/>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font61"/>
    <w:basedOn w:val="13"/>
    <w:qFormat/>
    <w:uiPriority w:val="0"/>
    <w:rPr>
      <w:rFonts w:hint="eastAsia" w:ascii="Times New Roman" w:eastAsia="楷体_GB2312" w:cs="楷体_GB2312"/>
      <w:sz w:val="32"/>
      <w:szCs w:val="24"/>
    </w:rPr>
  </w:style>
  <w:style w:type="paragraph" w:customStyle="1" w:styleId="31">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19&#20915;&#31639;\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Sheet1!$A$106:$A$108</c:f>
              <c:strCache>
                <c:ptCount val="3"/>
                <c:pt idx="0">
                  <c:v>因公出国（境）费支出决算</c:v>
                </c:pt>
                <c:pt idx="1">
                  <c:v>公务用车购置及运行维护费支出决算</c:v>
                </c:pt>
                <c:pt idx="2">
                  <c:v>公务接待费支出决算</c:v>
                </c:pt>
              </c:strCache>
            </c:strRef>
          </c:cat>
          <c:val>
            <c:numRef>
              <c:f>Sheet1!$B$106:$B$108</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43066-AA82-4CFB-8B78-4DDA0469604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2019</Words>
  <Characters>11510</Characters>
  <Lines>95</Lines>
  <Paragraphs>27</Paragraphs>
  <TotalTime>307</TotalTime>
  <ScaleCrop>false</ScaleCrop>
  <LinksUpToDate>false</LinksUpToDate>
  <CharactersWithSpaces>13502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2020-10-16T10:41:00Z</dcterms:created>
  <dc:creator>曹颖</dc:creator>
  <cp:lastModifiedBy>Administrator</cp:lastModifiedBy>
  <cp:lastPrinted>2020-07-23T02:58:00Z</cp:lastPrinted>
  <dcterms:modified xsi:type="dcterms:W3CDTF">2020-10-27T05:02:24Z</dcterms:modified>
  <dc:title>四川省***</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