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8441"/>
      <w:bookmarkStart w:id="3" w:name="_Toc15396475"/>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8442"/>
      <w:bookmarkStart w:id="7" w:name="_Toc15377426"/>
      <w:bookmarkStart w:id="8" w:name="_Toc15377194"/>
      <w:bookmarkStart w:id="9" w:name="_Toc15396476"/>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峨眉山市城乡建设服务中心部门决算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w:t>
      </w:r>
      <w:r>
        <w:rPr>
          <w:rFonts w:hint="eastAsia"/>
          <w:lang w:val="en-US" w:eastAsia="zh-CN"/>
        </w:rPr>
        <w:t>10</w:t>
      </w:r>
      <w:r>
        <w:rPr>
          <w:rFonts w:hint="eastAsia"/>
        </w:rPr>
        <w:t>月</w:t>
      </w:r>
      <w:r>
        <w:rPr>
          <w:rFonts w:hint="eastAsia"/>
          <w:lang w:val="en-US" w:eastAsia="zh-CN"/>
        </w:rPr>
        <w:t>26</w:t>
      </w:r>
      <w:r>
        <w:rPr>
          <w:rFonts w:hint="eastAsia"/>
        </w:rPr>
        <w:t>日</w:t>
      </w:r>
    </w:p>
    <w:p/>
    <w:p>
      <w:pPr>
        <w:pStyle w:val="10"/>
        <w:adjustRightInd w:val="0"/>
        <w:snapToGrid w:val="0"/>
        <w:spacing w:before="0" w:line="440" w:lineRule="exact"/>
        <w:jc w:val="left"/>
        <w:rPr>
          <w:sz w:val="24"/>
        </w:rPr>
      </w:pPr>
    </w:p>
    <w:p>
      <w:pPr>
        <w:pStyle w:val="10"/>
        <w:adjustRightInd w:val="0"/>
        <w:snapToGrid w:val="0"/>
        <w:spacing w:before="0" w:line="440" w:lineRule="exact"/>
        <w:jc w:val="left"/>
        <w:rPr>
          <w:sz w:val="24"/>
        </w:rPr>
      </w:pPr>
    </w:p>
    <w:p>
      <w:pPr>
        <w:pStyle w:val="10"/>
        <w:adjustRightInd w:val="0"/>
        <w:snapToGrid w:val="0"/>
        <w:spacing w:before="0" w:line="440" w:lineRule="exact"/>
        <w:jc w:val="left"/>
        <w:rPr>
          <w:sz w:val="24"/>
        </w:rPr>
      </w:pPr>
    </w:p>
    <w:p>
      <w:pPr>
        <w:pStyle w:val="10"/>
        <w:adjustRightInd w:val="0"/>
        <w:snapToGrid w:val="0"/>
        <w:spacing w:before="0" w:line="440" w:lineRule="exact"/>
        <w:jc w:val="left"/>
        <w:rPr>
          <w:sz w:val="24"/>
        </w:rPr>
      </w:pPr>
    </w:p>
    <w:p>
      <w:pPr>
        <w:pStyle w:val="10"/>
        <w:adjustRightInd w:val="0"/>
        <w:snapToGrid w:val="0"/>
        <w:spacing w:before="0" w:line="440" w:lineRule="exact"/>
        <w:jc w:val="left"/>
        <w:rPr>
          <w:sz w:val="24"/>
        </w:rPr>
      </w:pPr>
    </w:p>
    <w:p>
      <w:pPr>
        <w:pStyle w:val="10"/>
        <w:adjustRightInd w:val="0"/>
        <w:snapToGrid w:val="0"/>
        <w:spacing w:before="0" w:line="440" w:lineRule="exact"/>
        <w:jc w:val="left"/>
        <w:rPr>
          <w:sz w:val="24"/>
        </w:rPr>
      </w:pPr>
    </w:p>
    <w:p>
      <w:pPr>
        <w:pStyle w:val="10"/>
        <w:adjustRightInd w:val="0"/>
        <w:snapToGrid w:val="0"/>
        <w:spacing w:before="0" w:line="440" w:lineRule="exact"/>
        <w:jc w:val="left"/>
        <w:rPr>
          <w:sz w:val="24"/>
        </w:rPr>
      </w:pPr>
    </w:p>
    <w:p>
      <w:pPr>
        <w:pStyle w:val="10"/>
        <w:adjustRightInd w:val="0"/>
        <w:snapToGrid w:val="0"/>
        <w:spacing w:before="0" w:line="440" w:lineRule="exact"/>
        <w:jc w:val="left"/>
        <w:rPr>
          <w:sz w:val="24"/>
        </w:rPr>
      </w:pPr>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pPr>
        <w:pStyle w:val="11"/>
        <w:adjustRightInd w:val="0"/>
        <w:snapToGrid w:val="0"/>
        <w:spacing w:line="440" w:lineRule="exact"/>
        <w:jc w:val="left"/>
        <w:rPr>
          <w:rFonts w:ascii="仿宋" w:hAnsi="仿宋"/>
          <w:sz w:val="24"/>
        </w:rPr>
      </w:pPr>
      <w:r>
        <w:rPr>
          <w:rFonts w:hint="eastAsia"/>
          <w:sz w:val="24"/>
        </w:rPr>
        <w:t>一、基本职能及主要工作（4-5）</w:t>
      </w:r>
    </w:p>
    <w:p>
      <w:pPr>
        <w:pStyle w:val="11"/>
        <w:adjustRightInd w:val="0"/>
        <w:snapToGrid w:val="0"/>
        <w:spacing w:line="440" w:lineRule="exact"/>
        <w:jc w:val="left"/>
        <w:rPr>
          <w:rFonts w:ascii="仿宋" w:hAnsi="仿宋" w:cstheme="minorBidi"/>
          <w:sz w:val="24"/>
        </w:rPr>
      </w:pPr>
      <w:r>
        <w:rPr>
          <w:rFonts w:hint="eastAsia"/>
          <w:sz w:val="24"/>
        </w:rPr>
        <w:t>二、机构设置（5）</w:t>
      </w:r>
    </w:p>
    <w:p>
      <w:pPr>
        <w:pStyle w:val="10"/>
        <w:adjustRightInd w:val="0"/>
        <w:snapToGrid w:val="0"/>
        <w:spacing w:before="0" w:line="440" w:lineRule="exact"/>
        <w:jc w:val="left"/>
        <w:rPr>
          <w:sz w:val="24"/>
          <w:szCs w:val="24"/>
        </w:rPr>
      </w:pPr>
      <w:r>
        <w:rPr>
          <w:rFonts w:hint="eastAsia"/>
          <w:sz w:val="24"/>
        </w:rPr>
        <w:t>第二部分度部门决算情况说明（6-16）</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名词解释（17-19）</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附件（20-24）</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adjustRightInd w:val="0"/>
        <w:snapToGrid w:val="0"/>
        <w:spacing w:line="440" w:lineRule="exact"/>
        <w:ind w:firstLine="1320" w:firstLineChars="550"/>
        <w:jc w:val="left"/>
        <w:rPr>
          <w:rFonts w:ascii="仿宋" w:hAnsi="仿宋" w:eastAsia="仿宋"/>
          <w:color w:val="FF0000"/>
          <w:sz w:val="24"/>
        </w:rPr>
      </w:pPr>
      <w:r>
        <w:rPr>
          <w:rFonts w:ascii="仿宋" w:hAnsi="仿宋" w:eastAsia="仿宋"/>
          <w:color w:val="FF0000"/>
          <w:sz w:val="24"/>
        </w:rPr>
        <w:t>(注：</w:t>
      </w:r>
      <w:r>
        <w:rPr>
          <w:rFonts w:hint="eastAsia" w:ascii="仿宋" w:hAnsi="仿宋" w:eastAsia="仿宋"/>
          <w:color w:val="FF0000"/>
          <w:sz w:val="24"/>
        </w:rPr>
        <w:t>请部门根据实际注明页码</w:t>
      </w:r>
      <w:r>
        <w:rPr>
          <w:rFonts w:ascii="仿宋" w:hAnsi="仿宋" w:eastAsia="仿宋"/>
          <w:color w:val="FF0000"/>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4"/>
        <w:rPr>
          <w:rStyle w:val="25"/>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2"/>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（一）主要职能。（职能参照省政府批准的三定方案）</w:t>
      </w:r>
      <w:bookmarkEnd w:id="16"/>
      <w:bookmarkEnd w:id="17"/>
    </w:p>
    <w:p>
      <w:pPr>
        <w:ind w:firstLine="560" w:firstLineChars="200"/>
        <w:rPr>
          <w:sz w:val="28"/>
          <w:szCs w:val="28"/>
        </w:rPr>
      </w:pPr>
      <w:r>
        <w:rPr>
          <w:rFonts w:hint="eastAsia"/>
          <w:sz w:val="28"/>
          <w:szCs w:val="28"/>
        </w:rPr>
        <w:t>承担城乡建设服务相关事务性工作。（1）承担城镇道路、桥涵及其设施建设的技术服务和管养维护工作；承担排水（雨水和生活污水排放、防水排涝）设施建设的技术服务和运行维护工作；承担作为业主和接管的安置房遗留问题处置相关事务性工作。（2）承担农村住房建设通用设计图集的编制、设计及推广工作；承担农村危房改造事务性工作；承担村镇建设试点具体事务性工作。（3）承担杆管线迁改、新建服务工作。（4）承担城镇公共照明设施、景观亮化工程的建设、运行、维护和用电安全相关工作。（5）承担全市城乡建设档案的建立、收集、保管、利用、开发等相关工作。（6）完成上级交办的其他任务。</w:t>
      </w:r>
    </w:p>
    <w:p>
      <w:pPr>
        <w:pStyle w:val="2"/>
        <w:adjustRightInd w:val="0"/>
        <w:snapToGrid w:val="0"/>
        <w:spacing w:before="93" w:line="600" w:lineRule="exact"/>
        <w:ind w:firstLine="960" w:firstLineChars="30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ind w:firstLine="1120" w:firstLineChars="400"/>
        <w:rPr>
          <w:sz w:val="28"/>
          <w:szCs w:val="28"/>
        </w:rPr>
      </w:pPr>
      <w:r>
        <w:rPr>
          <w:rFonts w:hint="eastAsia"/>
          <w:sz w:val="28"/>
          <w:szCs w:val="28"/>
        </w:rPr>
        <w:t>2019年，围绕市委、市政府中心工作，坚持以“挂图作战”项目为重点，扎实推进城市基础设施建设，全年完成投资13.15亿元。 </w:t>
      </w:r>
    </w:p>
    <w:p>
      <w:pPr>
        <w:rPr>
          <w:sz w:val="28"/>
          <w:szCs w:val="28"/>
        </w:rPr>
      </w:pPr>
      <w:r>
        <w:rPr>
          <w:rFonts w:hint="eastAsia"/>
          <w:sz w:val="28"/>
          <w:szCs w:val="28"/>
        </w:rPr>
        <w:t>一、安置房建设。加快在建项目药博园菜场安置点二期B区建设（建筑面积13.6万平方米、安置房1034套），目前完成主体工程，正在进行室内外施工。</w:t>
      </w:r>
    </w:p>
    <w:p>
      <w:pPr>
        <w:rPr>
          <w:sz w:val="28"/>
          <w:szCs w:val="28"/>
        </w:rPr>
      </w:pPr>
      <w:r>
        <w:rPr>
          <w:rFonts w:hint="eastAsia"/>
          <w:sz w:val="28"/>
          <w:szCs w:val="28"/>
        </w:rPr>
        <w:t> 二、道路桥梁建设。完成秀湖大道与温泉大道路口、秀湖大道与秀川路路口信号灯及监控设备采购安装工作，完成中心城区4条主干道中央护栏采购及安装工作，完成秀湖东路剩余工程1520米道路沥青铺筑等。</w:t>
      </w:r>
    </w:p>
    <w:p>
      <w:pPr>
        <w:rPr>
          <w:sz w:val="28"/>
          <w:szCs w:val="28"/>
        </w:rPr>
      </w:pPr>
      <w:r>
        <w:rPr>
          <w:rFonts w:hint="eastAsia"/>
          <w:sz w:val="28"/>
          <w:szCs w:val="28"/>
        </w:rPr>
        <w:t> 三、亮化工作。完成黄湾小镇门禁内路灯及亮化设施整改验收和移交管理，完成迎接建国70周年大庆营造节日氛围城区及旅游环线路灯杆体悬挂国旗工作，完成乐都、九里、罗目三镇省道103线亮化，为迎接旅博会、“双创”及其他节日清洗路灯2600余组，维修路灯10000多组，对城区、旅游环线路灯及附属设施进行安全隐患排查处理，更换20余台不锈钢远程智能控制柜。</w:t>
      </w:r>
    </w:p>
    <w:p>
      <w:pPr>
        <w:rPr>
          <w:sz w:val="28"/>
          <w:szCs w:val="28"/>
        </w:rPr>
      </w:pPr>
      <w:r>
        <w:rPr>
          <w:rFonts w:hint="eastAsia"/>
          <w:sz w:val="28"/>
          <w:szCs w:val="28"/>
        </w:rPr>
        <w:t> 四、杆管线建设工作。23个管线迁改项目中，已完成13个，基本完成3个；峨眉山挂图作战项目—城西220kv线路迁改已完成50个塔基基础浇筑,正在施工3个。 </w:t>
      </w:r>
    </w:p>
    <w:p>
      <w:pPr>
        <w:rPr>
          <w:rFonts w:ascii="仿宋" w:hAnsi="仿宋" w:eastAsia="仿宋"/>
          <w:bCs/>
          <w:color w:val="000000"/>
          <w:sz w:val="32"/>
          <w:szCs w:val="32"/>
        </w:rPr>
      </w:pPr>
      <w:r>
        <w:rPr>
          <w:rFonts w:hint="eastAsia"/>
          <w:sz w:val="28"/>
          <w:szCs w:val="28"/>
        </w:rPr>
        <w:t>五、完成市委市政府交办的其它中心工作。完成城区旱厕改造200个；完成厕所革命实施方案，已交付相关部门镇乡组织实施。 </w:t>
      </w:r>
    </w:p>
    <w:p>
      <w:pPr>
        <w:pStyle w:val="4"/>
        <w:numPr>
          <w:ilvl w:val="0"/>
          <w:numId w:val="1"/>
        </w:numPr>
        <w:rPr>
          <w:rStyle w:val="25"/>
          <w:rFonts w:ascii="黑体" w:hAnsi="黑体" w:eastAsia="黑体"/>
          <w:b w:val="0"/>
          <w:bCs w:val="0"/>
        </w:rPr>
      </w:pPr>
      <w:bookmarkStart w:id="20" w:name="_Toc15377200"/>
      <w:bookmarkStart w:id="21" w:name="_Toc15396601"/>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rPr>
          <w:sz w:val="28"/>
          <w:szCs w:val="28"/>
        </w:rPr>
      </w:pPr>
      <w:r>
        <w:rPr>
          <w:rFonts w:hint="eastAsia"/>
        </w:rPr>
        <w:t xml:space="preserve">    </w:t>
      </w:r>
      <w:r>
        <w:rPr>
          <w:rFonts w:hint="eastAsia"/>
          <w:sz w:val="28"/>
          <w:szCs w:val="28"/>
        </w:rPr>
        <w:t xml:space="preserve">  本单位是由住建局主管，财政拨款独立预算单位，无下属单位。</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2"/>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sz w:val="32"/>
          <w:szCs w:val="32"/>
        </w:rPr>
        <w:t>2019年度收、支总计72135.82万元。与2018年相比，收、支总计各增加9281.06万元，增长14.76</w:t>
      </w:r>
      <w:r>
        <w:rPr>
          <w:rFonts w:ascii="仿宋" w:hAnsi="仿宋" w:eastAsia="仿宋"/>
          <w:color w:val="000000"/>
          <w:sz w:val="32"/>
          <w:szCs w:val="32"/>
        </w:rPr>
        <w:t>%</w:t>
      </w:r>
      <w:r>
        <w:rPr>
          <w:rFonts w:hint="eastAsia" w:ascii="仿宋" w:hAnsi="仿宋" w:eastAsia="仿宋"/>
          <w:color w:val="000000"/>
          <w:sz w:val="32"/>
          <w:szCs w:val="32"/>
        </w:rPr>
        <w:t>。主要变动原因是工程项目的竣工结算，工程款的支出</w:t>
      </w: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jc w:val="center"/>
        <w:rPr>
          <w:rFonts w:ascii="仿宋_GB2312" w:eastAsia="仿宋_GB2312"/>
          <w:color w:val="000000"/>
          <w:sz w:val="32"/>
          <w:szCs w:val="32"/>
        </w:rPr>
      </w:pPr>
      <w:r>
        <w:rPr>
          <w:rFonts w:ascii="仿宋_GB2312" w:eastAsia="仿宋_GB2312"/>
          <w:color w:val="000000"/>
          <w:sz w:val="32"/>
          <w:szCs w:val="32"/>
        </w:rPr>
        <w:drawing>
          <wp:inline distT="0" distB="0" distL="0" distR="0">
            <wp:extent cx="4781550" cy="3057525"/>
            <wp:effectExtent l="19050" t="0" r="0"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9年本年收入合计43603.32万元，其中：一般公共预算财政拨款收入25777.93万元，占59</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；政府性基金预算财政拨款收入17825.39万元，占41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（图2：收入决算结构图）（饼状图）</w:t>
      </w:r>
    </w:p>
    <w:p>
      <w:pPr>
        <w:pStyle w:val="2"/>
        <w:spacing w:before="93"/>
      </w:pPr>
      <w:r>
        <w:drawing>
          <wp:inline distT="0" distB="0" distL="0" distR="0">
            <wp:extent cx="5124450" cy="3076575"/>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2"/>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9年本年支出合计72135.82万元，其中：基本支出523.18万元，占0.73</w:t>
      </w:r>
      <w:r>
        <w:rPr>
          <w:rFonts w:ascii="仿宋" w:hAnsi="仿宋" w:eastAsia="仿宋"/>
          <w:color w:val="000000"/>
          <w:sz w:val="32"/>
          <w:szCs w:val="32"/>
        </w:rPr>
        <w:t>%</w:t>
      </w:r>
      <w:r>
        <w:rPr>
          <w:rFonts w:hint="eastAsia" w:ascii="仿宋" w:hAnsi="仿宋" w:eastAsia="仿宋"/>
          <w:color w:val="000000"/>
          <w:sz w:val="32"/>
          <w:szCs w:val="32"/>
        </w:rPr>
        <w:t>；项目支出71612.64万元，占99.27</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jc w:val="center"/>
        <w:rPr>
          <w:rFonts w:ascii="仿宋_GB2312" w:eastAsia="仿宋_GB2312"/>
          <w:color w:val="FF0000"/>
          <w:sz w:val="32"/>
          <w:szCs w:val="32"/>
        </w:rPr>
      </w:pPr>
      <w:r>
        <w:rPr>
          <w:rFonts w:ascii="仿宋_GB2312" w:eastAsia="仿宋_GB2312"/>
          <w:color w:val="FF0000"/>
          <w:sz w:val="32"/>
          <w:szCs w:val="32"/>
        </w:rPr>
        <w:drawing>
          <wp:inline distT="0" distB="0" distL="0" distR="0">
            <wp:extent cx="4743450" cy="2981325"/>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9年财政拨款收、支总计72135.82万元。与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8年相比，财政拨款收、支总计各增加9281.06万元，增长14.76</w:t>
      </w:r>
      <w:r>
        <w:rPr>
          <w:rFonts w:ascii="仿宋" w:hAnsi="仿宋" w:eastAsia="仿宋"/>
          <w:color w:val="000000"/>
          <w:sz w:val="32"/>
          <w:szCs w:val="32"/>
        </w:rPr>
        <w:t>%</w:t>
      </w:r>
      <w:r>
        <w:rPr>
          <w:rFonts w:hint="eastAsia" w:ascii="仿宋" w:hAnsi="仿宋" w:eastAsia="仿宋"/>
          <w:color w:val="000000"/>
          <w:sz w:val="32"/>
          <w:szCs w:val="32"/>
        </w:rPr>
        <w:t>。主要变动原因是工程项目的竣工结算，工程款的支出。</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rPr>
          <w:rFonts w:ascii="仿宋" w:hAnsi="仿宋" w:eastAsia="仿宋"/>
          <w:b/>
          <w:color w:val="00B050"/>
          <w:sz w:val="32"/>
          <w:szCs w:val="32"/>
        </w:rPr>
      </w:pPr>
      <w:r>
        <w:rPr>
          <w:rFonts w:ascii="仿宋" w:hAnsi="仿宋" w:eastAsia="仿宋"/>
          <w:b/>
          <w:color w:val="00B050"/>
          <w:sz w:val="32"/>
          <w:szCs w:val="32"/>
        </w:rPr>
        <w:drawing>
          <wp:inline distT="0" distB="0" distL="0" distR="0">
            <wp:extent cx="5274310" cy="3746500"/>
            <wp:effectExtent l="19050" t="0" r="0"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0"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9年一般公共预算财政拨款支出54233.44万元，占本年支出合计的75.18</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8年相比，一般公共预算财政拨款增加50834.36万元，增长1495.53</w:t>
      </w:r>
      <w:r>
        <w:rPr>
          <w:rFonts w:ascii="仿宋" w:hAnsi="仿宋" w:eastAsia="仿宋"/>
          <w:color w:val="000000"/>
          <w:sz w:val="32"/>
          <w:szCs w:val="32"/>
        </w:rPr>
        <w:t>%</w:t>
      </w:r>
      <w:r>
        <w:rPr>
          <w:rFonts w:hint="eastAsia" w:ascii="仿宋" w:hAnsi="仿宋" w:eastAsia="仿宋"/>
          <w:color w:val="000000"/>
          <w:sz w:val="32"/>
          <w:szCs w:val="32"/>
        </w:rPr>
        <w:t>。主要变动原因是工程款的支付。</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rPr>
          <w:rFonts w:ascii="仿宋" w:hAnsi="仿宋" w:eastAsia="仿宋"/>
          <w:color w:val="000000" w:themeColor="text1"/>
          <w:sz w:val="32"/>
          <w:szCs w:val="32"/>
        </w:rPr>
      </w:pPr>
      <w:r>
        <w:rPr>
          <w:rFonts w:ascii="仿宋" w:hAnsi="仿宋" w:eastAsia="仿宋"/>
          <w:color w:val="000000" w:themeColor="text1"/>
          <w:sz w:val="32"/>
          <w:szCs w:val="32"/>
        </w:rPr>
        <w:drawing>
          <wp:inline distT="0" distB="0" distL="0" distR="0">
            <wp:extent cx="5274310" cy="3724910"/>
            <wp:effectExtent l="19050" t="0" r="0" b="0"/>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政拨款支出54233.44万元，主要用于以下方面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支出405.57万元，占0.75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支出51.35万元，占0.09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11.28万元，占0.02</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；住房保障支出1959.26万元，占3.62</w:t>
      </w:r>
      <w:r>
        <w:rPr>
          <w:rFonts w:ascii="仿宋" w:hAnsi="仿宋" w:eastAsia="仿宋"/>
          <w:color w:val="000000" w:themeColor="text1"/>
          <w:sz w:val="32"/>
          <w:szCs w:val="32"/>
        </w:rPr>
        <w:t>%</w:t>
      </w:r>
      <w:r>
        <w:rPr>
          <w:rFonts w:hint="eastAsia" w:ascii="仿宋" w:hAnsi="仿宋" w:eastAsia="仿宋"/>
          <w:color w:val="000000" w:themeColor="text1"/>
          <w:sz w:val="32"/>
          <w:szCs w:val="32"/>
        </w:rPr>
        <w:t>；城乡社区支出51798.21万元，占95.52%。</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rPr>
          <w:rFonts w:ascii="仿宋" w:hAnsi="仿宋" w:eastAsia="仿宋"/>
          <w:color w:val="000000"/>
          <w:sz w:val="32"/>
          <w:szCs w:val="32"/>
        </w:rPr>
      </w:pPr>
      <w:r>
        <w:rPr>
          <w:rFonts w:ascii="仿宋" w:hAnsi="仿宋" w:eastAsia="仿宋"/>
          <w:color w:val="000000"/>
          <w:sz w:val="32"/>
          <w:szCs w:val="32"/>
        </w:rPr>
        <w:drawing>
          <wp:inline distT="0" distB="0" distL="0" distR="0">
            <wp:extent cx="5274310" cy="3161030"/>
            <wp:effectExtent l="19050" t="0" r="21590" b="766"/>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outlineLvl w:val="2"/>
        <w:rPr>
          <w:rFonts w:ascii="仿宋" w:hAnsi="仿宋" w:eastAsia="仿宋"/>
          <w:b/>
          <w:color w:val="FF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r>
        <w:rPr>
          <w:rFonts w:hint="eastAsia" w:ascii="仿宋" w:hAnsi="仿宋" w:eastAsia="仿宋"/>
          <w:b/>
          <w:color w:val="FF0000"/>
          <w:sz w:val="32"/>
          <w:szCs w:val="32"/>
        </w:rPr>
        <w:t>（公开表Z06表）</w:t>
      </w:r>
    </w:p>
    <w:p>
      <w:pPr>
        <w:spacing w:line="600" w:lineRule="exact"/>
        <w:ind w:firstLine="640"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2019年一般公共预算支出决算数为</w:t>
      </w:r>
      <w:r>
        <w:rPr>
          <w:rFonts w:hint="eastAsia" w:ascii="仿宋" w:hAnsi="仿宋" w:eastAsia="仿宋"/>
          <w:color w:val="000000" w:themeColor="text1"/>
          <w:sz w:val="32"/>
          <w:szCs w:val="32"/>
        </w:rPr>
        <w:t>54233.44万元，</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0"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一般公共服务（类）政府办公厅（室）及相关机构事务（款）</w:t>
      </w:r>
      <w:r>
        <w:rPr>
          <w:rStyle w:val="14"/>
          <w:rFonts w:hint="eastAsia" w:ascii="仿宋" w:hAnsi="仿宋" w:eastAsia="仿宋"/>
          <w:b w:val="0"/>
          <w:bCs/>
          <w:color w:val="000000"/>
          <w:sz w:val="32"/>
          <w:szCs w:val="32"/>
        </w:rPr>
        <w:t>事业运行</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支出决算为405.57万元，完成预算100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一般公共服务（类）政府办公厅（室）及相关机构事务（款）</w:t>
      </w:r>
      <w:r>
        <w:rPr>
          <w:rStyle w:val="14"/>
          <w:rFonts w:hint="eastAsia" w:ascii="仿宋" w:hAnsi="仿宋" w:eastAsia="仿宋"/>
          <w:b w:val="0"/>
          <w:bCs/>
          <w:color w:val="000000"/>
          <w:sz w:val="32"/>
          <w:szCs w:val="32"/>
        </w:rPr>
        <w:t>其他政府办公厅（室）及相关机构事务支出(项）支出决算数为5.96万元，完成预算100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社会保障和就业（类）行政事业单位离退休（款）机关事业单位基本养老保险缴费支出 （项）</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 xml:space="preserve">  </w:t>
      </w:r>
      <w:r>
        <w:rPr>
          <w:rStyle w:val="14"/>
          <w:rFonts w:hint="eastAsia" w:ascii="仿宋" w:hAnsi="仿宋" w:eastAsia="仿宋"/>
          <w:b w:val="0"/>
          <w:bCs/>
          <w:color w:val="000000"/>
          <w:sz w:val="32"/>
          <w:szCs w:val="32"/>
        </w:rPr>
        <w:t>支出决算为32.47万元，完成预算100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4.</w:t>
      </w:r>
      <w:r>
        <w:rPr>
          <w:rStyle w:val="14"/>
          <w:rFonts w:hint="eastAsia" w:ascii="仿宋" w:hAnsi="仿宋" w:eastAsia="仿宋"/>
          <w:bCs/>
          <w:color w:val="000000"/>
          <w:sz w:val="32"/>
          <w:szCs w:val="32"/>
        </w:rPr>
        <w:t>社会保障和就业（类）行政事业单位离退休（款）</w:t>
      </w:r>
      <w:r>
        <w:rPr>
          <w:rStyle w:val="14"/>
          <w:rFonts w:hint="eastAsia" w:ascii="仿宋" w:hAnsi="仿宋" w:eastAsia="仿宋"/>
          <w:b w:val="0"/>
          <w:bCs/>
          <w:color w:val="000000"/>
          <w:sz w:val="32"/>
          <w:szCs w:val="32"/>
        </w:rPr>
        <w:t>机关事业单位职业年金缴费支出（项）支出决算数为18.88万元，完成预算100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（类）行政事业单位医疗（款）事业单位医疗（项）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支出决算为11.28万元，完成预算100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 xml:space="preserve">6.城乡社区支出（类）城乡社区管理事务（款）  其他城乡社区管理事务支出（项）决算数为328.58万元，完成预算100%。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7.城乡社区支出（类）城乡社区公共设施（款）其他城乡社区公共设施支出（项）决算数为23015.04万元，完成预算100%。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8. 城乡社区支出（类）其他城乡社区支出（款）其他城乡社区支出（项）决算数为28454.59万元，完成预算100%。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9.农林水支出（类）扶贫（款）其他扶贫支出（项）决算数为7.77万元，完成预算100%。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10.住房保障支出（类）保障性安居工程支出（款）其他保障性安居工程支出（项）决算数为1922万元，完成预算100%。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11.住房保障支出（类）住房改革支出（款）住房公积金支出（项）决算数为37.26万元，完成预算100%。</w:t>
      </w:r>
    </w:p>
    <w:p>
      <w:pPr>
        <w:spacing w:line="600" w:lineRule="exact"/>
        <w:ind w:firstLine="640" w:firstLineChars="200"/>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Z01-1</w:t>
      </w:r>
      <w:r>
        <w:rPr>
          <w:rFonts w:hint="eastAsia" w:ascii="仿宋" w:hAnsi="仿宋" w:eastAsia="仿宋"/>
          <w:b/>
          <w:color w:val="FF0000"/>
          <w:sz w:val="32"/>
          <w:szCs w:val="32"/>
        </w:rPr>
        <w:t>表，罗列全部功能分类科目至项级。上述“预算”口径为</w:t>
      </w:r>
      <w:r>
        <w:rPr>
          <w:rFonts w:hint="eastAsia" w:ascii="仿宋" w:hAnsi="仿宋" w:eastAsia="仿宋"/>
          <w:b/>
          <w:color w:val="FF0000"/>
          <w:sz w:val="32"/>
          <w:szCs w:val="32"/>
          <w:highlight w:val="yellow"/>
        </w:rPr>
        <w:t>调整预算数</w:t>
      </w:r>
      <w:r>
        <w:rPr>
          <w:rFonts w:hint="eastAsia" w:ascii="仿宋" w:hAnsi="仿宋" w:eastAsia="仿宋"/>
          <w:b/>
          <w:color w:val="FF0000"/>
          <w:sz w:val="32"/>
          <w:szCs w:val="32"/>
        </w:rPr>
        <w:t>。增减变动原因为决算数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和调整预算数</w:t>
      </w:r>
      <w:r>
        <w:rPr>
          <w:rFonts w:ascii="仿宋" w:hAnsi="仿宋" w:eastAsia="仿宋"/>
          <w:b/>
          <w:color w:val="FF0000"/>
          <w:sz w:val="32"/>
          <w:szCs w:val="32"/>
        </w:rPr>
        <w:t>&lt;</w:t>
      </w:r>
      <w:r>
        <w:rPr>
          <w:rFonts w:hint="eastAsia" w:ascii="仿宋" w:hAnsi="仿宋" w:eastAsia="仿宋"/>
          <w:b/>
          <w:color w:val="FF0000"/>
          <w:sz w:val="32"/>
          <w:szCs w:val="32"/>
        </w:rPr>
        <w:t>项级</w:t>
      </w:r>
      <w:r>
        <w:rPr>
          <w:rFonts w:ascii="仿宋" w:hAnsi="仿宋" w:eastAsia="仿宋"/>
          <w:b/>
          <w:color w:val="FF0000"/>
          <w:sz w:val="32"/>
          <w:szCs w:val="32"/>
        </w:rPr>
        <w:t>&gt;</w:t>
      </w:r>
      <w:r>
        <w:rPr>
          <w:rFonts w:hint="eastAsia" w:ascii="仿宋" w:hAnsi="仿宋" w:eastAsia="仿宋"/>
          <w:b/>
          <w:color w:val="FF0000"/>
          <w:sz w:val="32"/>
          <w:szCs w:val="32"/>
        </w:rPr>
        <w:t>比较，与预算数持平可以不写原因。）</w:t>
      </w:r>
    </w:p>
    <w:p>
      <w:pPr>
        <w:spacing w:line="600" w:lineRule="exact"/>
        <w:ind w:firstLine="640"/>
        <w:rPr>
          <w:rFonts w:ascii="仿宋" w:hAnsi="仿宋" w:eastAsia="仿宋"/>
          <w:b/>
          <w:color w:val="000000"/>
          <w:sz w:val="32"/>
          <w:szCs w:val="32"/>
        </w:rPr>
      </w:pP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9年一般公共预算财政拨款基本支出523.18万元，其中：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478.66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44.53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9年“三公”经费财政拨款支出决算为9.1万元，完成预算100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rPr>
          <w:rFonts w:ascii="仿宋" w:hAnsi="仿宋" w:eastAsia="仿宋"/>
          <w:b/>
          <w:color w:val="FF0000"/>
          <w:sz w:val="32"/>
          <w:szCs w:val="32"/>
        </w:rPr>
      </w:pPr>
      <w:r>
        <w:rPr>
          <w:rFonts w:hint="eastAsia" w:ascii="仿宋" w:hAnsi="仿宋" w:eastAsia="仿宋"/>
          <w:b/>
          <w:color w:val="FF0000"/>
          <w:sz w:val="32"/>
          <w:szCs w:val="32"/>
        </w:rPr>
        <w:t>（注：上述“预算”口径为调整预算数，包括政府性基金支出决算情况。）</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；公务用车购置及运行维护费支出决算9.1万元，占100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pStyle w:val="2"/>
        <w:spacing w:before="93"/>
      </w:pPr>
      <w:r>
        <w:drawing>
          <wp:inline distT="0" distB="0" distL="0" distR="0">
            <wp:extent cx="5274310" cy="247713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9.1万元,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8年减少14.44万元，下降61.34</w:t>
      </w:r>
      <w:r>
        <w:rPr>
          <w:rFonts w:ascii="仿宋_GB2312" w:eastAsia="仿宋_GB2312"/>
          <w:color w:val="000000"/>
          <w:sz w:val="32"/>
          <w:szCs w:val="32"/>
        </w:rPr>
        <w:t>%</w:t>
      </w:r>
      <w:r>
        <w:rPr>
          <w:rFonts w:hint="eastAsia" w:ascii="仿宋_GB2312" w:eastAsia="仿宋_GB2312"/>
          <w:color w:val="000000"/>
          <w:sz w:val="32"/>
          <w:szCs w:val="32"/>
        </w:rPr>
        <w:t>。主要原因是公车改革，厉行节俭。</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0万元。全年按规定更新购置公务用车0辆，金额0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月底，单位共有公务用车2辆，其中：主要领导干部用车2辆、机要通信用车0辆、应急保障用车0辆、 执法执勤用车0辆。</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9.1万元。主要用于公务车（具体工作）等所需的公务用车燃料费、维修费、过路过桥费、保险费等支出。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万元，国内公务接待0批次，0人次（不包括陪同人员），共计支出0万元。</w:t>
      </w:r>
    </w:p>
    <w:p>
      <w:pPr>
        <w:spacing w:line="600" w:lineRule="exact"/>
        <w:ind w:firstLine="640" w:firstLineChars="200"/>
        <w:rPr>
          <w:rFonts w:ascii="仿宋_GB2312" w:eastAsia="仿宋_GB2312"/>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r>
        <w:rPr>
          <w:rFonts w:hint="eastAsia" w:ascii="仿宋_GB2312" w:eastAsia="仿宋_GB2312"/>
          <w:color w:val="000000" w:themeColor="text1"/>
          <w:sz w:val="32"/>
          <w:szCs w:val="32"/>
        </w:rPr>
        <w:t>，外事接待0批次，0人，共计支出0万元。</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9年政府性基金预算拨款支出17902.39万元。</w:t>
      </w:r>
    </w:p>
    <w:p>
      <w:pPr>
        <w:spacing w:line="600" w:lineRule="exact"/>
        <w:ind w:firstLine="640"/>
        <w:rPr>
          <w:rFonts w:ascii="仿宋_GB2312" w:eastAsia="仿宋_GB2312"/>
          <w:color w:val="000000"/>
          <w:sz w:val="32"/>
          <w:szCs w:val="32"/>
        </w:rPr>
      </w:pPr>
    </w:p>
    <w:p>
      <w:pPr>
        <w:numPr>
          <w:ilvl w:val="0"/>
          <w:numId w:val="3"/>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0"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9年，城建中心机关运行经费支出0万元，比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9年，城建中心政府采购支出总额0万元，其中：政府采购货物支出0万元、政府采购工程支出0万元、政府采购服务支出0万元。授予中小企业合同金额0万元，占政府采购支出总额的0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0"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日，峨眉山市城乡建设服务中心共有车辆26辆，其中：主要领导干部用车2辆、机要通信用车0辆、应急保障用车0辆、其他用车24辆，</w:t>
      </w:r>
      <w:r>
        <w:rPr>
          <w:rFonts w:hint="eastAsia" w:ascii="仿宋_GB2312" w:eastAsia="仿宋_GB2312"/>
          <w:color w:val="000000" w:themeColor="text1"/>
          <w:sz w:val="32"/>
          <w:szCs w:val="32"/>
        </w:rPr>
        <w:t>其他用车主要是用于工具车，亮化高空作业车等，单价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r>
        <w:rPr>
          <w:rFonts w:hint="eastAsia" w:ascii="仿宋" w:hAnsi="仿宋" w:eastAsia="仿宋"/>
          <w:b/>
          <w:color w:val="FF0000"/>
          <w:sz w:val="32"/>
          <w:szCs w:val="32"/>
        </w:rPr>
        <w:t>（注：数据来源财决附</w:t>
      </w:r>
      <w:r>
        <w:rPr>
          <w:rFonts w:ascii="仿宋" w:hAnsi="仿宋" w:eastAsia="仿宋"/>
          <w:b/>
          <w:color w:val="FF0000"/>
          <w:sz w:val="32"/>
          <w:szCs w:val="32"/>
        </w:rPr>
        <w:t>03</w:t>
      </w:r>
      <w:r>
        <w:rPr>
          <w:rFonts w:hint="eastAsia" w:ascii="仿宋" w:hAnsi="仿宋" w:eastAsia="仿宋"/>
          <w:b/>
          <w:color w:val="FF0000"/>
          <w:sz w:val="32"/>
          <w:szCs w:val="32"/>
        </w:rPr>
        <w:t>表，按部门决算报表填报数据罗列车辆情况。）</w:t>
      </w:r>
    </w:p>
    <w:p>
      <w:pPr>
        <w:autoSpaceDE w:val="0"/>
        <w:autoSpaceDN w:val="0"/>
        <w:adjustRightInd w:val="0"/>
        <w:spacing w:line="600" w:lineRule="exact"/>
        <w:ind w:firstLine="640"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根据预算绩效管理要求，本部门（单位）在年初预算编制阶段，组织对7个项目（项目名称）开展了预算事前绩效评估，对7个项目编制了绩效目标，预算执行过程中，选取0个项目开展绩效监控。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本部门按要求对2019年部门整体支出开展绩效自评，从评价情况来看部门整体运行正常，工作正常开展，群众满意。</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本部门在2019年度部门决算中反映“运行经费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聘用员劳务费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“路灯维护费”等7个项目绩效目标实际完成情况。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（1）运行费项目绩效目标完成情况综述。项目全年预算数100万元，执行数为100万元，完成预算的100%。通过项目实施，保障日常工作正常开展，单位正常运转。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（2）聘用人员劳务费项目绩效目标完成情况综述。项目全年预算数173.2万元，执行数为173.2万元，完成预算的100%。通过项目实施，保障了聘用人员劳务费正常发放，保险、公积金等正常运转。</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（3）路灯维护费项目绩效目标完成情况综述。项目全年预算数488.74万元，执行数为488.74万元，完成预算的100%。通过项目实施，保障了全市路灯的维护，日常零星抢修，路灯的正常亮化。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（4）路灯电费项目绩效目标完成情况综述。项目全年预算数1402.59万元，执行数为1402.59万元，完成预算的100%。通过项目实施，保障了城区及各乡镇路灯电费的及时缴纳，路灯的正常亮化。</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（5）双创工作经费项目绩效目标完成情况综述。项目全年预算数5万元，执行数为5万元，完成预算的100%。通过项目实施，保障了双创工作的正常开展，为全市双创工作保障。</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840" w:type="dxa"/>
        <w:jc w:val="center"/>
        <w:tblLayout w:type="fixed"/>
        <w:tblCellMar>
          <w:top w:w="0" w:type="dxa"/>
          <w:left w:w="0" w:type="dxa"/>
          <w:bottom w:w="0" w:type="dxa"/>
          <w:right w:w="0" w:type="dxa"/>
        </w:tblCellMar>
      </w:tblPr>
      <w:tblGrid>
        <w:gridCol w:w="385"/>
        <w:gridCol w:w="1350"/>
        <w:gridCol w:w="1013"/>
        <w:gridCol w:w="2363"/>
        <w:gridCol w:w="2365"/>
        <w:gridCol w:w="2364"/>
      </w:tblGrid>
      <w:tr>
        <w:tblPrEx>
          <w:tblCellMar>
            <w:top w:w="0" w:type="dxa"/>
            <w:left w:w="0" w:type="dxa"/>
            <w:bottom w:w="0" w:type="dxa"/>
            <w:right w:w="0" w:type="dxa"/>
          </w:tblCellMar>
        </w:tblPrEx>
        <w:trPr>
          <w:trHeight w:val="937" w:hRule="atLeast"/>
          <w:jc w:val="center"/>
        </w:trPr>
        <w:tc>
          <w:tcPr>
            <w:tcW w:w="984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50" w:hRule="atLeast"/>
          <w:jc w:val="center"/>
        </w:trPr>
        <w:tc>
          <w:tcPr>
            <w:tcW w:w="27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0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pPr>
            <w:r>
              <w:rPr>
                <w:rFonts w:hint="eastAsia" w:ascii="宋体" w:hAnsi="宋体" w:eastAsia="宋体" w:cs="宋体"/>
                <w:color w:val="000000"/>
                <w:kern w:val="2"/>
                <w:sz w:val="24"/>
              </w:rPr>
              <w:t>城建中心项目</w:t>
            </w:r>
          </w:p>
        </w:tc>
      </w:tr>
      <w:tr>
        <w:tblPrEx>
          <w:tblCellMar>
            <w:top w:w="0" w:type="dxa"/>
            <w:left w:w="0" w:type="dxa"/>
            <w:bottom w:w="0" w:type="dxa"/>
            <w:right w:w="0" w:type="dxa"/>
          </w:tblCellMar>
        </w:tblPrEx>
        <w:trPr>
          <w:trHeight w:val="250" w:hRule="atLeast"/>
          <w:jc w:val="center"/>
        </w:trPr>
        <w:tc>
          <w:tcPr>
            <w:tcW w:w="274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0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峨眉山市城乡建设服务中心</w:t>
            </w:r>
          </w:p>
        </w:tc>
      </w:tr>
      <w:tr>
        <w:tblPrEx>
          <w:tblCellMar>
            <w:top w:w="0" w:type="dxa"/>
            <w:left w:w="0" w:type="dxa"/>
            <w:bottom w:w="0" w:type="dxa"/>
            <w:right w:w="0" w:type="dxa"/>
          </w:tblCellMar>
        </w:tblPrEx>
        <w:trPr>
          <w:trHeight w:val="250" w:hRule="atLeast"/>
          <w:jc w:val="center"/>
        </w:trPr>
        <w:tc>
          <w:tcPr>
            <w:tcW w:w="3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3255.64</w:t>
            </w:r>
            <w:r>
              <w:rPr>
                <w:rFonts w:hint="eastAsia" w:ascii="宋体" w:hAnsi="宋体" w:cs="宋体"/>
                <w:color w:val="000000"/>
                <w:sz w:val="24"/>
              </w:rPr>
              <w:t>万</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3255.64</w:t>
            </w:r>
            <w:r>
              <w:rPr>
                <w:rFonts w:hint="eastAsia" w:ascii="宋体" w:hAnsi="宋体" w:cs="宋体"/>
                <w:color w:val="000000"/>
                <w:sz w:val="24"/>
              </w:rPr>
              <w:t>万</w:t>
            </w:r>
          </w:p>
        </w:tc>
      </w:tr>
      <w:tr>
        <w:tblPrEx>
          <w:tblCellMar>
            <w:top w:w="0" w:type="dxa"/>
            <w:left w:w="0" w:type="dxa"/>
            <w:bottom w:w="0" w:type="dxa"/>
            <w:right w:w="0" w:type="dxa"/>
          </w:tblCellMar>
        </w:tblPrEx>
        <w:trPr>
          <w:trHeight w:val="250" w:hRule="atLeast"/>
          <w:jc w:val="center"/>
        </w:trPr>
        <w:tc>
          <w:tcPr>
            <w:tcW w:w="3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3255.64</w:t>
            </w:r>
            <w:r>
              <w:rPr>
                <w:rFonts w:hint="eastAsia" w:ascii="宋体" w:hAnsi="宋体" w:cs="宋体"/>
                <w:color w:val="000000"/>
                <w:sz w:val="24"/>
              </w:rPr>
              <w:t>万</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3255.64</w:t>
            </w:r>
            <w:r>
              <w:rPr>
                <w:rFonts w:hint="eastAsia" w:ascii="宋体" w:hAnsi="宋体" w:cs="宋体"/>
                <w:color w:val="000000"/>
                <w:sz w:val="24"/>
              </w:rPr>
              <w:t>万</w:t>
            </w:r>
          </w:p>
        </w:tc>
      </w:tr>
      <w:tr>
        <w:tblPrEx>
          <w:tblCellMar>
            <w:top w:w="0" w:type="dxa"/>
            <w:left w:w="0" w:type="dxa"/>
            <w:bottom w:w="0" w:type="dxa"/>
            <w:right w:w="0" w:type="dxa"/>
          </w:tblCellMar>
        </w:tblPrEx>
        <w:trPr>
          <w:trHeight w:val="1370" w:hRule="atLeast"/>
          <w:jc w:val="center"/>
        </w:trPr>
        <w:tc>
          <w:tcPr>
            <w:tcW w:w="3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6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250" w:hRule="atLeast"/>
          <w:jc w:val="center"/>
        </w:trPr>
        <w:tc>
          <w:tcPr>
            <w:tcW w:w="3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620" w:hRule="atLeast"/>
          <w:jc w:val="center"/>
        </w:trPr>
        <w:tc>
          <w:tcPr>
            <w:tcW w:w="3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2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根据市委市政府工作安排，组织实施城市道路、桥梁、绿化、拆迁安置房、杆管线迁改等建设工作，维护和管理城市亮化、杆管线等市政施放。</w:t>
            </w:r>
          </w:p>
        </w:tc>
        <w:tc>
          <w:tcPr>
            <w:tcW w:w="472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根据市委市政府工作安排，组织实施城市道路、桥梁、绿化、拆迁安置房、杆管线迁改等建设工作，维护和管理城市亮化、杆管线等市政施放。</w:t>
            </w:r>
          </w:p>
        </w:tc>
      </w:tr>
      <w:tr>
        <w:tblPrEx>
          <w:tblCellMar>
            <w:top w:w="0" w:type="dxa"/>
            <w:left w:w="0" w:type="dxa"/>
            <w:bottom w:w="0" w:type="dxa"/>
            <w:right w:w="0" w:type="dxa"/>
          </w:tblCellMar>
        </w:tblPrEx>
        <w:trPr>
          <w:trHeight w:val="792" w:hRule="atLeast"/>
          <w:jc w:val="center"/>
        </w:trPr>
        <w:tc>
          <w:tcPr>
            <w:tcW w:w="3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726"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总体目标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各股室正常运转</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保障日常工作的正常开展，单位运转正常</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保障日常工作的正常开展，单位运转正常</w:t>
            </w:r>
          </w:p>
        </w:tc>
      </w:tr>
      <w:tr>
        <w:tblPrEx>
          <w:tblCellMar>
            <w:top w:w="0" w:type="dxa"/>
            <w:left w:w="0" w:type="dxa"/>
            <w:bottom w:w="0" w:type="dxa"/>
            <w:right w:w="0" w:type="dxa"/>
          </w:tblCellMar>
        </w:tblPrEx>
        <w:trPr>
          <w:trHeight w:val="981"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时效指标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各项目按期完成率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各项目按期完成</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每月及时开展工作</w:t>
            </w:r>
          </w:p>
          <w:p>
            <w:pPr>
              <w:widowControl/>
              <w:jc w:val="center"/>
              <w:textAlignment w:val="center"/>
              <w:rPr>
                <w:rFonts w:ascii="宋体" w:hAnsi="宋体" w:cs="宋体"/>
                <w:color w:val="000000"/>
                <w:sz w:val="24"/>
              </w:rPr>
            </w:pP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每月及时开展工作</w:t>
            </w:r>
          </w:p>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79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
              <w:spacing w:before="93"/>
              <w:rPr>
                <w:rFonts w:hint="eastAsia" w:eastAsia="仿宋_GB2312"/>
                <w:lang w:eastAsia="zh-CN"/>
              </w:rPr>
            </w:pPr>
            <w:r>
              <w:rPr>
                <w:rFonts w:hint="eastAsia" w:ascii="宋体" w:hAnsi="宋体" w:eastAsia="宋体" w:cs="宋体"/>
                <w:color w:val="000000"/>
                <w:kern w:val="2"/>
                <w:sz w:val="24"/>
                <w:lang w:eastAsia="zh-CN"/>
              </w:rPr>
              <w:t>数量指标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三个棚户区改造项目完成</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总投资约</w:t>
            </w:r>
            <w:r>
              <w:rPr>
                <w:rFonts w:hint="eastAsia" w:ascii="宋体" w:hAnsi="宋体" w:cs="宋体"/>
                <w:color w:val="000000"/>
                <w:sz w:val="24"/>
                <w:lang w:val="en-US" w:eastAsia="zh-CN"/>
              </w:rPr>
              <w:t>7.5亿</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项目正正常有序开展</w:t>
            </w:r>
          </w:p>
        </w:tc>
      </w:tr>
      <w:tr>
        <w:tblPrEx>
          <w:tblCellMar>
            <w:top w:w="0" w:type="dxa"/>
            <w:left w:w="0" w:type="dxa"/>
            <w:bottom w:w="0" w:type="dxa"/>
            <w:right w:w="0" w:type="dxa"/>
          </w:tblCellMar>
        </w:tblPrEx>
        <w:trPr>
          <w:trHeight w:val="79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kern w:val="2"/>
                <w:sz w:val="24"/>
                <w:lang w:eastAsia="zh-CN"/>
              </w:rPr>
              <w:t>数量指标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已建成安置房剩余房源移交</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剩余住房约</w:t>
            </w:r>
            <w:r>
              <w:rPr>
                <w:rFonts w:hint="eastAsia" w:ascii="宋体" w:hAnsi="宋体" w:cs="宋体"/>
                <w:color w:val="000000"/>
                <w:sz w:val="24"/>
                <w:lang w:val="en-US" w:eastAsia="zh-CN"/>
              </w:rPr>
              <w:t>2000套、门市1700个</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项目正正常有序开展</w:t>
            </w:r>
          </w:p>
        </w:tc>
      </w:tr>
      <w:tr>
        <w:tblPrEx>
          <w:tblCellMar>
            <w:top w:w="0" w:type="dxa"/>
            <w:left w:w="0" w:type="dxa"/>
            <w:bottom w:w="0" w:type="dxa"/>
            <w:right w:w="0" w:type="dxa"/>
          </w:tblCellMar>
        </w:tblPrEx>
        <w:trPr>
          <w:trHeight w:val="79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kern w:val="2"/>
                <w:sz w:val="24"/>
                <w:lang w:eastAsia="zh-CN"/>
              </w:rPr>
              <w:t>数量指标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lang w:eastAsia="zh-CN"/>
              </w:rPr>
            </w:pPr>
            <w:r>
              <w:rPr>
                <w:rFonts w:hint="eastAsia"/>
                <w:lang w:eastAsia="zh-CN"/>
              </w:rPr>
              <w:t>安置房维修工作</w:t>
            </w:r>
          </w:p>
          <w:p>
            <w:pPr>
              <w:pStyle w:val="2"/>
              <w:rPr>
                <w:rFonts w:hint="eastAsia"/>
                <w:lang w:eastAsia="zh-CN"/>
              </w:rPr>
            </w:pP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300套</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已完成</w:t>
            </w:r>
          </w:p>
        </w:tc>
      </w:tr>
      <w:tr>
        <w:tblPrEx>
          <w:tblCellMar>
            <w:top w:w="0" w:type="dxa"/>
            <w:left w:w="0" w:type="dxa"/>
            <w:bottom w:w="0" w:type="dxa"/>
            <w:right w:w="0" w:type="dxa"/>
          </w:tblCellMar>
        </w:tblPrEx>
        <w:trPr>
          <w:trHeight w:val="79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kern w:val="2"/>
                <w:sz w:val="24"/>
                <w:lang w:eastAsia="zh-CN"/>
              </w:rPr>
              <w:t>数量指标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药博园</w:t>
            </w:r>
            <w:r>
              <w:rPr>
                <w:rFonts w:hint="eastAsia" w:ascii="宋体" w:hAnsi="宋体" w:cs="宋体"/>
                <w:color w:val="000000"/>
                <w:sz w:val="24"/>
                <w:lang w:val="en-US" w:eastAsia="zh-CN"/>
              </w:rPr>
              <w:t>PPP项目建设</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总投资约</w:t>
            </w:r>
            <w:r>
              <w:rPr>
                <w:rFonts w:hint="eastAsia" w:ascii="宋体" w:hAnsi="宋体" w:cs="宋体"/>
                <w:color w:val="000000"/>
                <w:sz w:val="24"/>
                <w:lang w:val="en-US" w:eastAsia="zh-CN"/>
              </w:rPr>
              <w:t>3.5亿</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项目正常有序开展</w:t>
            </w:r>
          </w:p>
        </w:tc>
      </w:tr>
      <w:tr>
        <w:tblPrEx>
          <w:tblCellMar>
            <w:top w:w="0" w:type="dxa"/>
            <w:left w:w="0" w:type="dxa"/>
            <w:bottom w:w="0" w:type="dxa"/>
            <w:right w:w="0" w:type="dxa"/>
          </w:tblCellMar>
        </w:tblPrEx>
        <w:trPr>
          <w:trHeight w:val="792"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eastAsia="宋体" w:cs="宋体"/>
                <w:color w:val="000000"/>
                <w:kern w:val="2"/>
                <w:sz w:val="24"/>
                <w:lang w:eastAsia="zh-CN"/>
              </w:rPr>
              <w:t>数量指标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杆管线迁改</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完成四个项目杆管线迁改，总投资约</w:t>
            </w:r>
            <w:r>
              <w:rPr>
                <w:rFonts w:hint="eastAsia" w:ascii="宋体" w:hAnsi="宋体" w:cs="宋体"/>
                <w:color w:val="000000"/>
                <w:sz w:val="24"/>
                <w:lang w:val="en-US" w:eastAsia="zh-CN"/>
              </w:rPr>
              <w:t>2587万</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项目正常有序开展</w:t>
            </w:r>
          </w:p>
        </w:tc>
      </w:tr>
      <w:tr>
        <w:tblPrEx>
          <w:tblCellMar>
            <w:top w:w="0" w:type="dxa"/>
            <w:left w:w="0" w:type="dxa"/>
            <w:bottom w:w="0" w:type="dxa"/>
            <w:right w:w="0" w:type="dxa"/>
          </w:tblCellMar>
        </w:tblPrEx>
        <w:trPr>
          <w:trHeight w:val="981"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质量指标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各项目质量有保障</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合格率</w:t>
            </w:r>
            <w:r>
              <w:rPr>
                <w:rFonts w:hint="default" w:ascii="Arial" w:hAnsi="Arial" w:cs="Arial"/>
                <w:color w:val="000000"/>
                <w:sz w:val="24"/>
              </w:rPr>
              <w:t>≥</w:t>
            </w:r>
            <w:r>
              <w:rPr>
                <w:rFonts w:hint="eastAsia" w:ascii="Arial" w:hAnsi="Arial" w:cs="Arial"/>
                <w:color w:val="000000"/>
                <w:sz w:val="24"/>
                <w:lang w:val="en-US" w:eastAsia="zh-CN"/>
              </w:rPr>
              <w:t>95%</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合格率</w:t>
            </w:r>
            <w:r>
              <w:rPr>
                <w:rFonts w:hint="default" w:ascii="Arial" w:hAnsi="Arial" w:cs="Arial"/>
                <w:color w:val="000000"/>
                <w:sz w:val="24"/>
              </w:rPr>
              <w:t>≥</w:t>
            </w:r>
            <w:r>
              <w:rPr>
                <w:rFonts w:hint="eastAsia" w:ascii="Arial" w:hAnsi="Arial" w:cs="Arial"/>
                <w:color w:val="000000"/>
                <w:sz w:val="24"/>
                <w:lang w:val="en-US" w:eastAsia="zh-CN"/>
              </w:rPr>
              <w:t>95%</w:t>
            </w:r>
          </w:p>
        </w:tc>
      </w:tr>
      <w:tr>
        <w:tblPrEx>
          <w:tblCellMar>
            <w:top w:w="0" w:type="dxa"/>
            <w:left w:w="0" w:type="dxa"/>
            <w:bottom w:w="0" w:type="dxa"/>
            <w:right w:w="0" w:type="dxa"/>
          </w:tblCellMar>
        </w:tblPrEx>
        <w:trPr>
          <w:trHeight w:val="805" w:hRule="atLeast"/>
          <w:jc w:val="center"/>
        </w:trPr>
        <w:tc>
          <w:tcPr>
            <w:tcW w:w="385"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各项目按期完成率</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default" w:ascii="Arial" w:hAnsi="Arial" w:cs="Arial"/>
                <w:color w:val="000000"/>
                <w:sz w:val="24"/>
              </w:rPr>
              <w:t>≥</w:t>
            </w:r>
            <w:r>
              <w:rPr>
                <w:rFonts w:hint="eastAsia" w:ascii="Arial" w:hAnsi="Arial" w:cs="Arial"/>
                <w:color w:val="000000"/>
                <w:sz w:val="24"/>
                <w:lang w:val="en-US" w:eastAsia="zh-CN"/>
              </w:rPr>
              <w:t>95%</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default" w:ascii="Arial" w:hAnsi="Arial" w:cs="Arial"/>
                <w:color w:val="000000"/>
                <w:sz w:val="24"/>
              </w:rPr>
              <w:t>≥</w:t>
            </w:r>
            <w:r>
              <w:rPr>
                <w:rFonts w:hint="eastAsia" w:ascii="Arial" w:hAnsi="Arial" w:cs="Arial"/>
                <w:color w:val="000000"/>
                <w:sz w:val="24"/>
                <w:lang w:val="en-US" w:eastAsia="zh-CN"/>
              </w:rPr>
              <w:t>95%</w:t>
            </w:r>
            <w:bookmarkStart w:id="73" w:name="_GoBack"/>
            <w:bookmarkEnd w:id="73"/>
          </w:p>
        </w:tc>
      </w:tr>
      <w:tr>
        <w:tblPrEx>
          <w:tblCellMar>
            <w:top w:w="0" w:type="dxa"/>
            <w:left w:w="0" w:type="dxa"/>
            <w:bottom w:w="0" w:type="dxa"/>
            <w:right w:w="0" w:type="dxa"/>
          </w:tblCellMar>
        </w:tblPrEx>
        <w:trPr>
          <w:trHeight w:val="805" w:hRule="atLeast"/>
          <w:jc w:val="center"/>
        </w:trPr>
        <w:tc>
          <w:tcPr>
            <w:tcW w:w="385"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效益指标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社会效益指标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城市亮化</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保证日常工作的正常开展、路灯的正常亮化、群众出行安全、工程的正常推进。</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保证日常工作的正常开展、路灯的正常亮化、群众出行安全、工程的正常推进。</w:t>
            </w:r>
          </w:p>
        </w:tc>
      </w:tr>
      <w:tr>
        <w:tblPrEx>
          <w:tblCellMar>
            <w:top w:w="0" w:type="dxa"/>
            <w:left w:w="0" w:type="dxa"/>
            <w:bottom w:w="0" w:type="dxa"/>
            <w:right w:w="0" w:type="dxa"/>
          </w:tblCellMar>
        </w:tblPrEx>
        <w:trPr>
          <w:trHeight w:val="805" w:hRule="atLeast"/>
          <w:jc w:val="center"/>
        </w:trPr>
        <w:tc>
          <w:tcPr>
            <w:tcW w:w="385"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效益指标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r>
              <w:rPr>
                <w:rFonts w:hint="eastAsia" w:ascii="宋体" w:hAnsi="宋体" w:cs="宋体"/>
                <w:color w:val="000000"/>
                <w:sz w:val="24"/>
                <w:lang w:eastAsia="zh-CN"/>
              </w:rPr>
              <w:t>社会效益指标</w:t>
            </w: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安置房基础设施建设及安置等相关工作</w:t>
            </w: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完成三个棚房区改造项目，做好已建成安置剩余房源移交和维修，配合相磁部门安置折迁户。</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lang w:eastAsia="zh-CN"/>
              </w:rPr>
              <w:t>完成三个棚房区改造项目，做好已建成安置剩余房源移交和维修，配合相磁部门安置折迁户。</w:t>
            </w:r>
          </w:p>
        </w:tc>
      </w:tr>
      <w:tr>
        <w:tblPrEx>
          <w:tblCellMar>
            <w:top w:w="0" w:type="dxa"/>
            <w:left w:w="0" w:type="dxa"/>
            <w:bottom w:w="0" w:type="dxa"/>
            <w:right w:w="0" w:type="dxa"/>
          </w:tblCellMar>
        </w:tblPrEx>
        <w:trPr>
          <w:trHeight w:val="805" w:hRule="atLeast"/>
          <w:jc w:val="center"/>
        </w:trPr>
        <w:tc>
          <w:tcPr>
            <w:tcW w:w="385"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rPr>
              <w:t>满意度指标</w:t>
            </w:r>
          </w:p>
        </w:tc>
        <w:tc>
          <w:tcPr>
            <w:tcW w:w="1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eastAsia="宋体" w:cs="宋体"/>
                <w:color w:val="000000"/>
                <w:kern w:val="2"/>
                <w:sz w:val="24"/>
                <w:szCs w:val="24"/>
                <w:lang w:val="en-US" w:eastAsia="zh-CN" w:bidi="ar-SA"/>
              </w:rPr>
            </w:pPr>
          </w:p>
        </w:tc>
        <w:tc>
          <w:tcPr>
            <w:tcW w:w="23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群众满意度</w:t>
            </w:r>
          </w:p>
          <w:p>
            <w:pPr>
              <w:widowControl/>
              <w:jc w:val="center"/>
              <w:textAlignment w:val="center"/>
              <w:rPr>
                <w:rFonts w:ascii="宋体" w:hAnsi="宋体" w:eastAsia="宋体" w:cs="宋体"/>
                <w:color w:val="000000"/>
                <w:kern w:val="2"/>
                <w:sz w:val="24"/>
                <w:szCs w:val="24"/>
                <w:lang w:val="en-US" w:eastAsia="zh-CN" w:bidi="ar-SA"/>
              </w:rPr>
            </w:pPr>
          </w:p>
        </w:tc>
        <w:tc>
          <w:tcPr>
            <w:tcW w:w="23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95%</w:t>
            </w:r>
          </w:p>
        </w:tc>
        <w:tc>
          <w:tcPr>
            <w:tcW w:w="23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95%</w:t>
            </w:r>
          </w:p>
        </w:tc>
      </w:tr>
    </w:tbl>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本部门按要求对2019年部门整体支出绩效评价情况开展自评，《峨眉山市城乡建设服务中心2019年部门整体支出绩效评价报告》见附件（附件1）。</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9.一般公共服务（类）：指事业运行、其他政府办公厅（室）及相关机构事务支出等。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15.社会保障和就业（类）：指机关事业单位基本养老保险缴费支出、机关事业单位职业年金缴费支出等。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16.卫生健康（类）：指事业单位医疗支出。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17.城乡社区支出（类）：指  其他城乡社区管理事务支出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、其他城乡社区公共设施支出、其他城乡社区支出等。</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18.农林水支出（类）：指其他扶贫支出。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19.住房保障支出（类）：指其他保障性安居工程支出、住房公积金支出。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（解释本部门决算报表中全部功能分类科目至项级，请参照《2019年政府收支分类科目》增减内容。）</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22</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ind w:firstLine="640"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城建中心</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Theme="majorEastAsia" w:hAnsiTheme="majorEastAsia" w:eastAsiaTheme="majorEastAsia" w:cstheme="majorEastAsia"/>
          <w:sz w:val="32"/>
          <w:szCs w:val="32"/>
          <w:shd w:val="clear" w:color="auto" w:fill="FFFFFF"/>
        </w:rPr>
      </w:pPr>
      <w:r>
        <w:rPr>
          <w:rFonts w:hint="eastAsia" w:asciiTheme="majorEastAsia" w:hAnsiTheme="majorEastAsia" w:eastAsiaTheme="majorEastAsia" w:cstheme="majorEastAsia"/>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kern w:val="0"/>
          <w:sz w:val="32"/>
          <w:szCs w:val="32"/>
          <w:shd w:val="clear" w:color="auto" w:fill="FFFFFF"/>
          <w:lang w:val="zh-CN"/>
        </w:rPr>
      </w:pPr>
      <w:r>
        <w:rPr>
          <w:rFonts w:hint="eastAsia" w:asciiTheme="minorEastAsia" w:hAnsiTheme="minorEastAsia" w:eastAsiaTheme="minorEastAsia" w:cstheme="minorEastAsia"/>
          <w:kern w:val="0"/>
          <w:sz w:val="32"/>
          <w:szCs w:val="32"/>
          <w:shd w:val="clear" w:color="auto" w:fill="FFFFFF"/>
          <w:lang w:val="zh-CN"/>
        </w:rPr>
        <w:t>（一）我中心为财政拨款事业单位，无下属单位。</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kern w:val="0"/>
          <w:sz w:val="32"/>
          <w:szCs w:val="32"/>
          <w:shd w:val="clear" w:color="auto" w:fill="FFFFFF"/>
          <w:lang w:val="zh-CN"/>
        </w:rPr>
      </w:pPr>
      <w:r>
        <w:rPr>
          <w:rFonts w:hint="eastAsia" w:asciiTheme="minorEastAsia" w:hAnsiTheme="minorEastAsia" w:eastAsiaTheme="minorEastAsia" w:cstheme="minorEastAsia"/>
          <w:kern w:val="0"/>
          <w:sz w:val="32"/>
          <w:szCs w:val="32"/>
          <w:shd w:val="clear" w:color="auto" w:fill="FFFFFF"/>
          <w:lang w:val="zh-CN"/>
        </w:rPr>
        <w:t>（二）机构职能。</w:t>
      </w:r>
    </w:p>
    <w:p>
      <w:pPr>
        <w:ind w:firstLine="1120" w:firstLineChars="400"/>
        <w:rPr>
          <w:rFonts w:ascii="仿宋_GB2312" w:hAnsi="宋体" w:eastAsia="仿宋_GB2312" w:cs="宋体"/>
          <w:color w:val="000000"/>
          <w:kern w:val="0"/>
          <w:sz w:val="32"/>
          <w:szCs w:val="32"/>
          <w:shd w:val="clear" w:color="auto" w:fill="FFFFFF"/>
          <w:lang w:val="zh-CN"/>
        </w:rPr>
      </w:pPr>
      <w:r>
        <w:rPr>
          <w:rFonts w:hint="eastAsia"/>
          <w:sz w:val="28"/>
          <w:szCs w:val="28"/>
        </w:rPr>
        <w:t>承担城乡建设服务相关事务性工作。（1）承担城镇道路、桥涵及其设施建设的技术服务和管养维护工作；承担排水（雨水和生活污水排放、防水排涝）设施建设的技术服务和运行维护工作；承担作为业主和接管的安置房遗留问题处置相关事务性工作。（2）承担农村住房建设通用设计图集的编制、设计及推广工作；承担农村危房改造事务性工作；组织实施农村建筑工匠培训；承担建筑劳务输出服务工作；承担村镇建设试点具体事务性工作。（3）承担杆管线迁改、新建服务工作。（4）承担城镇公共照明设施、景观亮化工程的建设、运行、维护和用电安全相关工作。（5）承担全市城乡建设档案的建立、收集、保管、利用、开发等相关工作。（6）完成上级交办的其他任务。</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（三）人员概况：在编人员</w:t>
      </w:r>
      <w:r>
        <w:rPr>
          <w:rFonts w:hint="eastAsia" w:asciiTheme="minorEastAsia" w:hAnsiTheme="minorEastAsia" w:eastAsiaTheme="minorEastAsia" w:cstheme="minorEastAsia"/>
          <w:color w:val="000000"/>
          <w:kern w:val="0"/>
          <w:sz w:val="32"/>
          <w:szCs w:val="32"/>
          <w:shd w:val="clear" w:color="auto" w:fill="FFFFFF"/>
        </w:rPr>
        <w:t>27人</w:t>
      </w:r>
      <w:r>
        <w:rPr>
          <w:rFonts w:hint="eastAsia" w:asciiTheme="minorEastAsia" w:hAnsiTheme="minorEastAsia" w:eastAsiaTheme="minorEastAsia" w:cstheme="minorEastAsia"/>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（一）部门财政资金收入情况：</w:t>
      </w:r>
      <w:r>
        <w:rPr>
          <w:rFonts w:hint="eastAsia" w:asciiTheme="minorEastAsia" w:hAnsiTheme="minorEastAsia" w:eastAsiaTheme="minorEastAsia" w:cstheme="minorEastAsia"/>
          <w:color w:val="000000"/>
          <w:sz w:val="32"/>
          <w:szCs w:val="32"/>
        </w:rPr>
        <w:t>43603.32万元</w:t>
      </w:r>
      <w:r>
        <w:rPr>
          <w:rFonts w:hint="eastAsia" w:asciiTheme="minorEastAsia" w:hAnsiTheme="minorEastAsia" w:eastAsiaTheme="minorEastAsia" w:cstheme="minorEastAsia"/>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（二）部门财政资金支出情况：</w:t>
      </w:r>
      <w:r>
        <w:rPr>
          <w:rFonts w:hint="eastAsia" w:asciiTheme="minorEastAsia" w:hAnsiTheme="minorEastAsia" w:eastAsiaTheme="minorEastAsia" w:cstheme="minorEastAsia"/>
          <w:color w:val="000000"/>
          <w:sz w:val="32"/>
          <w:szCs w:val="32"/>
        </w:rPr>
        <w:t>72135.82万元</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（一）部门预算管理。</w:t>
      </w:r>
    </w:p>
    <w:p>
      <w:pPr>
        <w:spacing w:line="580" w:lineRule="exact"/>
        <w:ind w:firstLine="720"/>
        <w:jc w:val="left"/>
        <w:rPr>
          <w:rFonts w:asciiTheme="minorEastAsia" w:hAnsiTheme="minorEastAsia" w:eastAsiaTheme="minorEastAsia" w:cstheme="minorEastAsia"/>
          <w:color w:val="000000"/>
          <w:kern w:val="0"/>
          <w:sz w:val="32"/>
          <w:lang w:val="zh-CN"/>
        </w:rPr>
      </w:pPr>
      <w:r>
        <w:rPr>
          <w:rFonts w:hint="eastAsia" w:asciiTheme="minorEastAsia" w:hAnsiTheme="minorEastAsia" w:eastAsiaTheme="minorEastAsia" w:cstheme="minorEastAsia"/>
          <w:color w:val="000000"/>
          <w:sz w:val="32"/>
          <w:lang w:val="zh-CN"/>
        </w:rPr>
        <w:t>峨眉山市城乡建设服务中心预算编制</w:t>
      </w:r>
      <w:r>
        <w:rPr>
          <w:rFonts w:hint="eastAsia" w:asciiTheme="minorEastAsia" w:hAnsiTheme="minorEastAsia" w:eastAsiaTheme="minorEastAsia" w:cstheme="minorEastAsia"/>
          <w:sz w:val="32"/>
          <w:lang w:val="zh-CN"/>
        </w:rPr>
        <w:t>按照预算管理有关规定执行，部门预算的编制实行综合预算制度，即全部收入和支出都反映在预算中。</w:t>
      </w:r>
      <w:r>
        <w:rPr>
          <w:rFonts w:hint="eastAsia" w:asciiTheme="minorEastAsia" w:hAnsiTheme="minorEastAsia" w:eastAsiaTheme="minorEastAsia" w:cstheme="minorEastAsia"/>
          <w:color w:val="000000"/>
          <w:kern w:val="0"/>
          <w:sz w:val="32"/>
          <w:lang w:val="zh-CN"/>
        </w:rPr>
        <w:t>决算编制严格按照《会计法》、《政府会计准则》等法律法规编制；绩效目标的填报严格按照《预算法》的相关规定合理进行绩效目标填报。</w:t>
      </w:r>
      <w:r>
        <w:rPr>
          <w:rFonts w:hint="eastAsia" w:asciiTheme="minorEastAsia" w:hAnsiTheme="minorEastAsia" w:eastAsiaTheme="minorEastAsia" w:cstheme="minorEastAsia"/>
          <w:color w:val="000000"/>
          <w:sz w:val="32"/>
          <w:lang w:val="zh-CN"/>
        </w:rPr>
        <w:t>合理安排使用资金，严格控制资金的计划、审批和使用，并按照进度要求及时与财政部门对接，发挥各项资金的最大绩效。</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rPr>
        <w:t>推进城市基础设施建设，整理城市蜘蛛网，美化城市，为市民出行提供方便，提高市民生活质量，为全市城市建设、旅游发展做出积极贡献。</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rPr>
        <w:t>四、评价结论及建议</w:t>
      </w:r>
    </w:p>
    <w:p>
      <w:pPr>
        <w:spacing w:line="580" w:lineRule="exact"/>
        <w:ind w:firstLine="720"/>
        <w:jc w:val="left"/>
        <w:rPr>
          <w:rFonts w:asciiTheme="minorEastAsia" w:hAnsiTheme="minorEastAsia" w:eastAsiaTheme="minorEastAsia" w:cstheme="minorEastAsia"/>
          <w:color w:val="000000"/>
          <w:sz w:val="32"/>
          <w:lang w:val="zh-CN"/>
        </w:rPr>
      </w:pPr>
      <w:r>
        <w:rPr>
          <w:rFonts w:hint="eastAsia" w:asciiTheme="minorEastAsia" w:hAnsiTheme="minorEastAsia" w:eastAsiaTheme="minorEastAsia" w:cstheme="minorEastAsia"/>
          <w:color w:val="000000"/>
          <w:kern w:val="0"/>
          <w:sz w:val="32"/>
          <w:szCs w:val="32"/>
          <w:shd w:val="clear" w:color="auto" w:fill="FFFFFF"/>
          <w:lang w:val="zh-CN"/>
        </w:rPr>
        <w:t>（一）评价结论。</w:t>
      </w:r>
      <w:r>
        <w:rPr>
          <w:rFonts w:hint="eastAsia" w:asciiTheme="minorEastAsia" w:hAnsiTheme="minorEastAsia" w:eastAsiaTheme="minorEastAsia" w:cstheme="minorEastAsia"/>
          <w:color w:val="000000"/>
          <w:sz w:val="32"/>
          <w:lang w:val="zh-CN"/>
        </w:rPr>
        <w:t>201</w:t>
      </w:r>
      <w:r>
        <w:rPr>
          <w:rFonts w:hint="eastAsia" w:asciiTheme="minorEastAsia" w:hAnsiTheme="minorEastAsia" w:eastAsiaTheme="minorEastAsia" w:cstheme="minorEastAsia"/>
          <w:color w:val="000000"/>
          <w:sz w:val="32"/>
        </w:rPr>
        <w:t>9</w:t>
      </w:r>
      <w:r>
        <w:rPr>
          <w:rFonts w:hint="eastAsia" w:asciiTheme="minorEastAsia" w:hAnsiTheme="minorEastAsia" w:eastAsiaTheme="minorEastAsia" w:cstheme="minorEastAsia"/>
          <w:color w:val="000000"/>
          <w:sz w:val="32"/>
          <w:lang w:val="zh-CN"/>
        </w:rPr>
        <w:t>年我单位通过部门自评工作，预算绩效打分95分。</w:t>
      </w:r>
    </w:p>
    <w:p>
      <w:pPr>
        <w:widowControl/>
        <w:adjustRightInd w:val="0"/>
        <w:snapToGrid w:val="0"/>
        <w:spacing w:line="580" w:lineRule="exact"/>
        <w:ind w:firstLine="640" w:firstLineChars="20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（二）存在问题。</w:t>
      </w:r>
    </w:p>
    <w:p>
      <w:pPr>
        <w:pStyle w:val="2"/>
        <w:spacing w:before="93"/>
        <w:rPr>
          <w:rFonts w:eastAsiaTheme="minorEastAsia"/>
        </w:rPr>
      </w:pPr>
      <w:r>
        <w:rPr>
          <w:rFonts w:hint="eastAsia" w:asciiTheme="minorEastAsia" w:hAnsiTheme="minorEastAsia" w:eastAsiaTheme="minorEastAsia" w:cstheme="minorEastAsia"/>
          <w:color w:val="000000"/>
          <w:sz w:val="32"/>
          <w:szCs w:val="32"/>
          <w:shd w:val="clear" w:color="auto" w:fill="FFFFFF"/>
        </w:rPr>
        <w:t xml:space="preserve">     建设任务重，对项目的自评意识不足。</w:t>
      </w:r>
    </w:p>
    <w:p>
      <w:pPr>
        <w:widowControl/>
        <w:numPr>
          <w:ilvl w:val="0"/>
          <w:numId w:val="5"/>
        </w:numPr>
        <w:adjustRightInd w:val="0"/>
        <w:snapToGrid w:val="0"/>
        <w:spacing w:line="580" w:lineRule="exact"/>
        <w:ind w:firstLine="640"/>
        <w:contextualSpacing/>
        <w:jc w:val="left"/>
        <w:rPr>
          <w:rFonts w:asciiTheme="minorEastAsia" w:hAnsiTheme="minorEastAsia" w:eastAsiaTheme="minorEastAsia" w:cstheme="minorEastAsia"/>
          <w:color w:val="000000"/>
          <w:kern w:val="0"/>
          <w:sz w:val="32"/>
          <w:szCs w:val="32"/>
          <w:shd w:val="clear" w:color="auto" w:fill="FFFFFF"/>
          <w:lang w:val="zh-CN"/>
        </w:rPr>
      </w:pPr>
      <w:r>
        <w:rPr>
          <w:rFonts w:hint="eastAsia" w:asciiTheme="minorEastAsia" w:hAnsiTheme="minorEastAsia" w:eastAsiaTheme="minorEastAsia" w:cstheme="minorEastAsia"/>
          <w:color w:val="000000"/>
          <w:kern w:val="0"/>
          <w:sz w:val="32"/>
          <w:szCs w:val="32"/>
          <w:shd w:val="clear" w:color="auto" w:fill="FFFFFF"/>
          <w:lang w:val="zh-CN"/>
        </w:rPr>
        <w:t>改进建议。</w:t>
      </w:r>
    </w:p>
    <w:p>
      <w:pPr>
        <w:widowControl/>
        <w:numPr>
          <w:ilvl w:val="0"/>
          <w:numId w:val="5"/>
        </w:numPr>
        <w:adjustRightInd w:val="0"/>
        <w:snapToGrid w:val="0"/>
        <w:spacing w:line="580" w:lineRule="exact"/>
        <w:ind w:firstLine="640"/>
        <w:contextualSpacing/>
        <w:jc w:val="left"/>
        <w:rPr>
          <w:rFonts w:asciiTheme="minorEastAsia" w:hAnsiTheme="minorEastAsia" w:eastAsiaTheme="minorEastAsia" w:cstheme="minorEastAsia"/>
          <w:color w:val="000000"/>
          <w:kern w:val="0"/>
          <w:sz w:val="32"/>
          <w:szCs w:val="32"/>
          <w:shd w:val="clear" w:color="auto" w:fill="FFFFFF"/>
        </w:rPr>
      </w:pPr>
      <w:r>
        <w:rPr>
          <w:rFonts w:hint="eastAsia" w:asciiTheme="minorEastAsia" w:hAnsiTheme="minorEastAsia" w:eastAsiaTheme="minorEastAsia" w:cstheme="minorEastAsia"/>
          <w:color w:val="000000"/>
          <w:kern w:val="0"/>
          <w:sz w:val="32"/>
          <w:szCs w:val="32"/>
          <w:shd w:val="clear" w:color="auto" w:fill="FFFFFF"/>
        </w:rPr>
        <w:t>加强自评意识，促进项目高效运行。</w:t>
      </w:r>
    </w:p>
    <w:p>
      <w:pPr>
        <w:widowControl/>
        <w:adjustRightInd w:val="0"/>
        <w:snapToGrid w:val="0"/>
        <w:spacing w:line="580" w:lineRule="exact"/>
        <w:ind w:left="630"/>
        <w:contextualSpacing/>
        <w:jc w:val="left"/>
        <w:rPr>
          <w:rFonts w:asciiTheme="minorEastAsia" w:hAnsiTheme="minorEastAsia" w:eastAsiaTheme="minorEastAsia" w:cstheme="minorEastAsia"/>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XX</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580" w:lineRule="exact"/>
        <w:ind w:left="319" w:leftChars="152" w:firstLine="774" w:firstLineChars="242"/>
        <w:jc w:val="left"/>
        <w:rPr>
          <w:rFonts w:ascii="仿宋_GB2312" w:hAnsi="宋体" w:eastAsia="仿宋_GB2312"/>
          <w:sz w:val="32"/>
          <w:szCs w:val="32"/>
          <w:lang w:val="zh-CN"/>
        </w:rPr>
      </w:pPr>
      <w:r>
        <w:rPr>
          <w:rFonts w:hint="eastAsia" w:ascii="仿宋_GB2312" w:hAnsi="宋体" w:eastAsia="仿宋_GB2312"/>
          <w:sz w:val="32"/>
          <w:szCs w:val="32"/>
          <w:lang w:val="zh-CN"/>
        </w:rPr>
        <w:t>1．说明项目主管部门（单位）在该项目管理中的职能。</w:t>
      </w:r>
    </w:p>
    <w:p>
      <w:pPr>
        <w:numPr>
          <w:ilvl w:val="0"/>
          <w:numId w:val="6"/>
        </w:num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lang w:val="zh-CN"/>
        </w:rPr>
        <w:t>项目立项、资金申报的依据。</w:t>
      </w:r>
    </w:p>
    <w:p>
      <w:pPr>
        <w:tabs>
          <w:tab w:val="left" w:pos="312"/>
        </w:tabs>
        <w:topLinePunct/>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3．资金管理办法制定情况，资金支持具体项目的条件、范围与支持方式概况。</w:t>
      </w:r>
    </w:p>
    <w:p>
      <w:pPr>
        <w:spacing w:line="580" w:lineRule="exact"/>
        <w:ind w:firstLine="640" w:firstLineChars="200"/>
        <w:jc w:val="left"/>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w:t>
      </w:r>
      <w:r>
        <w:rPr>
          <w:rFonts w:hint="eastAsia" w:ascii="仿宋_GB2312" w:hAnsi="仿宋_GB2312" w:eastAsia="仿宋_GB2312"/>
          <w:color w:val="000000"/>
          <w:sz w:val="32"/>
          <w:lang w:val="zh-CN"/>
        </w:rPr>
        <w:t>严格按照绩效目标的要求，合理安排使用资金，严格控制资金的计划、审批和使用，并按照进度要求及时与财政部门对接，发挥各项资金的最大绩效。</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eastAsia="仿宋_GB2312"/>
        </w:rPr>
      </w:pPr>
      <w:r>
        <w:rPr>
          <w:rFonts w:hint="eastAsia" w:ascii="仿宋_GB2312" w:hAnsi="宋体" w:eastAsia="仿宋_GB2312"/>
          <w:sz w:val="32"/>
          <w:szCs w:val="32"/>
          <w:lang w:val="zh-CN"/>
        </w:rPr>
        <w:t>1．项目主要内容。</w:t>
      </w:r>
    </w:p>
    <w:p>
      <w:pPr>
        <w:adjustRightInd w:val="0"/>
        <w:snapToGrid w:val="0"/>
        <w:spacing w:line="600" w:lineRule="exact"/>
        <w:ind w:left="840"/>
        <w:rPr>
          <w:rFonts w:ascii="仿宋_GB2312" w:hAnsi="宋体" w:eastAsia="仿宋_GB2312"/>
          <w:sz w:val="32"/>
          <w:szCs w:val="32"/>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项目应实现的具体绩效目标，包括目标的量化、细化情况以及项目实施进度计划等。</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3．分析评价申报内容是否与实际相符，申报目标是否合理可行。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eastAsia="仿宋_GB2312"/>
        </w:rPr>
      </w:pPr>
      <w:r>
        <w:rPr>
          <w:rFonts w:hint="eastAsia" w:ascii="仿宋_GB2312" w:hAnsi="宋体" w:eastAsia="仿宋_GB2312"/>
          <w:sz w:val="32"/>
          <w:szCs w:val="32"/>
          <w:lang w:val="zh-CN"/>
        </w:rPr>
        <w:t>说明项目资金申报、批复及预算调整等程序的相关情况。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在说明该项目全省资金计划的基础上，分项目大类或市（州）分别说明各类资金计划情况，包括中央、省、市（州）、县（市、区）财政资金、项目单位自筹、其他渠道资金（包括银行贷款及其他资金等）。</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汇总统计截止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汇总统计截止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r>
        <w:rPr>
          <w:rFonts w:hint="eastAsia" w:ascii="仿宋_GB2312" w:hAnsi="宋体" w:eastAsia="仿宋_GB2312"/>
          <w:sz w:val="32"/>
          <w:szCs w:val="32"/>
          <w:lang w:val="zh-CN"/>
        </w:rPr>
        <w:t>结合项目特点，总体评价各项目实施单位执行相关法律法规及项目管理制度等情况，如招投标、政府采购、项目公示制等相关规定。</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r>
        <w:rPr>
          <w:rFonts w:hint="eastAsia" w:ascii="仿宋_GB2312" w:hAnsi="宋体" w:eastAsia="仿宋_GB2312"/>
          <w:sz w:val="32"/>
          <w:szCs w:val="32"/>
          <w:lang w:val="zh-CN"/>
        </w:rPr>
        <w:t>说明项目主管部门为加强项目管理所采取的监管手段、监管程序、监管工作开展情况及实现的效果等。</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包括项目完成数量、质量、时效、成本等情况，对照项目计划完成目标，对截止评价时点的任务量完成、质量标准、进度计划、成本控制目标的实现程度进行评价，并进行分析说明。</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从项目经济效益、社会效益、生态效益、可持续效益以及服务对象满意度等方面对项目效益进行全面分析评价。</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结合项目自身特点、评价重点及管理办法等要求，围绕专项项目支出绩效评价指标体系对项目进行总体评价。</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针对项目自评中发现的问题，提出下一步改进完善的意见及有关政策性建议。</w:t>
      </w:r>
    </w:p>
    <w:p>
      <w:pPr>
        <w:spacing w:line="580" w:lineRule="exact"/>
        <w:ind w:firstLine="64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4"/>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4"/>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4"/>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4"/>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4"/>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4"/>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4"/>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4"/>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4"/>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4"/>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4"/>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4"/>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4"/>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Arial">
    <w:panose1 w:val="020B0604020202020204"/>
    <w:charset w:val="00"/>
    <w:family w:val="auto"/>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F74C9"/>
    <w:multiLevelType w:val="singleLevel"/>
    <w:tmpl w:val="C57F74C9"/>
    <w:lvl w:ilvl="0" w:tentative="0">
      <w:start w:val="2"/>
      <w:numFmt w:val="decimal"/>
      <w:suff w:val="nothing"/>
      <w:lvlText w:val="%1．"/>
      <w:lvlJc w:val="left"/>
      <w:pPr>
        <w:ind w:left="120"/>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2AF70E8"/>
    <w:multiLevelType w:val="singleLevel"/>
    <w:tmpl w:val="22AF70E8"/>
    <w:lvl w:ilvl="0" w:tentative="0">
      <w:start w:val="3"/>
      <w:numFmt w:val="chineseCounting"/>
      <w:suff w:val="nothing"/>
      <w:lvlText w:val="（%1）"/>
      <w:lvlJc w:val="left"/>
      <w:pPr>
        <w:ind w:left="-10"/>
      </w:pPr>
      <w:rPr>
        <w:rFonts w:hint="eastAsia"/>
      </w:rPr>
    </w:lvl>
  </w:abstractNum>
  <w:abstractNum w:abstractNumId="5">
    <w:nsid w:val="7D1C0159"/>
    <w:multiLevelType w:val="singleLevel"/>
    <w:tmpl w:val="7D1C0159"/>
    <w:lvl w:ilvl="0" w:tentative="0">
      <w:start w:val="2"/>
      <w:numFmt w:val="chineseCounting"/>
      <w:suff w:val="nothing"/>
      <w:lvlText w:val="%1、"/>
      <w:lvlJc w:val="left"/>
      <w:rPr>
        <w:rFonts w:hint="eastAsia"/>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6B3D"/>
    <w:rsid w:val="000E6613"/>
    <w:rsid w:val="000E7119"/>
    <w:rsid w:val="00114E9B"/>
    <w:rsid w:val="00141FF6"/>
    <w:rsid w:val="00142216"/>
    <w:rsid w:val="00144D6A"/>
    <w:rsid w:val="0014729F"/>
    <w:rsid w:val="00157BAB"/>
    <w:rsid w:val="001654D1"/>
    <w:rsid w:val="00172A27"/>
    <w:rsid w:val="00174518"/>
    <w:rsid w:val="0018106D"/>
    <w:rsid w:val="001877A7"/>
    <w:rsid w:val="00191536"/>
    <w:rsid w:val="00196687"/>
    <w:rsid w:val="001B339A"/>
    <w:rsid w:val="001C0962"/>
    <w:rsid w:val="001D7531"/>
    <w:rsid w:val="001E737D"/>
    <w:rsid w:val="001F0592"/>
    <w:rsid w:val="001F7506"/>
    <w:rsid w:val="002006CD"/>
    <w:rsid w:val="00202B36"/>
    <w:rsid w:val="00204B7A"/>
    <w:rsid w:val="00204CDE"/>
    <w:rsid w:val="0021101A"/>
    <w:rsid w:val="00220536"/>
    <w:rsid w:val="002230BB"/>
    <w:rsid w:val="002251D6"/>
    <w:rsid w:val="00235629"/>
    <w:rsid w:val="00254CE7"/>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74E5A"/>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D664C"/>
    <w:rsid w:val="004E0A2D"/>
    <w:rsid w:val="004E206B"/>
    <w:rsid w:val="004E6DF7"/>
    <w:rsid w:val="004F0FBD"/>
    <w:rsid w:val="004F403E"/>
    <w:rsid w:val="00505A47"/>
    <w:rsid w:val="00505E8C"/>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B16BD"/>
    <w:rsid w:val="007D1682"/>
    <w:rsid w:val="007D312A"/>
    <w:rsid w:val="007D3F19"/>
    <w:rsid w:val="007E23B0"/>
    <w:rsid w:val="007F1991"/>
    <w:rsid w:val="007F2C2F"/>
    <w:rsid w:val="007F55FC"/>
    <w:rsid w:val="007F5665"/>
    <w:rsid w:val="00800112"/>
    <w:rsid w:val="00813348"/>
    <w:rsid w:val="008253BB"/>
    <w:rsid w:val="00825D0C"/>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0736"/>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24DA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0FF4C42"/>
    <w:rsid w:val="04787BBB"/>
    <w:rsid w:val="086B4E61"/>
    <w:rsid w:val="08CE3666"/>
    <w:rsid w:val="09231D71"/>
    <w:rsid w:val="0CF506E8"/>
    <w:rsid w:val="10C055FF"/>
    <w:rsid w:val="12CB6F63"/>
    <w:rsid w:val="12EA52C0"/>
    <w:rsid w:val="13E56687"/>
    <w:rsid w:val="16BB723D"/>
    <w:rsid w:val="1966790C"/>
    <w:rsid w:val="1A10063A"/>
    <w:rsid w:val="1D762E67"/>
    <w:rsid w:val="209E1AF1"/>
    <w:rsid w:val="21B9390C"/>
    <w:rsid w:val="21CF2016"/>
    <w:rsid w:val="239408CA"/>
    <w:rsid w:val="240371BF"/>
    <w:rsid w:val="250F11AF"/>
    <w:rsid w:val="255F24D9"/>
    <w:rsid w:val="25953FF7"/>
    <w:rsid w:val="25C20CD6"/>
    <w:rsid w:val="269040A1"/>
    <w:rsid w:val="29FD04D3"/>
    <w:rsid w:val="2A80131D"/>
    <w:rsid w:val="2B5E67DB"/>
    <w:rsid w:val="2C24194C"/>
    <w:rsid w:val="2C65006F"/>
    <w:rsid w:val="309B5F60"/>
    <w:rsid w:val="30ED755F"/>
    <w:rsid w:val="319F7F4E"/>
    <w:rsid w:val="33C773A5"/>
    <w:rsid w:val="33FD2DD4"/>
    <w:rsid w:val="35A54540"/>
    <w:rsid w:val="448753E3"/>
    <w:rsid w:val="47A771EE"/>
    <w:rsid w:val="49B972B3"/>
    <w:rsid w:val="4ECE2238"/>
    <w:rsid w:val="536A148D"/>
    <w:rsid w:val="537009F4"/>
    <w:rsid w:val="55EA34DE"/>
    <w:rsid w:val="563A562E"/>
    <w:rsid w:val="56B120E9"/>
    <w:rsid w:val="5F0C36E1"/>
    <w:rsid w:val="5FF32786"/>
    <w:rsid w:val="60F76EFE"/>
    <w:rsid w:val="64641D4D"/>
    <w:rsid w:val="6D057DDD"/>
    <w:rsid w:val="700A1B06"/>
    <w:rsid w:val="72734D90"/>
    <w:rsid w:val="74B7472E"/>
    <w:rsid w:val="75CC2DFA"/>
    <w:rsid w:val="76434124"/>
    <w:rsid w:val="77E6032A"/>
    <w:rsid w:val="788E7FDE"/>
    <w:rsid w:val="7946380B"/>
    <w:rsid w:val="7A172B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ocuments\Tencent%20Files\3398665203\FileRecv\2018&#24180;&#37492;&#22270;&#65288;2018&#65292;&#24050;&#2668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Documents\Tencent%20Files\3398665203\FileRecv\2018&#24180;&#37492;&#22270;&#65288;2018&#65292;&#24050;&#26680;&#65289;.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Documents\Tencent%20Files\3398665203\FileRecv\2018&#24180;&#37492;&#22270;&#65288;2018&#65292;&#24050;&#26680;&#65289;.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Book1"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78490175801"/>
          <c:y val="0.12858112362123"/>
          <c:w val="0.798345398138574"/>
          <c:h val="0.69514754580911"/>
        </c:manualLayout>
      </c:layout>
      <c:barChart>
        <c:barDir val="col"/>
        <c:grouping val="clustered"/>
        <c:varyColors val="0"/>
        <c:ser>
          <c:idx val="1"/>
          <c:order val="0"/>
          <c:tx>
            <c:strRef>
              <c:f>数3!$B$2</c:f>
              <c:strCache>
                <c:ptCount val="1"/>
                <c:pt idx="0">
                  <c:v>收支总计</c:v>
                </c:pt>
              </c:strCache>
            </c:strRef>
          </c:tx>
          <c:spPr>
            <a:solidFill>
              <a:schemeClr val="accent6">
                <a:lumMod val="40000"/>
                <a:lumOff val="60000"/>
              </a:schemeClr>
            </a:solidFill>
            <a:ln w="12700">
              <a:solidFill>
                <a:srgbClr val="000000"/>
              </a:solidFill>
              <a:prstDash val="solid"/>
            </a:ln>
            <a:scene3d>
              <a:camera prst="orthographicFront"/>
              <a:lightRig rig="threePt" dir="t"/>
            </a:scene3d>
            <a:sp3d>
              <a:bevelT w="165100" prst="coolSlant"/>
            </a:sp3d>
          </c:spPr>
          <c:invertIfNegative val="0"/>
          <c:dLbls>
            <c:dLbl>
              <c:idx val="0"/>
              <c:layout>
                <c:manualLayout>
                  <c:x val="-0.0745493411261737"/>
                  <c:y val="-0.010921858669414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6889087317694"/>
                  <c:y val="0.008234055769009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数3!$A$3:$A$4</c:f>
              <c:strCache>
                <c:ptCount val="2"/>
                <c:pt idx="0">
                  <c:v>2018年</c:v>
                </c:pt>
                <c:pt idx="1">
                  <c:v>2019年</c:v>
                </c:pt>
              </c:strCache>
            </c:strRef>
          </c:cat>
          <c:val>
            <c:numRef>
              <c:f>数3!$B$3:$B$4</c:f>
              <c:numCache>
                <c:formatCode>0.00_);[Red]\(0.00\)</c:formatCode>
                <c:ptCount val="2"/>
                <c:pt idx="0">
                  <c:v>62854.76</c:v>
                </c:pt>
                <c:pt idx="1">
                  <c:v>72135.82</c:v>
                </c:pt>
              </c:numCache>
            </c:numRef>
          </c:val>
        </c:ser>
        <c:dLbls>
          <c:showLegendKey val="0"/>
          <c:showVal val="1"/>
          <c:showCatName val="0"/>
          <c:showSerName val="0"/>
          <c:showPercent val="0"/>
          <c:showBubbleSize val="0"/>
        </c:dLbls>
        <c:gapWidth val="130"/>
        <c:overlap val="-100"/>
        <c:axId val="127783296"/>
        <c:axId val="126881152"/>
      </c:barChart>
      <c:lineChart>
        <c:grouping val="standard"/>
        <c:varyColors val="0"/>
        <c:ser>
          <c:idx val="0"/>
          <c:order val="1"/>
          <c:tx>
            <c:strRef>
              <c:f>数3!$C$2</c:f>
              <c:strCache>
                <c:ptCount val="1"/>
                <c:pt idx="0">
                  <c:v>增长比例</c:v>
                </c:pt>
              </c:strCache>
            </c:strRef>
          </c:tx>
          <c:spPr>
            <a:ln w="38100" cap="rnd" cmpd="sng" algn="ctr">
              <a:solidFill>
                <a:srgbClr val="0000FF"/>
              </a:solidFill>
              <a:prstDash val="solid"/>
              <a:round/>
            </a:ln>
          </c:spPr>
          <c:marker>
            <c:symbol val="circle"/>
            <c:size val="12"/>
            <c:spPr>
              <a:solidFill>
                <a:schemeClr val="accent2">
                  <a:lumMod val="60000"/>
                  <a:lumOff val="40000"/>
                </a:schemeClr>
              </a:solidFill>
              <a:ln w="9525" cap="flat" cmpd="sng" algn="ctr">
                <a:solidFill>
                  <a:srgbClr val="000080"/>
                </a:solidFill>
                <a:prstDash val="solid"/>
                <a:round/>
              </a:ln>
            </c:spPr>
          </c:marker>
          <c:dLbls>
            <c:dLbl>
              <c:idx val="0"/>
              <c:layout>
                <c:manualLayout>
                  <c:x val="0.024914089347079"/>
                  <c:y val="-0.010203117619272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55450855182952"/>
                  <c:y val="0.067194187427993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数3!$A$3:$A$4</c:f>
              <c:strCache>
                <c:ptCount val="2"/>
                <c:pt idx="0">
                  <c:v>2018年</c:v>
                </c:pt>
                <c:pt idx="1">
                  <c:v>2019年</c:v>
                </c:pt>
              </c:strCache>
            </c:strRef>
          </c:cat>
          <c:val>
            <c:numRef>
              <c:f>数3!$C$3:$C$4</c:f>
              <c:numCache>
                <c:formatCode>0.00_);[Red]\(0.00\)</c:formatCode>
                <c:ptCount val="2"/>
                <c:pt idx="0">
                  <c:v>100</c:v>
                </c:pt>
                <c:pt idx="1">
                  <c:v>114.76</c:v>
                </c:pt>
              </c:numCache>
            </c:numRef>
          </c:val>
          <c:smooth val="0"/>
        </c:ser>
        <c:dLbls>
          <c:showLegendKey val="0"/>
          <c:showVal val="1"/>
          <c:showCatName val="0"/>
          <c:showSerName val="0"/>
          <c:showPercent val="0"/>
          <c:showBubbleSize val="0"/>
        </c:dLbls>
        <c:marker val="1"/>
        <c:smooth val="0"/>
        <c:axId val="125773312"/>
        <c:axId val="125774848"/>
      </c:lineChart>
      <c:catAx>
        <c:axId val="12778329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6881152"/>
        <c:crosses val="autoZero"/>
        <c:auto val="0"/>
        <c:lblAlgn val="ctr"/>
        <c:lblOffset val="100"/>
        <c:tickLblSkip val="1"/>
        <c:noMultiLvlLbl val="0"/>
      </c:catAx>
      <c:valAx>
        <c:axId val="126881152"/>
        <c:scaling>
          <c:orientation val="minMax"/>
        </c:scaling>
        <c:delete val="0"/>
        <c:axPos val="l"/>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7783296"/>
        <c:crosses val="autoZero"/>
        <c:crossBetween val="between"/>
      </c:valAx>
      <c:catAx>
        <c:axId val="125773312"/>
        <c:scaling>
          <c:orientation val="minMax"/>
        </c:scaling>
        <c:delete val="1"/>
        <c:axPos val="b"/>
        <c:majorTickMark val="out"/>
        <c:minorTickMark val="none"/>
        <c:tickLblPos val="none"/>
        <c:txPr>
          <a:bodyPr rot="-6000000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5774848"/>
        <c:crosses val="autoZero"/>
        <c:auto val="0"/>
        <c:lblAlgn val="ctr"/>
        <c:lblOffset val="100"/>
        <c:noMultiLvlLbl val="0"/>
      </c:catAx>
      <c:valAx>
        <c:axId val="125774848"/>
        <c:scaling>
          <c:orientation val="minMax"/>
        </c:scaling>
        <c:delete val="0"/>
        <c:axPos val="r"/>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5773312"/>
        <c:crosses val="max"/>
        <c:crossBetween val="between"/>
      </c:valAx>
      <c:spPr>
        <a:noFill/>
        <a:ln w="25400">
          <a:noFill/>
        </a:ln>
      </c:spPr>
    </c:plotArea>
    <c:legend>
      <c:legendPos val="r"/>
      <c:layout>
        <c:manualLayout>
          <c:xMode val="edge"/>
          <c:yMode val="edge"/>
          <c:x val="0.225672944232486"/>
          <c:y val="0.901527859678333"/>
          <c:w val="0.487499932353817"/>
          <c:h val="0.0609999961458563"/>
        </c:manualLayout>
      </c:layout>
      <c:overlay val="0"/>
      <c:spPr>
        <a:solidFill>
          <a:srgbClr val="FFFFFF">
            <a:alpha val="100000"/>
          </a:srgbClr>
        </a:solidFill>
        <a:ln w="3175">
          <a:noFill/>
        </a:ln>
      </c:spPr>
      <c:txPr>
        <a:bodyPr rot="0" spcFirstLastPara="0" vertOverflow="ellipsis" vert="horz" wrap="square" anchor="ctr" anchorCtr="1"/>
        <a:lstStyle/>
        <a:p>
          <a:pPr>
            <a:defRPr lang="zh-CN" sz="105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105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6254763820158"/>
          <c:y val="0.0663743610995994"/>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Sheet1!$A$11</c:f>
              <c:strCache>
                <c:ptCount val="1"/>
                <c:pt idx="0">
                  <c:v>2019年收入情况</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211223519660662"/>
                  <c:y val="0.0406583782290371"/>
                </c:manualLayout>
              </c:layout>
              <c:tx>
                <c:rich>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r>
                      <a:rPr lang="zh-CN" altLang="en-US"/>
                      <a:t>一般公共预算财政拨款收入</a:t>
                    </a:r>
                    <a:r>
                      <a:rPr lang="en-US" altLang="zh-CN"/>
                      <a:t>,  59%</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282585342466866"/>
                  <c:y val="0.239611824837685"/>
                </c:manualLayout>
              </c:layout>
              <c:tx>
                <c:rich>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r>
                      <a:rPr lang="zh-CN" altLang="en-US"/>
                      <a:t>政府性基政府性基金预算财政拨款收入金预算财政拨款</a:t>
                    </a:r>
                    <a:r>
                      <a:rPr lang="en-US" altLang="zh-CN"/>
                      <a:t>,  41%</a:t>
                    </a:r>
                    <a:endParaRPr lang="en-US" altLang="zh-CN"/>
                  </a:p>
                </c:rich>
              </c:tx>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1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Sheet1!$B$10:$H$10</c:f>
              <c:strCache>
                <c:ptCount val="7"/>
                <c:pt idx="0">
                  <c:v>一般公共预算财政拨款收入</c:v>
                </c:pt>
                <c:pt idx="1">
                  <c:v>政府性基政府性基金预算财政拨款收入金预算财政拨款</c:v>
                </c:pt>
                <c:pt idx="2">
                  <c:v>上级补助收入</c:v>
                </c:pt>
                <c:pt idx="3">
                  <c:v>事业收入</c:v>
                </c:pt>
                <c:pt idx="4">
                  <c:v>经营收入</c:v>
                </c:pt>
                <c:pt idx="5">
                  <c:v>附属单位上缴收入</c:v>
                </c:pt>
                <c:pt idx="6">
                  <c:v>其他收入</c:v>
                </c:pt>
              </c:strCache>
            </c:strRef>
          </c:cat>
          <c:val>
            <c:numRef>
              <c:f>Sheet1!$B$11:$H$11</c:f>
              <c:numCache>
                <c:formatCode>General</c:formatCode>
                <c:ptCount val="7"/>
                <c:pt idx="0">
                  <c:v>25777.93</c:v>
                </c:pt>
                <c:pt idx="1">
                  <c:v>17825.39</c:v>
                </c:pt>
              </c:numCache>
            </c:numRef>
          </c:val>
        </c:ser>
        <c:dLbls>
          <c:showLegendKey val="0"/>
          <c:showVal val="1"/>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66821645718669"/>
          <c:y val="0.037914682510559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62716187476256"/>
          <c:y val="0.221662568779448"/>
          <c:w val="0.468398141423322"/>
          <c:h val="0.715916528985451"/>
        </c:manualLayout>
      </c:layout>
      <c:pieChart>
        <c:varyColors val="1"/>
        <c:ser>
          <c:idx val="0"/>
          <c:order val="0"/>
          <c:tx>
            <c:strRef>
              <c:f>Sheet1!$A$17</c:f>
              <c:strCache>
                <c:ptCount val="1"/>
                <c:pt idx="0">
                  <c:v>2019年支出情况</c:v>
                </c:pt>
              </c:strCache>
            </c:strRef>
          </c:tx>
          <c:explosion val="0"/>
          <c:dPt>
            <c:idx val="0"/>
            <c:bubble3D val="0"/>
          </c:dPt>
          <c:dPt>
            <c:idx val="1"/>
            <c:bubble3D val="0"/>
          </c:dPt>
          <c:dLbls>
            <c:dLbl>
              <c:idx val="0"/>
              <c:layout>
                <c:manualLayout>
                  <c:x val="0.279432862612406"/>
                  <c:y val="0.0349131034784732"/>
                </c:manualLayout>
              </c:layout>
              <c:tx>
                <c:rich>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r>
                      <a:rPr lang="zh-CN" altLang="en-US"/>
                      <a:t>基本支出
</a:t>
                    </a:r>
                    <a:r>
                      <a:rPr lang="en-US" altLang="zh-CN"/>
                      <a:t>0.73%</a:t>
                    </a:r>
                    <a:endParaRPr lang="en-US" altLang="zh-CN"/>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96520491318971"/>
                  <c:y val="-0.76080562231951"/>
                </c:manualLayout>
              </c:layout>
              <c:tx>
                <c:rich>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r>
                      <a:rPr lang="zh-CN" altLang="en-US"/>
                      <a:t>项目支出
</a:t>
                    </a:r>
                    <a:r>
                      <a:rPr lang="en-US" altLang="zh-CN"/>
                      <a:t>99.27%</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Sheet1!$B$16:$C$16</c:f>
              <c:strCache>
                <c:ptCount val="2"/>
                <c:pt idx="0">
                  <c:v>基本支出</c:v>
                </c:pt>
                <c:pt idx="1">
                  <c:v>项目支出</c:v>
                </c:pt>
              </c:strCache>
            </c:strRef>
          </c:cat>
          <c:val>
            <c:numRef>
              <c:f>Sheet1!$B$17:$C$17</c:f>
              <c:numCache>
                <c:formatCode>General</c:formatCode>
                <c:ptCount val="2"/>
                <c:pt idx="0">
                  <c:v>523.18</c:v>
                </c:pt>
                <c:pt idx="1">
                  <c:v>71612.64</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78490175801"/>
          <c:y val="0.141389094833729"/>
          <c:w val="0.798345398138574"/>
          <c:h val="0.682339647255187"/>
        </c:manualLayout>
      </c:layout>
      <c:barChart>
        <c:barDir val="col"/>
        <c:grouping val="clustered"/>
        <c:varyColors val="0"/>
        <c:ser>
          <c:idx val="1"/>
          <c:order val="0"/>
          <c:tx>
            <c:strRef>
              <c:f>数3!$B$13</c:f>
              <c:strCache>
                <c:ptCount val="1"/>
                <c:pt idx="0">
                  <c:v>财政拨款收支总计</c:v>
                </c:pt>
              </c:strCache>
            </c:strRef>
          </c:tx>
          <c:spPr>
            <a:solidFill>
              <a:schemeClr val="accent6">
                <a:lumMod val="40000"/>
                <a:lumOff val="60000"/>
              </a:schemeClr>
            </a:solidFill>
            <a:ln w="12700">
              <a:solidFill>
                <a:srgbClr val="000000"/>
              </a:solidFill>
              <a:prstDash val="solid"/>
            </a:ln>
            <a:scene3d>
              <a:camera prst="orthographicFront"/>
              <a:lightRig rig="threePt" dir="t"/>
            </a:scene3d>
            <a:sp3d>
              <a:bevelT w="165100" prst="coolSlant"/>
            </a:sp3d>
          </c:spPr>
          <c:invertIfNegative val="0"/>
          <c:dLbls>
            <c:dLbl>
              <c:idx val="0"/>
              <c:layout>
                <c:manualLayout>
                  <c:x val="-0.0745493411261737"/>
                  <c:y val="-0.010921858669414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06889087317694"/>
                  <c:y val="0.0082340557690090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数3!$A$14:$A$15</c:f>
              <c:strCache>
                <c:ptCount val="2"/>
                <c:pt idx="0">
                  <c:v>2018年</c:v>
                </c:pt>
                <c:pt idx="1">
                  <c:v>2019年</c:v>
                </c:pt>
              </c:strCache>
            </c:strRef>
          </c:cat>
          <c:val>
            <c:numRef>
              <c:f>数3!$B$14:$B$15</c:f>
              <c:numCache>
                <c:formatCode>0.00_);[Red]\(0.00\)</c:formatCode>
                <c:ptCount val="2"/>
                <c:pt idx="0">
                  <c:v>62854.76</c:v>
                </c:pt>
                <c:pt idx="1">
                  <c:v>72135.82</c:v>
                </c:pt>
              </c:numCache>
            </c:numRef>
          </c:val>
        </c:ser>
        <c:dLbls>
          <c:showLegendKey val="0"/>
          <c:showVal val="1"/>
          <c:showCatName val="0"/>
          <c:showSerName val="0"/>
          <c:showPercent val="0"/>
          <c:showBubbleSize val="0"/>
        </c:dLbls>
        <c:gapWidth val="130"/>
        <c:overlap val="-100"/>
        <c:axId val="126071936"/>
        <c:axId val="126073472"/>
      </c:barChart>
      <c:lineChart>
        <c:grouping val="standard"/>
        <c:varyColors val="0"/>
        <c:ser>
          <c:idx val="0"/>
          <c:order val="1"/>
          <c:tx>
            <c:strRef>
              <c:f>数3!$C$13</c:f>
              <c:strCache>
                <c:ptCount val="1"/>
                <c:pt idx="0">
                  <c:v>增长比例</c:v>
                </c:pt>
              </c:strCache>
            </c:strRef>
          </c:tx>
          <c:spPr>
            <a:ln w="38100" cap="rnd" cmpd="sng" algn="ctr">
              <a:solidFill>
                <a:srgbClr val="0000FF"/>
              </a:solidFill>
              <a:prstDash val="solid"/>
              <a:round/>
            </a:ln>
          </c:spPr>
          <c:marker>
            <c:symbol val="circle"/>
            <c:size val="12"/>
            <c:spPr>
              <a:solidFill>
                <a:schemeClr val="accent2">
                  <a:lumMod val="60000"/>
                  <a:lumOff val="40000"/>
                </a:schemeClr>
              </a:solidFill>
              <a:ln w="9525" cap="flat" cmpd="sng" algn="ctr">
                <a:solidFill>
                  <a:srgbClr val="000080"/>
                </a:solidFill>
                <a:prstDash val="solid"/>
                <a:round/>
              </a:ln>
            </c:spPr>
          </c:marker>
          <c:dLbls>
            <c:dLbl>
              <c:idx val="0"/>
              <c:layout>
                <c:manualLayout>
                  <c:x val="0.024914089347079"/>
                  <c:y val="-0.010203117619272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94266309494818"/>
                  <c:y val="0.03502936483435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数3!$A$14:$A$15</c:f>
              <c:strCache>
                <c:ptCount val="2"/>
                <c:pt idx="0">
                  <c:v>2018年</c:v>
                </c:pt>
                <c:pt idx="1">
                  <c:v>2019年</c:v>
                </c:pt>
              </c:strCache>
            </c:strRef>
          </c:cat>
          <c:val>
            <c:numRef>
              <c:f>数3!$C$14:$C$15</c:f>
              <c:numCache>
                <c:formatCode>0.00_);[Red]\(0.00\)</c:formatCode>
                <c:ptCount val="2"/>
                <c:pt idx="0">
                  <c:v>100</c:v>
                </c:pt>
                <c:pt idx="1">
                  <c:v>114.76</c:v>
                </c:pt>
              </c:numCache>
            </c:numRef>
          </c:val>
          <c:smooth val="0"/>
        </c:ser>
        <c:dLbls>
          <c:showLegendKey val="0"/>
          <c:showVal val="1"/>
          <c:showCatName val="0"/>
          <c:showSerName val="0"/>
          <c:showPercent val="0"/>
          <c:showBubbleSize val="0"/>
        </c:dLbls>
        <c:marker val="1"/>
        <c:smooth val="0"/>
        <c:axId val="126128512"/>
        <c:axId val="126130048"/>
      </c:lineChart>
      <c:catAx>
        <c:axId val="12607193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6073472"/>
        <c:crosses val="autoZero"/>
        <c:auto val="0"/>
        <c:lblAlgn val="ctr"/>
        <c:lblOffset val="100"/>
        <c:tickLblSkip val="1"/>
        <c:noMultiLvlLbl val="0"/>
      </c:catAx>
      <c:valAx>
        <c:axId val="126073472"/>
        <c:scaling>
          <c:orientation val="minMax"/>
        </c:scaling>
        <c:delete val="0"/>
        <c:axPos val="l"/>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6071936"/>
        <c:crosses val="autoZero"/>
        <c:crossBetween val="between"/>
      </c:valAx>
      <c:catAx>
        <c:axId val="126128512"/>
        <c:scaling>
          <c:orientation val="minMax"/>
        </c:scaling>
        <c:delete val="1"/>
        <c:axPos val="b"/>
        <c:majorTickMark val="out"/>
        <c:minorTickMark val="none"/>
        <c:tickLblPos val="none"/>
        <c:txPr>
          <a:bodyPr rot="-6000000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6130048"/>
        <c:crosses val="autoZero"/>
        <c:auto val="0"/>
        <c:lblAlgn val="ctr"/>
        <c:lblOffset val="100"/>
        <c:noMultiLvlLbl val="0"/>
      </c:catAx>
      <c:valAx>
        <c:axId val="126130048"/>
        <c:scaling>
          <c:orientation val="minMax"/>
        </c:scaling>
        <c:delete val="0"/>
        <c:axPos val="r"/>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6128512"/>
        <c:crosses val="max"/>
        <c:crossBetween val="between"/>
      </c:valAx>
      <c:spPr>
        <a:noFill/>
        <a:ln w="25400">
          <a:noFill/>
        </a:ln>
      </c:spPr>
    </c:plotArea>
    <c:legend>
      <c:legendPos val="r"/>
      <c:layout>
        <c:manualLayout>
          <c:xMode val="edge"/>
          <c:yMode val="edge"/>
          <c:x val="0.225672944232486"/>
          <c:y val="0.901527859678333"/>
          <c:w val="0.487499932353817"/>
          <c:h val="0.0609999961458563"/>
        </c:manualLayout>
      </c:layout>
      <c:overlay val="0"/>
      <c:spPr>
        <a:solidFill>
          <a:srgbClr val="FFFFFF">
            <a:alpha val="100000"/>
          </a:srgbClr>
        </a:solidFill>
        <a:ln w="3175">
          <a:noFill/>
        </a:ln>
      </c:spPr>
      <c:txPr>
        <a:bodyPr rot="0" spcFirstLastPara="0" vertOverflow="ellipsis" vert="horz" wrap="square" anchor="ctr" anchorCtr="1"/>
        <a:lstStyle/>
        <a:p>
          <a:pPr>
            <a:defRPr lang="zh-CN" sz="11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110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378490175801"/>
          <c:y val="0.138359631901478"/>
          <c:w val="0.798345398138574"/>
          <c:h val="0.685369133426452"/>
        </c:manualLayout>
      </c:layout>
      <c:barChart>
        <c:barDir val="col"/>
        <c:grouping val="clustered"/>
        <c:varyColors val="0"/>
        <c:ser>
          <c:idx val="1"/>
          <c:order val="0"/>
          <c:tx>
            <c:strRef>
              <c:f>数3!$B$19</c:f>
              <c:strCache>
                <c:ptCount val="1"/>
                <c:pt idx="0">
                  <c:v>一般公共预算财政拨款支出总计</c:v>
                </c:pt>
              </c:strCache>
            </c:strRef>
          </c:tx>
          <c:spPr>
            <a:solidFill>
              <a:schemeClr val="accent6">
                <a:lumMod val="40000"/>
                <a:lumOff val="60000"/>
              </a:schemeClr>
            </a:solidFill>
            <a:ln w="12700">
              <a:solidFill>
                <a:srgbClr val="000000"/>
              </a:solidFill>
              <a:prstDash val="solid"/>
            </a:ln>
            <a:scene3d>
              <a:camera prst="orthographicFront"/>
              <a:lightRig rig="threePt" dir="t"/>
            </a:scene3d>
            <a:sp3d>
              <a:bevelT w="165100" prst="coolSlant"/>
            </a:sp3d>
          </c:spPr>
          <c:invertIfNegative val="0"/>
          <c:dLbls>
            <c:dLbl>
              <c:idx val="0"/>
              <c:layout>
                <c:manualLayout>
                  <c:x val="-0.079365073346087"/>
                  <c:y val="-0.010921934903829"/>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70233262739581"/>
                  <c:y val="-0.0019941041310009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数3!$A$20:$A$21</c:f>
              <c:strCache>
                <c:ptCount val="2"/>
                <c:pt idx="0">
                  <c:v>2018年</c:v>
                </c:pt>
                <c:pt idx="1">
                  <c:v>2019年</c:v>
                </c:pt>
              </c:strCache>
            </c:strRef>
          </c:cat>
          <c:val>
            <c:numRef>
              <c:f>数3!$B$20:$B$21</c:f>
              <c:numCache>
                <c:formatCode>0.00_);[Red]\(0.00\)</c:formatCode>
                <c:ptCount val="2"/>
                <c:pt idx="0">
                  <c:v>3399.08</c:v>
                </c:pt>
                <c:pt idx="1">
                  <c:v>54233.44</c:v>
                </c:pt>
              </c:numCache>
            </c:numRef>
          </c:val>
        </c:ser>
        <c:dLbls>
          <c:showLegendKey val="0"/>
          <c:showVal val="1"/>
          <c:showCatName val="0"/>
          <c:showSerName val="0"/>
          <c:showPercent val="0"/>
          <c:showBubbleSize val="0"/>
        </c:dLbls>
        <c:gapWidth val="130"/>
        <c:overlap val="-100"/>
        <c:axId val="126201856"/>
        <c:axId val="126203392"/>
      </c:barChart>
      <c:lineChart>
        <c:grouping val="standard"/>
        <c:varyColors val="0"/>
        <c:ser>
          <c:idx val="0"/>
          <c:order val="1"/>
          <c:tx>
            <c:strRef>
              <c:f>数3!$C$19</c:f>
              <c:strCache>
                <c:ptCount val="1"/>
                <c:pt idx="0">
                  <c:v>增长比例</c:v>
                </c:pt>
              </c:strCache>
            </c:strRef>
          </c:tx>
          <c:spPr>
            <a:ln w="38100" cap="rnd" cmpd="sng" algn="ctr">
              <a:solidFill>
                <a:srgbClr val="0000FF"/>
              </a:solidFill>
              <a:prstDash val="solid"/>
              <a:round/>
            </a:ln>
          </c:spPr>
          <c:marker>
            <c:symbol val="circle"/>
            <c:size val="12"/>
            <c:spPr>
              <a:solidFill>
                <a:schemeClr val="accent2">
                  <a:lumMod val="60000"/>
                  <a:lumOff val="40000"/>
                </a:schemeClr>
              </a:solidFill>
              <a:ln w="9525" cap="flat" cmpd="sng" algn="ctr">
                <a:solidFill>
                  <a:srgbClr val="000080"/>
                </a:solidFill>
                <a:prstDash val="solid"/>
                <a:round/>
              </a:ln>
            </c:spPr>
          </c:marker>
          <c:dLbls>
            <c:dLbl>
              <c:idx val="0"/>
              <c:layout>
                <c:manualLayout>
                  <c:x val="0.0152825677671582"/>
                  <c:y val="-0.02725007187956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07292897080376"/>
                  <c:y val="0.058895333962777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数3!$A$20:$A$21</c:f>
              <c:strCache>
                <c:ptCount val="2"/>
                <c:pt idx="0">
                  <c:v>2018年</c:v>
                </c:pt>
                <c:pt idx="1">
                  <c:v>2019年</c:v>
                </c:pt>
              </c:strCache>
            </c:strRef>
          </c:cat>
          <c:val>
            <c:numRef>
              <c:f>数3!$C$20:$C$21</c:f>
              <c:numCache>
                <c:formatCode>0.00_);[Red]\(0.00\)</c:formatCode>
                <c:ptCount val="2"/>
                <c:pt idx="0">
                  <c:v>100</c:v>
                </c:pt>
                <c:pt idx="1">
                  <c:v>1495.53</c:v>
                </c:pt>
              </c:numCache>
            </c:numRef>
          </c:val>
          <c:smooth val="0"/>
        </c:ser>
        <c:dLbls>
          <c:showLegendKey val="0"/>
          <c:showVal val="1"/>
          <c:showCatName val="0"/>
          <c:showSerName val="0"/>
          <c:showPercent val="0"/>
          <c:showBubbleSize val="0"/>
        </c:dLbls>
        <c:marker val="1"/>
        <c:smooth val="0"/>
        <c:axId val="126204928"/>
        <c:axId val="126227200"/>
      </c:lineChart>
      <c:catAx>
        <c:axId val="12620185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6203392"/>
        <c:crosses val="autoZero"/>
        <c:auto val="0"/>
        <c:lblAlgn val="ctr"/>
        <c:lblOffset val="100"/>
        <c:tickLblSkip val="1"/>
        <c:noMultiLvlLbl val="0"/>
      </c:catAx>
      <c:valAx>
        <c:axId val="126203392"/>
        <c:scaling>
          <c:orientation val="minMax"/>
        </c:scaling>
        <c:delete val="0"/>
        <c:axPos val="l"/>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6201856"/>
        <c:crosses val="autoZero"/>
        <c:crossBetween val="between"/>
      </c:valAx>
      <c:catAx>
        <c:axId val="126204928"/>
        <c:scaling>
          <c:orientation val="minMax"/>
        </c:scaling>
        <c:delete val="1"/>
        <c:axPos val="b"/>
        <c:majorTickMark val="out"/>
        <c:minorTickMark val="none"/>
        <c:tickLblPos val="none"/>
        <c:txPr>
          <a:bodyPr rot="-6000000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6227200"/>
        <c:crosses val="autoZero"/>
        <c:auto val="0"/>
        <c:lblAlgn val="ctr"/>
        <c:lblOffset val="100"/>
        <c:noMultiLvlLbl val="0"/>
      </c:catAx>
      <c:valAx>
        <c:axId val="126227200"/>
        <c:scaling>
          <c:orientation val="minMax"/>
        </c:scaling>
        <c:delete val="0"/>
        <c:axPos val="r"/>
        <c:numFmt formatCode="0.00_);[Red]\(0.00\)"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crossAx val="126204928"/>
        <c:crosses val="max"/>
        <c:crossBetween val="between"/>
      </c:valAx>
      <c:spPr>
        <a:noFill/>
        <a:ln w="25400">
          <a:noFill/>
        </a:ln>
      </c:spPr>
    </c:plotArea>
    <c:legend>
      <c:legendPos val="r"/>
      <c:layout>
        <c:manualLayout>
          <c:xMode val="edge"/>
          <c:yMode val="edge"/>
          <c:x val="0.177514973522603"/>
          <c:y val="0.901527819873444"/>
          <c:w val="0.680131808710523"/>
          <c:h val="0.0609999961458564"/>
        </c:manualLayout>
      </c:layout>
      <c:overlay val="0"/>
      <c:spPr>
        <a:solidFill>
          <a:srgbClr val="FFFFFF">
            <a:alpha val="100000"/>
          </a:srgbClr>
        </a:solidFill>
        <a:ln w="3175">
          <a:noFill/>
        </a:ln>
      </c:spPr>
      <c:txPr>
        <a:bodyPr rot="0" spcFirstLastPara="0" vertOverflow="ellipsis" vert="horz" wrap="square" anchor="ctr" anchorCtr="1"/>
        <a:lstStyle/>
        <a:p>
          <a:pPr>
            <a:defRPr lang="zh-CN" sz="1000" b="0" i="0" u="none" strike="noStrike" kern="1200" baseline="0">
              <a:solidFill>
                <a:srgbClr val="000000"/>
              </a:solidFill>
              <a:latin typeface="Arial" panose="020B0604020202020204" pitchFamily="2"/>
              <a:ea typeface="Arial" panose="020B0604020202020204" pitchFamily="2"/>
              <a:cs typeface="Arial" panose="020B0604020202020204" pitchFamily="2"/>
            </a:defRPr>
          </a:pPr>
        </a:p>
      </c:txPr>
    </c:legend>
    <c:plotVisOnly val="1"/>
    <c:dispBlanksAs val="gap"/>
    <c:showDLblsOverMax val="0"/>
  </c:chart>
  <c:spPr>
    <a:noFill/>
    <a:ln w="6350" cap="flat" cmpd="sng" algn="ctr">
      <a:noFill/>
      <a:prstDash val="solid"/>
      <a:round/>
    </a:ln>
  </c:spPr>
  <c:txPr>
    <a:bodyPr/>
    <a:lstStyle/>
    <a:p>
      <a:pPr>
        <a:defRPr lang="zh-CN" sz="1000" b="0" i="0" u="none" strike="noStrike" baseline="0">
          <a:solidFill>
            <a:srgbClr val="000000"/>
          </a:solidFill>
          <a:latin typeface="Arial" panose="020B0604020202020204" pitchFamily="2"/>
          <a:ea typeface="Arial" panose="020B0604020202020204" pitchFamily="2"/>
          <a:cs typeface="Arial" panose="020B0604020202020204" pitchFamily="2"/>
        </a:defRPr>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0627777845181"/>
          <c:y val="0.01098901098901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300616737237584"/>
          <c:y val="0.290979900006073"/>
          <c:w val="0.395425063392501"/>
          <c:h val="0.659719450235817"/>
        </c:manualLayout>
      </c:layout>
      <c:pieChart>
        <c:varyColors val="1"/>
        <c:ser>
          <c:idx val="0"/>
          <c:order val="0"/>
          <c:tx>
            <c:strRef>
              <c:f>Sheet1!$A$53</c:f>
              <c:strCache>
                <c:ptCount val="1"/>
                <c:pt idx="0">
                  <c:v>2019年一般公共预算财政拨款支出</c:v>
                </c:pt>
              </c:strCache>
            </c:strRef>
          </c:tx>
          <c:explosion val="0"/>
          <c:dPt>
            <c:idx val="0"/>
            <c:bubble3D val="0"/>
          </c:dPt>
          <c:dPt>
            <c:idx val="1"/>
            <c:bubble3D val="0"/>
          </c:dPt>
          <c:dPt>
            <c:idx val="2"/>
            <c:bubble3D val="0"/>
          </c:dPt>
          <c:dPt>
            <c:idx val="3"/>
            <c:bubble3D val="0"/>
          </c:dPt>
          <c:dPt>
            <c:idx val="4"/>
            <c:bubble3D val="0"/>
          </c:dPt>
          <c:dLbls>
            <c:dLbl>
              <c:idx val="0"/>
              <c:layout>
                <c:manualLayout>
                  <c:x val="0.110303221188261"/>
                  <c:y val="-0.0088653341409247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一般公共服务（类）支出
</a:t>
                    </a:r>
                    <a:r>
                      <a:rPr lang="en-US" altLang="zh-CN"/>
                      <a:t>0.75%</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94571984357118"/>
                  <c:y val="0.093189985867151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社会保障和就业（类）支出
</a:t>
                    </a:r>
                    <a:r>
                      <a:rPr lang="en-US" altLang="zh-CN"/>
                      <a:t>0.09%</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371550524934384"/>
                  <c:y val="-0.20969889180519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城乡社区支出
</a:t>
                    </a:r>
                    <a:r>
                      <a:rPr lang="en-US" altLang="zh-CN"/>
                      <a:t>95.52%</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28731853972799"/>
                  <c:y val="0.0514637593377751"/>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卫生健康支出
</a:t>
                    </a:r>
                    <a:r>
                      <a:rPr lang="en-US" altLang="zh-CN"/>
                      <a:t>0.02%</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854574087329995"/>
                  <c:y val="-0.027943237864497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住房保障支出
</a:t>
                    </a:r>
                    <a:r>
                      <a:rPr lang="en-US" altLang="zh-CN"/>
                      <a:t>3.62%</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Sheet1!$B$52:$F$52</c:f>
              <c:strCache>
                <c:ptCount val="5"/>
                <c:pt idx="0">
                  <c:v>一般公共服务（类）支出</c:v>
                </c:pt>
                <c:pt idx="1">
                  <c:v>社会保障和就业（类）支出</c:v>
                </c:pt>
                <c:pt idx="2">
                  <c:v>城乡社区支出</c:v>
                </c:pt>
                <c:pt idx="3">
                  <c:v>卫生健康支出</c:v>
                </c:pt>
                <c:pt idx="4">
                  <c:v>住房保障支出</c:v>
                </c:pt>
              </c:strCache>
            </c:strRef>
          </c:cat>
          <c:val>
            <c:numRef>
              <c:f>Sheet1!$B$53:$F$53</c:f>
              <c:numCache>
                <c:formatCode>General</c:formatCode>
                <c:ptCount val="5"/>
                <c:pt idx="0">
                  <c:v>405.57</c:v>
                </c:pt>
                <c:pt idx="1">
                  <c:v>51.35</c:v>
                </c:pt>
                <c:pt idx="2">
                  <c:v>51798.21</c:v>
                </c:pt>
                <c:pt idx="3">
                  <c:v>11.28</c:v>
                </c:pt>
                <c:pt idx="4">
                  <c:v>1959.26</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76998975439113"/>
          <c:y val="0.213686534216336"/>
          <c:w val="0.356868843960602"/>
          <c:h val="0.7598233995585"/>
        </c:manualLayout>
      </c:layout>
      <c:pieChart>
        <c:varyColors val="1"/>
        <c:ser>
          <c:idx val="0"/>
          <c:order val="0"/>
          <c:tx>
            <c:strRef>
              <c:f>Sheet1!$A$73</c:f>
              <c:strCache>
                <c:ptCount val="1"/>
                <c:pt idx="0">
                  <c:v>2019年“三公”经费财政拨款支出决算</c:v>
                </c:pt>
              </c:strCache>
            </c:strRef>
          </c:tx>
          <c:explosion val="0"/>
          <c:dPt>
            <c:idx val="0"/>
            <c:bubble3D val="0"/>
          </c:dPt>
          <c:dPt>
            <c:idx val="1"/>
            <c:bubble3D val="0"/>
          </c:dPt>
          <c:dPt>
            <c:idx val="2"/>
            <c:bubble3D val="0"/>
          </c:dPt>
          <c:dLbls>
            <c:dLbl>
              <c:idx val="0"/>
              <c:delete val="1"/>
            </c:dLbl>
            <c:dLbl>
              <c:idx val="1"/>
              <c:layout>
                <c:manualLayout>
                  <c:x val="-0.312354898094971"/>
                  <c:y val="-0.60836627209678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Sheet1!$B$72:$D$72</c:f>
              <c:strCache>
                <c:ptCount val="3"/>
                <c:pt idx="0">
                  <c:v>因公出国（境）费支出决算</c:v>
                </c:pt>
                <c:pt idx="1">
                  <c:v>公务用车购置及运行维护费支出决算</c:v>
                </c:pt>
                <c:pt idx="2">
                  <c:v>公务接待费支出决算</c:v>
                </c:pt>
              </c:strCache>
            </c:strRef>
          </c:cat>
          <c:val>
            <c:numRef>
              <c:f>Sheet1!$B$73:$D$73</c:f>
              <c:numCache>
                <c:formatCode>General</c:formatCode>
                <c:ptCount val="3"/>
                <c:pt idx="0">
                  <c:v>0</c:v>
                </c:pt>
                <c:pt idx="1">
                  <c:v>9.1</c:v>
                </c:pt>
                <c:pt idx="2">
                  <c:v>0</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41297069592585"/>
          <c:y val="0.566009977229668"/>
          <c:w val="0.325525118069418"/>
          <c:h val="0.39954737445898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0.05571</cdr:x>
      <cdr:y>0.00815</cdr:y>
    </cdr:from>
    <cdr:to>
      <cdr:x>0.23296</cdr:x>
      <cdr:y>0.07005</cdr:y>
    </cdr:to>
    <cdr:sp>
      <cdr:nvSpPr>
        <cdr:cNvPr id="2" name="矩形 1"/>
        <cdr:cNvSpPr/>
      </cdr:nvSpPr>
      <cdr:spPr xmlns:a="http://schemas.openxmlformats.org/drawingml/2006/main">
        <a:xfrm xmlns:a="http://schemas.openxmlformats.org/drawingml/2006/main">
          <a:off x="266379" y="24918"/>
          <a:ext cx="847550" cy="189265"/>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200" b="0" i="0" u="none" strike="noStrike" baseline="0">
              <a:solidFill>
                <a:srgbClr val="000000"/>
              </a:solidFill>
              <a:latin typeface="宋体" panose="02010600030101010101" charset="-122"/>
              <a:ea typeface="宋体" panose="02010600030101010101" charset="-122"/>
            </a:rPr>
            <a:t>（万元）</a:t>
          </a:r>
          <a:endParaRPr lang="zh-CN" altLang="en-US" sz="1200" b="0" i="0" u="none" strike="noStrike" baseline="0">
            <a:solidFill>
              <a:srgbClr val="000000"/>
            </a:solidFill>
            <a:latin typeface="宋体" panose="02010600030101010101" charset="-122"/>
            <a:ea typeface="宋体" panose="02010600030101010101" charset="-122"/>
          </a:endParaRPr>
        </a:p>
      </cdr:txBody>
    </cdr:sp>
  </cdr:relSizeAnchor>
  <cdr:relSizeAnchor xmlns:cdr="http://schemas.openxmlformats.org/drawingml/2006/chartDrawing">
    <cdr:from>
      <cdr:x>0.79369</cdr:x>
      <cdr:y>0.00789</cdr:y>
    </cdr:from>
    <cdr:to>
      <cdr:x>0.96093</cdr:x>
      <cdr:y>0.08083</cdr:y>
    </cdr:to>
    <cdr:sp>
      <cdr:nvSpPr>
        <cdr:cNvPr id="3" name="矩形 2"/>
        <cdr:cNvSpPr/>
      </cdr:nvSpPr>
      <cdr:spPr xmlns:a="http://schemas.openxmlformats.org/drawingml/2006/main">
        <a:xfrm xmlns:a="http://schemas.openxmlformats.org/drawingml/2006/main">
          <a:off x="3795069" y="24124"/>
          <a:ext cx="799666" cy="223011"/>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200" b="0" i="0" u="none" strike="noStrike" baseline="0">
              <a:solidFill>
                <a:srgbClr val="000000"/>
              </a:solidFill>
              <a:latin typeface="宋体" panose="02010600030101010101" charset="-122"/>
              <a:ea typeface="宋体" panose="02010600030101010101" charset="-122"/>
            </a:rPr>
            <a:t>（</a:t>
          </a:r>
          <a:r>
            <a:rPr lang="zh-CN" altLang="en-US" sz="1200" b="0" i="0" u="none" strike="noStrike" baseline="0">
              <a:solidFill>
                <a:srgbClr val="000000"/>
              </a:solidFill>
              <a:latin typeface="Arial" panose="020B0604020202020204" pitchFamily="2"/>
              <a:ea typeface="宋体" panose="02010600030101010101" charset="-122"/>
              <a:cs typeface="Arial" panose="020B0604020202020204" pitchFamily="2"/>
            </a:rPr>
            <a:t>%</a:t>
          </a:r>
          <a:r>
            <a:rPr lang="zh-CN" altLang="en-US" sz="1200" b="0" i="0" u="none" strike="noStrike" baseline="0">
              <a:solidFill>
                <a:srgbClr val="000000"/>
              </a:solidFill>
              <a:latin typeface="宋体" panose="02010600030101010101" charset="-122"/>
              <a:ea typeface="宋体" panose="02010600030101010101" charset="-122"/>
              <a:cs typeface="Arial" panose="020B0604020202020204" pitchFamily="2"/>
            </a:rPr>
            <a:t>）</a:t>
          </a:r>
          <a:endParaRPr lang="zh-CN" altLang="en-US" sz="1200" b="0" i="0" u="none" strike="noStrike" baseline="0">
            <a:solidFill>
              <a:srgbClr val="000000"/>
            </a:solidFill>
            <a:latin typeface="宋体" panose="02010600030101010101" charset="-122"/>
            <a:ea typeface="宋体" panose="02010600030101010101" charset="-122"/>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0.24806</cdr:x>
      <cdr:y>0.20142</cdr:y>
    </cdr:from>
    <cdr:to>
      <cdr:x>0.35969</cdr:x>
      <cdr:y>0.3128</cdr:y>
    </cdr:to>
    <cdr:sp>
      <cdr:nvSpPr>
        <cdr:cNvPr id="2" name="直接连接符 1"/>
        <cdr:cNvSpPr/>
      </cdr:nvSpPr>
      <cdr:spPr xmlns:a="http://schemas.openxmlformats.org/drawingml/2006/main">
        <a:xfrm xmlns:a="http://schemas.openxmlformats.org/drawingml/2006/main">
          <a:off x="1524001" y="809627"/>
          <a:ext cx="685800" cy="447674"/>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zh-CN">
            <a:ln>
              <a:solidFill>
                <a:schemeClr val="tx1"/>
              </a:solidFill>
            </a:ln>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0.05571</cdr:x>
      <cdr:y>0.00815</cdr:y>
    </cdr:from>
    <cdr:to>
      <cdr:x>0.21349</cdr:x>
      <cdr:y>0.07961</cdr:y>
    </cdr:to>
    <cdr:sp>
      <cdr:nvSpPr>
        <cdr:cNvPr id="2" name="矩形 1"/>
        <cdr:cNvSpPr/>
      </cdr:nvSpPr>
      <cdr:spPr xmlns:a="http://schemas.openxmlformats.org/drawingml/2006/main">
        <a:xfrm xmlns:a="http://schemas.openxmlformats.org/drawingml/2006/main">
          <a:off x="293832" y="30359"/>
          <a:ext cx="832178" cy="266203"/>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200" b="0" i="0" u="none" strike="noStrike" baseline="0">
              <a:solidFill>
                <a:srgbClr val="000000"/>
              </a:solidFill>
              <a:latin typeface="宋体" panose="02010600030101010101" charset="-122"/>
              <a:ea typeface="宋体" panose="02010600030101010101" charset="-122"/>
            </a:rPr>
            <a:t>（万元）</a:t>
          </a:r>
          <a:endParaRPr lang="zh-CN" altLang="en-US" sz="1200" b="0" i="0" u="none" strike="noStrike" baseline="0">
            <a:solidFill>
              <a:srgbClr val="000000"/>
            </a:solidFill>
            <a:latin typeface="宋体" panose="02010600030101010101" charset="-122"/>
            <a:ea typeface="宋体" panose="02010600030101010101" charset="-122"/>
          </a:endParaRPr>
        </a:p>
      </cdr:txBody>
    </cdr:sp>
  </cdr:relSizeAnchor>
  <cdr:relSizeAnchor xmlns:cdr="http://schemas.openxmlformats.org/drawingml/2006/chartDrawing">
    <cdr:from>
      <cdr:x>0.85741</cdr:x>
      <cdr:y>0.00789</cdr:y>
    </cdr:from>
    <cdr:to>
      <cdr:x>0.96093</cdr:x>
      <cdr:y>0.06052</cdr:y>
    </cdr:to>
    <cdr:sp>
      <cdr:nvSpPr>
        <cdr:cNvPr id="3" name="矩形 2"/>
        <cdr:cNvSpPr/>
      </cdr:nvSpPr>
      <cdr:spPr xmlns:a="http://schemas.openxmlformats.org/drawingml/2006/main">
        <a:xfrm xmlns:a="http://schemas.openxmlformats.org/drawingml/2006/main">
          <a:off x="7698596" y="53040"/>
          <a:ext cx="929496" cy="353751"/>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200" b="0" i="0" u="none" strike="noStrike" baseline="0">
              <a:solidFill>
                <a:srgbClr val="000000"/>
              </a:solidFill>
              <a:latin typeface="宋体" panose="02010600030101010101" charset="-122"/>
              <a:ea typeface="宋体" panose="02010600030101010101" charset="-122"/>
            </a:rPr>
            <a:t>（</a:t>
          </a:r>
          <a:r>
            <a:rPr lang="zh-CN" altLang="en-US" sz="1200" b="0" i="0" u="none" strike="noStrike" baseline="0">
              <a:solidFill>
                <a:srgbClr val="000000"/>
              </a:solidFill>
              <a:latin typeface="Arial" panose="020B0604020202020204" pitchFamily="2"/>
              <a:ea typeface="宋体" panose="02010600030101010101" charset="-122"/>
              <a:cs typeface="Arial" panose="020B0604020202020204" pitchFamily="2"/>
            </a:rPr>
            <a:t>%</a:t>
          </a:r>
          <a:r>
            <a:rPr lang="zh-CN" altLang="en-US" sz="1200" b="0" i="0" u="none" strike="noStrike" baseline="0">
              <a:solidFill>
                <a:srgbClr val="000000"/>
              </a:solidFill>
              <a:latin typeface="宋体" panose="02010600030101010101" charset="-122"/>
              <a:ea typeface="宋体" panose="02010600030101010101" charset="-122"/>
              <a:cs typeface="Arial" panose="020B0604020202020204" pitchFamily="2"/>
            </a:rPr>
            <a:t>）</a:t>
          </a:r>
          <a:endParaRPr lang="zh-CN" altLang="en-US" sz="1200" b="0" i="0" u="none" strike="noStrike" baseline="0">
            <a:solidFill>
              <a:srgbClr val="000000"/>
            </a:solidFill>
            <a:latin typeface="宋体" panose="02010600030101010101" charset="-122"/>
            <a:ea typeface="宋体" panose="02010600030101010101" charset="-122"/>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0.05571</cdr:x>
      <cdr:y>0.00815</cdr:y>
    </cdr:from>
    <cdr:to>
      <cdr:x>0.21505</cdr:x>
      <cdr:y>0.09893</cdr:y>
    </cdr:to>
    <cdr:sp>
      <cdr:nvSpPr>
        <cdr:cNvPr id="2" name="矩形 1"/>
        <cdr:cNvSpPr/>
      </cdr:nvSpPr>
      <cdr:spPr xmlns:a="http://schemas.openxmlformats.org/drawingml/2006/main">
        <a:xfrm xmlns:a="http://schemas.openxmlformats.org/drawingml/2006/main">
          <a:off x="293832" y="30538"/>
          <a:ext cx="840416" cy="340165"/>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200" b="0" i="0" u="none" strike="noStrike" baseline="0">
              <a:solidFill>
                <a:srgbClr val="000000"/>
              </a:solidFill>
              <a:latin typeface="宋体" panose="02010600030101010101" charset="-122"/>
              <a:ea typeface="宋体" panose="02010600030101010101" charset="-122"/>
            </a:rPr>
            <a:t>（万元）</a:t>
          </a:r>
          <a:endParaRPr lang="zh-CN" altLang="en-US" sz="1200" b="0" i="0" u="none" strike="noStrike" baseline="0">
            <a:solidFill>
              <a:srgbClr val="000000"/>
            </a:solidFill>
            <a:latin typeface="宋体" panose="02010600030101010101" charset="-122"/>
            <a:ea typeface="宋体" panose="02010600030101010101" charset="-122"/>
          </a:endParaRPr>
        </a:p>
      </cdr:txBody>
    </cdr:sp>
  </cdr:relSizeAnchor>
  <cdr:relSizeAnchor xmlns:cdr="http://schemas.openxmlformats.org/drawingml/2006/chartDrawing">
    <cdr:from>
      <cdr:x>0.83668</cdr:x>
      <cdr:y>0.00789</cdr:y>
    </cdr:from>
    <cdr:to>
      <cdr:x>0.96093</cdr:x>
      <cdr:y>0.07915</cdr:y>
    </cdr:to>
    <cdr:sp>
      <cdr:nvSpPr>
        <cdr:cNvPr id="3" name="矩形 2"/>
        <cdr:cNvSpPr/>
      </cdr:nvSpPr>
      <cdr:spPr xmlns:a="http://schemas.openxmlformats.org/drawingml/2006/main">
        <a:xfrm xmlns:a="http://schemas.openxmlformats.org/drawingml/2006/main">
          <a:off x="4412908" y="29563"/>
          <a:ext cx="655336" cy="267000"/>
        </a:xfrm>
        <a:prstGeom xmlns:a="http://schemas.openxmlformats.org/drawingml/2006/main" prst="rect">
          <a:avLst/>
        </a:prstGeom>
        <a:noFill/>
        <a:ln>
          <a:noFill/>
        </a:ln>
      </cdr:spPr>
      <cdr:txBody xmlns:a="http://schemas.openxmlformats.org/drawingml/2006/main">
        <a:bodyPr vertOverflow="clip" vert="horz" wrap="square" lIns="27432" tIns="18288" rIns="27432" bIns="0" anchor="t" anchorCtr="0" upright="1">
          <a:normAutofit/>
        </a:bodyPr>
        <a:lstStyle/>
        <a:p>
          <a:pPr algn="ctr" rtl="0">
            <a:defRPr sz="1000"/>
          </a:pPr>
          <a:r>
            <a:rPr lang="zh-CN" altLang="en-US" sz="1200" b="0" i="0" u="none" strike="noStrike" baseline="0">
              <a:solidFill>
                <a:srgbClr val="000000"/>
              </a:solidFill>
              <a:latin typeface="宋体" panose="02010600030101010101" charset="-122"/>
              <a:ea typeface="宋体" panose="02010600030101010101" charset="-122"/>
            </a:rPr>
            <a:t>（</a:t>
          </a:r>
          <a:r>
            <a:rPr lang="zh-CN" altLang="en-US" sz="1200" b="0" i="0" u="none" strike="noStrike" baseline="0">
              <a:solidFill>
                <a:srgbClr val="000000"/>
              </a:solidFill>
              <a:latin typeface="Arial" panose="020B0604020202020204" pitchFamily="2"/>
              <a:ea typeface="宋体" panose="02010600030101010101" charset="-122"/>
              <a:cs typeface="Arial" panose="020B0604020202020204" pitchFamily="2"/>
            </a:rPr>
            <a:t>%</a:t>
          </a:r>
          <a:r>
            <a:rPr lang="zh-CN" altLang="en-US" sz="1200" b="0" i="0" u="none" strike="noStrike" baseline="0">
              <a:solidFill>
                <a:srgbClr val="000000"/>
              </a:solidFill>
              <a:latin typeface="宋体" panose="02010600030101010101" charset="-122"/>
              <a:ea typeface="宋体" panose="02010600030101010101" charset="-122"/>
              <a:cs typeface="Arial" panose="020B0604020202020204" pitchFamily="2"/>
            </a:rPr>
            <a:t>）</a:t>
          </a:r>
          <a:endParaRPr lang="zh-CN" altLang="en-US" sz="1200" b="0" i="0" u="none" strike="noStrike" baseline="0">
            <a:solidFill>
              <a:srgbClr val="000000"/>
            </a:solidFill>
            <a:latin typeface="宋体" panose="02010600030101010101" charset="-122"/>
            <a:ea typeface="宋体" panose="02010600030101010101" charset="-122"/>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0.24199</cdr:x>
      <cdr:y>0.6839</cdr:y>
    </cdr:from>
    <cdr:to>
      <cdr:x>0.31242</cdr:x>
      <cdr:y>0.72909</cdr:y>
    </cdr:to>
    <cdr:sp>
      <cdr:nvSpPr>
        <cdr:cNvPr id="2" name="直接连接符 1"/>
        <cdr:cNvSpPr/>
      </cdr:nvSpPr>
      <cdr:spPr xmlns:a="http://schemas.openxmlformats.org/drawingml/2006/main">
        <a:xfrm xmlns:a="http://schemas.openxmlformats.org/drawingml/2006/main" flipV="1">
          <a:off x="1276350" y="2162174"/>
          <a:ext cx="371475" cy="142875"/>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zh-CN"/>
        </a:p>
      </cdr:txBody>
    </cdr:sp>
  </cdr:relSizeAnchor>
</c:userShapes>
</file>

<file path=word/drawings/drawing6.xml><?xml version="1.0" encoding="utf-8"?>
<c:userShapes xmlns:c="http://schemas.openxmlformats.org/drawingml/2006/chart">
  <cdr:relSizeAnchor xmlns:cdr="http://schemas.openxmlformats.org/drawingml/2006/chartDrawing">
    <cdr:from>
      <cdr:x>0.22862</cdr:x>
      <cdr:y>0.34437</cdr:y>
    </cdr:from>
    <cdr:to>
      <cdr:x>0.30482</cdr:x>
      <cdr:y>0.4702</cdr:y>
    </cdr:to>
    <cdr:sp>
      <cdr:nvSpPr>
        <cdr:cNvPr id="2" name="直接连接符 1"/>
        <cdr:cNvSpPr/>
      </cdr:nvSpPr>
      <cdr:spPr xmlns:a="http://schemas.openxmlformats.org/drawingml/2006/main">
        <a:xfrm xmlns:a="http://schemas.openxmlformats.org/drawingml/2006/main">
          <a:off x="1400176" y="990600"/>
          <a:ext cx="466725" cy="361950"/>
        </a:xfrm>
        <a:prstGeom xmlns:a="http://schemas.openxmlformats.org/drawingml/2006/main" prst="line">
          <a:avLst/>
        </a:prstGeom>
        <a:l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xmlns:a="http://schemas.openxmlformats.org/drawingml/2006/main">
        <a:bodyPr vertOverflow="clip" vert="horz" wrap="none" lIns="45720" tIns="45720" rIns="45720" bIns="45720" anchor="t" anchorCtr="0">
          <a:normAutofit/>
        </a:bodyPr>
        <a:lstStyle/>
        <a:p>
          <a:endParaRPr lang="zh-CN"/>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55C834-5068-4730-BDC0-F94EB4350D5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1524</Words>
  <Characters>8688</Characters>
  <Lines>72</Lines>
  <Paragraphs>20</Paragraphs>
  <TotalTime>0</TotalTime>
  <ScaleCrop>false</ScaleCrop>
  <LinksUpToDate>false</LinksUpToDate>
  <CharactersWithSpaces>10192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2020-10-26T08:41:05Z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