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bookmarkStart w:id="73" w:name="_GoBack"/>
      <w:bookmarkEnd w:id="73"/>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96475"/>
      <w:bookmarkStart w:id="3" w:name="_Toc15377425"/>
      <w:bookmarkStart w:id="4" w:name="_Toc15378441"/>
      <w:bookmarkStart w:id="5" w:name="_Toc15377193"/>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598"/>
      <w:bookmarkStart w:id="8" w:name="_Toc15396476"/>
      <w:bookmarkStart w:id="9" w:name="_Toc15378442"/>
      <w:bookmarkStart w:id="10" w:name="_Toc1537742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峨眉山市罗目镇小学校部门决算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jc w:val="both"/>
      </w:pPr>
      <w:r>
        <w:rPr>
          <w:rFonts w:hint="eastAsia"/>
        </w:rPr>
        <w:t>公开时间：2020年10月27日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 xml:space="preserve">部门概况                                                                                         </w:t>
      </w:r>
    </w:p>
    <w:p>
      <w:pPr>
        <w:pStyle w:val="11"/>
        <w:adjustRightInd w:val="0"/>
        <w:snapToGrid w:val="0"/>
        <w:spacing w:line="440" w:lineRule="exact"/>
        <w:jc w:val="left"/>
        <w:rPr>
          <w:rFonts w:ascii="仿宋" w:hAnsi="仿宋"/>
          <w:sz w:val="24"/>
        </w:rPr>
      </w:pPr>
      <w:r>
        <w:rPr>
          <w:rFonts w:hint="eastAsia"/>
          <w:sz w:val="24"/>
        </w:rPr>
        <w:t>一、基本职能及主要工作                                        4</w:t>
      </w:r>
    </w:p>
    <w:p>
      <w:pPr>
        <w:pStyle w:val="11"/>
        <w:adjustRightInd w:val="0"/>
        <w:snapToGrid w:val="0"/>
        <w:spacing w:line="440" w:lineRule="exact"/>
        <w:jc w:val="left"/>
        <w:rPr>
          <w:rFonts w:ascii="仿宋" w:hAnsi="仿宋" w:cstheme="minorBidi"/>
          <w:sz w:val="24"/>
        </w:rPr>
      </w:pPr>
      <w:r>
        <w:rPr>
          <w:rFonts w:hint="eastAsia"/>
          <w:sz w:val="24"/>
        </w:rPr>
        <w:t>二、机构设置                                                  5</w:t>
      </w:r>
    </w:p>
    <w:p>
      <w:pPr>
        <w:pStyle w:val="10"/>
        <w:adjustRightInd w:val="0"/>
        <w:snapToGrid w:val="0"/>
        <w:spacing w:before="0" w:line="440" w:lineRule="exact"/>
        <w:jc w:val="left"/>
        <w:rPr>
          <w:sz w:val="24"/>
          <w:szCs w:val="24"/>
        </w:rPr>
      </w:pPr>
      <w:r>
        <w:rPr>
          <w:rFonts w:hint="eastAsia"/>
          <w:sz w:val="24"/>
        </w:rPr>
        <w:t xml:space="preserve">第二部分度部门决算情况说明                                       </w:t>
      </w:r>
    </w:p>
    <w:p>
      <w:pPr>
        <w:pStyle w:val="11"/>
        <w:adjustRightInd w:val="0"/>
        <w:snapToGrid w:val="0"/>
        <w:spacing w:line="440" w:lineRule="exact"/>
        <w:jc w:val="left"/>
        <w:rPr>
          <w:rFonts w:ascii="仿宋" w:hAnsi="仿宋" w:cstheme="minorBidi"/>
          <w:sz w:val="24"/>
        </w:rPr>
      </w:pPr>
      <w:r>
        <w:rPr>
          <w:rFonts w:hint="eastAsia"/>
          <w:sz w:val="24"/>
        </w:rPr>
        <w:t>一、收入支出决算总体情况说明                                  6</w:t>
      </w:r>
    </w:p>
    <w:p>
      <w:pPr>
        <w:pStyle w:val="11"/>
        <w:adjustRightInd w:val="0"/>
        <w:snapToGrid w:val="0"/>
        <w:spacing w:line="440" w:lineRule="exact"/>
        <w:jc w:val="left"/>
        <w:rPr>
          <w:rFonts w:ascii="仿宋" w:hAnsi="仿宋" w:cstheme="minorBidi"/>
          <w:sz w:val="24"/>
        </w:rPr>
      </w:pPr>
      <w:r>
        <w:rPr>
          <w:rFonts w:hint="eastAsia"/>
          <w:sz w:val="24"/>
        </w:rPr>
        <w:t>二、收入决算情况说明                                          6</w:t>
      </w:r>
    </w:p>
    <w:p>
      <w:pPr>
        <w:pStyle w:val="11"/>
        <w:adjustRightInd w:val="0"/>
        <w:snapToGrid w:val="0"/>
        <w:spacing w:line="440" w:lineRule="exact"/>
        <w:jc w:val="left"/>
        <w:rPr>
          <w:rFonts w:ascii="仿宋" w:hAnsi="仿宋" w:cstheme="minorBidi"/>
          <w:sz w:val="24"/>
        </w:rPr>
      </w:pPr>
      <w:r>
        <w:rPr>
          <w:rFonts w:hint="eastAsia"/>
          <w:sz w:val="24"/>
        </w:rPr>
        <w:t>三、支出决算情况说明                                          7</w:t>
      </w:r>
    </w:p>
    <w:p>
      <w:pPr>
        <w:pStyle w:val="11"/>
        <w:adjustRightInd w:val="0"/>
        <w:snapToGrid w:val="0"/>
        <w:spacing w:line="440" w:lineRule="exact"/>
        <w:jc w:val="left"/>
        <w:rPr>
          <w:rFonts w:ascii="仿宋" w:hAnsi="仿宋" w:cstheme="minorBidi"/>
          <w:sz w:val="24"/>
        </w:rPr>
      </w:pPr>
      <w:r>
        <w:rPr>
          <w:rFonts w:hint="eastAsia"/>
          <w:sz w:val="24"/>
        </w:rPr>
        <w:t>四、财政拨款收入支出决算总体情况说明                          7</w:t>
      </w:r>
    </w:p>
    <w:p>
      <w:pPr>
        <w:pStyle w:val="11"/>
        <w:adjustRightInd w:val="0"/>
        <w:snapToGrid w:val="0"/>
        <w:spacing w:line="440" w:lineRule="exact"/>
        <w:jc w:val="left"/>
        <w:rPr>
          <w:rFonts w:ascii="仿宋" w:hAnsi="仿宋" w:cstheme="minorBidi"/>
          <w:sz w:val="24"/>
        </w:rPr>
      </w:pPr>
      <w:r>
        <w:rPr>
          <w:rFonts w:hint="eastAsia"/>
          <w:sz w:val="24"/>
        </w:rPr>
        <w:t>五、一般公共预算财政拨款支出决算情况说明                      8</w:t>
      </w:r>
    </w:p>
    <w:p>
      <w:pPr>
        <w:pStyle w:val="11"/>
        <w:adjustRightInd w:val="0"/>
        <w:snapToGrid w:val="0"/>
        <w:spacing w:line="440" w:lineRule="exact"/>
        <w:jc w:val="left"/>
        <w:rPr>
          <w:rFonts w:ascii="仿宋" w:hAnsi="仿宋" w:cstheme="minorBidi"/>
          <w:sz w:val="24"/>
        </w:rPr>
      </w:pPr>
      <w:r>
        <w:rPr>
          <w:rFonts w:hint="eastAsia"/>
          <w:sz w:val="24"/>
        </w:rPr>
        <w:t>六、一般公共预算财政拨款基本支出决算情况说明                 10</w:t>
      </w:r>
    </w:p>
    <w:p>
      <w:pPr>
        <w:pStyle w:val="11"/>
        <w:adjustRightInd w:val="0"/>
        <w:snapToGrid w:val="0"/>
        <w:spacing w:line="440" w:lineRule="exact"/>
        <w:jc w:val="left"/>
        <w:rPr>
          <w:rFonts w:ascii="仿宋" w:hAnsi="仿宋" w:cstheme="minorBidi"/>
          <w:sz w:val="24"/>
        </w:rPr>
      </w:pPr>
      <w:r>
        <w:rPr>
          <w:rFonts w:hint="eastAsia"/>
          <w:sz w:val="24"/>
        </w:rPr>
        <w:t>七、</w:t>
      </w:r>
      <w:r>
        <w:rPr>
          <w:sz w:val="24"/>
        </w:rPr>
        <w:t>“</w:t>
      </w:r>
      <w:r>
        <w:rPr>
          <w:rFonts w:hint="eastAsia"/>
          <w:sz w:val="24"/>
        </w:rPr>
        <w:t>三公”经费财政拨款支出决算情况说明                      11</w:t>
      </w:r>
    </w:p>
    <w:p>
      <w:pPr>
        <w:pStyle w:val="11"/>
        <w:adjustRightInd w:val="0"/>
        <w:snapToGrid w:val="0"/>
        <w:spacing w:line="440" w:lineRule="exact"/>
        <w:jc w:val="left"/>
        <w:rPr>
          <w:rFonts w:ascii="仿宋" w:hAnsi="仿宋" w:cstheme="minorBidi"/>
          <w:sz w:val="24"/>
        </w:rPr>
      </w:pPr>
      <w:r>
        <w:rPr>
          <w:rFonts w:hint="eastAsia"/>
          <w:sz w:val="24"/>
        </w:rPr>
        <w:t>八、政府性基金预算支出决算情况说明                           12</w:t>
      </w:r>
    </w:p>
    <w:p>
      <w:pPr>
        <w:pStyle w:val="11"/>
        <w:adjustRightInd w:val="0"/>
        <w:snapToGrid w:val="0"/>
        <w:spacing w:line="440" w:lineRule="exact"/>
        <w:ind w:leftChars="0"/>
        <w:jc w:val="left"/>
        <w:rPr>
          <w:rFonts w:ascii="仿宋" w:hAnsi="仿宋"/>
          <w:sz w:val="24"/>
        </w:rPr>
      </w:pPr>
      <w:r>
        <w:rPr>
          <w:rFonts w:hint="eastAsia" w:ascii="仿宋" w:hAnsi="仿宋" w:eastAsia="仿宋"/>
          <w:sz w:val="24"/>
        </w:rPr>
        <w:t>九、</w:t>
      </w:r>
      <w:r>
        <w:rPr>
          <w:sz w:val="24"/>
        </w:rPr>
        <w:t xml:space="preserve"> 国</w:t>
      </w:r>
      <w:r>
        <w:rPr>
          <w:rFonts w:hint="eastAsia"/>
          <w:sz w:val="24"/>
        </w:rPr>
        <w:t>有资本经营预算支出决算情况说明                        12</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r>
        <w:rPr>
          <w:rFonts w:hint="eastAsia" w:ascii="仿宋" w:hAnsi="仿宋" w:eastAsia="仿宋"/>
          <w:sz w:val="24"/>
        </w:rPr>
        <w:t xml:space="preserve">                                 13</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                                                18</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cstheme="minorBidi"/>
          <w:sz w:val="24"/>
        </w:rPr>
      </w:pPr>
      <w:r>
        <w:rPr>
          <w:rFonts w:hint="eastAsia"/>
          <w:sz w:val="24"/>
        </w:rPr>
        <w:t>附件</w:t>
      </w:r>
      <w:r>
        <w:rPr>
          <w:sz w:val="24"/>
        </w:rPr>
        <w:t>1</w:t>
      </w:r>
      <w:r>
        <w:rPr>
          <w:rFonts w:hint="eastAsia"/>
          <w:sz w:val="24"/>
        </w:rPr>
        <w:t xml:space="preserve">                                                        24</w:t>
      </w:r>
    </w:p>
    <w:p>
      <w:pPr>
        <w:pStyle w:val="11"/>
        <w:adjustRightInd w:val="0"/>
        <w:snapToGrid w:val="0"/>
        <w:spacing w:line="440" w:lineRule="exact"/>
        <w:jc w:val="left"/>
        <w:rPr>
          <w:rFonts w:ascii="仿宋" w:hAnsi="仿宋" w:cstheme="minorBidi"/>
          <w:sz w:val="24"/>
        </w:rPr>
      </w:pPr>
      <w:r>
        <w:rPr>
          <w:rFonts w:hint="eastAsia"/>
          <w:sz w:val="24"/>
        </w:rPr>
        <w:t>附件</w:t>
      </w:r>
      <w:r>
        <w:rPr>
          <w:sz w:val="24"/>
        </w:rPr>
        <w:t>2</w:t>
      </w:r>
      <w:r>
        <w:rPr>
          <w:rFonts w:hint="eastAsia"/>
          <w:sz w:val="24"/>
        </w:rPr>
        <w:t xml:space="preserve">                                                        32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一、</w:t>
      </w:r>
      <w:r>
        <w:rPr>
          <w:rFonts w:hint="eastAsia"/>
          <w:sz w:val="24"/>
        </w:rPr>
        <w:t>收入支出决算总表                                          37</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                                                37</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                                                37</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四、</w:t>
      </w:r>
      <w:r>
        <w:rPr>
          <w:rFonts w:hint="eastAsia"/>
          <w:sz w:val="24"/>
        </w:rPr>
        <w:t>财政拨款收入支出决算总表                                  37</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                                    37</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六、</w:t>
      </w:r>
      <w:r>
        <w:rPr>
          <w:rFonts w:hint="eastAsia"/>
          <w:sz w:val="24"/>
        </w:rPr>
        <w:t>一般公共预算财政拨款支出决算表                            37</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七、</w:t>
      </w:r>
      <w:r>
        <w:rPr>
          <w:rFonts w:hint="eastAsia"/>
          <w:sz w:val="24"/>
        </w:rPr>
        <w:t>一般公共预算财政拨款支出决算明细表                        37</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八、</w:t>
      </w:r>
      <w:r>
        <w:rPr>
          <w:rFonts w:hint="eastAsia"/>
          <w:sz w:val="24"/>
        </w:rPr>
        <w:t>一般公共预算财政拨款基本支出决算表                         37</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九、</w:t>
      </w:r>
      <w:r>
        <w:rPr>
          <w:rFonts w:hint="eastAsia"/>
          <w:sz w:val="24"/>
        </w:rPr>
        <w:t>一般公共预算财政拨款项目支出决算表                         37</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十、</w:t>
      </w:r>
      <w:r>
        <w:rPr>
          <w:rFonts w:hint="eastAsia"/>
          <w:sz w:val="24"/>
        </w:rPr>
        <w:t>一般公共预算财政拨款“三公”经费支出决算表                 37</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十一、</w:t>
      </w:r>
      <w:r>
        <w:rPr>
          <w:rFonts w:hint="eastAsia"/>
          <w:sz w:val="24"/>
        </w:rPr>
        <w:t>政府性基金预算财政拨款收入支出决算表                     37</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十二、</w:t>
      </w:r>
      <w:r>
        <w:rPr>
          <w:rFonts w:hint="eastAsia"/>
          <w:sz w:val="24"/>
        </w:rPr>
        <w:t>政府性基金预算财政拨款“三公”经费支出决算表             37</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十三、</w:t>
      </w:r>
      <w:r>
        <w:rPr>
          <w:rFonts w:hint="eastAsia"/>
          <w:sz w:val="24"/>
        </w:rPr>
        <w:t>国有资本经营预算支出决算表                               37</w:t>
      </w:r>
    </w:p>
    <w:p>
      <w:pPr>
        <w:widowControl/>
        <w:adjustRightInd w:val="0"/>
        <w:snapToGrid w:val="0"/>
        <w:spacing w:line="440" w:lineRule="exact"/>
        <w:ind w:firstLine="1320" w:firstLineChars="550"/>
        <w:jc w:val="left"/>
        <w:rPr>
          <w:rFonts w:ascii="仿宋" w:hAnsi="仿宋" w:eastAsia="仿宋"/>
          <w:color w:val="FF0000"/>
          <w:sz w:val="24"/>
        </w:rPr>
      </w:pPr>
      <w:r>
        <w:rPr>
          <w:rFonts w:ascii="仿宋" w:hAnsi="仿宋" w:eastAsia="仿宋"/>
          <w:color w:val="FF0000"/>
          <w:sz w:val="24"/>
        </w:rPr>
        <w:t>(注：</w:t>
      </w:r>
      <w:r>
        <w:rPr>
          <w:rFonts w:hint="eastAsia" w:ascii="仿宋" w:hAnsi="仿宋" w:eastAsia="仿宋"/>
          <w:color w:val="FF0000"/>
          <w:sz w:val="24"/>
        </w:rPr>
        <w:t>请部门根据实际注明页码</w:t>
      </w:r>
      <w:r>
        <w:rPr>
          <w:rFonts w:ascii="仿宋" w:hAnsi="仿宋" w:eastAsia="仿宋"/>
          <w:color w:val="FF0000"/>
          <w:sz w:val="24"/>
        </w:rPr>
        <w:t>)</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widowControl/>
        <w:adjustRightInd w:val="0"/>
        <w:snapToGrid w:val="0"/>
        <w:spacing w:line="580" w:lineRule="exact"/>
        <w:ind w:firstLine="640" w:firstLineChars="200"/>
        <w:contextualSpacing/>
        <w:jc w:val="left"/>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（一）主要职能。实施小学义务教育，促进基础教育发展，小学学历教育。</w:t>
      </w:r>
      <w:bookmarkEnd w:id="16"/>
      <w:bookmarkEnd w:id="17"/>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bookmarkStart w:id="20" w:name="_Toc15396601"/>
      <w:bookmarkStart w:id="21" w:name="_Toc15377200"/>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hint="eastAsia" w:ascii="仿宋" w:hAnsi="仿宋" w:eastAsia="仿宋"/>
          <w:kern w:val="2"/>
          <w:sz w:val="32"/>
          <w:szCs w:val="32"/>
        </w:rPr>
        <w:t>1、2019年学校工作正常运转，年终综合评估优秀。绩效一等奖。</w:t>
      </w:r>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hint="eastAsia" w:ascii="仿宋" w:hAnsi="仿宋" w:eastAsia="仿宋"/>
          <w:kern w:val="2"/>
          <w:sz w:val="32"/>
          <w:szCs w:val="32"/>
        </w:rPr>
        <w:t>2、教学工作有声有色，2019年－2020学年度教学质量一等奖。</w:t>
      </w:r>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hint="eastAsia" w:ascii="仿宋" w:hAnsi="仿宋" w:eastAsia="仿宋"/>
          <w:kern w:val="2"/>
          <w:sz w:val="32"/>
          <w:szCs w:val="32"/>
        </w:rPr>
        <w:t>3、音体美抽考合格。开设艺术特色课“莲箫”，效果突出。</w:t>
      </w:r>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hint="eastAsia" w:ascii="仿宋" w:hAnsi="仿宋" w:eastAsia="仿宋"/>
          <w:kern w:val="2"/>
          <w:sz w:val="32"/>
          <w:szCs w:val="32"/>
        </w:rPr>
        <w:t>4、参加市级运动会，获乙组第4名。</w:t>
      </w:r>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hint="eastAsia" w:ascii="仿宋" w:hAnsi="仿宋" w:eastAsia="仿宋"/>
          <w:kern w:val="2"/>
          <w:sz w:val="32"/>
          <w:szCs w:val="32"/>
        </w:rPr>
        <w:t>5、参加文艺汇演、朗读比赛等，效果良好。</w:t>
      </w:r>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hint="eastAsia" w:ascii="仿宋" w:hAnsi="仿宋" w:eastAsia="仿宋"/>
          <w:kern w:val="2"/>
          <w:sz w:val="32"/>
          <w:szCs w:val="32"/>
        </w:rPr>
        <w:t>6、注重教师能力提升，学校教师外出听课达到人均2次。</w:t>
      </w:r>
    </w:p>
    <w:p>
      <w:pPr>
        <w:pStyle w:val="5"/>
        <w:adjustRightInd w:val="0"/>
        <w:snapToGrid w:val="0"/>
        <w:spacing w:before="93" w:line="600" w:lineRule="exact"/>
        <w:ind w:firstLine="672" w:firstLineChars="210"/>
        <w:outlineLvl w:val="2"/>
        <w:rPr>
          <w:rFonts w:hAnsi="仿宋_GB2312" w:cs="仿宋_GB2312"/>
          <w:sz w:val="28"/>
          <w:szCs w:val="28"/>
        </w:rPr>
      </w:pPr>
      <w:r>
        <w:rPr>
          <w:rFonts w:hint="eastAsia" w:ascii="仿宋" w:hAnsi="仿宋" w:eastAsia="仿宋"/>
          <w:kern w:val="2"/>
          <w:sz w:val="32"/>
          <w:szCs w:val="32"/>
        </w:rPr>
        <w:t>7、主动承担市级教研课，全年共4次。效果良好。</w:t>
      </w:r>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hint="eastAsia" w:ascii="仿宋" w:hAnsi="仿宋" w:eastAsia="仿宋"/>
          <w:kern w:val="2"/>
          <w:sz w:val="32"/>
          <w:szCs w:val="32"/>
        </w:rPr>
        <w:t>8、开展“乡村少年宫”活动，丰富学生课余生活，获得全校师生、家长一致好评。</w:t>
      </w:r>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hint="eastAsia" w:ascii="仿宋" w:hAnsi="仿宋" w:eastAsia="仿宋"/>
          <w:kern w:val="2"/>
          <w:sz w:val="32"/>
          <w:szCs w:val="32"/>
        </w:rPr>
        <w:t>9、做好学校人才队伍建设工作，加强学校骨干教师培养，促进全校教师业务能力提升，提高全校教育教学质量。</w:t>
      </w:r>
    </w:p>
    <w:p>
      <w:pPr>
        <w:pStyle w:val="5"/>
        <w:adjustRightInd w:val="0"/>
        <w:snapToGrid w:val="0"/>
        <w:spacing w:before="93" w:line="600" w:lineRule="exact"/>
        <w:ind w:firstLine="672" w:firstLineChars="210"/>
        <w:outlineLvl w:val="2"/>
        <w:rPr>
          <w:rFonts w:hAnsi="仿宋_GB2312" w:cs="仿宋_GB2312"/>
          <w:sz w:val="28"/>
          <w:szCs w:val="28"/>
        </w:rPr>
      </w:pPr>
      <w:r>
        <w:rPr>
          <w:rFonts w:hint="eastAsia" w:ascii="仿宋" w:hAnsi="仿宋" w:eastAsia="仿宋"/>
          <w:kern w:val="2"/>
          <w:sz w:val="32"/>
          <w:szCs w:val="32"/>
        </w:rPr>
        <w:t>10、加强学校安全保卫工作，聘任3名保安，确保学校教育教学秩序正常。</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kern w:val="2"/>
          <w:sz w:val="32"/>
          <w:szCs w:val="32"/>
        </w:rPr>
        <w:t>11、注重退休教师慰问工作，参加退协活动，春节慰问高龄退休教师，及时慰问生病退休教师及死亡退休教师家属。</w:t>
      </w:r>
    </w:p>
    <w:p>
      <w:pPr>
        <w:pStyle w:val="5"/>
        <w:adjustRightInd w:val="0"/>
        <w:snapToGrid w:val="0"/>
        <w:spacing w:before="93" w:line="600" w:lineRule="exact"/>
        <w:ind w:firstLine="630" w:firstLineChars="210"/>
        <w:outlineLvl w:val="2"/>
        <w:rPr>
          <w:rStyle w:val="25"/>
          <w:b w:val="0"/>
          <w:bCs w:val="0"/>
        </w:rPr>
      </w:pPr>
      <w:r>
        <w:rPr>
          <w:rFonts w:hint="eastAsia" w:ascii="黑体" w:eastAsia="黑体"/>
          <w:color w:val="000000"/>
        </w:rPr>
        <w:t>二、</w:t>
      </w:r>
      <w:r>
        <w:rPr>
          <w:rFonts w:hint="eastAsia" w:ascii="黑体" w:hAnsi="黑体" w:eastAsia="黑体"/>
          <w:color w:val="000000"/>
        </w:rPr>
        <w:t>机</w:t>
      </w:r>
      <w:r>
        <w:rPr>
          <w:rStyle w:val="25"/>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峨眉山市罗目镇小学校下属二级单位0个，其中行政单位0个，参照公务员法管理的事业单位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个，其他事业单位1个。</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sz w:val="32"/>
          <w:szCs w:val="32"/>
        </w:rPr>
        <w:t>2019年度收、支总计841.01万元。与2018年相比，收、支总计各增加4.27万元，增长0.51</w:t>
      </w:r>
      <w:r>
        <w:rPr>
          <w:rFonts w:ascii="仿宋" w:hAnsi="仿宋" w:eastAsia="仿宋"/>
          <w:color w:val="000000"/>
          <w:sz w:val="32"/>
          <w:szCs w:val="32"/>
        </w:rPr>
        <w:t>%</w:t>
      </w:r>
      <w:r>
        <w:rPr>
          <w:rFonts w:hint="eastAsia" w:ascii="仿宋" w:hAnsi="仿宋" w:eastAsia="仿宋"/>
          <w:color w:val="000000"/>
          <w:sz w:val="32"/>
          <w:szCs w:val="32"/>
        </w:rPr>
        <w:t>。主要变动原因是人员经费增加</w:t>
      </w: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r>
        <w:drawing>
          <wp:inline distT="0" distB="0" distL="114300" distR="114300">
            <wp:extent cx="3999865" cy="1635760"/>
            <wp:effectExtent l="4445" t="4445" r="8890" b="10795"/>
            <wp:docPr id="138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3"/>
        <w:numPr>
          <w:ilvl w:val="0"/>
          <w:numId w:val="1"/>
        </w:numPr>
        <w:spacing w:line="600"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9年本年收入合计832.79万元，其中：一般公共预算财政拨款收入792.69万元，占95.18</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；事业收入40.1万元，占4.82</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r>
        <w:drawing>
          <wp:inline distT="0" distB="0" distL="114300" distR="114300">
            <wp:extent cx="5486400" cy="1661795"/>
            <wp:effectExtent l="4445" t="4445" r="8255" b="10160"/>
            <wp:docPr id="138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_GB2312" w:eastAsia="仿宋_GB2312"/>
          <w:color w:val="FF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9年本年支出合计837.02万元，其中：基本支出827.85万元，占98.9</w:t>
      </w:r>
      <w:r>
        <w:rPr>
          <w:rFonts w:ascii="仿宋" w:hAnsi="仿宋" w:eastAsia="仿宋"/>
          <w:color w:val="000000"/>
          <w:sz w:val="32"/>
          <w:szCs w:val="32"/>
        </w:rPr>
        <w:t>%</w:t>
      </w:r>
      <w:r>
        <w:rPr>
          <w:rFonts w:hint="eastAsia" w:ascii="仿宋" w:hAnsi="仿宋" w:eastAsia="仿宋"/>
          <w:color w:val="000000"/>
          <w:sz w:val="32"/>
          <w:szCs w:val="32"/>
        </w:rPr>
        <w:t>；项目支出9.17万元，占1.1</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r>
        <w:drawing>
          <wp:inline distT="0" distB="0" distL="114300" distR="114300">
            <wp:extent cx="5454650" cy="1670050"/>
            <wp:effectExtent l="4445" t="4445" r="14605" b="14605"/>
            <wp:docPr id="138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5"/>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9年财政拨款收、支总计800.91万元。与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8年相比，财政拨款收、支总计各增加5.39万元，增长</w:t>
      </w:r>
      <w:r>
        <w:rPr>
          <w:rFonts w:ascii="仿宋" w:hAnsi="仿宋" w:eastAsia="仿宋"/>
          <w:color w:val="000000"/>
          <w:sz w:val="32"/>
          <w:szCs w:val="32"/>
        </w:rPr>
        <w:t>/</w:t>
      </w:r>
      <w:r>
        <w:rPr>
          <w:rFonts w:hint="eastAsia" w:ascii="仿宋" w:hAnsi="仿宋" w:eastAsia="仿宋"/>
          <w:color w:val="000000"/>
          <w:sz w:val="32"/>
          <w:szCs w:val="32"/>
        </w:rPr>
        <w:t>下降0.99</w:t>
      </w:r>
      <w:r>
        <w:rPr>
          <w:rFonts w:ascii="仿宋" w:hAnsi="仿宋" w:eastAsia="仿宋"/>
          <w:color w:val="000000"/>
          <w:sz w:val="32"/>
          <w:szCs w:val="32"/>
        </w:rPr>
        <w:t>%</w:t>
      </w:r>
      <w:r>
        <w:rPr>
          <w:rFonts w:hint="eastAsia" w:ascii="仿宋" w:hAnsi="仿宋" w:eastAsia="仿宋"/>
          <w:color w:val="000000"/>
          <w:sz w:val="32"/>
          <w:szCs w:val="32"/>
        </w:rPr>
        <w:t>。主要变动原因是人员经费增加。</w:t>
      </w:r>
    </w:p>
    <w:p>
      <w:pPr>
        <w:spacing w:line="600" w:lineRule="exact"/>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r>
        <w:drawing>
          <wp:inline distT="0" distB="0" distL="114300" distR="114300">
            <wp:extent cx="5232400" cy="2113915"/>
            <wp:effectExtent l="5080" t="4445" r="7620" b="15240"/>
            <wp:docPr id="137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5"/>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9年一般公共预算财政拨款支出796.92万元，占本年支出合计的99.5</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8年相比，一般公共预算财政拨款增加9.62万元，增长1.22</w:t>
      </w:r>
      <w:r>
        <w:rPr>
          <w:rFonts w:ascii="仿宋" w:hAnsi="仿宋" w:eastAsia="仿宋"/>
          <w:color w:val="000000"/>
          <w:sz w:val="32"/>
          <w:szCs w:val="32"/>
        </w:rPr>
        <w:t>%</w:t>
      </w:r>
      <w:r>
        <w:rPr>
          <w:rFonts w:hint="eastAsia" w:ascii="仿宋" w:hAnsi="仿宋" w:eastAsia="仿宋"/>
          <w:color w:val="000000"/>
          <w:sz w:val="32"/>
          <w:szCs w:val="32"/>
        </w:rPr>
        <w:t>。主要变动原因是人员经费增加。</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r>
        <w:drawing>
          <wp:inline distT="0" distB="0" distL="114300" distR="114300">
            <wp:extent cx="5123815" cy="1691640"/>
            <wp:effectExtent l="4445" t="4445" r="15240" b="5715"/>
            <wp:docPr id="138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sz w:val="32"/>
          <w:szCs w:val="32"/>
        </w:rPr>
        <w:t>796.92</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rPr>
        <w:t>590.38万元，占74.08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文化旅游体育与传媒（类）支出0万元，占0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支出114.98万元，占14.43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25.22万元，占3.17</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；住房保障支出66.34万元，占8.32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（罗列全部功能分类科目，至类级。）</w:t>
      </w:r>
    </w:p>
    <w:p>
      <w:pPr>
        <w:spacing w:line="600" w:lineRule="exact"/>
        <w:ind w:firstLine="64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r>
        <w:drawing>
          <wp:inline distT="0" distB="0" distL="114300" distR="114300">
            <wp:extent cx="5220335" cy="2260600"/>
            <wp:effectExtent l="4445" t="4445" r="7620" b="8255"/>
            <wp:docPr id="1379"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8460"/>
      <w:bookmarkStart w:id="38" w:name="_Toc15377444"/>
      <w:bookmarkStart w:id="39" w:name="_Toc15377213"/>
      <w:r>
        <w:rPr>
          <w:rFonts w:hint="eastAsia" w:ascii="仿宋" w:hAnsi="仿宋" w:eastAsia="仿宋"/>
          <w:b/>
          <w:color w:val="000000" w:themeColor="text1"/>
          <w:sz w:val="32"/>
          <w:szCs w:val="32"/>
        </w:rPr>
        <w:t>2019年般公共预算支出决算数为796.92</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预算99.5</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一般公共服务（类）0（款）0（项）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教育（类）20502（款）02（项）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支出决算为588.79万元，完成预算99.33</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。主要原因是公有经费结余。</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教育（类）20502（款）99（项）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支出决算为1.58万元，完成预算100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ascii="仿宋" w:hAnsi="仿宋" w:eastAsia="仿宋"/>
          <w:b w:val="0"/>
          <w:bCs/>
          <w:color w:val="000000"/>
          <w:sz w:val="32"/>
          <w:szCs w:val="32"/>
        </w:rPr>
      </w:pP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科学技术（类）0（款）0（项）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文化旅游体育与传媒（类）0（款）0（项）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社会保障和就业（类）20805（款）05（项）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支出决算为69.97万元，完成预算100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hint="eastAsia" w:ascii="仿宋" w:hAnsi="仿宋" w:eastAsia="仿宋"/>
          <w:bCs/>
          <w:color w:val="000000"/>
          <w:sz w:val="32"/>
          <w:szCs w:val="32"/>
        </w:rPr>
        <w:t>20805（款）06（项）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支出决算为33.65万元，完成预算100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hint="eastAsia" w:ascii="仿宋" w:hAnsi="仿宋" w:eastAsia="仿宋"/>
          <w:bCs/>
          <w:color w:val="000000"/>
          <w:sz w:val="32"/>
          <w:szCs w:val="32"/>
        </w:rPr>
        <w:t>20808（款）01（项）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支出决算为4.72万元，完成预算100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hint="eastAsia" w:ascii="仿宋" w:hAnsi="仿宋" w:eastAsia="仿宋"/>
          <w:bCs/>
          <w:color w:val="000000"/>
          <w:sz w:val="32"/>
          <w:szCs w:val="32"/>
        </w:rPr>
        <w:t>20808（款）99（项）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支出决算为6.64万元，完成预算100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6.</w:t>
      </w:r>
      <w:r>
        <w:rPr>
          <w:rFonts w:hint="eastAsia" w:ascii="仿宋" w:hAnsi="仿宋" w:eastAsia="仿宋"/>
          <w:b/>
          <w:bCs/>
          <w:color w:val="000000" w:themeColor="text1"/>
          <w:sz w:val="32"/>
          <w:szCs w:val="32"/>
        </w:rPr>
        <w:t>卫生健康</w:t>
      </w:r>
      <w:r>
        <w:rPr>
          <w:rStyle w:val="14"/>
          <w:rFonts w:hint="eastAsia" w:ascii="仿宋" w:hAnsi="仿宋" w:eastAsia="仿宋"/>
          <w:bCs/>
          <w:color w:val="000000"/>
          <w:sz w:val="32"/>
          <w:szCs w:val="32"/>
        </w:rPr>
        <w:t>（类）21011（款）02（项）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支出决算为25.22万元，完成预算100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9年一般公共预算财政拨款基本支出787.75万元，其中：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 xml:space="preserve">人员经费756.43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 </w:t>
      </w:r>
      <w:r>
        <w:rPr>
          <w:rFonts w:ascii="仿宋" w:hAnsi="仿宋" w:eastAsia="仿宋"/>
          <w:color w:val="000000"/>
          <w:sz w:val="32"/>
          <w:szCs w:val="32"/>
        </w:rPr>
        <w:br w:type="textWrapping"/>
      </w:r>
      <w:r>
        <w:rPr>
          <w:rFonts w:hint="eastAsia" w:ascii="仿宋" w:hAnsi="仿宋" w:eastAsia="仿宋"/>
          <w:color w:val="000000"/>
          <w:sz w:val="32"/>
          <w:szCs w:val="32"/>
        </w:rPr>
        <w:t>　　日常公用经费31.32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开支内容包括：0（团组名称、出访地点、取得成效）</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月底，单位共有公务用车0辆，其中：主要领导干部用车0辆、机要通信用车0辆、应急保障用车0辆、 执法执勤用车0辆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0万元。主要用于0（具体工作）等所需的公务用车燃料费、维修费、过路过桥费、保险费等支出。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万元，主要用于0(执行公务、开展业务活动开支的交通费、住宿费、用餐费等)。国内公务接待0批次，0人次（不包括陪同人员），共计支出0万元，具体内容包括：0（接待具体项目、金额）。</w:t>
      </w:r>
    </w:p>
    <w:p>
      <w:pPr>
        <w:spacing w:line="600"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，外事接待0批次，0人，共计支出0万元，主要用于接待0（具体项目）</w:t>
      </w:r>
    </w:p>
    <w:p>
      <w:pPr>
        <w:spacing w:line="600" w:lineRule="exact"/>
        <w:ind w:firstLine="640"/>
        <w:outlineLvl w:val="1"/>
        <w:rPr>
          <w:rFonts w:ascii="黑体" w:eastAsia="黑体"/>
          <w:color w:val="000000"/>
          <w:sz w:val="32"/>
          <w:szCs w:val="32"/>
        </w:rPr>
      </w:pPr>
      <w:bookmarkStart w:id="46" w:name="_Toc15396610"/>
      <w:bookmarkStart w:id="47" w:name="_Toc15377218"/>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9年，峨眉山市罗目镇小学校运行经费支出31.32万元，比</w:t>
      </w:r>
      <w:r>
        <w:rPr>
          <w:rFonts w:ascii="仿宋_GB2312" w:eastAsia="仿宋_GB2312"/>
          <w:color w:val="000000"/>
          <w:sz w:val="32"/>
          <w:szCs w:val="32"/>
        </w:rPr>
        <w:t>201</w:t>
      </w:r>
      <w:r>
        <w:rPr>
          <w:rFonts w:hint="eastAsia" w:ascii="仿宋_GB2312" w:eastAsia="仿宋_GB2312"/>
          <w:color w:val="000000"/>
          <w:sz w:val="32"/>
          <w:szCs w:val="32"/>
        </w:rPr>
        <w:t>8年增加0.15万元，增长0.48</w:t>
      </w:r>
      <w:r>
        <w:rPr>
          <w:rFonts w:ascii="仿宋_GB2312" w:eastAsia="仿宋_GB2312"/>
          <w:color w:val="000000"/>
          <w:sz w:val="32"/>
          <w:szCs w:val="32"/>
        </w:rPr>
        <w:t>%</w:t>
      </w:r>
      <w:r>
        <w:rPr>
          <w:rFonts w:hint="eastAsia" w:ascii="仿宋_GB2312" w:eastAsia="仿宋_GB2312"/>
          <w:color w:val="000000"/>
          <w:sz w:val="32"/>
          <w:szCs w:val="32"/>
        </w:rPr>
        <w:t>（或与</w:t>
      </w:r>
      <w:r>
        <w:rPr>
          <w:rFonts w:ascii="仿宋_GB2312" w:eastAsia="仿宋_GB2312"/>
          <w:color w:val="000000"/>
          <w:sz w:val="32"/>
          <w:szCs w:val="32"/>
        </w:rPr>
        <w:t>201</w:t>
      </w:r>
      <w:r>
        <w:rPr>
          <w:rFonts w:hint="eastAsia" w:ascii="仿宋_GB2312" w:eastAsia="仿宋_GB2312"/>
          <w:color w:val="000000"/>
          <w:sz w:val="32"/>
          <w:szCs w:val="32"/>
        </w:rPr>
        <w:t>8年决算数持平）。</w:t>
      </w:r>
      <w:r>
        <w:rPr>
          <w:rFonts w:hint="eastAsia" w:ascii="仿宋_GB2312" w:eastAsia="仿宋_GB2312"/>
          <w:color w:val="000000" w:themeColor="text1"/>
          <w:sz w:val="32"/>
          <w:szCs w:val="32"/>
        </w:rPr>
        <w:t>主要原因是日常办公经费增加。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峨眉山市罗目镇小学校政府采购支出总额0万元，其中：政府采购货物支出0万元、政府采购工程支出0万元、政府采购服务支出0万元。主要用于0（具体工作）。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日，峨眉山市罗目镇小学校共有车辆0辆，其中：主要领导干部用车0辆、机要通信用车0辆、应急保障用车0辆、其他用车0辆。</w:t>
      </w:r>
      <w:r>
        <w:rPr>
          <w:rFonts w:hint="eastAsia" w:ascii="仿宋_GB2312" w:eastAsia="仿宋_GB2312"/>
          <w:color w:val="000000" w:themeColor="text1"/>
          <w:sz w:val="32"/>
          <w:szCs w:val="32"/>
        </w:rPr>
        <w:t>其他用车主要是用于0单价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义务教育免作业本费、学校安保经费、人才队伍建设经费项目（项目名称）开展了预算事前绩效评估，对3个项目编制了绩效目标，预算执行过程中，选取3个项目开展绩效监控，年终执行完毕后，对1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本部门按要求对2019年部门整体支出开展绩效自评，从评价情况来看全面完成绩效目标，完成情况良好。</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 “学校安保经费”、“人才队伍建设经费”、“小学免作业本费”等3个项目绩效目标实际完成情况。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学校安保经费”项目绩效目标完成情况综述。项目全年预算数7.00万元，执行数为7.00万元，完成预算的100%。通过项目实施，保障了学校安保工作的正常开展，维护校园安全稳定，为学校教育教学工作正常秩序提供保证。</w:t>
      </w:r>
    </w:p>
    <w:tbl>
      <w:tblPr>
        <w:tblStyle w:val="12"/>
        <w:tblpPr w:leftFromText="180" w:rightFromText="180" w:vertAnchor="text" w:horzAnchor="page" w:tblpXSpec="center" w:tblpY="423"/>
        <w:tblOverlap w:val="never"/>
        <w:tblW w:w="10099" w:type="dxa"/>
        <w:jc w:val="center"/>
        <w:tblLayout w:type="fixed"/>
        <w:tblCellMar>
          <w:top w:w="0" w:type="dxa"/>
          <w:left w:w="0" w:type="dxa"/>
          <w:bottom w:w="0" w:type="dxa"/>
          <w:right w:w="0" w:type="dxa"/>
        </w:tblCellMar>
      </w:tblPr>
      <w:tblGrid>
        <w:gridCol w:w="396"/>
        <w:gridCol w:w="1385"/>
        <w:gridCol w:w="1041"/>
        <w:gridCol w:w="2425"/>
        <w:gridCol w:w="2427"/>
        <w:gridCol w:w="2425"/>
      </w:tblGrid>
      <w:tr>
        <w:tblPrEx>
          <w:tblCellMar>
            <w:top w:w="0" w:type="dxa"/>
            <w:left w:w="0" w:type="dxa"/>
            <w:bottom w:w="0" w:type="dxa"/>
            <w:right w:w="0" w:type="dxa"/>
          </w:tblCellMar>
        </w:tblPrEx>
        <w:trPr>
          <w:trHeight w:val="1144" w:hRule="atLeast"/>
          <w:jc w:val="center"/>
        </w:trPr>
        <w:tc>
          <w:tcPr>
            <w:tcW w:w="10099"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项目名称</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学校安保工作经费</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预算单位</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峨眉山市罗目镇小学校</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预算执行情况(万元)</w:t>
            </w: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7万元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执行数: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7万元</w:t>
            </w:r>
          </w:p>
        </w:tc>
      </w:tr>
      <w:tr>
        <w:tblPrEx>
          <w:tblCellMar>
            <w:top w:w="0" w:type="dxa"/>
            <w:left w:w="0" w:type="dxa"/>
            <w:bottom w:w="0" w:type="dxa"/>
            <w:right w:w="0" w:type="dxa"/>
          </w:tblCellMar>
        </w:tblPrEx>
        <w:trPr>
          <w:trHeight w:val="30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7万元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7万元</w:t>
            </w:r>
          </w:p>
        </w:tc>
      </w:tr>
      <w:tr>
        <w:tblPrEx>
          <w:tblCellMar>
            <w:top w:w="0" w:type="dxa"/>
            <w:left w:w="0" w:type="dxa"/>
            <w:bottom w:w="0" w:type="dxa"/>
            <w:right w:w="0" w:type="dxa"/>
          </w:tblCellMar>
        </w:tblPrEx>
        <w:trPr>
          <w:trHeight w:val="1671"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年度目标完成情况</w:t>
            </w: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预期目标</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实际完成目标</w:t>
            </w:r>
          </w:p>
        </w:tc>
      </w:tr>
      <w:tr>
        <w:tblPrEx>
          <w:tblCellMar>
            <w:top w:w="0" w:type="dxa"/>
            <w:left w:w="0" w:type="dxa"/>
            <w:bottom w:w="0" w:type="dxa"/>
            <w:right w:w="0" w:type="dxa"/>
          </w:tblCellMar>
        </w:tblPrEx>
        <w:trPr>
          <w:trHeight w:val="128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保障学校安保工作正常开展，维护学校教育教学正常秩序。</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全面完成预期目标</w:t>
            </w:r>
          </w:p>
        </w:tc>
      </w:tr>
      <w:tr>
        <w:tblPrEx>
          <w:tblCellMar>
            <w:top w:w="0" w:type="dxa"/>
            <w:left w:w="0" w:type="dxa"/>
            <w:bottom w:w="0" w:type="dxa"/>
            <w:right w:w="0" w:type="dxa"/>
          </w:tblCellMar>
        </w:tblPrEx>
        <w:trPr>
          <w:trHeight w:val="1007" w:hRule="atLeast"/>
          <w:jc w:val="center"/>
        </w:trPr>
        <w:tc>
          <w:tcPr>
            <w:tcW w:w="396"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绩效指标完成情况</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一级指标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二级指标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三级指标</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预期指标值(包含数字及文字描述)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实际完成指标值(包含数字及文字描述)</w:t>
            </w:r>
          </w:p>
        </w:tc>
      </w:tr>
      <w:tr>
        <w:tblPrEx>
          <w:tblCellMar>
            <w:top w:w="0" w:type="dxa"/>
            <w:left w:w="0" w:type="dxa"/>
            <w:bottom w:w="0" w:type="dxa"/>
            <w:right w:w="0" w:type="dxa"/>
          </w:tblCellMar>
        </w:tblPrEx>
        <w:trPr>
          <w:trHeight w:val="585"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数量指标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安保人员数</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2人</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2人</w:t>
            </w:r>
          </w:p>
        </w:tc>
      </w:tr>
      <w:tr>
        <w:tblPrEx>
          <w:tblCellMar>
            <w:top w:w="0" w:type="dxa"/>
            <w:left w:w="0" w:type="dxa"/>
            <w:bottom w:w="0" w:type="dxa"/>
            <w:right w:w="0" w:type="dxa"/>
          </w:tblCellMar>
        </w:tblPrEx>
        <w:trPr>
          <w:trHeight w:val="120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质量目标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保障学校安保工作正常开展，维护学校教育教学正常秩序。</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保障学校安保工作正常开展，维护学校教育教学正常秩序。</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保障了学校安保工作正常开展，维护学校教育教学正常秩序。</w:t>
            </w:r>
          </w:p>
        </w:tc>
      </w:tr>
      <w:tr>
        <w:tblPrEx>
          <w:tblCellMar>
            <w:top w:w="0" w:type="dxa"/>
            <w:left w:w="0" w:type="dxa"/>
            <w:bottom w:w="0" w:type="dxa"/>
            <w:right w:w="0" w:type="dxa"/>
          </w:tblCellMar>
        </w:tblPrEx>
        <w:trPr>
          <w:trHeight w:val="115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时效指标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在规定时效内完成相关工作</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r>
      <w:tr>
        <w:tblPrEx>
          <w:tblCellMar>
            <w:top w:w="0" w:type="dxa"/>
            <w:left w:w="0" w:type="dxa"/>
            <w:bottom w:w="0" w:type="dxa"/>
            <w:right w:w="0" w:type="dxa"/>
          </w:tblCellMar>
        </w:tblPrEx>
        <w:trPr>
          <w:trHeight w:val="69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社会指标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维护校园周边安全稳定</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校园周边安全稳定</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校园周边安全稳定</w:t>
            </w:r>
          </w:p>
        </w:tc>
      </w:tr>
      <w:tr>
        <w:tblPrEx>
          <w:tblCellMar>
            <w:top w:w="0" w:type="dxa"/>
            <w:left w:w="0" w:type="dxa"/>
            <w:bottom w:w="0" w:type="dxa"/>
            <w:right w:w="0" w:type="dxa"/>
          </w:tblCellMar>
        </w:tblPrEx>
        <w:trPr>
          <w:trHeight w:val="1017" w:hRule="atLeast"/>
          <w:jc w:val="center"/>
        </w:trPr>
        <w:tc>
          <w:tcPr>
            <w:tcW w:w="396"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满意度指标</w:t>
            </w:r>
          </w:p>
        </w:tc>
        <w:tc>
          <w:tcPr>
            <w:tcW w:w="10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服务对象满意度指标</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家长、教师、学生满意度</w:t>
            </w:r>
          </w:p>
        </w:tc>
        <w:tc>
          <w:tcPr>
            <w:tcW w:w="242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r>
      <w:tr>
        <w:tblPrEx>
          <w:tblCellMar>
            <w:top w:w="0" w:type="dxa"/>
            <w:left w:w="0" w:type="dxa"/>
            <w:bottom w:w="0" w:type="dxa"/>
            <w:right w:w="0" w:type="dxa"/>
          </w:tblCellMar>
        </w:tblPrEx>
        <w:trPr>
          <w:trHeight w:val="1144" w:hRule="atLeast"/>
          <w:jc w:val="center"/>
        </w:trPr>
        <w:tc>
          <w:tcPr>
            <w:tcW w:w="10099" w:type="dxa"/>
            <w:gridSpan w:val="6"/>
            <w:tcBorders>
              <w:top w:val="nil"/>
              <w:left w:val="nil"/>
              <w:bottom w:val="nil"/>
              <w:right w:val="nil"/>
            </w:tcBorders>
            <w:tcMar>
              <w:top w:w="15" w:type="dxa"/>
              <w:left w:w="15" w:type="dxa"/>
              <w:right w:w="15" w:type="dxa"/>
            </w:tcMar>
            <w:vAlign w:val="center"/>
          </w:tcPr>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（2）“义务教育免作业本费”项目绩效目标完成情况综述。项目全年预算数1.206万元，执行数为1.206万元，完成预算的100%。通过项目实施，保障了贫困学生的就学，减轻了学生家庭负担。</w:t>
            </w: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项目名称</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义务教育免作业本费</w:t>
            </w:r>
          </w:p>
        </w:tc>
      </w:tr>
      <w:tr>
        <w:tblPrEx>
          <w:tblCellMar>
            <w:top w:w="0" w:type="dxa"/>
            <w:left w:w="0" w:type="dxa"/>
            <w:bottom w:w="0" w:type="dxa"/>
            <w:right w:w="0" w:type="dxa"/>
          </w:tblCellMar>
        </w:tblPrEx>
        <w:trPr>
          <w:trHeight w:val="347"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预算单位</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峨眉山市罗目镇小学校</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预算执行情况(万元)</w:t>
            </w: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1.206万元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执行数: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1.206万元</w:t>
            </w:r>
          </w:p>
        </w:tc>
      </w:tr>
      <w:tr>
        <w:tblPrEx>
          <w:tblCellMar>
            <w:top w:w="0" w:type="dxa"/>
            <w:left w:w="0" w:type="dxa"/>
            <w:bottom w:w="0" w:type="dxa"/>
            <w:right w:w="0" w:type="dxa"/>
          </w:tblCellMar>
        </w:tblPrEx>
        <w:trPr>
          <w:trHeight w:val="30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1.206万元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1.206万元</w:t>
            </w:r>
          </w:p>
        </w:tc>
      </w:tr>
      <w:tr>
        <w:tblPrEx>
          <w:tblCellMar>
            <w:top w:w="0" w:type="dxa"/>
            <w:left w:w="0" w:type="dxa"/>
            <w:bottom w:w="0" w:type="dxa"/>
            <w:right w:w="0" w:type="dxa"/>
          </w:tblCellMar>
        </w:tblPrEx>
        <w:trPr>
          <w:trHeight w:val="1671"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年度目标完成情况</w:t>
            </w: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预期目标</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实际完成目标</w:t>
            </w:r>
          </w:p>
        </w:tc>
      </w:tr>
      <w:tr>
        <w:tblPrEx>
          <w:tblCellMar>
            <w:top w:w="0" w:type="dxa"/>
            <w:left w:w="0" w:type="dxa"/>
            <w:bottom w:w="0" w:type="dxa"/>
            <w:right w:w="0" w:type="dxa"/>
          </w:tblCellMar>
        </w:tblPrEx>
        <w:trPr>
          <w:trHeight w:val="128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全面完成预期目标</w:t>
            </w:r>
          </w:p>
        </w:tc>
      </w:tr>
      <w:tr>
        <w:tblPrEx>
          <w:tblCellMar>
            <w:top w:w="0" w:type="dxa"/>
            <w:left w:w="0" w:type="dxa"/>
            <w:bottom w:w="0" w:type="dxa"/>
            <w:right w:w="0" w:type="dxa"/>
          </w:tblCellMar>
        </w:tblPrEx>
        <w:trPr>
          <w:trHeight w:val="1007" w:hRule="atLeast"/>
          <w:jc w:val="center"/>
        </w:trPr>
        <w:tc>
          <w:tcPr>
            <w:tcW w:w="396"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绩效指标完成情况</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一级指标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二级指标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三级指标</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预期指标值(包含数字及文字描述)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实际完成指标值(包含数字及文字描述)</w:t>
            </w:r>
          </w:p>
        </w:tc>
      </w:tr>
      <w:tr>
        <w:tblPrEx>
          <w:tblCellMar>
            <w:top w:w="0" w:type="dxa"/>
            <w:left w:w="0" w:type="dxa"/>
            <w:bottom w:w="0" w:type="dxa"/>
            <w:right w:w="0" w:type="dxa"/>
          </w:tblCellMar>
        </w:tblPrEx>
        <w:trPr>
          <w:trHeight w:val="585"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数量指标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免作业本学生数</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402人</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402人</w:t>
            </w:r>
          </w:p>
        </w:tc>
      </w:tr>
      <w:tr>
        <w:tblPrEx>
          <w:tblCellMar>
            <w:top w:w="0" w:type="dxa"/>
            <w:left w:w="0" w:type="dxa"/>
            <w:bottom w:w="0" w:type="dxa"/>
            <w:right w:w="0" w:type="dxa"/>
          </w:tblCellMar>
        </w:tblPrEx>
        <w:trPr>
          <w:trHeight w:val="120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质量目标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r>
      <w:tr>
        <w:tblPrEx>
          <w:tblCellMar>
            <w:top w:w="0" w:type="dxa"/>
            <w:left w:w="0" w:type="dxa"/>
            <w:bottom w:w="0" w:type="dxa"/>
            <w:right w:w="0" w:type="dxa"/>
          </w:tblCellMar>
        </w:tblPrEx>
        <w:trPr>
          <w:trHeight w:val="115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时效指标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在规定时效内完成相关工作</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r>
      <w:tr>
        <w:tblPrEx>
          <w:tblCellMar>
            <w:top w:w="0" w:type="dxa"/>
            <w:left w:w="0" w:type="dxa"/>
            <w:bottom w:w="0" w:type="dxa"/>
            <w:right w:w="0" w:type="dxa"/>
          </w:tblCellMar>
        </w:tblPrEx>
        <w:trPr>
          <w:trHeight w:val="93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社会指标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r>
      <w:tr>
        <w:tblPrEx>
          <w:tblCellMar>
            <w:top w:w="0" w:type="dxa"/>
            <w:left w:w="0" w:type="dxa"/>
            <w:bottom w:w="0" w:type="dxa"/>
            <w:right w:w="0" w:type="dxa"/>
          </w:tblCellMar>
        </w:tblPrEx>
        <w:trPr>
          <w:trHeight w:val="1153" w:hRule="atLeast"/>
          <w:jc w:val="center"/>
        </w:trPr>
        <w:tc>
          <w:tcPr>
            <w:tcW w:w="396"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满意度指标</w:t>
            </w:r>
          </w:p>
        </w:tc>
        <w:tc>
          <w:tcPr>
            <w:tcW w:w="10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服务对象满意度指标</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家长、教师、学生满意度</w:t>
            </w:r>
          </w:p>
        </w:tc>
        <w:tc>
          <w:tcPr>
            <w:tcW w:w="242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r>
    </w:tbl>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人才队伍建设资金”项目绩效目标完成情况综述。项目全年预算数0.96万元，执行数为0.96万元，完成预算的100%。通过项目实施，促进了学校人才队伍建设工作开展，提高了学校骨干教师业务能力，促进了全校教师教育教学能力的提升。提高了全校教学成绩。</w:t>
      </w:r>
    </w:p>
    <w:tbl>
      <w:tblPr>
        <w:tblStyle w:val="12"/>
        <w:tblpPr w:leftFromText="180" w:rightFromText="180" w:vertAnchor="text" w:horzAnchor="page" w:tblpXSpec="center" w:tblpY="423"/>
        <w:tblOverlap w:val="never"/>
        <w:tblW w:w="10111" w:type="dxa"/>
        <w:jc w:val="center"/>
        <w:tblLayout w:type="fixed"/>
        <w:tblCellMar>
          <w:top w:w="0" w:type="dxa"/>
          <w:left w:w="0" w:type="dxa"/>
          <w:bottom w:w="0" w:type="dxa"/>
          <w:right w:w="0" w:type="dxa"/>
        </w:tblCellMar>
      </w:tblPr>
      <w:tblGrid>
        <w:gridCol w:w="396"/>
        <w:gridCol w:w="1387"/>
        <w:gridCol w:w="1042"/>
        <w:gridCol w:w="2428"/>
        <w:gridCol w:w="2430"/>
        <w:gridCol w:w="2428"/>
      </w:tblGrid>
      <w:tr>
        <w:tblPrEx>
          <w:tblCellMar>
            <w:top w:w="0" w:type="dxa"/>
            <w:left w:w="0" w:type="dxa"/>
            <w:bottom w:w="0" w:type="dxa"/>
            <w:right w:w="0" w:type="dxa"/>
          </w:tblCellMar>
        </w:tblPrEx>
        <w:trPr>
          <w:trHeight w:val="1180" w:hRule="atLeast"/>
          <w:jc w:val="center"/>
        </w:trPr>
        <w:tc>
          <w:tcPr>
            <w:tcW w:w="10111"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314" w:hRule="atLeast"/>
          <w:jc w:val="center"/>
        </w:trPr>
        <w:tc>
          <w:tcPr>
            <w:tcW w:w="28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项目名称</w:t>
            </w:r>
          </w:p>
        </w:tc>
        <w:tc>
          <w:tcPr>
            <w:tcW w:w="72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人才队伍建设资金</w:t>
            </w:r>
          </w:p>
        </w:tc>
      </w:tr>
      <w:tr>
        <w:tblPrEx>
          <w:tblCellMar>
            <w:top w:w="0" w:type="dxa"/>
            <w:left w:w="0" w:type="dxa"/>
            <w:bottom w:w="0" w:type="dxa"/>
            <w:right w:w="0" w:type="dxa"/>
          </w:tblCellMar>
        </w:tblPrEx>
        <w:trPr>
          <w:trHeight w:val="314" w:hRule="atLeast"/>
          <w:jc w:val="center"/>
        </w:trPr>
        <w:tc>
          <w:tcPr>
            <w:tcW w:w="28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预算单位</w:t>
            </w:r>
          </w:p>
        </w:tc>
        <w:tc>
          <w:tcPr>
            <w:tcW w:w="72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峨眉山市罗目镇小学校</w:t>
            </w:r>
          </w:p>
        </w:tc>
      </w:tr>
      <w:tr>
        <w:tblPrEx>
          <w:tblCellMar>
            <w:top w:w="0" w:type="dxa"/>
            <w:left w:w="0" w:type="dxa"/>
            <w:bottom w:w="0" w:type="dxa"/>
            <w:right w:w="0" w:type="dxa"/>
          </w:tblCellMar>
        </w:tblPrEx>
        <w:trPr>
          <w:trHeight w:val="31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预算执行情况(万元)</w:t>
            </w:r>
          </w:p>
        </w:tc>
        <w:tc>
          <w:tcPr>
            <w:tcW w:w="24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预算数:</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0.96万元</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执行数:</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0.96万元</w:t>
            </w:r>
          </w:p>
        </w:tc>
      </w:tr>
      <w:tr>
        <w:tblPrEx>
          <w:tblCellMar>
            <w:top w:w="0" w:type="dxa"/>
            <w:left w:w="0" w:type="dxa"/>
            <w:bottom w:w="0" w:type="dxa"/>
            <w:right w:w="0" w:type="dxa"/>
          </w:tblCellMar>
        </w:tblPrEx>
        <w:trPr>
          <w:trHeight w:val="31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24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0.96万元</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0.96万元</w:t>
            </w:r>
          </w:p>
        </w:tc>
      </w:tr>
      <w:tr>
        <w:tblPrEx>
          <w:tblCellMar>
            <w:top w:w="0" w:type="dxa"/>
            <w:left w:w="0" w:type="dxa"/>
            <w:bottom w:w="0" w:type="dxa"/>
            <w:right w:w="0" w:type="dxa"/>
          </w:tblCellMar>
        </w:tblPrEx>
        <w:trPr>
          <w:trHeight w:val="1723"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24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0" w:type="dxa"/>
            <w:bottom w:w="0" w:type="dxa"/>
            <w:right w:w="0" w:type="dxa"/>
          </w:tblCellMar>
        </w:tblPrEx>
        <w:trPr>
          <w:trHeight w:val="31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年度目标完成情况</w:t>
            </w:r>
          </w:p>
        </w:tc>
        <w:tc>
          <w:tcPr>
            <w:tcW w:w="48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预期目标</w:t>
            </w:r>
          </w:p>
        </w:tc>
        <w:tc>
          <w:tcPr>
            <w:tcW w:w="48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实际完成目标</w:t>
            </w:r>
          </w:p>
        </w:tc>
      </w:tr>
      <w:tr>
        <w:tblPrEx>
          <w:tblCellMar>
            <w:top w:w="0" w:type="dxa"/>
            <w:left w:w="0" w:type="dxa"/>
            <w:bottom w:w="0" w:type="dxa"/>
            <w:right w:w="0" w:type="dxa"/>
          </w:tblCellMar>
        </w:tblPrEx>
        <w:trPr>
          <w:trHeight w:val="132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48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促进学校人才队伍建设工作开展，提高学校骨干教师业务能力，促进全校教师教育教学能力的提升。提高全校教学成绩</w:t>
            </w:r>
          </w:p>
        </w:tc>
        <w:tc>
          <w:tcPr>
            <w:tcW w:w="48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全面完成预期目标</w:t>
            </w:r>
          </w:p>
        </w:tc>
      </w:tr>
      <w:tr>
        <w:tblPrEx>
          <w:tblCellMar>
            <w:top w:w="0" w:type="dxa"/>
            <w:left w:w="0" w:type="dxa"/>
            <w:bottom w:w="0" w:type="dxa"/>
            <w:right w:w="0" w:type="dxa"/>
          </w:tblCellMar>
        </w:tblPrEx>
        <w:trPr>
          <w:trHeight w:val="1039" w:hRule="atLeast"/>
          <w:jc w:val="center"/>
        </w:trPr>
        <w:tc>
          <w:tcPr>
            <w:tcW w:w="396"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绩效指标完成情况</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一级指标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二级指标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三级指标</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预期指标值(包含数字及文字描述)</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实际完成指标值(包含数字及文字描述)</w:t>
            </w:r>
          </w:p>
        </w:tc>
      </w:tr>
      <w:tr>
        <w:tblPrEx>
          <w:tblCellMar>
            <w:top w:w="0" w:type="dxa"/>
            <w:left w:w="0" w:type="dxa"/>
            <w:bottom w:w="0" w:type="dxa"/>
            <w:right w:w="0" w:type="dxa"/>
          </w:tblCellMar>
        </w:tblPrEx>
        <w:trPr>
          <w:trHeight w:val="60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数量指标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骨干教师数</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3人</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3人</w:t>
            </w:r>
          </w:p>
        </w:tc>
      </w:tr>
      <w:tr>
        <w:tblPrEx>
          <w:tblCellMar>
            <w:top w:w="0" w:type="dxa"/>
            <w:left w:w="0" w:type="dxa"/>
            <w:bottom w:w="0" w:type="dxa"/>
            <w:right w:w="0" w:type="dxa"/>
          </w:tblCellMar>
        </w:tblPrEx>
        <w:trPr>
          <w:trHeight w:val="1242"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质量目标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提高学校骨干教师业务能力，促进全校教师教育教学能力的提升。提高全校教学成绩</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提高学校骨干教师业务能力，促进全校教师教育教学能力的提升。提高全校教学成绩</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提高了学校骨干教师业务能力，促进全校教师教育教学能力的提升。提高全校教学成绩</w:t>
            </w:r>
          </w:p>
        </w:tc>
      </w:tr>
      <w:tr>
        <w:tblPrEx>
          <w:tblCellMar>
            <w:top w:w="0" w:type="dxa"/>
            <w:left w:w="0" w:type="dxa"/>
            <w:bottom w:w="0" w:type="dxa"/>
            <w:right w:w="0" w:type="dxa"/>
          </w:tblCellMar>
        </w:tblPrEx>
        <w:trPr>
          <w:trHeight w:val="1189"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时效指标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在规定时效内完成相关工作</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r>
      <w:tr>
        <w:tblPrEx>
          <w:tblCellMar>
            <w:top w:w="0" w:type="dxa"/>
            <w:left w:w="0" w:type="dxa"/>
            <w:bottom w:w="0" w:type="dxa"/>
            <w:right w:w="0" w:type="dxa"/>
          </w:tblCellMar>
        </w:tblPrEx>
        <w:trPr>
          <w:trHeight w:val="96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社会指标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提高全校教学成绩，得到教师、学生、家长认同</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提高全校教学成绩，得到教师、学生、家长认同</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提高全校教学成绩，得到教师、学生、家长认同</w:t>
            </w:r>
          </w:p>
        </w:tc>
      </w:tr>
      <w:tr>
        <w:tblPrEx>
          <w:tblCellMar>
            <w:top w:w="0" w:type="dxa"/>
            <w:left w:w="0" w:type="dxa"/>
            <w:bottom w:w="0" w:type="dxa"/>
            <w:right w:w="0" w:type="dxa"/>
          </w:tblCellMar>
        </w:tblPrEx>
        <w:trPr>
          <w:trHeight w:val="1189" w:hRule="atLeast"/>
          <w:jc w:val="center"/>
        </w:trPr>
        <w:tc>
          <w:tcPr>
            <w:tcW w:w="396"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满意度指标</w:t>
            </w:r>
          </w:p>
        </w:tc>
        <w:tc>
          <w:tcPr>
            <w:tcW w:w="104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服务对象满意度指标</w:t>
            </w:r>
          </w:p>
        </w:tc>
        <w:tc>
          <w:tcPr>
            <w:tcW w:w="242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家长、教师、学生满意度</w:t>
            </w:r>
          </w:p>
        </w:tc>
        <w:tc>
          <w:tcPr>
            <w:tcW w:w="24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c>
          <w:tcPr>
            <w:tcW w:w="242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r>
    </w:tbl>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本部门按要求对2019年部门整体支出绩效评价情况开展自评，《峨眉山市罗目镇小学校2019年部门整体支出绩效评价报告》见附件（附件1）。</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本部门自行组织对“学校安保工作经费”项目开展了绩效评价，《学校安保工作经费项目2019年绩效评价报告》见附件（附件2）。</w:t>
      </w:r>
      <w:bookmarkStart w:id="55" w:name="_Toc15396613"/>
      <w:bookmarkStart w:id="56" w:name="_Toc15377225"/>
    </w:p>
    <w:p>
      <w:pPr>
        <w:spacing w:line="580" w:lineRule="exact"/>
        <w:rPr>
          <w:rFonts w:ascii="黑体" w:hAnsi="黑体" w:eastAsia="黑体"/>
          <w:color w:val="000000"/>
          <w:sz w:val="44"/>
          <w:szCs w:val="44"/>
        </w:rPr>
      </w:pPr>
    </w:p>
    <w:p>
      <w:pPr>
        <w:spacing w:line="580" w:lineRule="exact"/>
        <w:ind w:firstLine="880" w:firstLineChars="200"/>
        <w:rPr>
          <w:rFonts w:ascii="黑体" w:hAnsi="黑体" w:eastAsia="黑体"/>
          <w:bCs/>
          <w:kern w:val="44"/>
          <w:sz w:val="44"/>
          <w:szCs w:val="44"/>
        </w:rPr>
      </w:pPr>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580" w:lineRule="exact"/>
        <w:ind w:firstLine="640" w:firstLineChars="200"/>
        <w:rPr>
          <w:rFonts w:ascii="仿宋_GB2312" w:eastAsia="仿宋_GB2312"/>
          <w:color w:val="000000"/>
          <w:sz w:val="32"/>
          <w:szCs w:val="32"/>
        </w:rPr>
      </w:pPr>
      <w:r>
        <w:rPr>
          <w:rFonts w:hint="eastAsia" w:hAnsi="仿宋"/>
          <w:sz w:val="32"/>
          <w:szCs w:val="32"/>
        </w:rPr>
        <w:t>1</w:t>
      </w:r>
      <w:r>
        <w:rPr>
          <w:rFonts w:hint="eastAsia" w:ascii="仿宋_GB2312" w:eastAsia="仿宋_GB2312"/>
          <w:color w:val="000000"/>
          <w:sz w:val="32"/>
          <w:szCs w:val="32"/>
        </w:rPr>
        <w:t xml:space="preserve">.财政拨款收入：指省级财政当年拨付的资金。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2.事业收入：指事业单位开展专业业务活动及辅助活动所取得的收入。如财政专户核拨的幼儿园保教费收入等。</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3.经营收入：指事业单位在专业业务活动及其辅助活动之外开展非独立核算经营活动取得的收入。</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4.其他收入：指除上述“财政拨款收入”、“事业收入”、“经营收入”等以外的收入。主要是捐赠收入、利息收入等。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6.年初结转和结余：指以前年度尚未完成、结转到本年按有关规定继续使用的资金。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7.一般公共服务支出（类）群众团体事务（款）其他群众团体事务支出（项）：指反映上述项目以外其他用于群众团体事务方面的支出。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8.国防支出（类）国防动员（款）兵役征集（项）：指反映用于兵役征集等方面的支出。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9.教育支出（类）教育管理事务（款）行政运行（项）:指反映行政单位（包括实行公务员管理的事业单位）的基本支出。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10.教育支出（类）教育管理事务（款）一般行政管理事务（项）:指反映行政单位（包括实行公务员管理的事业单位）未单独设置项级科目的其他项目支出。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11.教育支出（类）普通教育（款）学前教育（项）:指反映各部门举办的学前教育支出。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12.教育支出（类）普通教育（款）小学教育（项）:指反映各部门举办的小学教育支出。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13.教育支出（类）普通教育（款）初中教育（项）:指反映各部门举办的初中教育支出。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14.教育支出（类）普通教育（款）高中教育（项）:指反映各部门举办的高级中学教育支出。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15.教育支出（类）普通教育（款）其他普通教育支出（项）:指反映除上述项目以外其他用于普通教育方面的支出。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16.教育支出（类）职业教育（款）中专教育（项）:指反映各部门举办的各类中等专业学校的支出。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17.教育支出（类）职业教育（款）职业高中教育（项）:指反映各部门举办的职业中学、农业中学（含普通高中改制的）、半工（农）半读中学的支出或补助费。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18.教育支出（类）职业教育（款）其他职业教育支出（项）: 指反映除上述项目以外其他用于职业教育方面的支出。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19.教育支出（类）成人教育（款）成人高等教育（项）:指反映各部门举办函授、夜大、高等教育自学考试等方面的支出。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20.教育支出（类）成人教育（款）成人广播电视教育（项）:指反映各部门举办成人广播电视教育的支出。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21.教育支出（类）进修及培训（款）教师进修（项）:指反映教师进修、师资培训支出。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22.教育支出（类）教育费附加安排的支出（款）农村中小学校舍建设（项）:指反映教育费附加安排用于农村中小学校舍新建、改建、修缮和维护的支出。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23.教育支出（类）教育费附加安排的支出（款）农村中小学教学设施（项）:指反映教育费附加安排用于改善农村中小学教学设施和办学条件的支出。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24.教育支出（类）教育费附加安排的支出（款）城市中小学校舍建设（项）:指反映教育费附加安排用于城市中小学校舍新建、改建、修缮和维护的支出。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25.教育支出（类）教育费附加安排的支出（款）中等职业学校教学设施（项）:指反映教育费附加安排用于中等职业学校教学设施的支出。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26.教育支出（类）教育费附加安排的支出（款）其他教育费附加安排的支出（项）: 指反映除上述项目以外的教育费附加支出。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27.教育支出（类）其他教育支出（款）其他教育支出（项）:指反映除上述项目以外其他用于教育方面的支出。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28.文化体育与传媒支出（类）体育（款）其他体育支出（项）:指反映上述项目以外其他用于体育方面的支出。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29.社会保障和就业支出（类）行政事业单位离退休（款）未归口管理的行政单位离退休（项）:指反映未实行归口管理的行政单位（包括实行公务员管理的事业单位）开支的离退休支出。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30.社会保障和就业支出（类）行政事业单位离退休（款）机关事业单位基本养老保险缴费支出（项）: 指反映机关事业单位实施养老保险制度由单位缴纳的基本养老保险费支出。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31.社会保障和就业支出（类）行政事业单位离退休（款）机关事业单位职业年金缴费支出（项）: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32.社会保障和就业支出（类）行政事业单位离退休（款）其他行政事业单位离退休支出（项）: 指反映除上述项目以外其他用于行政事业单位离退休方面的支出。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33. 社会保障和就业支出（类）抚恤（款）死亡抚恤（项）:指反映按规定用于烈士和牺牲、病故人员家属的一次性和定期抚恤金以及丧葬补助费。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34.社会保障和就业支出（类）抚恤（款）其他优抚支出（项）:指反映除上述项目以外其他用于优抚方面的支出。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36.卫生健康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37.农林水支出（类）扶贫（款）其他扶贫支出（项）：指反映除上述项目以外其他用于扶贫方面的支出。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38.住房保障支出（类）住房改革支出（款）住房公积金（项）: 指反映行政事业单位按人力资源和社会保障部、财政部规定的基本工资和津贴补贴以及规定比例为职工缴纳的住房公积金。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39.结余分配：指事业单位按规定提取的职工福利基金、事业基金和缴纳的所得税，以及建设单位按规定应交回的基本建设竣工项目结余资金。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40.年末结转和结余：指本年度或以前年度预算安排、因客观条件发生变化无法按原计划实施，需延迟到以后年度按有关规定继续使用的资金。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41.基本支出：指为保障机构正常运转、完成日常工作任务而发生的人员支出和公用支出。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42.项目支出：指在基本支出之外为完成特定行政任务和事业发展目标所发生的支出。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43.经营支出：指事业单位在专业业务活动及其辅助活动之外开展非独立核算经营活动发生的支出。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 w:hAnsi="仿宋" w:eastAsia="仿宋"/>
          <w:b/>
          <w:color w:val="000000"/>
          <w:sz w:val="32"/>
          <w:szCs w:val="32"/>
        </w:rPr>
      </w:pPr>
      <w:r>
        <w:rPr>
          <w:rFonts w:hint="eastAsia" w:ascii="仿宋_GB2312" w:eastAsia="仿宋_GB2312"/>
          <w:color w:val="000000"/>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峨眉山市罗目镇小学校</w:t>
      </w: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val="zh-CN"/>
        </w:rPr>
        <w:t>部门</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spacing w:line="580"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shd w:val="clear" w:color="auto" w:fill="FFFFFF"/>
        <w:spacing w:line="240" w:lineRule="atLeast"/>
        <w:ind w:firstLine="640" w:firstLineChars="200"/>
        <w:rPr>
          <w:rFonts w:ascii="仿宋_GB2312" w:hAnsi="仿宋_GB2312" w:eastAsia="仿宋_GB2312" w:cs="仿宋_GB2312"/>
          <w:kern w:val="0"/>
          <w:sz w:val="28"/>
          <w:szCs w:val="28"/>
        </w:rPr>
      </w:pPr>
      <w:r>
        <w:rPr>
          <w:rFonts w:hint="eastAsia" w:ascii="仿宋_GB2312" w:hAnsi="宋体" w:eastAsia="仿宋_GB2312" w:cs="宋体"/>
          <w:color w:val="000000"/>
          <w:kern w:val="0"/>
          <w:sz w:val="32"/>
          <w:szCs w:val="32"/>
          <w:shd w:val="clear" w:color="auto" w:fill="FFFFFF"/>
          <w:lang w:val="zh-CN"/>
        </w:rPr>
        <w:t>（一）机构组成。</w:t>
      </w:r>
      <w:r>
        <w:rPr>
          <w:rFonts w:hint="eastAsia" w:ascii="仿宋_GB2312" w:hAnsi="仿宋_GB2312" w:eastAsia="仿宋_GB2312" w:cs="仿宋_GB2312"/>
          <w:kern w:val="0"/>
          <w:sz w:val="32"/>
          <w:szCs w:val="32"/>
          <w:shd w:val="clear" w:color="auto" w:fill="FFFFFF"/>
        </w:rPr>
        <w:t>我单位内设校长办公室、教务处、安办、少先队、后勤办公室5个部门，属财政全额拨款事业单位1个：峨眉山市罗目镇小学校。</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r>
        <w:rPr>
          <w:rFonts w:hint="eastAsia" w:ascii="仿宋" w:hAnsi="仿宋" w:eastAsia="仿宋"/>
          <w:bCs/>
          <w:color w:val="000000"/>
          <w:sz w:val="32"/>
          <w:szCs w:val="32"/>
        </w:rPr>
        <w:t>实施小学义务教育，促进基础教育发展，小学学历教育。</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r>
        <w:rPr>
          <w:rFonts w:hint="eastAsia" w:ascii="仿宋_GB2312" w:hAnsi="仿宋" w:eastAsia="仿宋_GB2312"/>
          <w:sz w:val="32"/>
          <w:szCs w:val="32"/>
        </w:rPr>
        <w:t>核定事业编制43名，设领导职数1名。实际在岗人员51人。</w:t>
      </w:r>
      <w:r>
        <w:rPr>
          <w:rFonts w:hint="eastAsia" w:ascii="仿宋_GB2312" w:hAnsi="宋体" w:eastAsia="仿宋_GB2312" w:cs="宋体"/>
          <w:kern w:val="0"/>
          <w:sz w:val="32"/>
          <w:szCs w:val="32"/>
        </w:rPr>
        <w:t>长期聘用编外人员2名。</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ind w:firstLine="800" w:firstLineChars="25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我单位2019年部门年初预算收入为</w:t>
      </w:r>
      <w:r>
        <w:rPr>
          <w:rFonts w:hint="eastAsia" w:ascii="仿宋_GB2312" w:hAnsi="宋体" w:eastAsia="仿宋_GB2312" w:cs="宋体"/>
          <w:color w:val="000000"/>
          <w:kern w:val="0"/>
          <w:sz w:val="32"/>
          <w:szCs w:val="32"/>
          <w:shd w:val="clear" w:color="auto" w:fill="FFFFFF"/>
        </w:rPr>
        <w:t>620.51</w:t>
      </w:r>
      <w:r>
        <w:rPr>
          <w:rFonts w:hint="eastAsia" w:ascii="仿宋_GB2312" w:hAnsi="宋体" w:eastAsia="仿宋_GB2312" w:cs="宋体"/>
          <w:color w:val="000000"/>
          <w:kern w:val="0"/>
          <w:sz w:val="32"/>
          <w:szCs w:val="32"/>
          <w:shd w:val="clear" w:color="auto" w:fill="FFFFFF"/>
          <w:lang w:val="zh-CN"/>
        </w:rPr>
        <w:t>万元。其中：一般公共财政拨款</w:t>
      </w:r>
      <w:r>
        <w:rPr>
          <w:rFonts w:hint="eastAsia" w:ascii="仿宋_GB2312" w:hAnsi="宋体" w:eastAsia="仿宋_GB2312" w:cs="宋体"/>
          <w:color w:val="000000"/>
          <w:kern w:val="0"/>
          <w:sz w:val="32"/>
          <w:szCs w:val="32"/>
          <w:shd w:val="clear" w:color="auto" w:fill="FFFFFF"/>
        </w:rPr>
        <w:t>563.01</w:t>
      </w:r>
      <w:r>
        <w:rPr>
          <w:rFonts w:hint="eastAsia" w:ascii="仿宋_GB2312" w:hAnsi="宋体" w:eastAsia="仿宋_GB2312" w:cs="宋体"/>
          <w:color w:val="000000"/>
          <w:kern w:val="0"/>
          <w:sz w:val="32"/>
          <w:szCs w:val="32"/>
          <w:shd w:val="clear" w:color="auto" w:fill="FFFFFF"/>
          <w:lang w:val="zh-CN"/>
        </w:rPr>
        <w:t>，事业收入（财政专户收入）</w:t>
      </w:r>
      <w:r>
        <w:rPr>
          <w:rFonts w:hint="eastAsia" w:ascii="仿宋_GB2312" w:hAnsi="宋体" w:eastAsia="仿宋_GB2312" w:cs="宋体"/>
          <w:color w:val="000000"/>
          <w:kern w:val="0"/>
          <w:sz w:val="32"/>
          <w:szCs w:val="32"/>
          <w:shd w:val="clear" w:color="auto" w:fill="FFFFFF"/>
        </w:rPr>
        <w:t>57.5</w:t>
      </w:r>
      <w:r>
        <w:rPr>
          <w:rFonts w:hint="eastAsia" w:ascii="仿宋_GB2312" w:hAnsi="宋体" w:eastAsia="仿宋_GB2312" w:cs="宋体"/>
          <w:color w:val="000000"/>
          <w:kern w:val="0"/>
          <w:sz w:val="32"/>
          <w:szCs w:val="32"/>
          <w:shd w:val="clear" w:color="auto" w:fill="FFFFFF"/>
          <w:lang w:val="zh-CN"/>
        </w:rPr>
        <w:t>万元；调整预算收入为</w:t>
      </w:r>
      <w:r>
        <w:rPr>
          <w:rFonts w:hint="eastAsia" w:ascii="仿宋_GB2312" w:hAnsi="宋体" w:eastAsia="仿宋_GB2312" w:cs="宋体"/>
          <w:color w:val="000000"/>
          <w:kern w:val="0"/>
          <w:sz w:val="32"/>
          <w:szCs w:val="32"/>
          <w:shd w:val="clear" w:color="auto" w:fill="FFFFFF"/>
        </w:rPr>
        <w:t>841</w:t>
      </w:r>
      <w:r>
        <w:rPr>
          <w:rFonts w:hint="eastAsia" w:ascii="仿宋_GB2312" w:hAnsi="宋体" w:eastAsia="仿宋_GB2312" w:cs="宋体"/>
          <w:color w:val="000000"/>
          <w:kern w:val="0"/>
          <w:sz w:val="32"/>
          <w:szCs w:val="32"/>
          <w:shd w:val="clear" w:color="auto" w:fill="FFFFFF"/>
          <w:lang w:val="zh-CN"/>
        </w:rPr>
        <w:t>万元，其中：一般公共财政拨款</w:t>
      </w:r>
      <w:r>
        <w:rPr>
          <w:rFonts w:hint="eastAsia" w:ascii="仿宋_GB2312" w:hAnsi="宋体" w:eastAsia="仿宋_GB2312" w:cs="宋体"/>
          <w:color w:val="000000"/>
          <w:kern w:val="0"/>
          <w:sz w:val="32"/>
          <w:szCs w:val="32"/>
          <w:shd w:val="clear" w:color="auto" w:fill="FFFFFF"/>
        </w:rPr>
        <w:t>800.9</w:t>
      </w:r>
      <w:r>
        <w:rPr>
          <w:rFonts w:hint="eastAsia" w:ascii="仿宋_GB2312" w:hAnsi="宋体" w:eastAsia="仿宋_GB2312" w:cs="宋体"/>
          <w:color w:val="000000"/>
          <w:kern w:val="0"/>
          <w:sz w:val="32"/>
          <w:szCs w:val="32"/>
          <w:shd w:val="clear" w:color="auto" w:fill="FFFFFF"/>
          <w:lang w:val="zh-CN"/>
        </w:rPr>
        <w:t>万元，政府性基金0万元；事业收入（财政专户收入）</w:t>
      </w:r>
      <w:r>
        <w:rPr>
          <w:rFonts w:hint="eastAsia" w:ascii="仿宋_GB2312" w:hAnsi="宋体" w:eastAsia="仿宋_GB2312" w:cs="宋体"/>
          <w:color w:val="000000"/>
          <w:kern w:val="0"/>
          <w:sz w:val="32"/>
          <w:szCs w:val="32"/>
          <w:shd w:val="clear" w:color="auto" w:fill="FFFFFF"/>
        </w:rPr>
        <w:t>40.1</w:t>
      </w:r>
      <w:r>
        <w:rPr>
          <w:rFonts w:hint="eastAsia" w:ascii="仿宋_GB2312" w:hAnsi="宋体" w:eastAsia="仿宋_GB2312" w:cs="宋体"/>
          <w:color w:val="000000"/>
          <w:kern w:val="0"/>
          <w:sz w:val="32"/>
          <w:szCs w:val="32"/>
          <w:shd w:val="clear" w:color="auto" w:fill="FFFFFF"/>
          <w:lang w:val="zh-CN"/>
        </w:rPr>
        <w:t>万元；决算收入为</w:t>
      </w:r>
      <w:r>
        <w:rPr>
          <w:rFonts w:hint="eastAsia" w:ascii="仿宋_GB2312" w:hAnsi="宋体" w:eastAsia="仿宋_GB2312" w:cs="宋体"/>
          <w:color w:val="000000"/>
          <w:kern w:val="0"/>
          <w:sz w:val="32"/>
          <w:szCs w:val="32"/>
          <w:shd w:val="clear" w:color="auto" w:fill="FFFFFF"/>
        </w:rPr>
        <w:t>832.78</w:t>
      </w:r>
      <w:r>
        <w:rPr>
          <w:rFonts w:hint="eastAsia" w:ascii="仿宋_GB2312" w:hAnsi="宋体" w:eastAsia="仿宋_GB2312" w:cs="宋体"/>
          <w:color w:val="000000"/>
          <w:kern w:val="0"/>
          <w:sz w:val="32"/>
          <w:szCs w:val="32"/>
          <w:shd w:val="clear" w:color="auto" w:fill="FFFFFF"/>
          <w:lang w:val="zh-CN"/>
        </w:rPr>
        <w:t>万元, 其中：一般公共财政拨款</w:t>
      </w:r>
      <w:r>
        <w:rPr>
          <w:rFonts w:hint="eastAsia" w:ascii="仿宋_GB2312" w:hAnsi="宋体" w:eastAsia="仿宋_GB2312" w:cs="宋体"/>
          <w:color w:val="000000"/>
          <w:kern w:val="0"/>
          <w:sz w:val="32"/>
          <w:szCs w:val="32"/>
          <w:shd w:val="clear" w:color="auto" w:fill="FFFFFF"/>
        </w:rPr>
        <w:t>792.68</w:t>
      </w:r>
      <w:r>
        <w:rPr>
          <w:rFonts w:hint="eastAsia" w:ascii="仿宋_GB2312" w:hAnsi="宋体" w:eastAsia="仿宋_GB2312" w:cs="宋体"/>
          <w:color w:val="000000"/>
          <w:kern w:val="0"/>
          <w:sz w:val="32"/>
          <w:szCs w:val="32"/>
          <w:shd w:val="clear" w:color="auto" w:fill="FFFFFF"/>
          <w:lang w:val="zh-CN"/>
        </w:rPr>
        <w:t>万元，政府性基金0万元；事业收入（财政专户收入）</w:t>
      </w:r>
      <w:r>
        <w:rPr>
          <w:rFonts w:hint="eastAsia" w:ascii="仿宋_GB2312" w:hAnsi="宋体" w:eastAsia="仿宋_GB2312" w:cs="宋体"/>
          <w:color w:val="000000"/>
          <w:kern w:val="0"/>
          <w:sz w:val="32"/>
          <w:szCs w:val="32"/>
          <w:shd w:val="clear" w:color="auto" w:fill="FFFFFF"/>
        </w:rPr>
        <w:t>40.1</w:t>
      </w:r>
      <w:r>
        <w:rPr>
          <w:rFonts w:hint="eastAsia" w:ascii="仿宋_GB2312" w:hAnsi="宋体" w:eastAsia="仿宋_GB2312" w:cs="宋体"/>
          <w:color w:val="000000"/>
          <w:kern w:val="0"/>
          <w:sz w:val="32"/>
          <w:szCs w:val="32"/>
          <w:shd w:val="clear" w:color="auto" w:fill="FFFFFF"/>
          <w:lang w:val="zh-CN"/>
        </w:rPr>
        <w:t>万元。年初财政结转结余</w:t>
      </w:r>
      <w:r>
        <w:rPr>
          <w:rFonts w:hint="eastAsia" w:ascii="仿宋_GB2312" w:hAnsi="宋体" w:eastAsia="仿宋_GB2312" w:cs="宋体"/>
          <w:color w:val="000000"/>
          <w:kern w:val="0"/>
          <w:sz w:val="32"/>
          <w:szCs w:val="32"/>
          <w:shd w:val="clear" w:color="auto" w:fill="FFFFFF"/>
        </w:rPr>
        <w:t>8.22</w:t>
      </w:r>
      <w:r>
        <w:rPr>
          <w:rFonts w:hint="eastAsia" w:ascii="仿宋_GB2312" w:hAnsi="宋体" w:eastAsia="仿宋_GB2312" w:cs="宋体"/>
          <w:color w:val="000000"/>
          <w:kern w:val="0"/>
          <w:sz w:val="32"/>
          <w:szCs w:val="32"/>
          <w:shd w:val="clear" w:color="auto" w:fill="FFFFFF"/>
          <w:lang w:val="zh-CN"/>
        </w:rPr>
        <w:t>万元。全年总计决算收入</w:t>
      </w:r>
      <w:r>
        <w:rPr>
          <w:rFonts w:hint="eastAsia" w:ascii="仿宋_GB2312" w:hAnsi="宋体" w:eastAsia="仿宋_GB2312" w:cs="宋体"/>
          <w:color w:val="000000"/>
          <w:kern w:val="0"/>
          <w:sz w:val="32"/>
          <w:szCs w:val="32"/>
          <w:shd w:val="clear" w:color="auto" w:fill="FFFFFF"/>
        </w:rPr>
        <w:t>841</w:t>
      </w:r>
      <w:r>
        <w:rPr>
          <w:rFonts w:hint="eastAsia" w:ascii="仿宋_GB2312" w:hAnsi="宋体" w:eastAsia="仿宋_GB2312" w:cs="宋体"/>
          <w:color w:val="000000"/>
          <w:kern w:val="0"/>
          <w:sz w:val="32"/>
          <w:szCs w:val="32"/>
          <w:shd w:val="clear" w:color="auto" w:fill="FFFFFF"/>
          <w:lang w:val="zh-CN"/>
        </w:rPr>
        <w:t>万元。</w:t>
      </w:r>
    </w:p>
    <w:p>
      <w:pPr>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决算收入比年初预算收入增加</w:t>
      </w:r>
      <w:r>
        <w:rPr>
          <w:rFonts w:hint="eastAsia" w:ascii="仿宋_GB2312" w:hAnsi="宋体" w:eastAsia="仿宋_GB2312" w:cs="宋体"/>
          <w:color w:val="000000"/>
          <w:kern w:val="0"/>
          <w:sz w:val="32"/>
          <w:szCs w:val="32"/>
          <w:shd w:val="clear" w:color="auto" w:fill="FFFFFF"/>
        </w:rPr>
        <w:t>220.49</w:t>
      </w:r>
      <w:r>
        <w:rPr>
          <w:rFonts w:hint="eastAsia" w:ascii="仿宋_GB2312" w:hAnsi="宋体" w:eastAsia="仿宋_GB2312" w:cs="宋体"/>
          <w:color w:val="000000"/>
          <w:kern w:val="0"/>
          <w:sz w:val="32"/>
          <w:szCs w:val="32"/>
          <w:shd w:val="clear" w:color="auto" w:fill="FFFFFF"/>
          <w:lang w:val="zh-CN"/>
        </w:rPr>
        <w:t>万元，主要是财政预算调整（人员经费和项目经费）。</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kern w:val="0"/>
          <w:sz w:val="32"/>
          <w:szCs w:val="32"/>
        </w:rPr>
        <w:t>我单位2019年支出年初预算算数为</w:t>
      </w:r>
      <w:r>
        <w:rPr>
          <w:rFonts w:hint="eastAsia" w:ascii="仿宋_GB2312" w:hAnsi="宋体" w:eastAsia="仿宋_GB2312" w:cs="宋体"/>
          <w:color w:val="000000"/>
          <w:kern w:val="0"/>
          <w:sz w:val="32"/>
          <w:szCs w:val="32"/>
          <w:shd w:val="clear" w:color="auto" w:fill="FFFFFF"/>
        </w:rPr>
        <w:t>563.01</w:t>
      </w:r>
      <w:r>
        <w:rPr>
          <w:rFonts w:hint="eastAsia" w:ascii="仿宋_GB2312" w:hAnsi="宋体" w:eastAsia="仿宋_GB2312" w:cs="宋体"/>
          <w:kern w:val="0"/>
          <w:sz w:val="32"/>
          <w:szCs w:val="32"/>
        </w:rPr>
        <w:t>万元；调整预算支出为</w:t>
      </w:r>
      <w:r>
        <w:rPr>
          <w:rFonts w:hint="eastAsia" w:ascii="仿宋_GB2312" w:hAnsi="宋体" w:eastAsia="仿宋_GB2312" w:cs="宋体"/>
          <w:color w:val="000000"/>
          <w:kern w:val="0"/>
          <w:sz w:val="32"/>
          <w:szCs w:val="32"/>
          <w:shd w:val="clear" w:color="auto" w:fill="FFFFFF"/>
        </w:rPr>
        <w:t>800.91</w:t>
      </w:r>
      <w:r>
        <w:rPr>
          <w:rFonts w:hint="eastAsia" w:ascii="仿宋_GB2312" w:hAnsi="宋体" w:eastAsia="仿宋_GB2312" w:cs="宋体"/>
          <w:kern w:val="0"/>
          <w:sz w:val="32"/>
          <w:szCs w:val="32"/>
        </w:rPr>
        <w:t>万元。其中：基本支出791.74万元（人员经费756.44万元，日常公用经费35.3万元），项目支出9.17万元（政府性基金0万元，公共</w:t>
      </w:r>
      <w:r>
        <w:rPr>
          <w:rFonts w:hint="eastAsia" w:ascii="仿宋_GB2312" w:hAnsi="宋体" w:eastAsia="仿宋_GB2312" w:cs="宋体"/>
          <w:kern w:val="0"/>
          <w:sz w:val="32"/>
          <w:szCs w:val="32"/>
          <w:lang w:eastAsia="zh-CN"/>
        </w:rPr>
        <w:t>财政拨款</w:t>
      </w:r>
      <w:r>
        <w:rPr>
          <w:rFonts w:hint="eastAsia" w:ascii="仿宋_GB2312" w:hAnsi="宋体" w:eastAsia="仿宋_GB2312" w:cs="宋体"/>
          <w:kern w:val="0"/>
          <w:sz w:val="32"/>
          <w:szCs w:val="32"/>
        </w:rPr>
        <w:t>9.17万元）。决算支出数为796.92万元，其中：基本支出787.76万元（其中人员经费756.44万元，日常公用经费支出31.32万元）；项目经费支出9.17万元。年末结转结余3.98万元。基本支出较预算减少的3.98万元，</w:t>
      </w:r>
      <w:r>
        <w:rPr>
          <w:rFonts w:hint="eastAsia" w:ascii="仿宋_GB2312" w:hAnsi="宋体" w:eastAsia="仿宋_GB2312" w:cs="宋体"/>
          <w:color w:val="000000" w:themeColor="text1"/>
          <w:kern w:val="0"/>
          <w:sz w:val="32"/>
          <w:szCs w:val="32"/>
        </w:rPr>
        <w:t>项目支出较预算减少0</w:t>
      </w:r>
      <w:r>
        <w:rPr>
          <w:rFonts w:hint="eastAsia" w:ascii="仿宋_GB2312" w:hAnsi="仿宋_GB2312" w:eastAsia="仿宋_GB2312" w:cs="仿宋_GB2312"/>
          <w:color w:val="000000" w:themeColor="text1"/>
          <w:kern w:val="0"/>
          <w:sz w:val="32"/>
          <w:szCs w:val="32"/>
        </w:rPr>
        <w:t>万元。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ind w:firstLine="480" w:firstLineChars="150"/>
        <w:rPr>
          <w:rFonts w:ascii="仿宋_GB2312" w:hAnsi="宋体" w:eastAsia="仿宋_GB2312" w:cs="宋体"/>
          <w:sz w:val="32"/>
          <w:szCs w:val="32"/>
        </w:rPr>
      </w:pPr>
      <w:r>
        <w:rPr>
          <w:rFonts w:hint="eastAsia" w:ascii="仿宋_GB2312" w:hAnsi="宋体" w:eastAsia="仿宋_GB2312" w:cs="宋体"/>
          <w:sz w:val="32"/>
          <w:szCs w:val="32"/>
        </w:rPr>
        <w:t>（一）部门预算管理。</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我单位严格按照财政部门的要求和实现编制预决算、填报绩效目标和专项项目进度表；2019年收入年初预算为</w:t>
      </w:r>
      <w:r>
        <w:rPr>
          <w:rFonts w:hint="eastAsia" w:ascii="仿宋_GB2312" w:hAnsi="宋体" w:eastAsia="仿宋_GB2312" w:cs="宋体"/>
          <w:color w:val="000000"/>
          <w:kern w:val="0"/>
          <w:sz w:val="32"/>
          <w:szCs w:val="32"/>
          <w:shd w:val="clear" w:color="auto" w:fill="FFFFFF"/>
        </w:rPr>
        <w:t>563.01</w:t>
      </w:r>
      <w:r>
        <w:rPr>
          <w:rFonts w:hint="eastAsia" w:ascii="仿宋_GB2312" w:hAnsi="宋体" w:eastAsia="仿宋_GB2312" w:cs="宋体"/>
          <w:sz w:val="32"/>
          <w:szCs w:val="32"/>
        </w:rPr>
        <w:t>万元，调整预算为</w:t>
      </w:r>
      <w:r>
        <w:rPr>
          <w:rFonts w:hint="eastAsia" w:ascii="仿宋_GB2312" w:hAnsi="宋体" w:eastAsia="仿宋_GB2312" w:cs="宋体"/>
          <w:color w:val="000000"/>
          <w:kern w:val="0"/>
          <w:sz w:val="32"/>
          <w:szCs w:val="32"/>
          <w:shd w:val="clear" w:color="auto" w:fill="FFFFFF"/>
        </w:rPr>
        <w:t>800.91</w:t>
      </w:r>
      <w:r>
        <w:rPr>
          <w:rFonts w:hint="eastAsia" w:ascii="仿宋_GB2312" w:hAnsi="宋体" w:eastAsia="仿宋_GB2312" w:cs="宋体"/>
          <w:sz w:val="32"/>
          <w:szCs w:val="32"/>
        </w:rPr>
        <w:t>万元，其中：一般公共</w:t>
      </w:r>
      <w:r>
        <w:rPr>
          <w:rFonts w:hint="eastAsia" w:ascii="仿宋_GB2312" w:hAnsi="宋体" w:eastAsia="仿宋_GB2312" w:cs="宋体"/>
          <w:sz w:val="32"/>
          <w:szCs w:val="32"/>
          <w:lang w:eastAsia="zh-CN"/>
        </w:rPr>
        <w:t>财政拨款</w:t>
      </w:r>
      <w:r>
        <w:rPr>
          <w:rFonts w:hint="eastAsia" w:ascii="仿宋_GB2312" w:hAnsi="宋体" w:eastAsia="仿宋_GB2312" w:cs="宋体"/>
          <w:sz w:val="32"/>
          <w:szCs w:val="32"/>
        </w:rPr>
        <w:t>792.69万元，政府性基金0万元；事业收入（财政专户收入）40.1万元。支出年初预算</w:t>
      </w:r>
      <w:r>
        <w:rPr>
          <w:rFonts w:hint="eastAsia" w:ascii="仿宋_GB2312" w:hAnsi="宋体" w:eastAsia="仿宋_GB2312" w:cs="宋体"/>
          <w:color w:val="000000"/>
          <w:kern w:val="0"/>
          <w:sz w:val="32"/>
          <w:szCs w:val="32"/>
          <w:shd w:val="clear" w:color="auto" w:fill="FFFFFF"/>
        </w:rPr>
        <w:t>563.01</w:t>
      </w:r>
      <w:r>
        <w:rPr>
          <w:rFonts w:hint="eastAsia" w:ascii="仿宋_GB2312" w:hAnsi="宋体" w:eastAsia="仿宋_GB2312" w:cs="宋体"/>
          <w:sz w:val="32"/>
          <w:szCs w:val="32"/>
        </w:rPr>
        <w:t>万元，调整预算支出为</w:t>
      </w:r>
      <w:r>
        <w:rPr>
          <w:rFonts w:hint="eastAsia" w:ascii="仿宋_GB2312" w:hAnsi="宋体" w:eastAsia="仿宋_GB2312" w:cs="宋体"/>
          <w:color w:val="000000"/>
          <w:kern w:val="0"/>
          <w:sz w:val="32"/>
          <w:szCs w:val="32"/>
          <w:shd w:val="clear" w:color="auto" w:fill="FFFFFF"/>
        </w:rPr>
        <w:t>800.91</w:t>
      </w:r>
      <w:r>
        <w:rPr>
          <w:rFonts w:hint="eastAsia" w:ascii="仿宋_GB2312" w:hAnsi="宋体" w:eastAsia="仿宋_GB2312" w:cs="宋体"/>
          <w:sz w:val="32"/>
          <w:szCs w:val="32"/>
        </w:rPr>
        <w:t>万元。其中：基本支出</w:t>
      </w:r>
      <w:r>
        <w:rPr>
          <w:rFonts w:hint="eastAsia" w:ascii="仿宋_GB2312" w:hAnsi="宋体" w:eastAsia="仿宋_GB2312" w:cs="宋体"/>
          <w:kern w:val="0"/>
          <w:sz w:val="32"/>
          <w:szCs w:val="32"/>
        </w:rPr>
        <w:t>791.74</w:t>
      </w:r>
      <w:r>
        <w:rPr>
          <w:rFonts w:hint="eastAsia" w:ascii="仿宋_GB2312" w:hAnsi="宋体" w:eastAsia="仿宋_GB2312" w:cs="宋体"/>
          <w:sz w:val="32"/>
          <w:szCs w:val="32"/>
        </w:rPr>
        <w:t>万元（人员经费</w:t>
      </w:r>
      <w:r>
        <w:rPr>
          <w:rFonts w:hint="eastAsia" w:ascii="仿宋_GB2312" w:hAnsi="宋体" w:eastAsia="仿宋_GB2312" w:cs="宋体"/>
          <w:kern w:val="0"/>
          <w:sz w:val="32"/>
          <w:szCs w:val="32"/>
        </w:rPr>
        <w:t>756.44</w:t>
      </w:r>
      <w:r>
        <w:rPr>
          <w:rFonts w:hint="eastAsia" w:ascii="仿宋_GB2312" w:hAnsi="宋体" w:eastAsia="仿宋_GB2312" w:cs="宋体"/>
          <w:sz w:val="32"/>
          <w:szCs w:val="32"/>
        </w:rPr>
        <w:t>万元，日常公用经费</w:t>
      </w:r>
      <w:r>
        <w:rPr>
          <w:rFonts w:hint="eastAsia" w:ascii="仿宋_GB2312" w:hAnsi="宋体" w:eastAsia="仿宋_GB2312" w:cs="宋体"/>
          <w:kern w:val="0"/>
          <w:sz w:val="32"/>
          <w:szCs w:val="32"/>
        </w:rPr>
        <w:t>35.3</w:t>
      </w:r>
      <w:r>
        <w:rPr>
          <w:rFonts w:hint="eastAsia" w:ascii="仿宋_GB2312" w:hAnsi="宋体" w:eastAsia="仿宋_GB2312" w:cs="宋体"/>
          <w:sz w:val="32"/>
          <w:szCs w:val="32"/>
        </w:rPr>
        <w:t>万元），项目支出</w:t>
      </w:r>
      <w:r>
        <w:rPr>
          <w:rFonts w:hint="eastAsia" w:ascii="仿宋_GB2312" w:hAnsi="宋体" w:eastAsia="仿宋_GB2312" w:cs="宋体"/>
          <w:kern w:val="0"/>
          <w:sz w:val="32"/>
          <w:szCs w:val="32"/>
        </w:rPr>
        <w:t>9.17</w:t>
      </w:r>
      <w:r>
        <w:rPr>
          <w:rFonts w:hint="eastAsia" w:ascii="仿宋_GB2312" w:hAnsi="宋体" w:eastAsia="仿宋_GB2312" w:cs="宋体"/>
          <w:sz w:val="32"/>
          <w:szCs w:val="32"/>
        </w:rPr>
        <w:t>万元（政府性基金0万元，公共</w:t>
      </w:r>
      <w:r>
        <w:rPr>
          <w:rFonts w:hint="eastAsia" w:ascii="仿宋_GB2312" w:hAnsi="宋体" w:eastAsia="仿宋_GB2312" w:cs="宋体"/>
          <w:sz w:val="32"/>
          <w:szCs w:val="32"/>
          <w:lang w:eastAsia="zh-CN"/>
        </w:rPr>
        <w:t>财政拨款</w:t>
      </w:r>
      <w:r>
        <w:rPr>
          <w:rFonts w:hint="eastAsia" w:ascii="仿宋_GB2312" w:hAnsi="宋体" w:eastAsia="仿宋_GB2312" w:cs="宋体"/>
          <w:kern w:val="0"/>
          <w:sz w:val="32"/>
          <w:szCs w:val="32"/>
        </w:rPr>
        <w:t>9.17</w:t>
      </w:r>
      <w:r>
        <w:rPr>
          <w:rFonts w:hint="eastAsia" w:ascii="仿宋_GB2312" w:hAnsi="宋体" w:eastAsia="仿宋_GB2312" w:cs="宋体"/>
          <w:sz w:val="32"/>
          <w:szCs w:val="32"/>
        </w:rPr>
        <w:t>万元）。决算支出数为</w:t>
      </w:r>
      <w:r>
        <w:rPr>
          <w:rFonts w:hint="eastAsia" w:ascii="仿宋_GB2312" w:hAnsi="宋体" w:eastAsia="仿宋_GB2312" w:cs="宋体"/>
          <w:kern w:val="0"/>
          <w:sz w:val="32"/>
          <w:szCs w:val="32"/>
        </w:rPr>
        <w:t>796.92</w:t>
      </w:r>
      <w:r>
        <w:rPr>
          <w:rFonts w:hint="eastAsia" w:ascii="仿宋_GB2312" w:hAnsi="宋体" w:eastAsia="仿宋_GB2312" w:cs="宋体"/>
          <w:sz w:val="32"/>
          <w:szCs w:val="32"/>
        </w:rPr>
        <w:t>万元，其中：基本支出</w:t>
      </w:r>
      <w:r>
        <w:rPr>
          <w:rFonts w:hint="eastAsia" w:ascii="仿宋_GB2312" w:hAnsi="宋体" w:eastAsia="仿宋_GB2312" w:cs="宋体"/>
          <w:kern w:val="0"/>
          <w:sz w:val="32"/>
          <w:szCs w:val="32"/>
        </w:rPr>
        <w:t>787.76</w:t>
      </w:r>
      <w:r>
        <w:rPr>
          <w:rFonts w:hint="eastAsia" w:ascii="仿宋_GB2312" w:hAnsi="宋体" w:eastAsia="仿宋_GB2312" w:cs="宋体"/>
          <w:sz w:val="32"/>
          <w:szCs w:val="32"/>
        </w:rPr>
        <w:t>万元（其中人员经费</w:t>
      </w:r>
      <w:r>
        <w:rPr>
          <w:rFonts w:hint="eastAsia" w:ascii="仿宋_GB2312" w:hAnsi="宋体" w:eastAsia="仿宋_GB2312" w:cs="宋体"/>
          <w:kern w:val="0"/>
          <w:sz w:val="32"/>
          <w:szCs w:val="32"/>
        </w:rPr>
        <w:t>756.44</w:t>
      </w:r>
      <w:r>
        <w:rPr>
          <w:rFonts w:hint="eastAsia" w:ascii="仿宋_GB2312" w:hAnsi="宋体" w:eastAsia="仿宋_GB2312" w:cs="宋体"/>
          <w:sz w:val="32"/>
          <w:szCs w:val="32"/>
        </w:rPr>
        <w:t>万元，日常公用经费支出</w:t>
      </w:r>
      <w:r>
        <w:rPr>
          <w:rFonts w:hint="eastAsia" w:ascii="仿宋_GB2312" w:hAnsi="宋体" w:eastAsia="仿宋_GB2312" w:cs="宋体"/>
          <w:kern w:val="0"/>
          <w:sz w:val="32"/>
          <w:szCs w:val="32"/>
        </w:rPr>
        <w:t>31.32</w:t>
      </w:r>
      <w:r>
        <w:rPr>
          <w:rFonts w:hint="eastAsia" w:ascii="仿宋_GB2312" w:hAnsi="宋体" w:eastAsia="仿宋_GB2312" w:cs="宋体"/>
          <w:sz w:val="32"/>
          <w:szCs w:val="32"/>
        </w:rPr>
        <w:t>万元）；项目经费支出9.17万元。年末结转结余3.98万元。（基本支出较预算减少的3.98万元，项目支出较预算减少0万元）。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ascii="仿宋_GB2312" w:hAnsi="仿宋" w:eastAsia="仿宋_GB2312"/>
          <w:sz w:val="32"/>
          <w:szCs w:val="32"/>
        </w:rPr>
      </w:pPr>
      <w:r>
        <w:rPr>
          <w:rFonts w:hint="eastAsia" w:ascii="仿宋_GB2312" w:hAnsi="宋体" w:eastAsia="仿宋_GB2312" w:cs="宋体"/>
          <w:sz w:val="32"/>
          <w:szCs w:val="32"/>
        </w:rPr>
        <w:t>我单位严格按照上报的资金计划完成资金拨付，根据预算合理控制支出数额及支出进度，临时事项，按规定程序报市政府批准或是完成预算调整程序后执行。除临时任务和不可抗力原因外，我单位基本支出部分按月均匀执行，项目支出部分按所报项目进度及时执行。2019年调整收入预算</w:t>
      </w:r>
      <w:r>
        <w:rPr>
          <w:rFonts w:hint="eastAsia" w:ascii="仿宋_GB2312" w:hAnsi="宋体" w:eastAsia="仿宋_GB2312" w:cs="宋体"/>
          <w:color w:val="000000"/>
          <w:kern w:val="0"/>
          <w:sz w:val="32"/>
          <w:szCs w:val="32"/>
          <w:shd w:val="clear" w:color="auto" w:fill="FFFFFF"/>
        </w:rPr>
        <w:t>800.91</w:t>
      </w:r>
      <w:r>
        <w:rPr>
          <w:rFonts w:hint="eastAsia" w:ascii="仿宋_GB2312" w:hAnsi="宋体" w:eastAsia="仿宋_GB2312" w:cs="宋体"/>
          <w:sz w:val="32"/>
          <w:szCs w:val="32"/>
        </w:rPr>
        <w:t>万元,</w:t>
      </w:r>
      <w:r>
        <w:rPr>
          <w:rFonts w:hint="eastAsia" w:ascii="仿宋_GB2312" w:hAnsi="仿宋" w:eastAsia="仿宋_GB2312"/>
          <w:sz w:val="32"/>
          <w:szCs w:val="32"/>
        </w:rPr>
        <w:t>截止</w:t>
      </w:r>
      <w:r>
        <w:rPr>
          <w:rFonts w:ascii="仿宋_GB2312" w:hAnsi="仿宋" w:eastAsia="仿宋_GB2312"/>
          <w:sz w:val="32"/>
          <w:szCs w:val="32"/>
        </w:rPr>
        <w:t>201</w:t>
      </w:r>
      <w:r>
        <w:rPr>
          <w:rFonts w:hint="eastAsia" w:ascii="仿宋_GB2312" w:hAnsi="仿宋" w:eastAsia="仿宋_GB2312"/>
          <w:sz w:val="32"/>
          <w:szCs w:val="32"/>
        </w:rPr>
        <w:t>9年12月支出</w:t>
      </w:r>
      <w:r>
        <w:rPr>
          <w:rFonts w:hint="eastAsia" w:ascii="仿宋_GB2312" w:hAnsi="宋体" w:eastAsia="仿宋_GB2312" w:cs="宋体"/>
          <w:kern w:val="0"/>
          <w:sz w:val="32"/>
          <w:szCs w:val="32"/>
        </w:rPr>
        <w:t>796.92</w:t>
      </w:r>
      <w:r>
        <w:rPr>
          <w:rFonts w:hint="eastAsia" w:ascii="仿宋_GB2312" w:hAnsi="仿宋" w:eastAsia="仿宋_GB2312"/>
          <w:sz w:val="32"/>
          <w:szCs w:val="32"/>
        </w:rPr>
        <w:t>万元</w:t>
      </w:r>
      <w:r>
        <w:rPr>
          <w:rFonts w:ascii="仿宋_GB2312" w:hAnsi="仿宋" w:eastAsia="仿宋_GB2312"/>
          <w:sz w:val="32"/>
          <w:szCs w:val="32"/>
        </w:rPr>
        <w:t>,</w:t>
      </w:r>
      <w:r>
        <w:rPr>
          <w:rFonts w:hint="eastAsia" w:ascii="仿宋_GB2312" w:hAnsi="仿宋" w:eastAsia="仿宋_GB2312"/>
          <w:sz w:val="32"/>
          <w:szCs w:val="32"/>
        </w:rPr>
        <w:t>执行比例99.5</w:t>
      </w:r>
      <w:r>
        <w:rPr>
          <w:rFonts w:ascii="仿宋_GB2312" w:hAnsi="仿宋" w:eastAsia="仿宋_GB2312"/>
          <w:sz w:val="32"/>
          <w:szCs w:val="32"/>
        </w:rPr>
        <w:t>%</w:t>
      </w:r>
      <w:r>
        <w:rPr>
          <w:rFonts w:hint="eastAsia" w:ascii="仿宋_GB2312" w:hAnsi="仿宋" w:eastAsia="仿宋_GB2312"/>
          <w:sz w:val="32"/>
          <w:szCs w:val="32"/>
        </w:rPr>
        <w:t>,年末结转结余3.98万元。全年支出执行良好。</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（三）支出绩效情况。</w:t>
      </w:r>
    </w:p>
    <w:p>
      <w:pPr>
        <w:widowControl/>
        <w:shd w:val="clear" w:color="auto" w:fill="FFFFFF"/>
        <w:adjustRightInd w:val="0"/>
        <w:snapToGrid w:val="0"/>
        <w:spacing w:before="100" w:beforeAutospacing="1" w:after="100" w:afterAutospacing="1" w:line="360" w:lineRule="auto"/>
        <w:ind w:firstLine="800" w:firstLineChars="250"/>
        <w:jc w:val="left"/>
        <w:outlineLvl w:val="0"/>
        <w:rPr>
          <w:rFonts w:ascii="仿宋_GB2312" w:eastAsia="仿宋_GB2312" w:cs="宋体"/>
          <w:sz w:val="32"/>
          <w:szCs w:val="32"/>
        </w:rPr>
      </w:pPr>
      <w:r>
        <w:rPr>
          <w:rFonts w:hint="eastAsia" w:ascii="仿宋_GB2312" w:hAnsi="宋体" w:eastAsia="仿宋_GB2312" w:cs="宋体"/>
          <w:sz w:val="32"/>
          <w:szCs w:val="32"/>
        </w:rPr>
        <w:t>1.部门支出绩效</w:t>
      </w:r>
    </w:p>
    <w:p>
      <w:pPr>
        <w:widowControl/>
        <w:shd w:val="clear" w:color="auto" w:fill="FFFFFF"/>
        <w:adjustRightInd w:val="0"/>
        <w:snapToGrid w:val="0"/>
        <w:spacing w:before="100" w:beforeAutospacing="1" w:after="100" w:afterAutospacing="1" w:line="360" w:lineRule="auto"/>
        <w:ind w:firstLine="800" w:firstLineChars="250"/>
        <w:jc w:val="left"/>
        <w:outlineLvl w:val="0"/>
        <w:rPr>
          <w:rFonts w:ascii="仿宋_GB2312" w:eastAsia="仿宋_GB2312" w:cs="宋体"/>
          <w:sz w:val="32"/>
          <w:szCs w:val="32"/>
        </w:rPr>
      </w:pPr>
      <w:r>
        <w:rPr>
          <w:rFonts w:hint="eastAsia" w:ascii="仿宋_GB2312" w:hAnsi="宋体" w:eastAsia="仿宋_GB2312" w:cs="宋体"/>
          <w:sz w:val="32"/>
          <w:szCs w:val="32"/>
        </w:rPr>
        <w:t>（1）运行保障</w:t>
      </w:r>
    </w:p>
    <w:p>
      <w:pPr>
        <w:widowControl/>
        <w:spacing w:line="360" w:lineRule="auto"/>
        <w:ind w:firstLine="640" w:firstLineChars="200"/>
        <w:rPr>
          <w:rFonts w:ascii="仿宋_GB2312" w:hAnsi="仿宋_GB2312" w:eastAsia="仿宋_GB2312" w:cs="仿宋_GB2312"/>
          <w:kern w:val="0"/>
          <w:sz w:val="32"/>
          <w:szCs w:val="32"/>
        </w:rPr>
      </w:pPr>
      <w:r>
        <w:rPr>
          <w:rFonts w:hint="eastAsia" w:ascii="仿宋_GB2312" w:hAnsi="宋体" w:eastAsia="仿宋_GB2312" w:cs="宋体"/>
          <w:kern w:val="0"/>
          <w:sz w:val="32"/>
          <w:szCs w:val="32"/>
        </w:rPr>
        <w:t>我单位基本支出的范围包括人员经费、日常公用经费。2019年基本支出决算数787.76万元，其中:人员经费756.44万元（工资福利支出636.66万元，对个人和家庭的补助119.78万元），日常公用经费31.32万元。</w:t>
      </w:r>
      <w:r>
        <w:rPr>
          <w:rFonts w:hint="eastAsia" w:ascii="仿宋_GB2312" w:hAnsi="仿宋_GB2312" w:eastAsia="仿宋_GB2312" w:cs="仿宋_GB2312"/>
          <w:kern w:val="0"/>
          <w:sz w:val="32"/>
          <w:szCs w:val="32"/>
        </w:rPr>
        <w:t>基本支出能够保障学校正常工作运转。</w:t>
      </w:r>
      <w:r>
        <w:rPr>
          <w:rFonts w:hint="eastAsia" w:ascii="仿宋_GB2312" w:hAnsi="宋体" w:eastAsia="仿宋_GB2312" w:cs="宋体"/>
          <w:kern w:val="0"/>
          <w:sz w:val="32"/>
          <w:szCs w:val="32"/>
        </w:rPr>
        <w:t>项目经费支出9.17万元。（安保工作展、免作业本费、人才队伍建设等）</w:t>
      </w:r>
    </w:p>
    <w:p>
      <w:pPr>
        <w:widowControl/>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（2）学校厉行节约。</w:t>
      </w:r>
    </w:p>
    <w:p>
      <w:pPr>
        <w:widowControl/>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年因公出差、会议费、培训费、办公费等控制较好。2019办公费19.88万元，咨询费0.00万元，水费1.31万元，电费1.54万元，邮电费1.68万元，差旅费3.37万元，维修费4.51万元，会议费0万元，培训费0万元，专用材料费0.00万元，安保经费7万元，工会费0万元，福利费0.46万元，其它商品服务支出0万元。日常公用经费支出严格控制在年初预算内，并有节余。</w:t>
      </w:r>
    </w:p>
    <w:p>
      <w:pPr>
        <w:widowControl/>
        <w:spacing w:line="360" w:lineRule="auto"/>
        <w:ind w:firstLine="640" w:firstLineChars="200"/>
        <w:rPr>
          <w:rFonts w:ascii="仿宋_GB2312" w:eastAsia="仿宋_GB2312" w:cs="宋体"/>
          <w:kern w:val="0"/>
          <w:sz w:val="32"/>
          <w:szCs w:val="32"/>
        </w:rPr>
      </w:pPr>
      <w:r>
        <w:rPr>
          <w:rFonts w:hint="eastAsia" w:ascii="仿宋_GB2312" w:hAnsi="宋体" w:eastAsia="仿宋_GB2312" w:cs="宋体"/>
          <w:kern w:val="0"/>
          <w:sz w:val="32"/>
          <w:szCs w:val="32"/>
        </w:rPr>
        <w:t>2.预算项目支出绩效</w:t>
      </w:r>
    </w:p>
    <w:p>
      <w:pPr>
        <w:widowControl/>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（1）资金绩效分配情况</w:t>
      </w:r>
    </w:p>
    <w:p>
      <w:pPr>
        <w:widowControl/>
        <w:spacing w:line="360" w:lineRule="auto"/>
        <w:ind w:firstLine="800" w:firstLineChars="2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sym w:font="Wingdings" w:char="F081"/>
      </w:r>
      <w:r>
        <w:rPr>
          <w:rFonts w:hint="eastAsia" w:ascii="仿宋_GB2312" w:hAnsi="仿宋_GB2312" w:eastAsia="仿宋_GB2312" w:cs="仿宋_GB2312"/>
          <w:kern w:val="0"/>
          <w:sz w:val="32"/>
          <w:szCs w:val="32"/>
        </w:rPr>
        <w:t>学校预算人员经费</w:t>
      </w:r>
      <w:r>
        <w:rPr>
          <w:rFonts w:hint="eastAsia" w:ascii="仿宋_GB2312" w:hAnsi="宋体" w:eastAsia="仿宋_GB2312" w:cs="宋体"/>
          <w:kern w:val="0"/>
          <w:sz w:val="32"/>
          <w:szCs w:val="32"/>
        </w:rPr>
        <w:t>756.44</w:t>
      </w:r>
      <w:r>
        <w:rPr>
          <w:rFonts w:hint="eastAsia" w:ascii="仿宋_GB2312" w:hAnsi="仿宋_GB2312" w:eastAsia="仿宋_GB2312" w:cs="仿宋_GB2312"/>
          <w:kern w:val="0"/>
          <w:sz w:val="32"/>
          <w:szCs w:val="32"/>
        </w:rPr>
        <w:t>万元（工资福利</w:t>
      </w:r>
      <w:r>
        <w:rPr>
          <w:rFonts w:hint="eastAsia" w:ascii="仿宋_GB2312" w:hAnsi="宋体" w:eastAsia="仿宋_GB2312" w:cs="宋体"/>
          <w:kern w:val="0"/>
          <w:sz w:val="32"/>
          <w:szCs w:val="32"/>
        </w:rPr>
        <w:t>636.66</w:t>
      </w:r>
      <w:r>
        <w:rPr>
          <w:rFonts w:hint="eastAsia" w:ascii="仿宋_GB2312" w:hAnsi="仿宋_GB2312" w:eastAsia="仿宋_GB2312" w:cs="仿宋_GB2312"/>
          <w:kern w:val="0"/>
          <w:sz w:val="32"/>
          <w:szCs w:val="32"/>
        </w:rPr>
        <w:t>万元、对个人和家庭补助</w:t>
      </w:r>
      <w:r>
        <w:rPr>
          <w:rFonts w:hint="eastAsia" w:ascii="仿宋_GB2312" w:hAnsi="宋体" w:eastAsia="仿宋_GB2312" w:cs="宋体"/>
          <w:kern w:val="0"/>
          <w:sz w:val="32"/>
          <w:szCs w:val="32"/>
        </w:rPr>
        <w:t>119.78</w:t>
      </w:r>
      <w:r>
        <w:rPr>
          <w:rFonts w:hint="eastAsia" w:ascii="仿宋_GB2312" w:hAnsi="仿宋_GB2312" w:eastAsia="仿宋_GB2312" w:cs="仿宋_GB2312"/>
          <w:kern w:val="0"/>
          <w:sz w:val="32"/>
          <w:szCs w:val="32"/>
        </w:rPr>
        <w:t>万元）。确保学校工作开展。</w:t>
      </w:r>
    </w:p>
    <w:p>
      <w:pPr>
        <w:widowControl/>
        <w:spacing w:line="360" w:lineRule="auto"/>
        <w:ind w:firstLine="800" w:firstLineChars="2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sym w:font="Wingdings" w:char="F082"/>
      </w:r>
      <w:r>
        <w:rPr>
          <w:rFonts w:hint="eastAsia" w:ascii="仿宋_GB2312" w:hAnsi="仿宋_GB2312" w:eastAsia="仿宋_GB2312" w:cs="仿宋_GB2312"/>
          <w:kern w:val="0"/>
          <w:sz w:val="32"/>
          <w:szCs w:val="32"/>
        </w:rPr>
        <w:t>日常公用经费31.32万元，确保学校工作正常运转。主要是教师出差、学校水电通讯等办公费、老师慰问费、大型修缮等。</w:t>
      </w:r>
    </w:p>
    <w:p>
      <w:pPr>
        <w:widowControl/>
        <w:spacing w:line="360" w:lineRule="auto"/>
        <w:ind w:firstLine="800" w:firstLineChars="2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sym w:font="Wingdings" w:char="F083"/>
      </w:r>
      <w:r>
        <w:rPr>
          <w:rFonts w:hint="eastAsia" w:ascii="仿宋_GB2312" w:hAnsi="仿宋_GB2312" w:eastAsia="仿宋_GB2312" w:cs="仿宋_GB2312"/>
          <w:kern w:val="0"/>
          <w:sz w:val="32"/>
          <w:szCs w:val="32"/>
        </w:rPr>
        <w:t>项目资金9.17万元。其中公共</w:t>
      </w:r>
      <w:r>
        <w:rPr>
          <w:rFonts w:hint="eastAsia" w:ascii="仿宋_GB2312" w:hAnsi="仿宋_GB2312" w:eastAsia="仿宋_GB2312" w:cs="仿宋_GB2312"/>
          <w:kern w:val="0"/>
          <w:sz w:val="32"/>
          <w:szCs w:val="32"/>
          <w:lang w:eastAsia="zh-CN"/>
        </w:rPr>
        <w:t>财政拨款</w:t>
      </w:r>
      <w:r>
        <w:rPr>
          <w:rFonts w:hint="eastAsia" w:ascii="仿宋_GB2312" w:hAnsi="仿宋_GB2312" w:eastAsia="仿宋_GB2312" w:cs="仿宋_GB2312"/>
          <w:kern w:val="0"/>
          <w:sz w:val="32"/>
          <w:szCs w:val="32"/>
        </w:rPr>
        <w:t>9.17万元。政府性基金0万元。保持人才建设、学校安保工作、义务教育学生免作业本等。</w:t>
      </w:r>
    </w:p>
    <w:p>
      <w:pPr>
        <w:widowControl/>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（2）项目资金管理情况</w:t>
      </w:r>
    </w:p>
    <w:p>
      <w:pPr>
        <w:widowControl/>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所有项目资金的管理都按照相关规定执行，实行专款专用。上级专项的资金主要管理如下：如有上级文件的要求，严格按照要求执行；没有上级文件明确要求的，由我单位会同本级财政共同拟定方案；需要上级备案的及时上报备案。财政本级专项资金主要管理如下：我单位根据财政部门的要求制定方案并上报财政，实际拨付时按照要求准备资料向同级财政申请拨付。</w:t>
      </w:r>
    </w:p>
    <w:p>
      <w:pPr>
        <w:widowControl/>
        <w:shd w:val="clear" w:color="auto" w:fill="FFFFFF"/>
        <w:adjustRightInd w:val="0"/>
        <w:snapToGrid w:val="0"/>
        <w:spacing w:line="360" w:lineRule="auto"/>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（3）绩效目标完成情况</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sym w:font="Wingdings" w:char="F081"/>
      </w:r>
      <w:r>
        <w:rPr>
          <w:rFonts w:hint="eastAsia" w:ascii="仿宋_GB2312" w:hAnsi="仿宋_GB2312" w:eastAsia="仿宋_GB2312" w:cs="仿宋_GB2312"/>
          <w:kern w:val="0"/>
          <w:sz w:val="32"/>
          <w:szCs w:val="32"/>
        </w:rPr>
        <w:t>2019年学校工作正常运转，年终综合评估优秀。绩效一等奖。</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sym w:font="Wingdings" w:char="F082"/>
      </w:r>
      <w:r>
        <w:rPr>
          <w:rFonts w:hint="eastAsia" w:ascii="仿宋_GB2312" w:hAnsi="仿宋_GB2312" w:eastAsia="仿宋_GB2312" w:cs="仿宋_GB2312"/>
          <w:kern w:val="0"/>
          <w:sz w:val="32"/>
          <w:szCs w:val="32"/>
        </w:rPr>
        <w:t>教学工作有声有色，2019年－2020学年度教学质量一等奖。音体美抽考合格。莲箫表演活动、书法和经典诗歌诵读比赛活动，效果突出。参加市级运动会，获乙组第4名。参加文艺汇演、朗读比赛等。</w:t>
      </w:r>
    </w:p>
    <w:p>
      <w:pPr>
        <w:spacing w:line="360" w:lineRule="auto"/>
        <w:ind w:firstLine="640" w:firstLineChars="200"/>
        <w:rPr>
          <w:rFonts w:ascii="仿宋_GB2312" w:hAnsi="仿宋" w:eastAsia="仿宋_GB2312"/>
          <w:color w:val="000000"/>
          <w:sz w:val="32"/>
          <w:szCs w:val="32"/>
        </w:rPr>
      </w:pPr>
      <w:r>
        <w:rPr>
          <w:rFonts w:hint="eastAsia" w:ascii="仿宋_GB2312" w:hAnsi="仿宋_GB2312" w:eastAsia="仿宋_GB2312" w:cs="仿宋_GB2312"/>
          <w:kern w:val="0"/>
          <w:sz w:val="32"/>
          <w:szCs w:val="32"/>
        </w:rPr>
        <w:sym w:font="Wingdings" w:char="F083"/>
      </w:r>
      <w:r>
        <w:rPr>
          <w:rFonts w:hint="eastAsia" w:ascii="仿宋_GB2312" w:eastAsia="仿宋_GB2312" w:hAnsiTheme="minorEastAsia"/>
          <w:sz w:val="32"/>
          <w:szCs w:val="32"/>
        </w:rPr>
        <w:t>注重教师能力提升，学校教师外出听课达到人均2次。</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④</w:t>
      </w:r>
      <w:r>
        <w:rPr>
          <w:rFonts w:hint="eastAsia" w:ascii="仿宋_GB2312" w:hAnsi="仿宋_GB2312" w:eastAsia="仿宋_GB2312" w:cs="仿宋_GB2312"/>
          <w:sz w:val="32"/>
          <w:szCs w:val="32"/>
        </w:rPr>
        <w:t>主动承担市级教研课，全年共4次。效果良好。</w:t>
      </w:r>
    </w:p>
    <w:p>
      <w:pPr>
        <w:widowControl/>
        <w:shd w:val="clear" w:color="auto" w:fill="FFFFFF"/>
        <w:adjustRightInd w:val="0"/>
        <w:snapToGrid w:val="0"/>
        <w:spacing w:line="360" w:lineRule="auto"/>
        <w:ind w:firstLine="555"/>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（4）财务管理情况</w:t>
      </w:r>
    </w:p>
    <w:p>
      <w:pPr>
        <w:widowControl/>
        <w:shd w:val="clear" w:color="auto" w:fill="FFFFFF"/>
        <w:adjustRightInd w:val="0"/>
        <w:snapToGrid w:val="0"/>
        <w:spacing w:line="360" w:lineRule="auto"/>
        <w:ind w:firstLine="556"/>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所有专项资金实行专款专用，不得挪用、截留；在资金拨付阶段严格审核资金分配方案、对象主体资格、绩效评估报告、合同、文件、拨付审批等，确保资金拨付符合要求，合规合理。要求专账核算的项目，专账核算并单独装订凭证以备查验。各项采购严格按照政府采购制度执行。</w:t>
      </w:r>
    </w:p>
    <w:p>
      <w:pPr>
        <w:widowControl/>
        <w:shd w:val="clear" w:color="auto" w:fill="FFFFFF"/>
        <w:adjustRightInd w:val="0"/>
        <w:snapToGrid w:val="0"/>
        <w:spacing w:line="360" w:lineRule="auto"/>
        <w:ind w:firstLine="555"/>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（5）绩效管理工作开展情况</w:t>
      </w:r>
    </w:p>
    <w:p>
      <w:pPr>
        <w:widowControl/>
        <w:shd w:val="clear" w:color="auto" w:fill="FFFFFF"/>
        <w:adjustRightInd w:val="0"/>
        <w:snapToGrid w:val="0"/>
        <w:spacing w:line="360" w:lineRule="auto"/>
        <w:ind w:firstLine="555"/>
        <w:jc w:val="left"/>
        <w:outlineLvl w:val="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根据《峨眉山市财政局关于开展2020年财政支出绩效评价工作的通知》（峨财通[2020]36号）文件精神</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我单位成立了绩效评价工作领导小组，负责绩效评价工作的组织领导和具体实施。评价小组采取座谈等方式听取情况，检查基本支出、项目支出有关账目，收集整理支出相关资料，并根据各部门报送的绩效自评材料进行分析，形成评价结论。</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kern w:val="0"/>
          <w:sz w:val="32"/>
          <w:szCs w:val="32"/>
        </w:rPr>
        <w:t>通过绩效评价梳理出的问题，将通过座谈的形式传达给相关部门负责人，以便完善。</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我单位部门支出绩效评价得分95 ，具体情况见下表：</w:t>
      </w:r>
    </w:p>
    <w:tbl>
      <w:tblPr>
        <w:tblStyle w:val="12"/>
        <w:tblW w:w="84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3"/>
        <w:gridCol w:w="2530"/>
        <w:gridCol w:w="2672"/>
        <w:gridCol w:w="843"/>
        <w:gridCol w:w="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513" w:type="dxa"/>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一级指标</w:t>
            </w:r>
          </w:p>
        </w:tc>
        <w:tc>
          <w:tcPr>
            <w:tcW w:w="2530" w:type="dxa"/>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二级指标</w:t>
            </w:r>
          </w:p>
        </w:tc>
        <w:tc>
          <w:tcPr>
            <w:tcW w:w="2672" w:type="dxa"/>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三级指标</w:t>
            </w:r>
          </w:p>
        </w:tc>
        <w:tc>
          <w:tcPr>
            <w:tcW w:w="843" w:type="dxa"/>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总分</w:t>
            </w:r>
          </w:p>
        </w:tc>
        <w:tc>
          <w:tcPr>
            <w:tcW w:w="893" w:type="dxa"/>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513" w:type="dxa"/>
            <w:vMerge w:val="restart"/>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预算编制</w:t>
            </w:r>
          </w:p>
        </w:tc>
        <w:tc>
          <w:tcPr>
            <w:tcW w:w="2530" w:type="dxa"/>
            <w:vMerge w:val="restart"/>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报送时效</w:t>
            </w: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基础信息更新</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2</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eastAsia="仿宋_GB2312" w:cs="宋体"/>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预算草案报送</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1</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Merge w:val="restart"/>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编制质量</w:t>
            </w: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预算编制准确</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预算执行调整</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部门预算审查</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2</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绩效目标</w:t>
            </w: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绩效目标编制</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5</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专项预算提前细化</w:t>
            </w: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预控指标细化</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5</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预算公开</w:t>
            </w: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公开内容</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4</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513" w:type="dxa"/>
            <w:vMerge w:val="restart"/>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预算执行</w:t>
            </w:r>
          </w:p>
        </w:tc>
        <w:tc>
          <w:tcPr>
            <w:tcW w:w="2530"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绩效分配</w:t>
            </w: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项目绩效分配</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10</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Merge w:val="restart"/>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执行进度</w:t>
            </w: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6月执行进度</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9月执行进度</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4</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513" w:type="dxa"/>
            <w:vMerge w:val="restart"/>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执行进度</w:t>
            </w: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12月执行进度</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预算调整</w:t>
            </w: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执行中期评估</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9</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Merge w:val="restart"/>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行政成本</w:t>
            </w: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节能降耗</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廉洁行政</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513" w:type="dxa"/>
            <w:vMerge w:val="restart"/>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支出绩效</w:t>
            </w:r>
          </w:p>
        </w:tc>
        <w:tc>
          <w:tcPr>
            <w:tcW w:w="2530" w:type="dxa"/>
            <w:vMerge w:val="restart"/>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绩效评价</w:t>
            </w: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部门预算绩效评价</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14</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专项预算项目绩效评价</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14</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决算审查</w:t>
            </w: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部门决算差错率</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2</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决算公开</w:t>
            </w: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公开内容</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结余注销</w:t>
            </w: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结余注销率</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2530"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绩效管理</w:t>
            </w:r>
          </w:p>
        </w:tc>
        <w:tc>
          <w:tcPr>
            <w:tcW w:w="2672"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工作开展</w:t>
            </w: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4</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51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合计</w:t>
            </w:r>
          </w:p>
        </w:tc>
        <w:tc>
          <w:tcPr>
            <w:tcW w:w="5202" w:type="dxa"/>
            <w:gridSpan w:val="2"/>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p>
        </w:tc>
        <w:tc>
          <w:tcPr>
            <w:tcW w:w="84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100</w:t>
            </w:r>
          </w:p>
        </w:tc>
        <w:tc>
          <w:tcPr>
            <w:tcW w:w="893" w:type="dxa"/>
            <w:vAlign w:val="center"/>
          </w:tcPr>
          <w:p>
            <w:pPr>
              <w:widowControl/>
              <w:adjustRightInd w:val="0"/>
              <w:snapToGrid w:val="0"/>
              <w:spacing w:before="100" w:beforeAutospacing="1" w:after="100" w:afterAutospacing="1" w:line="360" w:lineRule="auto"/>
              <w:jc w:val="center"/>
              <w:outlineLvl w:val="0"/>
              <w:rPr>
                <w:rFonts w:ascii="仿宋_GB2312" w:eastAsia="仿宋_GB2312" w:cs="宋体"/>
                <w:kern w:val="0"/>
                <w:sz w:val="28"/>
                <w:szCs w:val="28"/>
              </w:rPr>
            </w:pPr>
            <w:r>
              <w:rPr>
                <w:rFonts w:hint="eastAsia" w:ascii="仿宋_GB2312" w:hAnsi="宋体" w:eastAsia="仿宋_GB2312" w:cs="宋体"/>
                <w:kern w:val="0"/>
                <w:sz w:val="28"/>
                <w:szCs w:val="28"/>
              </w:rPr>
              <w:t>95</w:t>
            </w:r>
          </w:p>
        </w:tc>
      </w:tr>
    </w:tbl>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1、预算编制工作有待细化。预算编制不够明确和细化，预算编制的合理性需要提高，预算执行力度还要进一步加强。</w:t>
      </w:r>
    </w:p>
    <w:p>
      <w:pPr>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2、部门支出相关（基本支出方面）的规章制度还不够完善。</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widowControl/>
        <w:shd w:val="clear" w:color="auto" w:fill="FFFFFF"/>
        <w:adjustRightInd w:val="0"/>
        <w:snapToGrid w:val="0"/>
        <w:spacing w:before="100" w:beforeAutospacing="1" w:after="100" w:afterAutospacing="1" w:line="360" w:lineRule="auto"/>
        <w:ind w:firstLine="64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针对上述存在的问题及对外整体支出管理工作的需要，拟实施的改进措施如下：</w:t>
      </w:r>
    </w:p>
    <w:p>
      <w:pPr>
        <w:widowControl/>
        <w:shd w:val="clear" w:color="auto" w:fill="FFFFFF"/>
        <w:adjustRightInd w:val="0"/>
        <w:snapToGrid w:val="0"/>
        <w:spacing w:before="100" w:beforeAutospacing="1" w:after="100" w:afterAutospacing="1" w:line="360" w:lineRule="auto"/>
        <w:ind w:firstLine="64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widowControl/>
        <w:shd w:val="clear" w:color="auto" w:fill="FFFFFF"/>
        <w:adjustRightInd w:val="0"/>
        <w:snapToGrid w:val="0"/>
        <w:spacing w:before="100" w:beforeAutospacing="1" w:after="100" w:afterAutospacing="1" w:line="360" w:lineRule="auto"/>
        <w:ind w:firstLine="64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widowControl/>
        <w:shd w:val="clear" w:color="auto" w:fill="FFFFFF"/>
        <w:adjustRightInd w:val="0"/>
        <w:snapToGrid w:val="0"/>
        <w:spacing w:before="100" w:beforeAutospacing="1" w:after="100" w:afterAutospacing="1" w:line="360" w:lineRule="auto"/>
        <w:ind w:firstLine="64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3、对相关人员加强培训，特别是针对《预算法》、《行政事业单位会计制度》等学习培训，规范部门预算收支核算，切实提高部门预算收支管理水平。</w:t>
      </w:r>
    </w:p>
    <w:p>
      <w:pPr>
        <w:spacing w:line="580" w:lineRule="exact"/>
        <w:ind w:firstLine="640" w:firstLineChars="200"/>
        <w:rPr>
          <w:rFonts w:ascii="仿宋_GB2312" w:hAnsi="仿宋_GB2312" w:eastAsia="仿宋_GB2312" w:cs="仿宋_GB2312"/>
          <w:sz w:val="32"/>
          <w:szCs w:val="32"/>
        </w:rPr>
      </w:pPr>
    </w:p>
    <w:p>
      <w:pPr>
        <w:widowControl/>
        <w:shd w:val="clear" w:color="auto" w:fill="FFFFFF"/>
        <w:adjustRightInd w:val="0"/>
        <w:snapToGrid w:val="0"/>
        <w:spacing w:before="100" w:beforeAutospacing="1" w:after="100" w:afterAutospacing="1" w:line="360" w:lineRule="auto"/>
        <w:ind w:firstLine="640"/>
        <w:jc w:val="righ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峨眉山市</w:t>
      </w:r>
      <w:r>
        <w:rPr>
          <w:rFonts w:hint="eastAsia" w:ascii="仿宋_GB2312" w:hAnsi="宋体" w:eastAsia="仿宋_GB2312" w:cs="宋体"/>
          <w:color w:val="000000"/>
          <w:kern w:val="0"/>
          <w:sz w:val="32"/>
          <w:szCs w:val="32"/>
          <w:shd w:val="clear" w:color="auto" w:fill="FFFFFF"/>
        </w:rPr>
        <w:t>罗目</w:t>
      </w:r>
      <w:r>
        <w:rPr>
          <w:rFonts w:hint="eastAsia" w:ascii="仿宋_GB2312" w:hAnsi="宋体" w:eastAsia="仿宋_GB2312" w:cs="宋体"/>
          <w:color w:val="000000"/>
          <w:kern w:val="0"/>
          <w:sz w:val="32"/>
          <w:szCs w:val="32"/>
          <w:shd w:val="clear" w:color="auto" w:fill="FFFFFF"/>
          <w:lang w:val="zh-CN"/>
        </w:rPr>
        <w:t>镇小学校</w:t>
      </w:r>
    </w:p>
    <w:p>
      <w:pPr>
        <w:spacing w:line="580" w:lineRule="exact"/>
        <w:ind w:firstLine="5440" w:firstLineChars="17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2020年</w:t>
      </w:r>
      <w:r>
        <w:rPr>
          <w:rFonts w:hint="eastAsia" w:ascii="仿宋_GB2312" w:hAnsi="宋体" w:eastAsia="仿宋_GB2312" w:cs="宋体"/>
          <w:color w:val="000000"/>
          <w:kern w:val="0"/>
          <w:sz w:val="32"/>
          <w:szCs w:val="32"/>
          <w:shd w:val="clear" w:color="auto" w:fill="FFFFFF"/>
        </w:rPr>
        <w:t>10</w:t>
      </w:r>
      <w:r>
        <w:rPr>
          <w:rFonts w:hint="eastAsia" w:ascii="仿宋_GB2312" w:hAnsi="宋体" w:eastAsia="仿宋_GB2312" w:cs="宋体"/>
          <w:color w:val="000000"/>
          <w:kern w:val="0"/>
          <w:sz w:val="32"/>
          <w:szCs w:val="32"/>
          <w:shd w:val="clear" w:color="auto" w:fill="FFFFFF"/>
          <w:lang w:val="zh-CN"/>
        </w:rPr>
        <w:t>月</w:t>
      </w:r>
      <w:r>
        <w:rPr>
          <w:rFonts w:hint="eastAsia" w:ascii="仿宋_GB2312" w:hAnsi="宋体" w:eastAsia="仿宋_GB2312" w:cs="宋体"/>
          <w:color w:val="000000"/>
          <w:kern w:val="0"/>
          <w:sz w:val="32"/>
          <w:szCs w:val="32"/>
          <w:shd w:val="clear" w:color="auto" w:fill="FFFFFF"/>
        </w:rPr>
        <w:t>22</w:t>
      </w:r>
      <w:r>
        <w:rPr>
          <w:rFonts w:hint="eastAsia" w:ascii="仿宋_GB2312" w:hAnsi="宋体" w:eastAsia="仿宋_GB2312" w:cs="宋体"/>
          <w:color w:val="000000"/>
          <w:kern w:val="0"/>
          <w:sz w:val="32"/>
          <w:szCs w:val="32"/>
          <w:shd w:val="clear" w:color="auto" w:fill="FFFFFF"/>
          <w:lang w:val="zh-CN"/>
        </w:rPr>
        <w:t>日</w:t>
      </w: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pStyle w:val="30"/>
        <w:spacing w:line="600" w:lineRule="exact"/>
        <w:jc w:val="center"/>
        <w:rPr>
          <w:rFonts w:ascii="方正小标宋_GBK" w:hAnsi="宋体" w:eastAsia="方正小标宋_GBK"/>
          <w:b/>
          <w:sz w:val="44"/>
          <w:szCs w:val="44"/>
        </w:rPr>
      </w:pPr>
      <w:r>
        <w:rPr>
          <w:rFonts w:hint="eastAsia" w:ascii="方正小标宋_GBK" w:hAnsi="宋体" w:eastAsia="方正小标宋_GBK"/>
          <w:b/>
          <w:sz w:val="44"/>
          <w:szCs w:val="44"/>
        </w:rPr>
        <w:t>峨眉山市罗目镇小学校</w:t>
      </w:r>
    </w:p>
    <w:p>
      <w:pPr>
        <w:pStyle w:val="30"/>
        <w:spacing w:line="600" w:lineRule="exact"/>
        <w:jc w:val="center"/>
        <w:rPr>
          <w:rFonts w:ascii="方正小标宋_GBK" w:hAnsi="宋体" w:eastAsia="方正小标宋_GBK"/>
          <w:b/>
          <w:sz w:val="44"/>
          <w:szCs w:val="44"/>
        </w:rPr>
      </w:pPr>
      <w:r>
        <w:rPr>
          <w:rFonts w:hint="eastAsia" w:ascii="方正小标宋_GBK" w:hAnsi="宋体" w:eastAsia="方正小标宋_GBK"/>
          <w:b/>
          <w:sz w:val="44"/>
          <w:szCs w:val="44"/>
        </w:rPr>
        <w:t>2019年学校安保经费补助项目支出绩效</w:t>
      </w:r>
    </w:p>
    <w:p>
      <w:pPr>
        <w:adjustRightInd w:val="0"/>
        <w:snapToGrid w:val="0"/>
        <w:spacing w:line="600" w:lineRule="exact"/>
        <w:ind w:firstLine="1162" w:firstLineChars="263"/>
        <w:jc w:val="center"/>
        <w:rPr>
          <w:rFonts w:ascii="方正小标宋_GBK" w:hAnsi="宋体" w:eastAsia="方正小标宋_GBK"/>
          <w:b/>
          <w:sz w:val="44"/>
          <w:szCs w:val="44"/>
        </w:rPr>
      </w:pPr>
      <w:r>
        <w:rPr>
          <w:rFonts w:hint="eastAsia" w:ascii="方正小标宋_GBK" w:hAnsi="宋体" w:eastAsia="方正小标宋_GBK"/>
          <w:b/>
          <w:sz w:val="44"/>
          <w:szCs w:val="44"/>
        </w:rPr>
        <w:t>自评报告</w:t>
      </w: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根据市财政局《关于开展2020年财政支出绩效评价工作的通知》（峨财通〔2020〕36号）文件要求，我局开展了2019年学校安保经费补助项目支出绩效自评工作，现将评价结果报告如下：</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eastAsia="仿宋_GB2312" w:hAnsiTheme="minorEastAsia"/>
          <w:sz w:val="32"/>
          <w:szCs w:val="32"/>
        </w:rPr>
      </w:pPr>
      <w:r>
        <w:rPr>
          <w:rFonts w:hint="eastAsia" w:ascii="楷体_GB2312" w:hAnsi="宋体" w:eastAsia="楷体_GB2312"/>
          <w:sz w:val="32"/>
          <w:szCs w:val="32"/>
          <w:lang w:val="zh-CN"/>
        </w:rPr>
        <w:t>项目资金申报及批复情况。</w:t>
      </w:r>
      <w:r>
        <w:rPr>
          <w:rFonts w:hint="eastAsia" w:ascii="仿宋_GB2312" w:eastAsia="仿宋_GB2312" w:hAnsiTheme="minorEastAsia"/>
          <w:sz w:val="32"/>
          <w:szCs w:val="32"/>
        </w:rPr>
        <w:t>为进一步加强我市学校安全工作，切实保障广大师生人身安全，维护教育系统长期安全稳定，根据《中共峨眉山市委办公室 峨眉山市人民政府办公室关于进一步加强学校安全工作的通知》（峨委办〔2010〕27号）和《峨眉山市人民政府关于加强教师队伍建设的实施意见》（峨府发〔2014〕4号）文件精神，全市各类学校按统一要求加强人防、物防和技防工作，其中全市义务教育阶段学校安保和宿管员由市财政本级预算“学校安保经费补助”项目予以保障。2019年，市人大批复教育系统年初预算“学校安保经费补助”7万元，每人每年预算标准为3.5万元，预算人数为2人，依据为《峨眉山市政府常务会议关于教育系统编外人员清理规范工作方案有关事项的决定》（峨府定〔2017〕121号）、《峨眉山市人力资源和社会保障局关于调整教育局下属学校2017-2018学年度编外人员用工控制数的批复》（峨人社发〔2017〕77号）文件。</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保障义教段公办学校按要求配齐、配足保安人员，公办寄宿制学校配足、配齐宿管人员，避免学校因经费不足导致安保人员配备不达标、或拖欠安保人员工资等情况发生，切实维护教育系统的安全稳定。项目资金根据学校工作实际，春秋学期各拨付1次（因每学期人数可能有调整），资金拨付时间绩效目标为当年6月前拨付春季学期资金，11月前拨付秋季学期资金，学校按要求在当年12月31日前使用完下拨资金，资金全额用于安保工资发放。</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2019年，该项目预算资金7万元，年末市财政调</w:t>
      </w:r>
      <w:r>
        <w:rPr>
          <w:rFonts w:hint="eastAsia" w:ascii="仿宋_GB2312" w:hAnsi="宋体" w:eastAsia="仿宋_GB2312"/>
          <w:sz w:val="32"/>
          <w:szCs w:val="32"/>
        </w:rPr>
        <w:t>整</w:t>
      </w:r>
      <w:r>
        <w:rPr>
          <w:rFonts w:hint="eastAsia" w:ascii="仿宋_GB2312" w:hAnsi="宋体" w:eastAsia="仿宋_GB2312"/>
          <w:sz w:val="32"/>
          <w:szCs w:val="32"/>
          <w:lang w:val="zh-CN"/>
        </w:rPr>
        <w:t>预算指标7万元。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2019年，该项目预算资金7万元，年末市财政调减预算指标7万元。项目由市教育局汇总学校情况，制定拨款报告给市财政局，市财政局审核后，将项目指标分解下达各学校并进行资金拨付。</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2019年，分春秋两季拨付资金，春季学期在6月前，秋季拨付在11月前。拨付时间绩效目标完成率100%，拨付资金额度完成率100%。</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zh-CN"/>
        </w:rPr>
        <w:t>2019年，该项目实际使用资金7万元，全额用于发放学校聘请的保安、宿管人员工资。项目预算标准为每人每年3.5万元，项目开支范围、标准及支付进度、支付依据均合规合法，资金支付与预算相符。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项目资金的管理使用严格执行财务管理制度，财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市教育局安全股负责全市学校安全管理工作的督导监管，负责对学校保安、宿管员工作的督查和培训。该项目由市教育局统一编制预算，由市教育局安全股收集核实学校保安和宿管员基本数据，编制管理使用方案，由市教育局计财股报送市财政局审核后，由市财政局向各学校下达预算指标和拨付资金。每个学校均为独立法人的预算单位，根据市人社局下达的人员控制数，自主聘用人员，签订劳动合同，根据项目资金管理制度和学校财务管理制度自主使用项目资金。</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该项目对照预算，截止2019年12月31日，下达预算指标7万元，年末调减预算指标7万元，实际下达预算指标</w:t>
      </w:r>
      <w:r>
        <w:rPr>
          <w:rFonts w:hint="eastAsia" w:ascii="仿宋_GB2312" w:hAnsi="宋体" w:eastAsia="仿宋_GB2312"/>
          <w:sz w:val="32"/>
          <w:szCs w:val="32"/>
          <w:lang w:val="zh-CN"/>
        </w:rPr>
        <w:t>7万元。预算指标和资金拨付分春秋两季下达，全年使用资金7万元。资金拨付进度、拨付总额达到预期安排，项目完成情况较好，完成率100%。</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eastAsia="仿宋_GB2312" w:hAnsiTheme="minorEastAsia"/>
          <w:sz w:val="32"/>
          <w:szCs w:val="32"/>
        </w:rPr>
        <w:t>项目实施切实保障义教段公办学校按要求配齐、配足保安人员，避免学校因经费不足导致安保人员配备不达标、或拖欠安保人员工资等情况发生。对加强我校安全工作，切实保障广大师生人身安全，维护教育系统长期安全稳定发挥了积极作用，</w:t>
      </w:r>
      <w:r>
        <w:rPr>
          <w:rFonts w:hint="eastAsia" w:ascii="仿宋_GB2312" w:hAnsi="宋体" w:eastAsia="仿宋_GB2312"/>
          <w:sz w:val="32"/>
          <w:szCs w:val="32"/>
          <w:lang w:val="zh-CN"/>
        </w:rPr>
        <w:t>具有较强的社会意义</w:t>
      </w:r>
      <w:r>
        <w:rPr>
          <w:rFonts w:hint="eastAsia" w:ascii="仿宋_GB2312" w:eastAsia="仿宋_GB2312" w:hAnsiTheme="minorEastAsia"/>
          <w:sz w:val="32"/>
          <w:szCs w:val="32"/>
        </w:rPr>
        <w:t>。学校安全无小事，责任重于泰山，安全维稳工作永远在路上，该项目实施的社会效益、经济效益明显，应持续开展并不断加强。</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保证了学校教育教学正常秩序，</w:t>
      </w:r>
      <w:r>
        <w:rPr>
          <w:rFonts w:hint="eastAsia" w:ascii="仿宋_GB2312" w:eastAsia="仿宋_GB2312" w:hAnsiTheme="minorEastAsia"/>
          <w:sz w:val="32"/>
          <w:szCs w:val="32"/>
        </w:rPr>
        <w:t>该项目实施的社会效益、经济效益明显</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eastAsia="仿宋_GB2312" w:hAnsiTheme="minorEastAsia"/>
          <w:sz w:val="32"/>
          <w:szCs w:val="32"/>
        </w:rPr>
        <w:t>近年来，随着城市的不断发展和旅游业的繁荣，我市外来人口越来越多，学校周边环境较复杂等原因导致对安保工作要求越来越高，公办学校安全保卫工作矛盾突出。由于项目预算标准较低，学校经费不足，所聘人员待遇不高，缺乏培训经费。导致学校聘请的保安缺乏专业安保管理能力，保安人员年龄老化严重，缺少专业培训，人员素养不够，学校管理用工不规范，制度不健全。</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600" w:lineRule="exact"/>
        <w:ind w:firstLine="600"/>
        <w:rPr>
          <w:rFonts w:ascii="仿宋_GB2312" w:eastAsia="仿宋_GB2312" w:hAnsiTheme="minorEastAsia"/>
          <w:sz w:val="32"/>
          <w:szCs w:val="32"/>
        </w:rPr>
      </w:pPr>
      <w:r>
        <w:rPr>
          <w:rFonts w:hint="eastAsia" w:ascii="仿宋_GB2312" w:eastAsia="仿宋_GB2312" w:hAnsiTheme="minorEastAsia"/>
          <w:sz w:val="32"/>
          <w:szCs w:val="32"/>
        </w:rPr>
        <w:t>根据《乐山市人民政府办公室关于加强中小学幼儿园安全风险防控体系建设的实施意见》（乐府办发〔2018〕18号），建议提高项目预算标准，参照市级其他部门做法，将学校保安工作整体打包，由教育局公开招标，外包给专业保安公司管理，学校以购买服务的方式使用保安。</w:t>
      </w:r>
    </w:p>
    <w:p>
      <w:pPr>
        <w:spacing w:line="580" w:lineRule="exact"/>
        <w:ind w:firstLine="640"/>
        <w:rPr>
          <w:rFonts w:ascii="仿宋_GB2312" w:hAnsi="仿宋_GB2312" w:eastAsia="仿宋_GB2312" w:cs="仿宋_GB2312"/>
          <w:sz w:val="32"/>
          <w:szCs w:val="32"/>
        </w:rPr>
      </w:pPr>
    </w:p>
    <w:p>
      <w:pPr>
        <w:spacing w:line="600" w:lineRule="exact"/>
        <w:ind w:right="640"/>
        <w:jc w:val="right"/>
        <w:rPr>
          <w:rFonts w:ascii="仿宋_GB2312" w:eastAsia="仿宋_GB2312" w:hAnsiTheme="minorEastAsia"/>
          <w:sz w:val="32"/>
          <w:szCs w:val="32"/>
        </w:rPr>
      </w:pPr>
    </w:p>
    <w:p>
      <w:pPr>
        <w:spacing w:line="600" w:lineRule="exact"/>
        <w:ind w:right="640"/>
        <w:jc w:val="right"/>
        <w:rPr>
          <w:rFonts w:ascii="仿宋_GB2312" w:eastAsia="仿宋_GB2312" w:hAnsiTheme="minorEastAsia"/>
          <w:sz w:val="32"/>
          <w:szCs w:val="32"/>
        </w:rPr>
      </w:pPr>
      <w:r>
        <w:rPr>
          <w:rFonts w:hint="eastAsia" w:ascii="仿宋_GB2312" w:eastAsia="仿宋_GB2312" w:hAnsiTheme="minorEastAsia"/>
          <w:sz w:val="32"/>
          <w:szCs w:val="32"/>
        </w:rPr>
        <w:t>峨眉山市罗目镇小学校</w:t>
      </w:r>
    </w:p>
    <w:p>
      <w:pPr>
        <w:spacing w:line="600" w:lineRule="exact"/>
        <w:ind w:right="640" w:firstLine="4752" w:firstLineChars="1485"/>
        <w:rPr>
          <w:sz w:val="32"/>
          <w:szCs w:val="32"/>
        </w:rPr>
      </w:pPr>
      <w:r>
        <w:rPr>
          <w:rFonts w:hint="eastAsia" w:ascii="仿宋_GB2312" w:eastAsia="仿宋_GB2312" w:hAnsiTheme="minorEastAsia"/>
          <w:sz w:val="32"/>
          <w:szCs w:val="32"/>
        </w:rPr>
        <w:t>2020年10月22日</w:t>
      </w: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outlineLvl w:val="0"/>
        <w:rPr>
          <w:rStyle w:val="24"/>
          <w:rFonts w:ascii="黑体" w:hAnsi="黑体" w:eastAsia="黑体"/>
          <w:b w:val="0"/>
        </w:rPr>
      </w:pPr>
      <w:bookmarkStart w:id="59"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p>
      <w:pPr>
        <w:pStyle w:val="3"/>
        <w:rPr>
          <w:rFonts w:ascii="仿宋" w:hAnsi="仿宋" w:eastAsia="仿宋"/>
          <w:color w:val="000000" w:themeColor="text1"/>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613D"/>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A6269"/>
    <w:rsid w:val="006B2422"/>
    <w:rsid w:val="006B2B9A"/>
    <w:rsid w:val="006C1937"/>
    <w:rsid w:val="006F020C"/>
    <w:rsid w:val="006F0398"/>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17B1"/>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17591"/>
    <w:rsid w:val="00E331A1"/>
    <w:rsid w:val="00E33202"/>
    <w:rsid w:val="00E336A9"/>
    <w:rsid w:val="00E472B1"/>
    <w:rsid w:val="00E50624"/>
    <w:rsid w:val="00E568DF"/>
    <w:rsid w:val="00E64269"/>
    <w:rsid w:val="00E66797"/>
    <w:rsid w:val="00E82267"/>
    <w:rsid w:val="00E853CE"/>
    <w:rsid w:val="00E867B6"/>
    <w:rsid w:val="00E87F08"/>
    <w:rsid w:val="00E90B6D"/>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219E"/>
    <w:rsid w:val="00F36D8F"/>
    <w:rsid w:val="00F417B1"/>
    <w:rsid w:val="00F45853"/>
    <w:rsid w:val="00F602DF"/>
    <w:rsid w:val="00F754A1"/>
    <w:rsid w:val="00F81FD9"/>
    <w:rsid w:val="00F841AA"/>
    <w:rsid w:val="00F84A94"/>
    <w:rsid w:val="00F87E96"/>
    <w:rsid w:val="00FA23E8"/>
    <w:rsid w:val="00FD3CC1"/>
    <w:rsid w:val="00FF1E02"/>
    <w:rsid w:val="00FF30B4"/>
    <w:rsid w:val="06756724"/>
    <w:rsid w:val="08812288"/>
    <w:rsid w:val="0C0947CC"/>
    <w:rsid w:val="0CF95CB4"/>
    <w:rsid w:val="0D3814F6"/>
    <w:rsid w:val="10C055FF"/>
    <w:rsid w:val="11582FC5"/>
    <w:rsid w:val="12FB5105"/>
    <w:rsid w:val="16BB723D"/>
    <w:rsid w:val="1B9B7630"/>
    <w:rsid w:val="1CA055FD"/>
    <w:rsid w:val="1D410AE5"/>
    <w:rsid w:val="1E7215E2"/>
    <w:rsid w:val="1F161D8E"/>
    <w:rsid w:val="240371BF"/>
    <w:rsid w:val="29FD04D3"/>
    <w:rsid w:val="2B0E3C1A"/>
    <w:rsid w:val="2F707A68"/>
    <w:rsid w:val="30E635A3"/>
    <w:rsid w:val="319F7F4E"/>
    <w:rsid w:val="35556211"/>
    <w:rsid w:val="37AD326A"/>
    <w:rsid w:val="3DF80D25"/>
    <w:rsid w:val="47BF1607"/>
    <w:rsid w:val="4A0579E4"/>
    <w:rsid w:val="4B570FFF"/>
    <w:rsid w:val="4CF845B2"/>
    <w:rsid w:val="4ECE2238"/>
    <w:rsid w:val="51A710E5"/>
    <w:rsid w:val="55AD4EF6"/>
    <w:rsid w:val="571C2262"/>
    <w:rsid w:val="5873046B"/>
    <w:rsid w:val="58EF27EB"/>
    <w:rsid w:val="644F4926"/>
    <w:rsid w:val="656528F2"/>
    <w:rsid w:val="6AC32B2C"/>
    <w:rsid w:val="6B8D1764"/>
    <w:rsid w:val="6CE74DFE"/>
    <w:rsid w:val="72734D90"/>
    <w:rsid w:val="746E5055"/>
    <w:rsid w:val="78322F97"/>
    <w:rsid w:val="793937C3"/>
    <w:rsid w:val="798A2865"/>
    <w:rsid w:val="79A1233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四号正文"/>
    <w:basedOn w:val="1"/>
    <w:qFormat/>
    <w:uiPriority w:val="0"/>
    <w:pPr>
      <w:spacing w:line="360" w:lineRule="auto"/>
    </w:pPr>
    <w:rPr>
      <w:rFonts w:ascii="??" w:hAnsi="??" w:cs="宋体"/>
      <w:color w:val="000000"/>
      <w:sz w:val="28"/>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020&#24180;&#36164;&#26009;\2019&#24180;&#25945;&#32946;&#31995;&#32479;&#20915;&#31639;&#20844;&#24320;&#36164;&#26009;\&#26032;&#24314;%20Microsoft%20Excel%20&#24037;&#20316;&#34920;(&#20915;&#31639;&#20844;&#24320;&#29992;&#22270;&#6528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20&#24180;&#36164;&#26009;\2019&#24180;&#25945;&#32946;&#31995;&#32479;&#20915;&#31639;&#20844;&#24320;&#36164;&#26009;\&#26032;&#24314;%20Microsoft%20Excel%20&#24037;&#20316;&#34920;(&#20915;&#31639;&#20844;&#24320;&#29992;&#22270;&#6528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020&#24180;&#36164;&#26009;\2019&#24180;&#25945;&#32946;&#31995;&#32479;&#20915;&#31639;&#20844;&#24320;&#36164;&#26009;\&#26032;&#24314;%20Microsoft%20Excel%20&#24037;&#20316;&#34920;(&#20915;&#31639;&#20844;&#24320;&#29992;&#22270;&#6528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020&#24180;&#36164;&#26009;\2019&#24180;&#25945;&#32946;&#31995;&#32479;&#20915;&#31639;&#20844;&#24320;&#36164;&#26009;\&#26032;&#24314;%20Microsoft%20Excel%20&#24037;&#20316;&#34920;(&#20915;&#31639;&#20844;&#24320;&#29992;&#22270;&#65289;.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020&#24180;&#36164;&#26009;\2019&#24180;&#25945;&#32946;&#31995;&#32479;&#20915;&#31639;&#20844;&#24320;&#36164;&#26009;\&#26032;&#24314;%20Microsoft%20Excel%20&#24037;&#20316;&#34920;(&#20915;&#31639;&#20844;&#24320;&#29992;&#22270;&#6528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020&#24180;&#36164;&#26009;\2019&#24180;&#25945;&#32946;&#31995;&#32479;&#20915;&#31639;&#20844;&#24320;&#36164;&#26009;\&#26032;&#24314;%20Microsoft%20Excel%20&#24037;&#20316;&#34920;(&#20915;&#31639;&#20844;&#24320;&#29992;&#22270;&#6528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delete val="1"/>
          </c:dLbls>
          <c:cat>
            <c:strRef>
              <c:f>'[新建 Microsoft Excel 工作表(决算公开用图）.xls]Sheet1'!$A$128:$A$131</c:f>
              <c:strCache>
                <c:ptCount val="4"/>
                <c:pt idx="0">
                  <c:v>2018年收、支</c:v>
                </c:pt>
                <c:pt idx="1">
                  <c:v>2019年收、支</c:v>
                </c:pt>
              </c:strCache>
            </c:strRef>
          </c:cat>
          <c:val>
            <c:numRef>
              <c:f>'[新建 Microsoft Excel 工作表(决算公开用图）.xls]Sheet1'!$B$128:$B$131</c:f>
              <c:numCache>
                <c:formatCode>General</c:formatCode>
                <c:ptCount val="4"/>
                <c:pt idx="0">
                  <c:v>836.74</c:v>
                </c:pt>
                <c:pt idx="1">
                  <c:v>841.01</c:v>
                </c:pt>
              </c:numCache>
            </c:numRef>
          </c:val>
        </c:ser>
        <c:dLbls>
          <c:showLegendKey val="0"/>
          <c:showVal val="0"/>
          <c:showCatName val="0"/>
          <c:showSerName val="0"/>
          <c:showPercent val="0"/>
          <c:showBubbleSize val="0"/>
        </c:dLbls>
        <c:gapWidth val="150"/>
        <c:overlap val="100"/>
        <c:axId val="88859776"/>
        <c:axId val="88861312"/>
      </c:barChart>
      <c:catAx>
        <c:axId val="8885977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61312"/>
        <c:crosses val="autoZero"/>
        <c:auto val="1"/>
        <c:lblAlgn val="ctr"/>
        <c:lblOffset val="100"/>
        <c:noMultiLvlLbl val="0"/>
      </c:catAx>
      <c:valAx>
        <c:axId val="8886131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59776"/>
        <c:crosses val="autoZero"/>
        <c:crossBetween val="between"/>
      </c:valAx>
      <c:spPr>
        <a:noFill/>
        <a:ln>
          <a:noFill/>
        </a:ln>
        <a:effectLst/>
      </c:spPr>
    </c:plotArea>
    <c:legend>
      <c:legendPos val="r"/>
      <c:layout>
        <c:manualLayout>
          <c:xMode val="edge"/>
          <c:yMode val="edge"/>
          <c:x val="0.8625"/>
          <c:y val="0.461"/>
          <c:w val="0.11825"/>
          <c:h val="0.077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1"/>
              <c:layout>
                <c:manualLayout>
                  <c:x val="0.188097112860892"/>
                  <c:y val="0.0094116360454943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85846456692913"/>
                  <c:y val="-0.0079006270049577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11375765529309"/>
                  <c:y val="0.0059882618839311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33968285214348"/>
                  <c:y val="0.027984470691163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'[新建 Microsoft Excel 工作表(决算公开用图）.xls]Sheet1'!$A$2:$A$8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'[新建 Microsoft Excel 工作表(决算公开用图）.xls]Sheet1'!$B$2:$B$8</c:f>
              <c:numCache>
                <c:formatCode>General</c:formatCode>
                <c:ptCount val="7"/>
                <c:pt idx="0">
                  <c:v>792.69</c:v>
                </c:pt>
                <c:pt idx="1">
                  <c:v>0</c:v>
                </c:pt>
                <c:pt idx="2">
                  <c:v>0</c:v>
                </c:pt>
                <c:pt idx="3">
                  <c:v>40.1</c:v>
                </c:pt>
                <c:pt idx="4">
                  <c:v>0</c:v>
                </c:pt>
                <c:pt idx="5">
                  <c:v>0</c:v>
                </c:pt>
                <c:pt idx="6">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475"/>
          <c:y val="0.05"/>
          <c:w val="0.33325"/>
          <c:h val="0.899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Lbls>
            <c:dLbl>
              <c:idx val="2"/>
              <c:layout>
                <c:manualLayout>
                  <c:x val="-0.106966754155731"/>
                  <c:y val="0.031458151064450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
                  <c:y val="0.025671114027413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'[新建 Microsoft Excel 工作表(决算公开用图）.xls]Sheet1'!$A$18:$A$22</c:f>
              <c:strCache>
                <c:ptCount val="5"/>
                <c:pt idx="0">
                  <c:v>基本支出</c:v>
                </c:pt>
                <c:pt idx="1">
                  <c:v>项目支出</c:v>
                </c:pt>
                <c:pt idx="2">
                  <c:v>上缴上级支出</c:v>
                </c:pt>
                <c:pt idx="3">
                  <c:v>经营支出</c:v>
                </c:pt>
                <c:pt idx="4">
                  <c:v>对附属单位补助支出</c:v>
                </c:pt>
              </c:strCache>
            </c:strRef>
          </c:cat>
          <c:val>
            <c:numRef>
              <c:f>'[新建 Microsoft Excel 工作表(决算公开用图）.xls]Sheet1'!$B$18:$B$22</c:f>
              <c:numCache>
                <c:formatCode>General</c:formatCode>
                <c:ptCount val="5"/>
                <c:pt idx="0">
                  <c:v>827.85</c:v>
                </c:pt>
                <c:pt idx="1">
                  <c:v>9.17</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475"/>
          <c:y val="0.31525"/>
          <c:w val="0.33325"/>
          <c:h val="0.369"/>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82852143482"/>
          <c:y val="0.0745487022455526"/>
          <c:w val="0.721721347331584"/>
          <c:h val="0.828939195100612"/>
        </c:manualLayout>
      </c:layout>
      <c:barChart>
        <c:barDir val="col"/>
        <c:grouping val="clustered"/>
        <c:varyColors val="0"/>
        <c:ser>
          <c:idx val="0"/>
          <c:order val="0"/>
          <c:invertIfNegative val="0"/>
          <c:dLbls>
            <c:delete val="1"/>
          </c:dLbls>
          <c:cat>
            <c:strRef>
              <c:f>'[新建 Microsoft Excel 工作表(决算公开用图）.xls]Sheet1'!$A$38:$A$39</c:f>
              <c:strCache>
                <c:ptCount val="2"/>
                <c:pt idx="0">
                  <c:v>2019年财政拨款收支</c:v>
                </c:pt>
                <c:pt idx="1">
                  <c:v>2018年财政拨款收支</c:v>
                </c:pt>
              </c:strCache>
            </c:strRef>
          </c:cat>
          <c:val>
            <c:numRef>
              <c:f>'[新建 Microsoft Excel 工作表(决算公开用图）.xls]Sheet1'!$B$38:$B$39</c:f>
              <c:numCache>
                <c:formatCode>General</c:formatCode>
                <c:ptCount val="2"/>
                <c:pt idx="0">
                  <c:v>800.91</c:v>
                </c:pt>
                <c:pt idx="1">
                  <c:v>795.52</c:v>
                </c:pt>
              </c:numCache>
            </c:numRef>
          </c:val>
        </c:ser>
        <c:dLbls>
          <c:showLegendKey val="0"/>
          <c:showVal val="0"/>
          <c:showCatName val="0"/>
          <c:showSerName val="0"/>
          <c:showPercent val="0"/>
          <c:showBubbleSize val="0"/>
        </c:dLbls>
        <c:gapWidth val="150"/>
        <c:axId val="90842240"/>
        <c:axId val="90843776"/>
      </c:barChart>
      <c:catAx>
        <c:axId val="9084224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90843776"/>
        <c:crosses val="autoZero"/>
        <c:auto val="1"/>
        <c:lblAlgn val="ctr"/>
        <c:lblOffset val="100"/>
        <c:noMultiLvlLbl val="0"/>
      </c:catAx>
      <c:valAx>
        <c:axId val="9084377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90842240"/>
        <c:crosses val="autoZero"/>
        <c:crossBetween val="between"/>
      </c:valAx>
    </c:plotArea>
    <c:legend>
      <c:legendPos val="r"/>
      <c:layout>
        <c:manualLayout>
          <c:xMode val="edge"/>
          <c:yMode val="edge"/>
          <c:x val="0.8495"/>
          <c:y val="0.457"/>
          <c:w val="0.13125"/>
          <c:h val="0.0857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92019430950729"/>
          <c:y val="0.0640478223740393"/>
          <c:w val="0.8947120055517"/>
          <c:h val="0.849786507258753"/>
        </c:manualLayout>
      </c:layout>
      <c:barChart>
        <c:barDir val="col"/>
        <c:grouping val="stacked"/>
        <c:varyColors val="0"/>
        <c:ser>
          <c:idx val="0"/>
          <c:order val="0"/>
          <c:spPr>
            <a:solidFill>
              <a:schemeClr val="accent1"/>
            </a:solidFill>
            <a:ln>
              <a:noFill/>
            </a:ln>
            <a:effectLst/>
          </c:spPr>
          <c:invertIfNegative val="0"/>
          <c:dLbls>
            <c:delete val="1"/>
          </c:dLbls>
          <c:cat>
            <c:strRef>
              <c:f>'[新建 Microsoft Excel 工作表(决算公开用图）.xls]Sheet1'!$A$59:$A$60</c:f>
              <c:strCache>
                <c:ptCount val="2"/>
                <c:pt idx="0">
                  <c:v>2019年度一般公共预算财政拨款支出</c:v>
                </c:pt>
                <c:pt idx="1">
                  <c:v>2018年度一般公共预算财政拨款支出</c:v>
                </c:pt>
              </c:strCache>
            </c:strRef>
          </c:cat>
          <c:val>
            <c:numRef>
              <c:f>'[新建 Microsoft Excel 工作表(决算公开用图）.xls]Sheet1'!$B$59:$B$60</c:f>
              <c:numCache>
                <c:formatCode>General</c:formatCode>
                <c:ptCount val="2"/>
                <c:pt idx="0">
                  <c:v>796.92</c:v>
                </c:pt>
                <c:pt idx="1">
                  <c:v>787.3</c:v>
                </c:pt>
              </c:numCache>
            </c:numRef>
          </c:val>
        </c:ser>
        <c:dLbls>
          <c:showLegendKey val="0"/>
          <c:showVal val="0"/>
          <c:showCatName val="0"/>
          <c:showSerName val="0"/>
          <c:showPercent val="0"/>
          <c:showBubbleSize val="0"/>
        </c:dLbls>
        <c:gapWidth val="150"/>
        <c:overlap val="100"/>
        <c:axId val="90851584"/>
        <c:axId val="90890240"/>
      </c:barChart>
      <c:catAx>
        <c:axId val="9085158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890240"/>
        <c:crosses val="autoZero"/>
        <c:auto val="1"/>
        <c:lblAlgn val="ctr"/>
        <c:lblOffset val="100"/>
        <c:noMultiLvlLbl val="0"/>
      </c:catAx>
      <c:valAx>
        <c:axId val="908902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851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381003488060102"/>
          <c:y val="0.0641025641025641"/>
          <c:w val="0.656023611483767"/>
          <c:h val="0.834615384615385"/>
        </c:manualLayout>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'[新建 Microsoft Excel 工作表(决算公开用图）.xls]Sheet1'!$A$79:$A$85</c:f>
              <c:strCache>
                <c:ptCount val="7"/>
                <c:pt idx="0">
                  <c:v>一般公共服务支出</c:v>
                </c:pt>
                <c:pt idx="1">
                  <c:v>国防支出</c:v>
                </c:pt>
                <c:pt idx="2">
                  <c:v>教育支出</c:v>
                </c:pt>
                <c:pt idx="3">
                  <c:v>社会保障和就业支出</c:v>
                </c:pt>
                <c:pt idx="4">
                  <c:v>卫生健康支出</c:v>
                </c:pt>
                <c:pt idx="5">
                  <c:v>农林水支出</c:v>
                </c:pt>
                <c:pt idx="6">
                  <c:v>住房保障支出</c:v>
                </c:pt>
              </c:strCache>
            </c:strRef>
          </c:cat>
          <c:val>
            <c:numRef>
              <c:f>'[新建 Microsoft Excel 工作表(决算公开用图）.xls]Sheet1'!$B$79:$B$85</c:f>
              <c:numCache>
                <c:formatCode>General</c:formatCode>
                <c:ptCount val="7"/>
                <c:pt idx="0">
                  <c:v>0</c:v>
                </c:pt>
                <c:pt idx="1">
                  <c:v>0</c:v>
                </c:pt>
                <c:pt idx="2">
                  <c:v>590.38</c:v>
                </c:pt>
                <c:pt idx="3">
                  <c:v>114.98</c:v>
                </c:pt>
                <c:pt idx="4">
                  <c:v>25.22</c:v>
                </c:pt>
                <c:pt idx="5">
                  <c:v>0</c:v>
                </c:pt>
                <c:pt idx="6">
                  <c:v>66.34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125"/>
          <c:y val="0.164"/>
          <c:w val="0.254896701845675"/>
          <c:h val="0.632478632478632"/>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37</Pages>
  <Words>13817</Words>
  <Characters>2814</Characters>
  <Lines>23</Lines>
  <Paragraphs>33</Paragraphs>
  <TotalTime>29</TotalTime>
  <ScaleCrop>false</ScaleCrop>
  <LinksUpToDate>false</LinksUpToDate>
  <CharactersWithSpaces>16598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尧冰松</cp:lastModifiedBy>
  <cp:lastPrinted>2020-07-23T02:58:00Z</cp:lastPrinted>
  <dcterms:modified xsi:type="dcterms:W3CDTF">2025-07-11T06:48:41Z</dcterms:modified>
  <dc:title>四川省***</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FABD0BEC3D9B4DFFA44E180F25373D70</vt:lpwstr>
  </property>
</Properties>
</file>