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Theme="majorEastAsia" w:hAnsiTheme="majorEastAsia" w:eastAsiaTheme="majorEastAsia"/>
          <w:color w:val="000000"/>
          <w:sz w:val="72"/>
          <w:szCs w:val="72"/>
        </w:rPr>
      </w:pPr>
      <w:bookmarkStart w:id="1" w:name="_Toc15396475"/>
      <w:bookmarkStart w:id="2" w:name="_Toc15377193"/>
      <w:bookmarkStart w:id="3" w:name="_Toc15378441"/>
      <w:bookmarkStart w:id="4" w:name="_Toc15377425"/>
      <w:bookmarkStart w:id="5" w:name="_Toc15396597"/>
      <w:r>
        <w:rPr>
          <w:rFonts w:asciiTheme="majorEastAsia" w:hAnsiTheme="majorEastAsia" w:eastAsiaTheme="majorEastAsia"/>
          <w:color w:val="000000"/>
          <w:sz w:val="72"/>
          <w:szCs w:val="72"/>
        </w:rPr>
        <w:t>201</w:t>
      </w:r>
      <w:r>
        <w:rPr>
          <w:rFonts w:hint="eastAsia" w:asciiTheme="majorEastAsia" w:hAnsiTheme="majorEastAsia" w:eastAsiaTheme="majorEastAsia"/>
          <w:color w:val="000000"/>
          <w:sz w:val="72"/>
          <w:szCs w:val="72"/>
        </w:rPr>
        <w:t>9年度</w:t>
      </w:r>
      <w:bookmarkEnd w:id="1"/>
      <w:bookmarkEnd w:id="2"/>
      <w:bookmarkEnd w:id="3"/>
      <w:bookmarkEnd w:id="4"/>
      <w:bookmarkEnd w:id="5"/>
    </w:p>
    <w:p>
      <w:pPr>
        <w:adjustRightInd w:val="0"/>
        <w:snapToGrid w:val="0"/>
        <w:spacing w:line="360" w:lineRule="auto"/>
        <w:jc w:val="center"/>
        <w:outlineLvl w:val="0"/>
        <w:rPr>
          <w:rFonts w:asciiTheme="majorEastAsia" w:hAnsiTheme="majorEastAsia" w:eastAsiaTheme="majorEastAsia"/>
          <w:color w:val="000000"/>
          <w:sz w:val="72"/>
          <w:szCs w:val="72"/>
        </w:rPr>
      </w:pPr>
      <w:bookmarkStart w:id="6" w:name="_Toc15377194"/>
      <w:bookmarkStart w:id="7" w:name="_Toc15396476"/>
      <w:bookmarkStart w:id="8" w:name="_Toc15396598"/>
      <w:bookmarkStart w:id="9" w:name="_Toc15377426"/>
      <w:bookmarkStart w:id="10" w:name="_Toc15378442"/>
      <w:r>
        <w:rPr>
          <w:rFonts w:hint="eastAsia" w:asciiTheme="majorEastAsia" w:hAnsiTheme="majorEastAsia" w:eastAsiaTheme="majorEastAsia"/>
          <w:color w:val="000000"/>
          <w:sz w:val="72"/>
          <w:szCs w:val="72"/>
        </w:rPr>
        <w:t>四川省</w:t>
      </w:r>
      <w:bookmarkEnd w:id="0"/>
      <w:bookmarkStart w:id="11" w:name="_Toc15306268"/>
      <w:r>
        <w:rPr>
          <w:rFonts w:hint="eastAsia" w:asciiTheme="majorEastAsia" w:hAnsiTheme="majorEastAsia" w:eastAsiaTheme="majorEastAsia"/>
          <w:color w:val="000000"/>
          <w:sz w:val="72"/>
          <w:szCs w:val="72"/>
        </w:rPr>
        <w:t>乐山市峨眉山市第一中学校部门决算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w:t>
      </w:r>
      <w:r>
        <w:rPr>
          <w:rFonts w:hint="eastAsia"/>
          <w:lang w:val="en-US" w:eastAsia="zh-CN"/>
        </w:rPr>
        <w:t>20</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一、基本职能及主要工作(4页)</w:t>
      </w:r>
      <w:bookmarkStart w:id="73" w:name="_GoBack"/>
      <w:bookmarkEnd w:id="73"/>
    </w:p>
    <w:p>
      <w:pPr>
        <w:pStyle w:val="11"/>
        <w:adjustRightInd w:val="0"/>
        <w:snapToGrid w:val="0"/>
        <w:spacing w:line="440" w:lineRule="exact"/>
        <w:jc w:val="left"/>
        <w:rPr>
          <w:rFonts w:ascii="仿宋" w:hAnsi="仿宋" w:eastAsia="仿宋" w:cstheme="minorBidi"/>
          <w:sz w:val="24"/>
        </w:rPr>
      </w:pPr>
      <w:r>
        <w:rPr>
          <w:rFonts w:hint="eastAsia"/>
          <w:sz w:val="24"/>
        </w:rPr>
        <w:t>二、机构设置(4页)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一、收入支出决算总体情况说明(5页)</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二、收入决算情况说明5页)</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三、支出决算情况说明(6页)</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四、财政拨款收入支出决算总体情况说明(7页)</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五、一般公共预算财政拨款支出决算情况说明(7-9页)</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六、一般公共预算财政拨款基本支出决算情况说明(9页)</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三公”经费财政拨款支出决算情况说明(10页)</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八、政府性基金预算支出决算情况说明(10页)</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有资本经营预算支出决算情况说明(10页)</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其他重要事项的情况说明(10-19页)</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名词解释(20-25页)</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(26-32页)</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(33-36页)</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（一）主要职能。（职能参照省政府批准的三定方案）</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实施高中学历教育，促进基础教育发展</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ind w:firstLine="800" w:firstLineChars="250"/>
        <w:rPr>
          <w:rFonts w:ascii="仿宋" w:hAnsi="仿宋" w:eastAsia="仿宋"/>
          <w:sz w:val="32"/>
          <w:szCs w:val="32"/>
        </w:rPr>
      </w:pPr>
      <w:r>
        <w:rPr>
          <w:rFonts w:hint="eastAsia" w:ascii="仿宋" w:hAnsi="仿宋" w:eastAsia="仿宋"/>
          <w:sz w:val="32"/>
          <w:szCs w:val="32"/>
        </w:rPr>
        <w:t>学校根据峨眉山市教育局、峨眉山市人民政府教育督导室印发《2018—2019学年学校工作综合评估实施方案》的通知（峨教发〔2019〕7号）通知精神，结合学校开展的各项工作主要在以下几个方面：办学思想方面、党的建设方面、队伍管理方面、德育管理方面、教学管理方面、研训管理方面、艺体卫科技教育管理方面、教育装备及信息化管理方面与安全及后勤管理方面都得到了稳定的发展，本学年，高考辉煌成绩，学校全面完成了上级部门安排的中心工作。</w:t>
      </w: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四川省峨眉山市第一中学校下属二级单位0个，其中行政单位0个，参照公务员法管理的事业单位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r>
        <w:rPr>
          <w:rStyle w:val="26"/>
          <w:rFonts w:ascii="黑体" w:hAnsi="黑体" w:eastAsia="黑体"/>
          <w:b w:val="0"/>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2019年度收、支总计3738.97万元。与2018年相比，收、支总计各增加392.07万元，增长11.71</w:t>
      </w:r>
      <w:r>
        <w:rPr>
          <w:rFonts w:ascii="仿宋" w:hAnsi="仿宋" w:eastAsia="仿宋"/>
          <w:color w:val="000000"/>
          <w:sz w:val="32"/>
          <w:szCs w:val="32"/>
        </w:rPr>
        <w:t>%</w:t>
      </w:r>
      <w:r>
        <w:rPr>
          <w:rFonts w:hint="eastAsia" w:ascii="仿宋" w:hAnsi="仿宋" w:eastAsia="仿宋"/>
          <w:color w:val="000000"/>
          <w:sz w:val="32"/>
          <w:szCs w:val="32"/>
        </w:rPr>
        <w:t>。主要变动原因是人员经费、修建增加。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9264" behindDoc="1" locked="0" layoutInCell="1" allowOverlap="1">
            <wp:simplePos x="0" y="0"/>
            <wp:positionH relativeFrom="column">
              <wp:posOffset>308610</wp:posOffset>
            </wp:positionH>
            <wp:positionV relativeFrom="paragraph">
              <wp:posOffset>185420</wp:posOffset>
            </wp:positionV>
            <wp:extent cx="3733800" cy="2561590"/>
            <wp:effectExtent l="19050" t="0" r="0" b="0"/>
            <wp:wrapTight wrapText="bothSides">
              <wp:wrapPolygon>
                <wp:start x="-110" y="0"/>
                <wp:lineTo x="-110" y="21364"/>
                <wp:lineTo x="21600" y="21364"/>
                <wp:lineTo x="21600" y="0"/>
                <wp:lineTo x="-110" y="0"/>
              </wp:wrapPolygon>
            </wp:wrapTight>
            <wp:docPr id="2"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png"/>
                    <pic:cNvPicPr>
                      <a:picLocks noChangeAspect="1"/>
                    </pic:cNvPicPr>
                  </pic:nvPicPr>
                  <pic:blipFill>
                    <a:blip r:embed="rId6"/>
                    <a:stretch>
                      <a:fillRect/>
                    </a:stretch>
                  </pic:blipFill>
                  <pic:spPr>
                    <a:xfrm>
                      <a:off x="0" y="0"/>
                      <a:ext cx="3733800" cy="2561590"/>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9年本年收入合计3688.97万元，其中：一般公共预算财政拨款收入3654.69万元，占99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；政府性基金预算财政拨款收入34.28万元，占1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w:t>
      </w:r>
      <w:r>
        <w:rPr>
          <w:rFonts w:ascii="仿宋" w:hAnsi="仿宋" w:eastAsia="仿宋"/>
          <w:color w:val="000000"/>
          <w:sz w:val="32"/>
          <w:szCs w:val="32"/>
        </w:rPr>
        <w:t>**</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0288" behindDoc="1" locked="0" layoutInCell="1" allowOverlap="1">
            <wp:simplePos x="0" y="0"/>
            <wp:positionH relativeFrom="column">
              <wp:posOffset>-78740</wp:posOffset>
            </wp:positionH>
            <wp:positionV relativeFrom="paragraph">
              <wp:posOffset>219075</wp:posOffset>
            </wp:positionV>
            <wp:extent cx="4650105" cy="2552065"/>
            <wp:effectExtent l="0" t="0" r="0" b="0"/>
            <wp:wrapTight wrapText="bothSides">
              <wp:wrapPolygon>
                <wp:start x="7168" y="806"/>
                <wp:lineTo x="5575" y="1290"/>
                <wp:lineTo x="5309" y="1774"/>
                <wp:lineTo x="5575" y="3386"/>
                <wp:lineTo x="4247" y="5804"/>
                <wp:lineTo x="3628" y="8384"/>
                <wp:lineTo x="3451" y="11125"/>
                <wp:lineTo x="3717" y="13705"/>
                <wp:lineTo x="4513" y="16607"/>
                <wp:lineTo x="6371" y="19026"/>
                <wp:lineTo x="7433" y="19509"/>
                <wp:lineTo x="7610" y="19509"/>
                <wp:lineTo x="9291" y="19509"/>
                <wp:lineTo x="9557" y="19509"/>
                <wp:lineTo x="10530" y="19026"/>
                <wp:lineTo x="10796" y="18864"/>
                <wp:lineTo x="12388" y="16607"/>
                <wp:lineTo x="13008" y="16285"/>
                <wp:lineTo x="18671" y="14027"/>
                <wp:lineTo x="19821" y="13221"/>
                <wp:lineTo x="19821" y="12737"/>
                <wp:lineTo x="18671" y="11125"/>
                <wp:lineTo x="21414" y="9190"/>
                <wp:lineTo x="21060" y="8545"/>
                <wp:lineTo x="20972" y="7739"/>
                <wp:lineTo x="12831" y="5966"/>
                <wp:lineTo x="11769" y="4031"/>
                <wp:lineTo x="11327" y="3386"/>
                <wp:lineTo x="13008" y="1451"/>
                <wp:lineTo x="12742" y="967"/>
                <wp:lineTo x="7698" y="806"/>
                <wp:lineTo x="7168" y="806"/>
              </wp:wrapPolygon>
            </wp:wrapTight>
            <wp:docPr id="3" name="图片 2"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2.png"/>
                    <pic:cNvPicPr>
                      <a:picLocks noChangeAspect="1"/>
                    </pic:cNvPicPr>
                  </pic:nvPicPr>
                  <pic:blipFill>
                    <a:blip r:embed="rId7"/>
                    <a:stretch>
                      <a:fillRect/>
                    </a:stretch>
                  </pic:blipFill>
                  <pic:spPr>
                    <a:xfrm>
                      <a:off x="0" y="0"/>
                      <a:ext cx="4650105" cy="2552065"/>
                    </a:xfrm>
                    <a:prstGeom prst="rect">
                      <a:avLst/>
                    </a:prstGeom>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r>
        <w:rPr>
          <w:rStyle w:val="26"/>
          <w:rFonts w:ascii="黑体" w:hAnsi="黑体" w:eastAsia="黑体"/>
          <w:b w:val="0"/>
        </w:rPr>
        <w:t xml:space="preserve"> </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9年本年支出合计3731.56万元，其中：基本支出3426.4万元，占91.8</w:t>
      </w:r>
      <w:r>
        <w:rPr>
          <w:rFonts w:ascii="仿宋" w:hAnsi="仿宋" w:eastAsia="仿宋"/>
          <w:color w:val="000000"/>
          <w:sz w:val="32"/>
          <w:szCs w:val="32"/>
        </w:rPr>
        <w:t>%</w:t>
      </w:r>
      <w:r>
        <w:rPr>
          <w:rFonts w:hint="eastAsia" w:ascii="仿宋" w:hAnsi="仿宋" w:eastAsia="仿宋"/>
          <w:color w:val="000000"/>
          <w:sz w:val="32"/>
          <w:szCs w:val="32"/>
        </w:rPr>
        <w:t>；项目支出305.16万元，占8.2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1312" behindDoc="1" locked="0" layoutInCell="1" allowOverlap="1">
            <wp:simplePos x="0" y="0"/>
            <wp:positionH relativeFrom="column">
              <wp:posOffset>-78740</wp:posOffset>
            </wp:positionH>
            <wp:positionV relativeFrom="paragraph">
              <wp:posOffset>153035</wp:posOffset>
            </wp:positionV>
            <wp:extent cx="5255895" cy="2893060"/>
            <wp:effectExtent l="0" t="0" r="0" b="0"/>
            <wp:wrapTight wrapText="bothSides">
              <wp:wrapPolygon>
                <wp:start x="8847" y="1280"/>
                <wp:lineTo x="6889" y="1422"/>
                <wp:lineTo x="6107" y="2133"/>
                <wp:lineTo x="6107" y="3556"/>
                <wp:lineTo x="4932" y="5831"/>
                <wp:lineTo x="4306" y="8107"/>
                <wp:lineTo x="4071" y="10383"/>
                <wp:lineTo x="4228" y="12658"/>
                <wp:lineTo x="4697" y="14934"/>
                <wp:lineTo x="5559" y="17210"/>
                <wp:lineTo x="5637" y="17637"/>
                <wp:lineTo x="7672" y="19486"/>
                <wp:lineTo x="8142" y="19486"/>
                <wp:lineTo x="10021" y="19486"/>
                <wp:lineTo x="10491" y="19486"/>
                <wp:lineTo x="12526" y="17637"/>
                <wp:lineTo x="12605" y="17210"/>
                <wp:lineTo x="13544" y="15076"/>
                <wp:lineTo x="14797" y="14934"/>
                <wp:lineTo x="21373" y="13085"/>
                <wp:lineTo x="21530" y="10809"/>
                <wp:lineTo x="19964" y="10383"/>
                <wp:lineTo x="19807" y="10383"/>
                <wp:lineTo x="19807" y="8534"/>
                <wp:lineTo x="13857" y="8107"/>
                <wp:lineTo x="13387" y="5974"/>
                <wp:lineTo x="12057" y="3556"/>
                <wp:lineTo x="12135" y="2276"/>
                <wp:lineTo x="11117" y="1422"/>
                <wp:lineTo x="9316" y="1280"/>
                <wp:lineTo x="8847" y="1280"/>
              </wp:wrapPolygon>
            </wp:wrapTight>
            <wp:docPr id="4" name="图片 3"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3.png"/>
                    <pic:cNvPicPr>
                      <a:picLocks noChangeAspect="1"/>
                    </pic:cNvPicPr>
                  </pic:nvPicPr>
                  <pic:blipFill>
                    <a:blip r:embed="rId8"/>
                    <a:stretch>
                      <a:fillRect/>
                    </a:stretch>
                  </pic:blipFill>
                  <pic:spPr>
                    <a:xfrm>
                      <a:off x="0" y="0"/>
                      <a:ext cx="5255895" cy="2893060"/>
                    </a:xfrm>
                    <a:prstGeom prst="rect">
                      <a:avLst/>
                    </a:prstGeom>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ind w:firstLine="640" w:firstLineChars="200"/>
        <w:outlineLvl w:val="1"/>
        <w:rPr>
          <w:rFonts w:ascii="黑体" w:hAnsi="黑体" w:eastAsia="黑体"/>
          <w:color w:val="000000"/>
          <w:sz w:val="32"/>
          <w:szCs w:val="32"/>
        </w:rPr>
      </w:pPr>
      <w:bookmarkStart w:id="30" w:name="_Toc15396606"/>
      <w:bookmarkStart w:id="31" w:name="_Toc15377208"/>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r>
        <w:rPr>
          <w:rStyle w:val="26"/>
          <w:rFonts w:ascii="黑体" w:hAnsi="黑体" w:eastAsia="黑体"/>
          <w:b w:val="0"/>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9年财政拨款收、支总计3738.97万元。与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8年相比，财政拨款收、支总计各增加392.07万元，增长11.71</w:t>
      </w:r>
      <w:r>
        <w:rPr>
          <w:rFonts w:ascii="仿宋" w:hAnsi="仿宋" w:eastAsia="仿宋"/>
          <w:color w:val="000000"/>
          <w:sz w:val="32"/>
          <w:szCs w:val="32"/>
        </w:rPr>
        <w:t>%</w:t>
      </w:r>
      <w:r>
        <w:rPr>
          <w:rFonts w:hint="eastAsia" w:ascii="仿宋" w:hAnsi="仿宋" w:eastAsia="仿宋"/>
          <w:color w:val="000000"/>
          <w:sz w:val="32"/>
          <w:szCs w:val="32"/>
        </w:rPr>
        <w:t>。主要变动原因是人员经费、修建增加。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2336" behindDoc="1" locked="0" layoutInCell="1" allowOverlap="1">
            <wp:simplePos x="0" y="0"/>
            <wp:positionH relativeFrom="column">
              <wp:posOffset>128905</wp:posOffset>
            </wp:positionH>
            <wp:positionV relativeFrom="paragraph">
              <wp:posOffset>154305</wp:posOffset>
            </wp:positionV>
            <wp:extent cx="3132455" cy="2150745"/>
            <wp:effectExtent l="0" t="0" r="0" b="0"/>
            <wp:wrapTight wrapText="bothSides">
              <wp:wrapPolygon>
                <wp:start x="3941" y="2105"/>
                <wp:lineTo x="4204" y="5166"/>
                <wp:lineTo x="5780" y="5166"/>
                <wp:lineTo x="4204" y="6122"/>
                <wp:lineTo x="4204" y="11288"/>
                <wp:lineTo x="5780" y="11288"/>
                <wp:lineTo x="4072" y="12436"/>
                <wp:lineTo x="4072" y="13201"/>
                <wp:lineTo x="5780" y="14349"/>
                <wp:lineTo x="4204" y="14349"/>
                <wp:lineTo x="3941" y="18175"/>
                <wp:lineTo x="6437" y="19132"/>
                <wp:lineTo x="8276" y="19132"/>
                <wp:lineTo x="18916" y="19132"/>
                <wp:lineTo x="19704" y="18941"/>
                <wp:lineTo x="19047" y="17793"/>
                <wp:lineTo x="5780" y="17410"/>
                <wp:lineTo x="19441" y="17410"/>
                <wp:lineTo x="19835" y="14540"/>
                <wp:lineTo x="17734" y="14349"/>
                <wp:lineTo x="21018" y="11479"/>
                <wp:lineTo x="21280" y="8992"/>
                <wp:lineTo x="18916" y="8418"/>
                <wp:lineTo x="11034" y="8227"/>
                <wp:lineTo x="19441" y="6888"/>
                <wp:lineTo x="19441" y="6314"/>
                <wp:lineTo x="11034" y="5166"/>
                <wp:lineTo x="19573" y="4783"/>
                <wp:lineTo x="19441" y="2105"/>
                <wp:lineTo x="5780" y="2105"/>
                <wp:lineTo x="3941" y="2105"/>
              </wp:wrapPolygon>
            </wp:wrapTight>
            <wp:docPr id="7" name="图片 6" descr="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图片4.png"/>
                    <pic:cNvPicPr>
                      <a:picLocks noChangeAspect="1"/>
                    </pic:cNvPicPr>
                  </pic:nvPicPr>
                  <pic:blipFill>
                    <a:blip r:embed="rId9"/>
                    <a:stretch>
                      <a:fillRect/>
                    </a:stretch>
                  </pic:blipFill>
                  <pic:spPr>
                    <a:xfrm>
                      <a:off x="0" y="0"/>
                      <a:ext cx="3132455" cy="2150745"/>
                    </a:xfrm>
                    <a:prstGeom prst="rect">
                      <a:avLst/>
                    </a:prstGeom>
                  </pic:spPr>
                </pic:pic>
              </a:graphicData>
            </a:graphic>
          </wp:anchor>
        </w:drawing>
      </w:r>
    </w:p>
    <w:p>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0" distR="0">
            <wp:extent cx="4010660" cy="2748915"/>
            <wp:effectExtent l="0" t="0" r="0" b="0"/>
            <wp:docPr id="8" name="图片 7" descr="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图片4.png"/>
                    <pic:cNvPicPr>
                      <a:picLocks noChangeAspect="1"/>
                    </pic:cNvPicPr>
                  </pic:nvPicPr>
                  <pic:blipFill>
                    <a:blip r:embed="rId9"/>
                    <a:stretch>
                      <a:fillRect/>
                    </a:stretch>
                  </pic:blipFill>
                  <pic:spPr>
                    <a:xfrm>
                      <a:off x="0" y="0"/>
                      <a:ext cx="4010837" cy="2749069"/>
                    </a:xfrm>
                    <a:prstGeom prst="rect">
                      <a:avLst/>
                    </a:prstGeom>
                  </pic:spPr>
                </pic:pic>
              </a:graphicData>
            </a:graphic>
          </wp:inline>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r>
        <w:rPr>
          <w:rStyle w:val="26"/>
          <w:rFonts w:ascii="黑体" w:hAnsi="黑体" w:eastAsia="黑体"/>
          <w:b w:val="0"/>
        </w:rPr>
        <w:t xml:space="preserve"> </w:t>
      </w:r>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9年一般公共预算财政拨款支出3697.28万元，占本年支出合计的99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8年相比，一般公共预算财政拨款增加448.89万元，增长13.8</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1" locked="0" layoutInCell="1" allowOverlap="1">
            <wp:simplePos x="0" y="0"/>
            <wp:positionH relativeFrom="column">
              <wp:posOffset>807720</wp:posOffset>
            </wp:positionH>
            <wp:positionV relativeFrom="paragraph">
              <wp:posOffset>537845</wp:posOffset>
            </wp:positionV>
            <wp:extent cx="4075430" cy="2239645"/>
            <wp:effectExtent l="19050" t="0" r="1270" b="0"/>
            <wp:wrapTight wrapText="bothSides">
              <wp:wrapPolygon>
                <wp:start x="-101" y="0"/>
                <wp:lineTo x="-101" y="21496"/>
                <wp:lineTo x="21607" y="21496"/>
                <wp:lineTo x="21607" y="0"/>
                <wp:lineTo x="-101" y="0"/>
              </wp:wrapPolygon>
            </wp:wrapTight>
            <wp:docPr id="9" name="图片 8" descr="图片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图片5.png"/>
                    <pic:cNvPicPr>
                      <a:picLocks noChangeAspect="1"/>
                    </pic:cNvPicPr>
                  </pic:nvPicPr>
                  <pic:blipFill>
                    <a:blip r:embed="rId10"/>
                    <a:stretch>
                      <a:fillRect/>
                    </a:stretch>
                  </pic:blipFill>
                  <pic:spPr>
                    <a:xfrm>
                      <a:off x="0" y="0"/>
                      <a:ext cx="4075430" cy="2239645"/>
                    </a:xfrm>
                    <a:prstGeom prst="rect">
                      <a:avLst/>
                    </a:prstGeom>
                  </pic:spPr>
                </pic:pic>
              </a:graphicData>
            </a:graphic>
          </wp:anchor>
        </w:drawing>
      </w: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r>
        <w:rPr>
          <w:rFonts w:hint="eastAsia" w:ascii="仿宋" w:hAnsi="仿宋" w:eastAsia="仿宋"/>
          <w:b/>
          <w:color w:val="000000"/>
          <w:sz w:val="32"/>
          <w:szCs w:val="32"/>
        </w:rPr>
        <w:t>---</w:t>
      </w:r>
      <w:r>
        <w:rPr>
          <w:rStyle w:val="26"/>
          <w:rFonts w:hint="eastAsia" w:ascii="黑体" w:hAnsi="黑体" w:eastAsia="黑体"/>
          <w:b w:val="0"/>
        </w:rPr>
        <w:t>财6表</w:t>
      </w:r>
      <w:r>
        <w:rPr>
          <w:rStyle w:val="26"/>
          <w:rFonts w:ascii="黑体" w:hAnsi="黑体" w:eastAsia="黑体"/>
          <w:b w:val="0"/>
        </w:rPr>
        <w:t>—</w:t>
      </w:r>
      <w:r>
        <w:rPr>
          <w:rStyle w:val="26"/>
          <w:rFonts w:hint="eastAsia" w:ascii="黑体" w:hAnsi="黑体" w:eastAsia="黑体"/>
          <w:b w:val="0"/>
        </w:rPr>
        <w:t>一级科目</w:t>
      </w:r>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政拨款支出3697.28万元，主要用于以下方面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2951.67万元，占79.8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支出404.49万元，占11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93.29万元，占2.5</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；住房保障支出247.81万元，占6.7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1" locked="0" layoutInCell="1" allowOverlap="1">
            <wp:simplePos x="0" y="0"/>
            <wp:positionH relativeFrom="column">
              <wp:posOffset>375285</wp:posOffset>
            </wp:positionH>
            <wp:positionV relativeFrom="paragraph">
              <wp:posOffset>251460</wp:posOffset>
            </wp:positionV>
            <wp:extent cx="5271135" cy="2846070"/>
            <wp:effectExtent l="0" t="0" r="0" b="0"/>
            <wp:wrapTight wrapText="bothSides">
              <wp:wrapPolygon>
                <wp:start x="18423" y="4193"/>
                <wp:lineTo x="6323" y="4193"/>
                <wp:lineTo x="1952" y="4771"/>
                <wp:lineTo x="1952" y="6506"/>
                <wp:lineTo x="1405" y="7084"/>
                <wp:lineTo x="1171" y="8819"/>
                <wp:lineTo x="1327" y="11711"/>
                <wp:lineTo x="3279" y="13446"/>
                <wp:lineTo x="10851" y="15759"/>
                <wp:lineTo x="16862" y="16482"/>
                <wp:lineTo x="18969" y="16482"/>
                <wp:lineTo x="19125" y="15904"/>
                <wp:lineTo x="10773" y="15759"/>
                <wp:lineTo x="18579" y="14747"/>
                <wp:lineTo x="18657" y="13880"/>
                <wp:lineTo x="12412" y="13446"/>
                <wp:lineTo x="18891" y="12723"/>
                <wp:lineTo x="18969" y="12000"/>
                <wp:lineTo x="15066" y="11133"/>
                <wp:lineTo x="19750" y="10843"/>
                <wp:lineTo x="19906" y="10120"/>
                <wp:lineTo x="17798" y="8819"/>
                <wp:lineTo x="18267" y="8819"/>
                <wp:lineTo x="18423" y="7952"/>
                <wp:lineTo x="18345" y="6506"/>
                <wp:lineTo x="19438" y="4771"/>
                <wp:lineTo x="19516" y="4193"/>
                <wp:lineTo x="18735" y="4193"/>
                <wp:lineTo x="18423" y="4193"/>
              </wp:wrapPolygon>
            </wp:wrapTight>
            <wp:docPr id="10" name="图片 9" descr="图片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图片6.png"/>
                    <pic:cNvPicPr>
                      <a:picLocks noChangeAspect="1"/>
                    </pic:cNvPicPr>
                  </pic:nvPicPr>
                  <pic:blipFill>
                    <a:blip r:embed="rId11"/>
                    <a:stretch>
                      <a:fillRect/>
                    </a:stretch>
                  </pic:blipFill>
                  <pic:spPr>
                    <a:xfrm>
                      <a:off x="0" y="0"/>
                      <a:ext cx="5271135" cy="2846070"/>
                    </a:xfrm>
                    <a:prstGeom prst="rect">
                      <a:avLst/>
                    </a:prstGeom>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2019年般公共预算支出决算数为3697.28</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预算99.8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30" w:firstLineChars="196"/>
        <w:rPr>
          <w:rFonts w:ascii="仿宋" w:hAnsi="仿宋" w:eastAsia="仿宋"/>
          <w:b/>
          <w:color w:val="000000"/>
          <w:sz w:val="32"/>
          <w:szCs w:val="32"/>
        </w:rPr>
      </w:pPr>
      <w:r>
        <w:rPr>
          <w:rStyle w:val="15"/>
          <w:rFonts w:hint="eastAsia" w:ascii="仿宋" w:hAnsi="仿宋" w:eastAsia="仿宋"/>
          <w:bCs/>
          <w:color w:val="000000"/>
          <w:sz w:val="32"/>
          <w:szCs w:val="32"/>
        </w:rPr>
        <w:t>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教育2050204、2050299</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支出决算为2951.69万元，完成预算99.7</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，决算数小于预算数的主要原因是校园足球结转了7.4万元。</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Fonts w:ascii="仿宋" w:hAnsi="仿宋" w:eastAsia="仿宋"/>
          <w:b/>
          <w:color w:val="000000"/>
          <w:sz w:val="32"/>
          <w:szCs w:val="32"/>
        </w:rPr>
        <w:t xml:space="preserve"> </w:t>
      </w:r>
      <w:r>
        <w:rPr>
          <w:rStyle w:val="15"/>
          <w:rFonts w:hint="eastAsia" w:ascii="仿宋" w:hAnsi="仿宋" w:eastAsia="仿宋"/>
          <w:bCs/>
          <w:color w:val="000000"/>
          <w:sz w:val="32"/>
          <w:szCs w:val="32"/>
        </w:rPr>
        <w:t>社会保障和就业2080505、2080506、2080801、2080899</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支出决算为404.49万元，完成预算100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，决算数等于预算数的主要原因是收支正常。</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2101102</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支出决算为93.29万元，完成预算100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，决算数等于预算数的主要原因是收支正常。</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4.住房保障2210201：</w:t>
      </w:r>
      <w:r>
        <w:rPr>
          <w:rFonts w:hint="eastAsia" w:ascii="仿宋" w:hAnsi="仿宋" w:eastAsia="仿宋"/>
          <w:color w:val="000000" w:themeColor="text1"/>
          <w:sz w:val="32"/>
          <w:szCs w:val="32"/>
        </w:rPr>
        <w:t>支出247.81万元</w:t>
      </w:r>
      <w:r>
        <w:rPr>
          <w:rFonts w:hint="eastAsia" w:ascii="仿宋" w:hAnsi="仿宋" w:eastAsia="仿宋"/>
          <w:b/>
          <w:sz w:val="32"/>
          <w:szCs w:val="32"/>
        </w:rPr>
        <w:t>，</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，决算数等于预算数的主要原因是收支正常。</w:t>
      </w:r>
    </w:p>
    <w:p>
      <w:pPr>
        <w:spacing w:line="600" w:lineRule="exact"/>
        <w:ind w:firstLine="643" w:firstLineChars="200"/>
        <w:rPr>
          <w:rFonts w:ascii="仿宋" w:hAnsi="仿宋" w:eastAsia="仿宋"/>
          <w:b/>
          <w:color w:val="FF0000"/>
          <w:sz w:val="32"/>
          <w:szCs w:val="32"/>
        </w:rPr>
      </w:pP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9年一般公共预算财政拨款基本支出3426.4万元，其中：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3270.5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155.9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bookmarkStart w:id="46" w:name="_Toc15396610"/>
      <w:bookmarkStart w:id="47" w:name="_Toc15377218"/>
    </w:p>
    <w:p>
      <w:pPr>
        <w:spacing w:line="600" w:lineRule="exact"/>
        <w:ind w:firstLine="640"/>
        <w:rPr>
          <w:rFonts w:ascii="黑体" w:eastAsia="黑体"/>
          <w:color w:val="000000"/>
          <w:sz w:val="32"/>
          <w:szCs w:val="32"/>
        </w:rPr>
      </w:pP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r>
        <w:rPr>
          <w:rStyle w:val="26"/>
          <w:rFonts w:ascii="黑体" w:hAnsi="黑体" w:eastAsia="黑体"/>
        </w:rPr>
        <w:t xml:space="preserve"> </w:t>
      </w:r>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9年政府性基金预算拨款支出34.28万元。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Fonts w:ascii="黑体" w:hAnsi="黑体" w:eastAsia="黑体"/>
          <w:color w:val="000000"/>
          <w:sz w:val="32"/>
          <w:szCs w:val="32"/>
        </w:rPr>
      </w:pPr>
      <w:bookmarkStart w:id="50" w:name="_Toc15377221"/>
      <w:bookmarkStart w:id="51" w:name="_Toc15396612"/>
    </w:p>
    <w:p>
      <w:pPr>
        <w:spacing w:line="600" w:lineRule="exact"/>
        <w:ind w:firstLine="800" w:firstLineChars="250"/>
        <w:outlineLvl w:val="1"/>
        <w:rPr>
          <w:rStyle w:val="26"/>
          <w:rFonts w:ascii="黑体" w:hAnsi="黑体" w:eastAsia="黑体"/>
        </w:rPr>
      </w:pPr>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9年，四川省峨眉山市第一中学校机关运行经费支出155.9万元，比</w:t>
      </w:r>
      <w:r>
        <w:rPr>
          <w:rFonts w:ascii="仿宋_GB2312" w:eastAsia="仿宋_GB2312"/>
          <w:color w:val="000000"/>
          <w:sz w:val="32"/>
          <w:szCs w:val="32"/>
        </w:rPr>
        <w:t>201</w:t>
      </w:r>
      <w:r>
        <w:rPr>
          <w:rFonts w:hint="eastAsia" w:ascii="仿宋_GB2312" w:eastAsia="仿宋_GB2312"/>
          <w:color w:val="000000"/>
          <w:sz w:val="32"/>
          <w:szCs w:val="32"/>
        </w:rPr>
        <w:t>8年增加0.9万元，增长0.58</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主要原因是支出稳定基本持平。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9年，四川省峨眉山市第一中学校政府采购支出总额0万元，其中：政府采购货物支出0万元、政府采购工程支出0万元、政府采购服务支出0万元。主要用于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日，四川省峨眉山市第一中学校共有车辆1辆，其中：主要领导干部用车0辆、机要通信用车0辆、应急保障用车0辆、其他用车0辆……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eastAsia="仿宋_GB2312"/>
          <w:color w:val="000000"/>
          <w:sz w:val="32"/>
          <w:szCs w:val="32"/>
        </w:rPr>
        <w:t>四川省峨眉山市第一中学校</w:t>
      </w:r>
      <w:r>
        <w:rPr>
          <w:rFonts w:hint="eastAsia" w:ascii="仿宋_GB2312" w:hAnsi="仿宋_GB2312" w:eastAsia="仿宋_GB2312" w:cs="仿宋_GB2312"/>
          <w:sz w:val="32"/>
          <w:szCs w:val="32"/>
        </w:rPr>
        <w:t>在年初预算编制阶段，组织对高中生均公用经费项目开展了预算事前绩效评估，对8个项目编制了绩效目标，预算执行过程中，选取8个项目开展绩效监控，年终执行完毕后，对1个项目开展了绩效目标完成情况自评。</w:t>
      </w:r>
    </w:p>
    <w:p>
      <w:pPr>
        <w:widowControl/>
        <w:spacing w:line="449" w:lineRule="atLeast"/>
        <w:ind w:firstLine="736" w:firstLineChars="2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kern w:val="0"/>
          <w:sz w:val="30"/>
          <w:szCs w:val="30"/>
          <w:shd w:val="clear" w:color="auto" w:fill="FFFFFF"/>
        </w:rPr>
        <w:t>项目决策合理，管理到位，完成及时，社会效</w:t>
      </w:r>
      <w:r>
        <w:rPr>
          <w:rFonts w:hint="eastAsia" w:ascii="仿宋_GB2312" w:hAnsi="仿宋_GB2312" w:eastAsia="仿宋_GB2312" w:cs="仿宋_GB2312"/>
          <w:sz w:val="32"/>
          <w:szCs w:val="32"/>
        </w:rPr>
        <w:t>果良好。本部门还自行组织了1个项目支出绩效评价，从评价情况来看该资金有效的支持了我校教育发展重大项目的实施，确保我校教育教学秩序稳步发展，打下了扎实的基础。</w:t>
      </w:r>
    </w:p>
    <w:p>
      <w:pPr>
        <w:widowControl/>
        <w:spacing w:line="449" w:lineRule="atLeast"/>
        <w:ind w:firstLine="736" w:firstLineChars="23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本部门在2019年度部门决算中反映“高中生均公用经费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奖励性绩效”“助学金”“</w:t>
      </w:r>
      <w:r>
        <w:rPr>
          <w:rFonts w:hint="eastAsia"/>
        </w:rPr>
        <w:t xml:space="preserve"> </w:t>
      </w:r>
      <w:r>
        <w:rPr>
          <w:rFonts w:hint="eastAsia" w:ascii="仿宋_GB2312" w:hAnsi="仿宋_GB2312" w:eastAsia="仿宋_GB2312" w:cs="仿宋_GB2312"/>
          <w:sz w:val="32"/>
          <w:szCs w:val="32"/>
        </w:rPr>
        <w:t>支人才引进安家费”“</w:t>
      </w:r>
      <w:r>
        <w:rPr>
          <w:rFonts w:hint="eastAsia"/>
        </w:rPr>
        <w:t xml:space="preserve"> </w:t>
      </w:r>
      <w:r>
        <w:rPr>
          <w:rFonts w:hint="eastAsia" w:ascii="仿宋_GB2312" w:hAnsi="仿宋_GB2312" w:eastAsia="仿宋_GB2312" w:cs="仿宋_GB2312"/>
          <w:sz w:val="32"/>
          <w:szCs w:val="32"/>
        </w:rPr>
        <w:t>骨干教师津贴”等8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中生均公用经费项目绩效目标完成情况综述。项目全年预算数149.5万元，执行数为149.5万元，完成预算的100%。通过项目实施，确保我校教育教学秩序稳步发展，发现的主要问题：预算有偏差，生均公用经费主要用于水电费的开支及教师培训，其他方面的开支无法安排。下一步改进措施：调整预算支出的方向和结构，优化资源配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奖励性绩效项目绩效目标完成情况综述。项目全年预算数59.54万元，执行数为59.54万元，完成预算的100%。通过项目实施，保障学生寒暑假学生学科能力提升及管理，提升我校的办学质量和办学水平，促进我校教育的健康、可持续发展，发现的主要问题：教师的待遇偏低。下一步改进措施：增加奖励性绩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助学金项目绩效目标完成情况综述。项目全年预算数68.26万元，执行数为68.26万元，完成预算的100%。通过项目实施，减免了峨眉学籍学生的课本作业本费，完成助学任务，发现的主要问题：不能有效的精准助学。下一步改进措施：做到有的放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支人才引进安家费项目绩效目标完成情况综述。项目全年预算数2.5万元，执行数为2.5万元，完成预算的100%。通过项目实施，提高研究生待遇，确保研究生工作安稳，发现的主要问题：对人才的投入还不够。下一步改进措施：提高研究生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骨干教师津贴项目绩效目标完成情况综述。项目全年预算数5.71万元，执行数为5.71万元，完成预算的100%。通过项目实施，保障人才队伍的建设，确保研教学质量的提升，发现的主要问题：对人才的建设投入还不够。下一步改进措施：加强人才队伍建设的资金投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高中生均公用经费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四川省峨眉山市第一中学校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149.48万元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149.48万元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149.48万元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149.48万元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确保我校教育教学秩序稳步发展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在校学生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2180人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2180人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教学环境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在规定时限内完成教学环境改善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让学生在学校学习的环境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sz w:val="24"/>
              </w:rPr>
              <w:t>奖励性绩效</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四川省峨眉山市第一中学校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59.54万元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59.54万元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59.54万元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59.54万元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保障学生寒暑假学生学科能力提升及管理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在职人员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195人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195人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办学质量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在规定时限内完成学科能力提升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学校办学水平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助学金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四川省峨眉山市第一中学校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68.26万元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68.26万元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68.26万元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68.26万元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减轻学生学习负担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在校学生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1985人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1985人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在规定时限内完成到账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助学力度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家长学生满意度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人才引进安家费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四川省峨眉山市第一中学校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确保我校研究生工作稳定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在职研究生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研究生待遇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在规定时限内完成资金到位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研究生家庭的稳定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骨干教师津贴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四川省峨眉山市第一中学校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5.71万元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5.71万元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5.71万元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5.71万元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确保我校研究生工作稳定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骨干教师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骨干教师待遇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在规定时限内完成资金到位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学校发展的稳定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本部门按要求对2019年部门整体支出绩效评价情况开展自评，《四川省峨眉山市第一中学校部门2019年部门整体支出绩效评价报告》见附件（附件1）。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本部门自行组织对高中生均公用经费项目开展了绩效评价，《四川省峨眉山市第一中学校高中生均公用经费项目2019年绩效评价报告》见附件（附件2）。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7"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hd w:val="clear" w:color="auto" w:fill="FFFFFF"/>
        <w:spacing w:line="7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四川省峨眉山市第一中学校</w:t>
      </w:r>
    </w:p>
    <w:p>
      <w:pPr>
        <w:widowControl/>
        <w:shd w:val="clear" w:color="auto" w:fill="FFFFFF"/>
        <w:spacing w:line="7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2019年部门整体支出绩效评价报告</w:t>
      </w:r>
    </w:p>
    <w:p>
      <w:pPr>
        <w:widowControl/>
        <w:shd w:val="clear" w:color="auto" w:fill="FFFFFF"/>
        <w:adjustRightInd w:val="0"/>
        <w:snapToGrid w:val="0"/>
        <w:spacing w:before="100" w:beforeAutospacing="1" w:after="100" w:afterAutospacing="1"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一、部门概况</w:t>
      </w:r>
    </w:p>
    <w:p>
      <w:pPr>
        <w:widowControl/>
        <w:shd w:val="clear" w:color="auto" w:fill="FFFFFF"/>
        <w:adjustRightInd w:val="0"/>
        <w:snapToGrid w:val="0"/>
        <w:spacing w:before="100" w:beforeAutospacing="1" w:after="100" w:afterAutospacing="1" w:line="540"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（一）机构组成、人员概况</w:t>
      </w:r>
    </w:p>
    <w:p>
      <w:pPr>
        <w:shd w:val="clear" w:color="auto" w:fill="FFFFFF"/>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机构组成：我单位所属一级预算单位，单位性质为财政补助事业单位单位，财政全额拨款事业单位1个：四川省峨眉山市第一中学校。人员情况：核定事业编制195名，实际在岗195人。</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（二）单位主要职责</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实施高中学历教育，促进基础教育发展。</w:t>
      </w:r>
    </w:p>
    <w:p>
      <w:pPr>
        <w:widowControl/>
        <w:shd w:val="clear" w:color="auto" w:fill="FFFFFF"/>
        <w:adjustRightInd w:val="0"/>
        <w:snapToGrid w:val="0"/>
        <w:spacing w:before="100" w:beforeAutospacing="1" w:after="100" w:afterAutospacing="1"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二、部门财政资金收支情况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（一）部门财政资金收入情况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单位2019年部门决算收入为3738.96万元（财政拨款收入3654.69万元、政府性基金预算资金34.28万元、財返50万元），年初预算收入为3163.81万元（财政拨款收入3163.81万元、），决算收入与年初预算收入的差额525.14万元,主要为教育支出人员经费增加。</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（二）部门财政资金支出情况</w:t>
      </w:r>
    </w:p>
    <w:p>
      <w:pPr>
        <w:widowControl/>
        <w:shd w:val="clear" w:color="auto" w:fill="FFFFFF"/>
        <w:adjustRightInd w:val="0"/>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2019年支出决算数为3738.96万元，其中：基本支出3426.4万元，项目支出305.1万元；年初预算数为3163.81万元，其中：基本支出2791.97万元，项目支出371.8万元。基本支出较年初预算增加的525.14万元，主要为教育支出人员经费增加。（年初结转结余50万元，年末结转结余为7.4万元）。</w:t>
      </w:r>
    </w:p>
    <w:p>
      <w:pPr>
        <w:widowControl/>
        <w:shd w:val="clear" w:color="auto" w:fill="FFFFFF"/>
        <w:adjustRightInd w:val="0"/>
        <w:snapToGrid w:val="0"/>
        <w:spacing w:before="100" w:beforeAutospacing="1" w:after="100" w:afterAutospacing="1" w:line="54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三、财政部门整体支出管理情况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（一）预决算编制情况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严格按照财政部门的要求和实现编制预决算、填报绩效目标和专项项目进度表；2019年收入年初预算为3163.81万元，全部为公共财政年初预算收入；年初支出预算3163.81万元，其中年初基本支出预算2791.97万元，年初项目预支出预算371.8万元。决算收入为3738.97万元，决算支出为3738.96万元，其中基本支出3426.4万元，项目支出305.1万元。2019年度年初结转结余50万元。 20189年年末结转结余7.4万元。</w:t>
      </w:r>
      <w:r>
        <w:rPr>
          <w:rFonts w:ascii="仿宋_GB2312" w:hAnsi="仿宋_GB2312" w:eastAsia="仿宋_GB2312" w:cs="仿宋_GB2312"/>
          <w:sz w:val="32"/>
          <w:szCs w:val="32"/>
        </w:rPr>
        <w:t xml:space="preserve"> </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（二）执行管理情况</w:t>
      </w:r>
    </w:p>
    <w:p>
      <w:pPr>
        <w:snapToGrid w:val="0"/>
        <w:spacing w:line="588"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2019年调整收入预算3738.96万元,执行比例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,全年支出执行良好。</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（三）支出绩效情况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1.部门支出绩效</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（1）行政运行保障</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基本支出的范围包括人员经费和日常公用经费，2019年基本支出决算数3426.4万元，其中:人员经费3270.5万元（工资福利支出3009.73万元，对个人和家庭的补助406.32万元），公用经费155.9万元。基本支出能够保障学校工作正常运转。</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（2）学校公用经费与能耗情况。</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因公出国（境）费用、会议费、车辆购置及运行费用和公务接待经费等控制较好。2019年三公经费、会议费、培训费总额6.8万元，较2018年（总额9.2万元）略有上下降。2019年各项费用与2018年对比情况如下：因公出国出境费用无，与2018年相同；公务接待费0万元，与2018年相同;会议费6.55万元，较2018年下降2.11万元，下降24%；培训费0.27万元，较2018年减少0.86万元，下降76%；2019年能耗情况与2018年对比情况如下：水费18.78万元，较2018年增加2.78万元；电费11.42万元，较2018年减少2.58万元, 相对稳定。</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2.专项预算项目支出绩效</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（1）资金绩效分配情况</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项目一：高中生均公用经费149.5万元,用于维持正常教学工作</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项目二： 2019年“助学金”预算68.26万元</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初总预算065号</w:t>
      </w:r>
      <w:r>
        <w:rPr>
          <w:rFonts w:hint="eastAsia" w:ascii="仿宋_GB2312" w:hAnsi="仿宋_GB2312" w:eastAsia="仿宋_GB2312" w:cs="仿宋_GB2312"/>
          <w:sz w:val="32"/>
          <w:szCs w:val="32"/>
        </w:rPr>
        <w:t>)，实际支出68.26万元；分两学期发放；学校按教育局当期下达人数进行资助，具体分配由校务会根据实际情况进行统筹分配。</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三：奖励性绩效项目全年预算数59.54万元，实际执行数为59.54万元，完成预算的100%。通过项目实施，保障学生寒暑假学生学科能力提升及管理，提升我校的办学质量和办学水平，促进我校教育的健康、可持续发展。</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项目四：人才引进安家费项目项目全年预算数2.5万元，实际执行数为2.5万元，完成预算的100%。通过项目实施，提高研究生待遇，确保研究生工作安稳。</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项目五：骨干教师津贴项目全年预算数5.71万元，实际执行数为5.71万元，完成预算的100%。通过项目实施，保障人才队伍的建设，确保研教学质量的提升。</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六：人才队伍建设项目全年预算数12万元，实际执行数为名师工作室2.5万元、教育教学科研1.4万元、人才专项资助金8.1万元，完成预算的100%。通过项目实施，确保了名师工作室的开展，促进了教育教学科研的发展，对人才开发专项提供了保障。</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项目七：重大项目前期经费7.6万元，确保重大项目的正常运行。</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（2）项目资金管理情况</w:t>
      </w:r>
    </w:p>
    <w:p>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  </w:t>
      </w:r>
    </w:p>
    <w:p>
      <w:pPr>
        <w:widowControl/>
        <w:shd w:val="clear" w:color="auto" w:fill="FFFFFF"/>
        <w:adjustRightInd w:val="0"/>
        <w:snapToGrid w:val="0"/>
        <w:spacing w:line="54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（3）绩效目标完成情况</w:t>
      </w:r>
    </w:p>
    <w:p>
      <w:pPr>
        <w:widowControl/>
        <w:shd w:val="clear" w:color="auto" w:fill="FFFFFF"/>
        <w:adjustRightInd w:val="0"/>
        <w:snapToGrid w:val="0"/>
        <w:spacing w:before="100" w:beforeAutospacing="1" w:after="100" w:afterAutospacing="1"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高中生均公用经费149.5万元，财政全额拨款；“助学金”管理工作按进度实施。按照计划目标，截止评价时点的实际投资完成额为68.26万元；奖励性绩效59.54万元、人才引进安家费2.5万元、骨干教师津贴5.71万元、名师工作室2.5万元、教育教学科研1.4万元、人才专项资助金8.1万元、重大项目前期经费7.6万元，专项项目支出绩效合计305.1万元，完成任务量100%。</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（4）评价结论及建议</w:t>
      </w:r>
    </w:p>
    <w:p>
      <w:pPr>
        <w:widowControl/>
        <w:spacing w:line="449" w:lineRule="atLeast"/>
        <w:ind w:firstLine="736" w:firstLineChars="2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根据峨眉山财政局关于《开展2019年财政支出绩效评价工作的通知》（峨财通[2019]55号）文件要求，结合实际，对我单位部门预算支出绩效组织实施了自评：项目决策合理，管理到位，完成及时，社会效果良好。评价结论为优秀。</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四、存在问题</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单位内部机构各股室的预算管理意识，严格按照预算编制的相关制度和要求进行预算编制，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4、对相关人员加强培训，特别是针对《预算法》、《行政事业单位会计制度》等学习培训，规范部门预算收支核算，切实提高部门预算收支管理水平。</w:t>
      </w:r>
    </w:p>
    <w:p>
      <w:pPr>
        <w:widowControl/>
        <w:shd w:val="clear" w:color="auto" w:fill="FFFFFF"/>
        <w:adjustRightInd w:val="0"/>
        <w:snapToGrid w:val="0"/>
        <w:spacing w:before="100" w:beforeAutospacing="1" w:after="100" w:afterAutospacing="1" w:line="540" w:lineRule="exact"/>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hd w:val="clear" w:color="auto" w:fill="FFFFFF"/>
        <w:adjustRightInd w:val="0"/>
        <w:snapToGrid w:val="0"/>
        <w:spacing w:before="100" w:beforeAutospacing="1" w:after="100" w:afterAutospacing="1" w:line="540" w:lineRule="exact"/>
        <w:ind w:firstLine="640"/>
        <w:jc w:val="right"/>
        <w:rPr>
          <w:rFonts w:ascii="仿宋_GB2312" w:hAnsi="仿宋_GB2312" w:eastAsia="仿宋_GB2312" w:cs="仿宋_GB2312"/>
          <w:sz w:val="32"/>
          <w:szCs w:val="32"/>
        </w:rPr>
      </w:pPr>
    </w:p>
    <w:p>
      <w:pPr>
        <w:widowControl/>
        <w:shd w:val="clear" w:color="auto" w:fill="FFFFFF"/>
        <w:adjustRightInd w:val="0"/>
        <w:snapToGrid w:val="0"/>
        <w:spacing w:before="100" w:beforeAutospacing="1" w:after="100" w:afterAutospacing="1" w:line="540" w:lineRule="exact"/>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hd w:val="clear" w:color="auto" w:fill="FFFFFF"/>
        <w:adjustRightInd w:val="0"/>
        <w:snapToGrid w:val="0"/>
        <w:spacing w:before="100" w:beforeAutospacing="1" w:afterAutospacing="1" w:line="540" w:lineRule="exact"/>
        <w:ind w:right="28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四川省峨眉山市第一中学校</w:t>
      </w:r>
    </w:p>
    <w:p>
      <w:pPr>
        <w:widowControl/>
        <w:shd w:val="clear" w:color="auto" w:fill="FFFFFF"/>
        <w:adjustRightInd w:val="0"/>
        <w:snapToGrid w:val="0"/>
        <w:spacing w:before="100" w:beforeAutospacing="1" w:afterAutospacing="1" w:line="540" w:lineRule="exact"/>
        <w:ind w:right="28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2020年7月12日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eastAsia="仿宋_GB2312"/>
          <w:color w:val="000000"/>
          <w:sz w:val="32"/>
          <w:szCs w:val="32"/>
        </w:rPr>
      </w:pPr>
    </w:p>
    <w:p>
      <w:pPr>
        <w:widowControl/>
        <w:shd w:val="clear" w:color="auto" w:fill="FFFFFF"/>
        <w:spacing w:beforeAutospacing="1" w:after="100" w:afterAutospacing="1" w:line="580" w:lineRule="exact"/>
        <w:jc w:val="center"/>
        <w:rPr>
          <w:rFonts w:ascii="仿宋_GB2312" w:eastAsia="仿宋_GB2312"/>
          <w:color w:val="000000"/>
          <w:sz w:val="32"/>
          <w:szCs w:val="32"/>
        </w:rPr>
      </w:pPr>
      <w:r>
        <w:rPr>
          <w:rFonts w:hint="eastAsia" w:ascii="仿宋_GB2312" w:eastAsia="仿宋_GB2312"/>
          <w:color w:val="000000"/>
          <w:sz w:val="32"/>
          <w:szCs w:val="32"/>
        </w:rPr>
        <w:t xml:space="preserve">  四川省峨眉山市第一中学校</w:t>
      </w:r>
    </w:p>
    <w:p>
      <w:pPr>
        <w:widowControl/>
        <w:shd w:val="clear" w:color="auto" w:fill="FFFFFF"/>
        <w:spacing w:beforeAutospacing="1" w:after="100" w:afterAutospacing="1" w:line="580" w:lineRule="exact"/>
        <w:ind w:firstLine="640" w:firstLineChars="200"/>
        <w:jc w:val="center"/>
        <w:rPr>
          <w:rFonts w:ascii="仿宋_GB2312" w:eastAsia="仿宋_GB2312"/>
          <w:color w:val="000000"/>
          <w:sz w:val="32"/>
          <w:szCs w:val="32"/>
        </w:rPr>
      </w:pPr>
      <w:r>
        <w:rPr>
          <w:rFonts w:hint="eastAsia" w:ascii="仿宋_GB2312" w:eastAsia="仿宋_GB2312"/>
          <w:color w:val="000000"/>
          <w:sz w:val="32"/>
          <w:szCs w:val="32"/>
        </w:rPr>
        <w:t>2019年高中生均公用经费项目支出绩效</w:t>
      </w:r>
    </w:p>
    <w:p>
      <w:pPr>
        <w:pStyle w:val="32"/>
        <w:spacing w:line="580" w:lineRule="exact"/>
        <w:jc w:val="center"/>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自评报告</w:t>
      </w:r>
    </w:p>
    <w:p>
      <w:pPr>
        <w:pStyle w:val="32"/>
        <w:spacing w:line="580" w:lineRule="exact"/>
        <w:rPr>
          <w:rFonts w:ascii="仿宋_GB2312" w:hAnsi="Times New Roman" w:eastAsia="仿宋_GB2312" w:cs="Times New Roman"/>
          <w:kern w:val="2"/>
          <w:sz w:val="32"/>
          <w:szCs w:val="32"/>
        </w:rPr>
      </w:pP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根据市财政局《关于开展2019年财政支出绩效评价工作的通知》（峨财通〔2019〕55号）文件要求，我局开展了2019年高中生均公用经费项目支出绩效自评工作，现将评价结果报告如下：</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一、项目概况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资金申报及批复情况。为进一步保障我校教育教学工作正常开展进行，切实保障广大师生有一个良好的工作与学习环境，维护教育系统长期安全稳定。根据川财教〔2017〕0197号，规定普通高中生均公用经费每年每生680元,预算全校学生人数为2198人,我校2019年普通高中生均公用经费预算为149.5万元（峨财预〔2019〕002号）。</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（二）项目绩效目标。根据川财教〔2017〕0197号，规定普通高中生均公用经费每年每生1180元, 每年每生680元由县财政承担，全校现有学生人数为2198人,我校2019年本级普通高中生均公用经费为149.5万元。高中生均公用经费支出包括我校的日常费用，</w:t>
      </w:r>
      <w:r>
        <w:rPr>
          <w:rFonts w:ascii="仿宋_GB2312" w:eastAsia="仿宋_GB2312"/>
          <w:color w:val="000000"/>
          <w:sz w:val="32"/>
          <w:szCs w:val="32"/>
        </w:rPr>
        <w:t>在教学活动和后勤服务等方面开支的费用</w:t>
      </w:r>
      <w:r>
        <w:rPr>
          <w:rFonts w:hint="eastAsia" w:ascii="仿宋_GB2312" w:eastAsia="仿宋_GB2312"/>
          <w:color w:val="000000"/>
          <w:sz w:val="32"/>
          <w:szCs w:val="32"/>
        </w:rPr>
        <w:t>，</w:t>
      </w:r>
      <w:r>
        <w:rPr>
          <w:rFonts w:ascii="仿宋_GB2312" w:eastAsia="仿宋_GB2312"/>
          <w:color w:val="000000"/>
          <w:sz w:val="32"/>
          <w:szCs w:val="32"/>
        </w:rPr>
        <w:t>优化办学环境</w:t>
      </w:r>
      <w:r>
        <w:rPr>
          <w:rFonts w:hint="eastAsia" w:ascii="仿宋_GB2312" w:eastAsia="仿宋_GB2312"/>
          <w:color w:val="000000"/>
          <w:sz w:val="32"/>
          <w:szCs w:val="32"/>
        </w:rPr>
        <w:t>，教师培训开支等，确保我校教育教学工作正常开展进行，切实保障广大师生有一个良好的工作与学习环境，</w:t>
      </w:r>
      <w:r>
        <w:rPr>
          <w:rFonts w:ascii="仿宋_GB2312" w:eastAsia="仿宋_GB2312"/>
          <w:color w:val="000000"/>
          <w:sz w:val="32"/>
          <w:szCs w:val="32"/>
        </w:rPr>
        <w:t>不断提高</w:t>
      </w:r>
      <w:r>
        <w:rPr>
          <w:rFonts w:hint="eastAsia" w:ascii="仿宋_GB2312" w:eastAsia="仿宋_GB2312"/>
          <w:color w:val="000000"/>
          <w:sz w:val="32"/>
          <w:szCs w:val="32"/>
        </w:rPr>
        <w:t>我校</w:t>
      </w:r>
      <w:r>
        <w:rPr>
          <w:rFonts w:ascii="仿宋_GB2312" w:eastAsia="仿宋_GB2312"/>
          <w:color w:val="000000"/>
          <w:sz w:val="32"/>
          <w:szCs w:val="32"/>
        </w:rPr>
        <w:t>教育教学水平</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（三）项目资金申报相符性。该项目申报的内容和具体实施的内容相符，申报目标合理可行，促使教育发展起</w:t>
      </w:r>
      <w:r>
        <w:rPr>
          <w:rFonts w:ascii="仿宋_GB2312" w:eastAsia="仿宋_GB2312"/>
          <w:color w:val="000000"/>
          <w:sz w:val="32"/>
          <w:szCs w:val="32"/>
        </w:rPr>
        <w:t>了积极作用</w:t>
      </w:r>
      <w:r>
        <w:rPr>
          <w:rFonts w:hint="eastAsia" w:ascii="仿宋_GB2312" w:eastAsia="仿宋_GB2312"/>
          <w:color w:val="000000"/>
          <w:sz w:val="32"/>
          <w:szCs w:val="32"/>
        </w:rPr>
        <w:t>，具有较强的社会意义。</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二、项目实施及管理情况</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（一）资金计划、到位及使用情况</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1．资金计划及到位。2019年，该项目预算资金149.5万元。项目由市教育局汇总学校情况，制定拨款报告给市财政局，市财政局审核后，将项目指标分解下达各学校并进行资金拨付。于2019年12月前，分六次共拨付149.5万元，拨付资金额度完成率100%</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2．资金使用。2019年12月，该项目实际使用资金149.5万元，全额用于我校的办公费、水电费、物管费、培训费等日常费用。项目开支范围、标准及支付进度、支付依据均合规合法，资金支付与预算相符。</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（二）项目财务管理情况</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项目资金的管理使用严格执行财务管理制度，财务处理及时，会计核算规范。</w:t>
      </w:r>
    </w:p>
    <w:p>
      <w:pPr>
        <w:adjustRightInd w:val="0"/>
        <w:snapToGrid w:val="0"/>
        <w:spacing w:line="580" w:lineRule="exact"/>
        <w:ind w:firstLine="720"/>
        <w:rPr>
          <w:rFonts w:ascii="仿宋_GB2312" w:eastAsia="仿宋_GB2312"/>
          <w:color w:val="000000"/>
          <w:sz w:val="32"/>
          <w:szCs w:val="32"/>
        </w:rPr>
      </w:pPr>
      <w:r>
        <w:rPr>
          <w:rFonts w:hint="eastAsia" w:ascii="仿宋_GB2312" w:eastAsia="仿宋_GB2312"/>
          <w:color w:val="000000"/>
          <w:sz w:val="32"/>
          <w:szCs w:val="32"/>
        </w:rPr>
        <w:t>（三）项目组织实施情况</w:t>
      </w:r>
    </w:p>
    <w:p>
      <w:pPr>
        <w:pStyle w:val="12"/>
        <w:spacing w:before="0" w:beforeAutospacing="0" w:after="0" w:afterAutospacing="0" w:line="480" w:lineRule="auto"/>
        <w:ind w:firstLine="480"/>
        <w:jc w:val="both"/>
        <w:textAlignment w:val="center"/>
        <w:rPr>
          <w:rFonts w:ascii="仿宋_GB2312" w:hAnsi="Times New Roman" w:eastAsia="仿宋_GB2312" w:cs="Times New Roman"/>
          <w:color w:val="000000"/>
          <w:kern w:val="2"/>
          <w:sz w:val="32"/>
          <w:szCs w:val="32"/>
        </w:rPr>
      </w:pPr>
      <w:r>
        <w:rPr>
          <w:rFonts w:ascii="仿宋_GB2312" w:hAnsi="Times New Roman" w:eastAsia="仿宋_GB2312" w:cs="Times New Roman"/>
          <w:color w:val="000000"/>
          <w:kern w:val="2"/>
          <w:sz w:val="32"/>
          <w:szCs w:val="32"/>
        </w:rPr>
        <w:t>根据基教股学籍系统、财政核查实际人数，制定公用经费分配方案，报财政局审核拨款</w:t>
      </w:r>
      <w:r>
        <w:rPr>
          <w:rFonts w:hint="eastAsia" w:ascii="仿宋_GB2312" w:hAnsi="Times New Roman" w:eastAsia="仿宋_GB2312" w:cs="Times New Roman"/>
          <w:color w:val="000000"/>
          <w:kern w:val="2"/>
          <w:sz w:val="32"/>
          <w:szCs w:val="32"/>
        </w:rPr>
        <w:t>；在经费的支出管理中，我校严格按照有关财务制度，加大管理力度，严把监督审核关，对每笔款项的支付，都有相关资料记载及审核意见，财务室做好财务设置及账户管理，根据项目资金管理制度和学校财务管理制度自主使用项目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三、项目绩效情况</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（一）项目完成情况</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该项目对照预算，截止2019年12月31日，下达预算指标149.5万元。使用资金149.5万元。资金拨付进度、拨付总额达到预期安排，项目完成情况较好，完成率100%。</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（二）项目效益情况</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该资金有效的支持了我校教育发展重大项目的实施，确保我校教育教学秩序稳步发展，打下了扎实的基础。确保了项目建设进度的高效推进，该项目实施的社会效益明显，应持续开展并不断加强。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四、问题及建议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存在问题：预算有偏差，生均公用经费主要用于水电费的开支及教师培训，其他方面的开支无法安排；调整预算支出的方向和结构，优化资源配置，加强财务管理，提高资金使用效益。</w:t>
      </w:r>
    </w:p>
    <w:p>
      <w:pPr>
        <w:pStyle w:val="12"/>
        <w:spacing w:before="0" w:beforeAutospacing="0" w:after="0" w:afterAutospacing="0" w:line="480" w:lineRule="auto"/>
        <w:ind w:firstLine="480"/>
        <w:jc w:val="both"/>
        <w:textAlignment w:val="center"/>
        <w:rPr>
          <w:rFonts w:ascii="仿宋_GB2312" w:hAnsi="Times New Roman" w:eastAsia="仿宋_GB2312" w:cs="Times New Roman"/>
          <w:color w:val="000000"/>
          <w:kern w:val="2"/>
          <w:sz w:val="32"/>
          <w:szCs w:val="32"/>
        </w:rPr>
      </w:pPr>
      <w:r>
        <w:rPr>
          <w:rFonts w:ascii="仿宋_GB2312" w:hAnsi="Times New Roman" w:eastAsia="仿宋_GB2312" w:cs="Times New Roman"/>
          <w:color w:val="000000"/>
          <w:kern w:val="2"/>
          <w:sz w:val="32"/>
          <w:szCs w:val="32"/>
        </w:rPr>
        <w:t>建议：加大资金支持力度。</w:t>
      </w:r>
    </w:p>
    <w:p>
      <w:pPr>
        <w:spacing w:line="580" w:lineRule="exact"/>
        <w:ind w:firstLine="600"/>
        <w:rPr>
          <w:rFonts w:ascii="仿宋_GB2312" w:eastAsia="仿宋_GB2312"/>
          <w:color w:val="000000"/>
          <w:sz w:val="32"/>
          <w:szCs w:val="32"/>
        </w:rPr>
      </w:pPr>
    </w:p>
    <w:p>
      <w:pPr>
        <w:spacing w:line="580" w:lineRule="exact"/>
        <w:rPr>
          <w:rFonts w:ascii="仿宋_GB2312" w:eastAsia="仿宋_GB2312"/>
          <w:color w:val="000000"/>
          <w:sz w:val="32"/>
          <w:szCs w:val="32"/>
        </w:rPr>
      </w:pPr>
    </w:p>
    <w:p>
      <w:pPr>
        <w:spacing w:line="580" w:lineRule="exact"/>
        <w:ind w:firstLine="600"/>
        <w:jc w:val="right"/>
        <w:rPr>
          <w:rFonts w:ascii="仿宋_GB2312" w:eastAsia="仿宋_GB2312"/>
          <w:color w:val="000000"/>
          <w:sz w:val="32"/>
          <w:szCs w:val="32"/>
        </w:rPr>
      </w:pPr>
      <w:r>
        <w:rPr>
          <w:rFonts w:hint="eastAsia" w:ascii="仿宋_GB2312" w:eastAsia="仿宋_GB2312"/>
          <w:color w:val="000000"/>
          <w:sz w:val="32"/>
          <w:szCs w:val="32"/>
        </w:rPr>
        <w:t>四川省峨眉山市第一中学校</w:t>
      </w:r>
    </w:p>
    <w:p>
      <w:pPr>
        <w:spacing w:line="580" w:lineRule="exact"/>
        <w:ind w:firstLine="600"/>
        <w:jc w:val="right"/>
        <w:rPr>
          <w:rFonts w:ascii="仿宋_GB2312" w:eastAsia="仿宋_GB2312"/>
          <w:color w:val="000000"/>
          <w:sz w:val="32"/>
          <w:szCs w:val="32"/>
        </w:rPr>
      </w:pPr>
      <w:r>
        <w:rPr>
          <w:rFonts w:hint="eastAsia" w:ascii="仿宋_GB2312" w:eastAsia="仿宋_GB2312"/>
          <w:color w:val="000000"/>
          <w:sz w:val="32"/>
          <w:szCs w:val="32"/>
        </w:rPr>
        <w:t>2020年7月21日</w:t>
      </w:r>
    </w:p>
    <w:p>
      <w:pPr>
        <w:spacing w:line="580" w:lineRule="exact"/>
        <w:ind w:firstLine="640"/>
        <w:rPr>
          <w:rFonts w:ascii="仿宋_GB2312" w:eastAsia="仿宋_GB2312"/>
          <w:color w:val="000000"/>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350C7"/>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7607"/>
    <w:rsid w:val="000D1267"/>
    <w:rsid w:val="000D1D50"/>
    <w:rsid w:val="000D2A3C"/>
    <w:rsid w:val="000D5782"/>
    <w:rsid w:val="000E6613"/>
    <w:rsid w:val="000E7119"/>
    <w:rsid w:val="001144E8"/>
    <w:rsid w:val="00114E9B"/>
    <w:rsid w:val="00132A1A"/>
    <w:rsid w:val="00140C76"/>
    <w:rsid w:val="00142216"/>
    <w:rsid w:val="00142E83"/>
    <w:rsid w:val="00144D6A"/>
    <w:rsid w:val="0014729F"/>
    <w:rsid w:val="00157BAB"/>
    <w:rsid w:val="001654D1"/>
    <w:rsid w:val="00174518"/>
    <w:rsid w:val="0018106D"/>
    <w:rsid w:val="001877A7"/>
    <w:rsid w:val="00191536"/>
    <w:rsid w:val="00196687"/>
    <w:rsid w:val="001C0962"/>
    <w:rsid w:val="001D667C"/>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67F36"/>
    <w:rsid w:val="00280496"/>
    <w:rsid w:val="00294DC9"/>
    <w:rsid w:val="00295495"/>
    <w:rsid w:val="002A31DE"/>
    <w:rsid w:val="002B2613"/>
    <w:rsid w:val="002D19B0"/>
    <w:rsid w:val="002D6D05"/>
    <w:rsid w:val="002F1818"/>
    <w:rsid w:val="002F567B"/>
    <w:rsid w:val="003216A9"/>
    <w:rsid w:val="0032388E"/>
    <w:rsid w:val="00335A74"/>
    <w:rsid w:val="003548C2"/>
    <w:rsid w:val="0036561B"/>
    <w:rsid w:val="0037013F"/>
    <w:rsid w:val="00380C92"/>
    <w:rsid w:val="003A484F"/>
    <w:rsid w:val="003A4883"/>
    <w:rsid w:val="003B0BE0"/>
    <w:rsid w:val="003B0C1B"/>
    <w:rsid w:val="003B688C"/>
    <w:rsid w:val="003C0291"/>
    <w:rsid w:val="003C0F09"/>
    <w:rsid w:val="003C39AE"/>
    <w:rsid w:val="003C45DB"/>
    <w:rsid w:val="003C7B60"/>
    <w:rsid w:val="003D0C0F"/>
    <w:rsid w:val="003D1FB2"/>
    <w:rsid w:val="003D66DA"/>
    <w:rsid w:val="003E1310"/>
    <w:rsid w:val="003E6F55"/>
    <w:rsid w:val="004032E9"/>
    <w:rsid w:val="00406254"/>
    <w:rsid w:val="00416CD4"/>
    <w:rsid w:val="004223DE"/>
    <w:rsid w:val="004243B3"/>
    <w:rsid w:val="00434489"/>
    <w:rsid w:val="00437085"/>
    <w:rsid w:val="00443880"/>
    <w:rsid w:val="004464F4"/>
    <w:rsid w:val="00452632"/>
    <w:rsid w:val="00471401"/>
    <w:rsid w:val="00473F31"/>
    <w:rsid w:val="0048263A"/>
    <w:rsid w:val="00487E5D"/>
    <w:rsid w:val="004A3EE1"/>
    <w:rsid w:val="004A711F"/>
    <w:rsid w:val="004B199D"/>
    <w:rsid w:val="004B2942"/>
    <w:rsid w:val="004B4690"/>
    <w:rsid w:val="004C51C8"/>
    <w:rsid w:val="004E0A2D"/>
    <w:rsid w:val="004E206B"/>
    <w:rsid w:val="004E427A"/>
    <w:rsid w:val="004E6DF7"/>
    <w:rsid w:val="004F0FBD"/>
    <w:rsid w:val="004F403E"/>
    <w:rsid w:val="004F78DD"/>
    <w:rsid w:val="00505A47"/>
    <w:rsid w:val="00512FDA"/>
    <w:rsid w:val="00520DA0"/>
    <w:rsid w:val="005664BB"/>
    <w:rsid w:val="00566FFA"/>
    <w:rsid w:val="0057481D"/>
    <w:rsid w:val="00575F0B"/>
    <w:rsid w:val="0058486E"/>
    <w:rsid w:val="00585B33"/>
    <w:rsid w:val="0059014D"/>
    <w:rsid w:val="005B5C64"/>
    <w:rsid w:val="005B7B1A"/>
    <w:rsid w:val="005C6BD0"/>
    <w:rsid w:val="005C6C4C"/>
    <w:rsid w:val="005D02B3"/>
    <w:rsid w:val="005D1C8B"/>
    <w:rsid w:val="005D468D"/>
    <w:rsid w:val="005D5CED"/>
    <w:rsid w:val="005F1A4C"/>
    <w:rsid w:val="00605688"/>
    <w:rsid w:val="006070AF"/>
    <w:rsid w:val="00607E6C"/>
    <w:rsid w:val="006101B1"/>
    <w:rsid w:val="00614E44"/>
    <w:rsid w:val="00622569"/>
    <w:rsid w:val="0062270A"/>
    <w:rsid w:val="00622830"/>
    <w:rsid w:val="006230DF"/>
    <w:rsid w:val="00623DA0"/>
    <w:rsid w:val="00630AEF"/>
    <w:rsid w:val="006325F8"/>
    <w:rsid w:val="00633463"/>
    <w:rsid w:val="00634C9A"/>
    <w:rsid w:val="006440E4"/>
    <w:rsid w:val="00654231"/>
    <w:rsid w:val="0066153E"/>
    <w:rsid w:val="0066343B"/>
    <w:rsid w:val="00664777"/>
    <w:rsid w:val="006748A4"/>
    <w:rsid w:val="00681A31"/>
    <w:rsid w:val="00683E73"/>
    <w:rsid w:val="006A3141"/>
    <w:rsid w:val="006A5E34"/>
    <w:rsid w:val="006B2422"/>
    <w:rsid w:val="006B2B9A"/>
    <w:rsid w:val="006C1937"/>
    <w:rsid w:val="006C38A5"/>
    <w:rsid w:val="006F020C"/>
    <w:rsid w:val="007127B7"/>
    <w:rsid w:val="0071392B"/>
    <w:rsid w:val="0071798E"/>
    <w:rsid w:val="00727533"/>
    <w:rsid w:val="007416B6"/>
    <w:rsid w:val="00746F48"/>
    <w:rsid w:val="0075404D"/>
    <w:rsid w:val="0076182A"/>
    <w:rsid w:val="00767B7E"/>
    <w:rsid w:val="007770C3"/>
    <w:rsid w:val="00784D24"/>
    <w:rsid w:val="00784DB3"/>
    <w:rsid w:val="00785FBA"/>
    <w:rsid w:val="0078659E"/>
    <w:rsid w:val="00786E4A"/>
    <w:rsid w:val="007875EB"/>
    <w:rsid w:val="0079426B"/>
    <w:rsid w:val="007D1682"/>
    <w:rsid w:val="007D312A"/>
    <w:rsid w:val="007D3F19"/>
    <w:rsid w:val="007E23B0"/>
    <w:rsid w:val="007E4B8A"/>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7388"/>
    <w:rsid w:val="008B768C"/>
    <w:rsid w:val="008C4DB1"/>
    <w:rsid w:val="008C4EAF"/>
    <w:rsid w:val="008C5176"/>
    <w:rsid w:val="008C7628"/>
    <w:rsid w:val="008C7FD0"/>
    <w:rsid w:val="008E1DE7"/>
    <w:rsid w:val="008E707C"/>
    <w:rsid w:val="008F345F"/>
    <w:rsid w:val="00900B08"/>
    <w:rsid w:val="00902155"/>
    <w:rsid w:val="00902FA3"/>
    <w:rsid w:val="00911046"/>
    <w:rsid w:val="00923564"/>
    <w:rsid w:val="0092392E"/>
    <w:rsid w:val="009303C3"/>
    <w:rsid w:val="009315F9"/>
    <w:rsid w:val="00933499"/>
    <w:rsid w:val="00935C98"/>
    <w:rsid w:val="00935E57"/>
    <w:rsid w:val="00946945"/>
    <w:rsid w:val="00951248"/>
    <w:rsid w:val="0095152F"/>
    <w:rsid w:val="00954C49"/>
    <w:rsid w:val="00955E37"/>
    <w:rsid w:val="0097099F"/>
    <w:rsid w:val="00971997"/>
    <w:rsid w:val="00971FFC"/>
    <w:rsid w:val="009770C4"/>
    <w:rsid w:val="0098660A"/>
    <w:rsid w:val="009931C3"/>
    <w:rsid w:val="009A72C0"/>
    <w:rsid w:val="009B2C43"/>
    <w:rsid w:val="009B4EAE"/>
    <w:rsid w:val="009B7573"/>
    <w:rsid w:val="009C22F4"/>
    <w:rsid w:val="009C2E98"/>
    <w:rsid w:val="009C37FB"/>
    <w:rsid w:val="009D3447"/>
    <w:rsid w:val="009D4711"/>
    <w:rsid w:val="009D493B"/>
    <w:rsid w:val="009F1185"/>
    <w:rsid w:val="009F18CD"/>
    <w:rsid w:val="009F2A13"/>
    <w:rsid w:val="009F7527"/>
    <w:rsid w:val="00A00447"/>
    <w:rsid w:val="00A039ED"/>
    <w:rsid w:val="00A04EB0"/>
    <w:rsid w:val="00A05AAC"/>
    <w:rsid w:val="00A13CC1"/>
    <w:rsid w:val="00A16847"/>
    <w:rsid w:val="00A237D8"/>
    <w:rsid w:val="00A268C4"/>
    <w:rsid w:val="00A27CDD"/>
    <w:rsid w:val="00A307CD"/>
    <w:rsid w:val="00A331C8"/>
    <w:rsid w:val="00A35117"/>
    <w:rsid w:val="00A40A00"/>
    <w:rsid w:val="00A4142F"/>
    <w:rsid w:val="00A422EB"/>
    <w:rsid w:val="00A45BB7"/>
    <w:rsid w:val="00A46EA0"/>
    <w:rsid w:val="00A56DF2"/>
    <w:rsid w:val="00A56E6E"/>
    <w:rsid w:val="00A67AB5"/>
    <w:rsid w:val="00A733B2"/>
    <w:rsid w:val="00A741C2"/>
    <w:rsid w:val="00A91760"/>
    <w:rsid w:val="00A936CB"/>
    <w:rsid w:val="00A93B00"/>
    <w:rsid w:val="00A93C21"/>
    <w:rsid w:val="00A96721"/>
    <w:rsid w:val="00AB64C9"/>
    <w:rsid w:val="00AC3C6A"/>
    <w:rsid w:val="00AD0F83"/>
    <w:rsid w:val="00AD5620"/>
    <w:rsid w:val="00AD656B"/>
    <w:rsid w:val="00AD7C1B"/>
    <w:rsid w:val="00AE16BA"/>
    <w:rsid w:val="00AE1EBE"/>
    <w:rsid w:val="00AE7A7F"/>
    <w:rsid w:val="00B03C9D"/>
    <w:rsid w:val="00B060AE"/>
    <w:rsid w:val="00B10517"/>
    <w:rsid w:val="00B14E76"/>
    <w:rsid w:val="00B161B8"/>
    <w:rsid w:val="00B2048C"/>
    <w:rsid w:val="00B310B9"/>
    <w:rsid w:val="00B32935"/>
    <w:rsid w:val="00B35F3F"/>
    <w:rsid w:val="00B36CBB"/>
    <w:rsid w:val="00B425E0"/>
    <w:rsid w:val="00B440AA"/>
    <w:rsid w:val="00B44B70"/>
    <w:rsid w:val="00B50698"/>
    <w:rsid w:val="00B53C56"/>
    <w:rsid w:val="00B57DAF"/>
    <w:rsid w:val="00B6540D"/>
    <w:rsid w:val="00B77EA6"/>
    <w:rsid w:val="00B81598"/>
    <w:rsid w:val="00B841F1"/>
    <w:rsid w:val="00B944D6"/>
    <w:rsid w:val="00BB4DF0"/>
    <w:rsid w:val="00BC289F"/>
    <w:rsid w:val="00BC2D50"/>
    <w:rsid w:val="00BC5361"/>
    <w:rsid w:val="00BC5460"/>
    <w:rsid w:val="00BC6B50"/>
    <w:rsid w:val="00BD0E25"/>
    <w:rsid w:val="00BF5BD6"/>
    <w:rsid w:val="00C03E31"/>
    <w:rsid w:val="00C2674D"/>
    <w:rsid w:val="00C30E69"/>
    <w:rsid w:val="00C33E72"/>
    <w:rsid w:val="00C354B2"/>
    <w:rsid w:val="00C35554"/>
    <w:rsid w:val="00C42709"/>
    <w:rsid w:val="00C533CC"/>
    <w:rsid w:val="00C5751C"/>
    <w:rsid w:val="00C61BFC"/>
    <w:rsid w:val="00C62B85"/>
    <w:rsid w:val="00C65234"/>
    <w:rsid w:val="00C65438"/>
    <w:rsid w:val="00C73ABE"/>
    <w:rsid w:val="00C80F4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138"/>
    <w:rsid w:val="00D35489"/>
    <w:rsid w:val="00D36AFE"/>
    <w:rsid w:val="00D36EFD"/>
    <w:rsid w:val="00D45ABC"/>
    <w:rsid w:val="00D462F7"/>
    <w:rsid w:val="00D51276"/>
    <w:rsid w:val="00D7035F"/>
    <w:rsid w:val="00D7240E"/>
    <w:rsid w:val="00DA634F"/>
    <w:rsid w:val="00DA65AC"/>
    <w:rsid w:val="00DB1913"/>
    <w:rsid w:val="00DC410D"/>
    <w:rsid w:val="00DC5A81"/>
    <w:rsid w:val="00DC68CA"/>
    <w:rsid w:val="00DC7CBA"/>
    <w:rsid w:val="00DD73B7"/>
    <w:rsid w:val="00DF28BC"/>
    <w:rsid w:val="00DF34B9"/>
    <w:rsid w:val="00E01053"/>
    <w:rsid w:val="00E07ACF"/>
    <w:rsid w:val="00E20382"/>
    <w:rsid w:val="00E331A1"/>
    <w:rsid w:val="00E33202"/>
    <w:rsid w:val="00E336A9"/>
    <w:rsid w:val="00E472B1"/>
    <w:rsid w:val="00E50624"/>
    <w:rsid w:val="00E568DF"/>
    <w:rsid w:val="00E64269"/>
    <w:rsid w:val="00E66797"/>
    <w:rsid w:val="00E82267"/>
    <w:rsid w:val="00E853CE"/>
    <w:rsid w:val="00E867B6"/>
    <w:rsid w:val="00E87F08"/>
    <w:rsid w:val="00EA010F"/>
    <w:rsid w:val="00EA62CA"/>
    <w:rsid w:val="00ED1B63"/>
    <w:rsid w:val="00ED3C1F"/>
    <w:rsid w:val="00ED4085"/>
    <w:rsid w:val="00ED420E"/>
    <w:rsid w:val="00ED6FBE"/>
    <w:rsid w:val="00EE2F57"/>
    <w:rsid w:val="00EE4C5C"/>
    <w:rsid w:val="00EF4C34"/>
    <w:rsid w:val="00EF77C6"/>
    <w:rsid w:val="00F05438"/>
    <w:rsid w:val="00F1361C"/>
    <w:rsid w:val="00F156F0"/>
    <w:rsid w:val="00F160C7"/>
    <w:rsid w:val="00F2408F"/>
    <w:rsid w:val="00F240E9"/>
    <w:rsid w:val="00F350D3"/>
    <w:rsid w:val="00F36D8F"/>
    <w:rsid w:val="00F417B1"/>
    <w:rsid w:val="00F45853"/>
    <w:rsid w:val="00F56726"/>
    <w:rsid w:val="00F602DF"/>
    <w:rsid w:val="00F61BAB"/>
    <w:rsid w:val="00F754A1"/>
    <w:rsid w:val="00F81FD9"/>
    <w:rsid w:val="00F841AA"/>
    <w:rsid w:val="00F84A94"/>
    <w:rsid w:val="00F87E96"/>
    <w:rsid w:val="00F94F08"/>
    <w:rsid w:val="00FA23E8"/>
    <w:rsid w:val="00FD3CC1"/>
    <w:rsid w:val="00FE736B"/>
    <w:rsid w:val="00FF1E02"/>
    <w:rsid w:val="00FF30B4"/>
    <w:rsid w:val="10C055FF"/>
    <w:rsid w:val="16BB723D"/>
    <w:rsid w:val="240371BF"/>
    <w:rsid w:val="29FD04D3"/>
    <w:rsid w:val="319F7F4E"/>
    <w:rsid w:val="4A456A38"/>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四号正文 Char"/>
    <w:basedOn w:val="14"/>
    <w:link w:val="32"/>
    <w:qFormat/>
    <w:uiPriority w:val="0"/>
    <w:rPr>
      <w:rFonts w:ascii="??" w:hAnsi="??" w:cs="宋体"/>
      <w:color w:val="000000"/>
      <w:sz w:val="28"/>
      <w:szCs w:val="21"/>
    </w:rPr>
  </w:style>
  <w:style w:type="paragraph" w:customStyle="1" w:styleId="32">
    <w:name w:val="四号正文"/>
    <w:basedOn w:val="1"/>
    <w:link w:val="3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327AA-51CD-49A4-95ED-E823FD45527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2173</Words>
  <Characters>12390</Characters>
  <Lines>103</Lines>
  <Paragraphs>29</Paragraphs>
  <TotalTime>787</TotalTime>
  <ScaleCrop>false</ScaleCrop>
  <LinksUpToDate>false</LinksUpToDate>
  <CharactersWithSpaces>14534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王卫金</cp:lastModifiedBy>
  <cp:lastPrinted>2020-07-23T02:58:00Z</cp:lastPrinted>
  <dcterms:modified xsi:type="dcterms:W3CDTF">2020-10-20T01:37:03Z</dcterms:modified>
  <dc:title>四川省***</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