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8441"/>
      <w:bookmarkStart w:id="3" w:name="_Toc15377425"/>
      <w:bookmarkStart w:id="4" w:name="_Toc15396475"/>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77194"/>
      <w:bookmarkStart w:id="8" w:name="_Toc15396598"/>
      <w:bookmarkStart w:id="9" w:name="_Toc15306268"/>
      <w:bookmarkStart w:id="10" w:name="_Toc15378442"/>
      <w:bookmarkStart w:id="11" w:name="_Toc15396476"/>
      <w:r>
        <w:rPr>
          <w:rFonts w:hint="eastAsia" w:ascii="方正小标宋简体" w:hAnsi="宋体" w:eastAsia="方正小标宋简体"/>
          <w:color w:val="000000"/>
          <w:sz w:val="72"/>
          <w:szCs w:val="72"/>
        </w:rPr>
        <w:t>峨眉山市教师培训中心</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公开时间：2020年10月22日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                           1-9</w:t>
      </w:r>
    </w:p>
    <w:p>
      <w:pPr>
        <w:pStyle w:val="11"/>
        <w:adjustRightInd w:val="0"/>
        <w:snapToGrid w:val="0"/>
        <w:spacing w:line="440" w:lineRule="exact"/>
        <w:jc w:val="left"/>
        <w:rPr>
          <w:rFonts w:ascii="仿宋" w:hAnsi="仿宋" w:eastAsia="仿宋" w:cstheme="minorBidi"/>
          <w:sz w:val="24"/>
        </w:rPr>
      </w:pPr>
      <w:r>
        <w:rPr>
          <w:rFonts w:hint="eastAsia"/>
          <w:sz w:val="24"/>
        </w:rPr>
        <w:t>二、机构设置                                     9</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                     10</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                             10</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                             11</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             11</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         11-13</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     13</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 xml:space="preserve">三公”经费财政拨款支出决算情况说明          13-20   </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                                     20-24</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r>
        <w:rPr>
          <w:rFonts w:hint="eastAsia"/>
          <w:sz w:val="24"/>
        </w:rPr>
        <w:t xml:space="preserve">                                             24-30</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r>
        <w:rPr>
          <w:rFonts w:hint="eastAsia"/>
          <w:sz w:val="24"/>
        </w:rPr>
        <w:t xml:space="preserve">                                             31-33</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黑体" w:hAnsi="黑体" w:eastAsia="黑体"/>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bookmarkStart w:id="16" w:name="_Toc15378445"/>
      <w:bookmarkStart w:id="17" w:name="_Toc15377198"/>
    </w:p>
    <w:p>
      <w:pPr>
        <w:pStyle w:val="3"/>
        <w:rPr>
          <w:rFonts w:ascii="仿宋" w:hAnsi="仿宋" w:eastAsia="仿宋"/>
          <w:color w:val="000000"/>
        </w:rPr>
      </w:pPr>
      <w:r>
        <w:rPr>
          <w:rStyle w:val="25"/>
          <w:rFonts w:hint="eastAsia" w:ascii="黑体" w:hAnsi="黑体" w:eastAsia="黑体"/>
          <w:b w:val="0"/>
          <w:bCs w:val="0"/>
        </w:rPr>
        <w:t xml:space="preserve">  </w:t>
      </w:r>
      <w:r>
        <w:rPr>
          <w:rFonts w:hint="eastAsia" w:ascii="仿宋" w:hAnsi="仿宋" w:eastAsia="仿宋"/>
          <w:color w:val="000000"/>
        </w:rPr>
        <w:t>（一）主要职能。</w:t>
      </w:r>
      <w:bookmarkEnd w:id="16"/>
      <w:bookmarkEnd w:id="17"/>
      <w:bookmarkStart w:id="18" w:name="_Toc15378446"/>
      <w:bookmarkStart w:id="19" w:name="_Toc15377199"/>
    </w:p>
    <w:p>
      <w:pPr>
        <w:pStyle w:val="3"/>
        <w:rPr>
          <w:rFonts w:asciiTheme="minorEastAsia" w:hAnsiTheme="minorEastAsia" w:eastAsiaTheme="minorEastAsia"/>
          <w:b w:val="0"/>
          <w:sz w:val="24"/>
        </w:rPr>
      </w:pPr>
      <w:r>
        <w:rPr>
          <w:rFonts w:hint="eastAsia" w:asciiTheme="minorEastAsia" w:hAnsiTheme="minorEastAsia" w:eastAsiaTheme="minorEastAsia"/>
          <w:b w:val="0"/>
          <w:sz w:val="24"/>
        </w:rPr>
        <w:t>研究、指导、管理、服务（教学研究、教学指导、教学管理、教学服务、教师培训、  电大教学）</w:t>
      </w:r>
    </w:p>
    <w:p>
      <w:pPr>
        <w:snapToGrid w:val="0"/>
        <w:spacing w:line="520" w:lineRule="exact"/>
        <w:rPr>
          <w:rFonts w:asciiTheme="minorEastAsia" w:hAnsiTheme="minorEastAsia" w:eastAsiaTheme="minorEastAsia"/>
          <w:sz w:val="24"/>
        </w:rPr>
      </w:pPr>
      <w:r>
        <w:rPr>
          <w:rFonts w:hint="eastAsia" w:ascii="仿宋" w:hAnsi="仿宋" w:eastAsia="仿宋"/>
          <w:bCs/>
          <w:color w:val="000000"/>
          <w:sz w:val="32"/>
          <w:szCs w:val="32"/>
        </w:rPr>
        <w:t xml:space="preserve"> （二）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shd w:val="clear" w:color="auto" w:fill="FFFFFF"/>
        <w:spacing w:line="5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2019年重点工作完成情况：</w:t>
      </w:r>
    </w:p>
    <w:p>
      <w:pPr>
        <w:spacing w:line="42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1、扎实思想教育，突出师德引领</w:t>
      </w:r>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教研工作是党和人民的教研，教研工作必须为党和人民服务。今年8月以来，借市委巡察之机，着力加强问题整改，着力加强师德师风建设，为师训中心研训质量的发展和提升提供了有效保障。</w:t>
      </w:r>
    </w:p>
    <w:p>
      <w:pPr>
        <w:spacing w:line="420" w:lineRule="exact"/>
        <w:ind w:firstLine="405"/>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1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⑴</w:t>
      </w:r>
      <w:r>
        <w:rPr>
          <w:rFonts w:asciiTheme="minorEastAsia" w:hAnsiTheme="minorEastAsia" w:eastAsiaTheme="minorEastAsia"/>
          <w:sz w:val="24"/>
        </w:rPr>
        <w:fldChar w:fldCharType="end"/>
      </w:r>
      <w:r>
        <w:rPr>
          <w:rFonts w:hint="eastAsia" w:asciiTheme="minorEastAsia" w:hAnsiTheme="minorEastAsia" w:eastAsiaTheme="minorEastAsia"/>
          <w:sz w:val="24"/>
        </w:rPr>
        <w:t>.加强党建工作，培育战斗堡垒。一是加强党组织对师训中心的领导，形成了“党支部动议、党政联</w:t>
      </w:r>
      <w:r>
        <w:rPr>
          <w:rFonts w:hint="eastAsia" w:asciiTheme="minorEastAsia" w:hAnsiTheme="minorEastAsia" w:eastAsiaTheme="minorEastAsia"/>
          <w:sz w:val="24"/>
          <w:lang w:eastAsia="zh-CN"/>
        </w:rPr>
        <w:t>席</w:t>
      </w:r>
      <w:bookmarkStart w:id="65" w:name="_GoBack"/>
      <w:bookmarkEnd w:id="65"/>
      <w:r>
        <w:rPr>
          <w:rFonts w:hint="eastAsia" w:asciiTheme="minorEastAsia" w:hAnsiTheme="minorEastAsia" w:eastAsiaTheme="minorEastAsia"/>
          <w:sz w:val="24"/>
        </w:rPr>
        <w:t>会决定、行政会执行”的工作研究执行机制。二是加思想建设，扎实开展</w:t>
      </w:r>
      <w:r>
        <w:rPr>
          <w:rFonts w:hint="eastAsia" w:asciiTheme="minorEastAsia" w:hAnsiTheme="minorEastAsia" w:eastAsiaTheme="minorEastAsia"/>
          <w:sz w:val="24"/>
          <w:lang w:eastAsia="zh-CN"/>
        </w:rPr>
        <w:t>“不忘初心、牢记使命”主题教育</w:t>
      </w:r>
      <w:r>
        <w:rPr>
          <w:rFonts w:hint="eastAsia" w:asciiTheme="minorEastAsia" w:hAnsiTheme="minorEastAsia" w:eastAsiaTheme="minorEastAsia"/>
          <w:sz w:val="24"/>
        </w:rPr>
        <w:t>、“学习强国”学习、“三会一课”、“两学一做”、“主题党日”等各种活动。三是加强作风建设，通过先进人物事迹学习、给烈士扫墓、精准扶贫、双创宣传等活动，切实加强思想、领导、学习、工作、生活等良好作风的培育。四是加强制度建设，认真学习、宣传、落实“三课一会”、民主生活会、民主评议、报告工作、党务公开等制度。五是加强反腐倡廉建设，认真学习、贯彻、落实“一岗双责”、“党政联席会议制度”、“三重一大”、“严控三公经费”、党务公开、政务公开、财务会开等制度，有效落实反腐倡廉。</w:t>
      </w:r>
    </w:p>
    <w:p>
      <w:pPr>
        <w:spacing w:line="420" w:lineRule="exact"/>
        <w:ind w:firstLine="405"/>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2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⑵</w:t>
      </w:r>
      <w:r>
        <w:rPr>
          <w:rFonts w:asciiTheme="minorEastAsia" w:hAnsiTheme="minorEastAsia" w:eastAsiaTheme="minorEastAsia"/>
          <w:sz w:val="24"/>
        </w:rPr>
        <w:fldChar w:fldCharType="end"/>
      </w:r>
      <w:r>
        <w:rPr>
          <w:rFonts w:hint="eastAsia" w:asciiTheme="minorEastAsia" w:hAnsiTheme="minorEastAsia" w:eastAsiaTheme="minorEastAsia"/>
          <w:sz w:val="24"/>
        </w:rPr>
        <w:t>.完善规章制度，推进制度管理。为了促进研训部和电大部的融合、团结、和谐，也为了落实各尽其责、分工合作，从而提升中心整体工作效益，单位进一步调整、改进、完善了教职工年度基本工作量考核办法、教职工年度考核方案等单位规章制度，进一步明确了工作和责任，明确了奖励和激励，并按单位制度公开、公平推进教职工考评、评优选先、职评推荐、绩效工资分配等工作，从而有效促进了单位的制度管理。</w:t>
      </w:r>
    </w:p>
    <w:p>
      <w:pPr>
        <w:spacing w:line="420" w:lineRule="exact"/>
        <w:ind w:firstLine="405"/>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3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⑶</w:t>
      </w:r>
      <w:r>
        <w:rPr>
          <w:rFonts w:asciiTheme="minorEastAsia" w:hAnsiTheme="minorEastAsia" w:eastAsiaTheme="minorEastAsia"/>
          <w:sz w:val="24"/>
        </w:rPr>
        <w:fldChar w:fldCharType="end"/>
      </w:r>
      <w:r>
        <w:rPr>
          <w:rFonts w:hint="eastAsia" w:asciiTheme="minorEastAsia" w:hAnsiTheme="minorEastAsia" w:eastAsiaTheme="minorEastAsia"/>
          <w:sz w:val="24"/>
        </w:rPr>
        <w:t>.加强队伍培训，提升整体素质。教职工素质是单位整体工作质量的关键因素。为此，单位始终坚持强化队伍建设，落实教职工的培养引领。一是加强班子建设，根据市教育局换届要求，按统一审定的中层职数，选拔、配齐了“三室一部一处”的中层班子，接合</w:t>
      </w:r>
      <w:r>
        <w:rPr>
          <w:rFonts w:hint="eastAsia" w:asciiTheme="minorEastAsia" w:hAnsiTheme="minorEastAsia" w:eastAsiaTheme="minorEastAsia"/>
          <w:sz w:val="24"/>
          <w:lang w:eastAsia="zh-CN"/>
        </w:rPr>
        <w:t>“不忘初心、牢记使命”主题教育</w:t>
      </w:r>
      <w:r>
        <w:rPr>
          <w:rFonts w:hint="eastAsia" w:asciiTheme="minorEastAsia" w:hAnsiTheme="minorEastAsia" w:eastAsiaTheme="minorEastAsia"/>
          <w:sz w:val="24"/>
        </w:rPr>
        <w:t>，增强班子成员“守初心、担使命、找差距、抓落实”的政治意识。二是积极争取培训者的培训，努力提升培训者的专业素养，主动争取上级培训、学习名额大力鼓励和支持教研员外出参加培训学习、检查评估、讲座交流等，有效提升了教研员的业务能力，有效增强了教研员的业务自信。三是分部门认真落实每年一次外出参观学习，本年度上半年组织了研训部所有教研员到都江堰教研室参观学习，扩大了教研员的眼见，拓宽了教研员的思维，也丰富了教研员的研训技术。四是加强教职工的专业引领，鼓励教职工聚焦研训主题、提炼策略、物化成果，研训部和电大部，全年均有数篇论文在国、省级刊物发表，或在省、市、县级文评选中获得各种奖励。</w:t>
      </w:r>
    </w:p>
    <w:p>
      <w:pPr>
        <w:spacing w:line="420" w:lineRule="exact"/>
        <w:ind w:firstLine="361" w:firstLineChars="150"/>
        <w:rPr>
          <w:rFonts w:asciiTheme="minorEastAsia" w:hAnsiTheme="minorEastAsia" w:eastAsiaTheme="minorEastAsia"/>
          <w:b/>
          <w:sz w:val="24"/>
        </w:rPr>
      </w:pPr>
      <w:r>
        <w:rPr>
          <w:rFonts w:hint="eastAsia" w:asciiTheme="minorEastAsia" w:hAnsiTheme="minorEastAsia" w:eastAsiaTheme="minorEastAsia"/>
          <w:b/>
          <w:sz w:val="24"/>
        </w:rPr>
        <w:t>2、扎实常规研训，提升教研质量</w:t>
      </w:r>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研训常规是研训工作的基本规范，是研训质量的基本保证。多年以来，“扎实研训常规，提升研训质量”已经成为峨眉师训中心实效的成功经验之一。</w:t>
      </w:r>
    </w:p>
    <w:p>
      <w:pPr>
        <w:spacing w:line="420" w:lineRule="exact"/>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1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⑴</w:t>
      </w:r>
      <w:r>
        <w:rPr>
          <w:rFonts w:asciiTheme="minorEastAsia" w:hAnsiTheme="minorEastAsia" w:eastAsiaTheme="minorEastAsia"/>
          <w:sz w:val="24"/>
        </w:rPr>
        <w:fldChar w:fldCharType="end"/>
      </w:r>
      <w:r>
        <w:rPr>
          <w:rFonts w:hint="eastAsia" w:asciiTheme="minorEastAsia" w:hAnsiTheme="minorEastAsia" w:eastAsiaTheme="minorEastAsia"/>
          <w:sz w:val="24"/>
        </w:rPr>
        <w:t>.坚持常规巡导，扎实教学管理。一是先摸校情，对症下药，坚持巡导前领队和教研员对学校的质量情况的认真，找出学校教学管理的亮点，发现学校质量管理的问题，以提升巡导的针对性。二是坚持深入课堂、深入办公室，教研员深入课堂、深入教研组听课导教、导研，领队深入教师、深入班子，了解意见、发现问题，从而提升巡导的针对性。三是坚持集中反馈，突出有效性，针对问题，深入研讨，寻找办法，建议策略，努力提升巡导的有效性。</w:t>
      </w:r>
    </w:p>
    <w:p>
      <w:pPr>
        <w:spacing w:line="420" w:lineRule="exact"/>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2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⑵</w:t>
      </w:r>
      <w:r>
        <w:rPr>
          <w:rFonts w:asciiTheme="minorEastAsia" w:hAnsiTheme="minorEastAsia" w:eastAsiaTheme="minorEastAsia"/>
          <w:sz w:val="24"/>
        </w:rPr>
        <w:fldChar w:fldCharType="end"/>
      </w:r>
      <w:r>
        <w:rPr>
          <w:rFonts w:hint="eastAsia" w:asciiTheme="minorEastAsia" w:hAnsiTheme="minorEastAsia" w:eastAsiaTheme="minorEastAsia"/>
          <w:sz w:val="24"/>
        </w:rPr>
        <w:t xml:space="preserve">.坚持研训合一，引领教学技术。多年来，培训中心提炼了研训会“五认真”的成功经验，取得良好的研训实效。本年度，继续宣传和推广研训会“五认真”的成功经验，即：认真打造好一节公开课、认真做好一次课例分析认真、认真做好一次专题交流、认真做好一个专题讲座、认真写好一篇教研简报，有效促进学科教师的专业发展，有效促进学科教学质量的提升。 </w:t>
      </w:r>
    </w:p>
    <w:p>
      <w:pPr>
        <w:spacing w:line="420" w:lineRule="exact"/>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3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⑶</w:t>
      </w:r>
      <w:r>
        <w:rPr>
          <w:rFonts w:asciiTheme="minorEastAsia" w:hAnsiTheme="minorEastAsia" w:eastAsiaTheme="minorEastAsia"/>
          <w:sz w:val="24"/>
        </w:rPr>
        <w:fldChar w:fldCharType="end"/>
      </w:r>
      <w:r>
        <w:rPr>
          <w:rFonts w:hint="eastAsia" w:asciiTheme="minorEastAsia" w:hAnsiTheme="minorEastAsia" w:eastAsiaTheme="minorEastAsia"/>
          <w:sz w:val="24"/>
        </w:rPr>
        <w:t>.改进质量管理，促进质量发展。根据教育局的要求，坚持分中、小学召开教学质量研讨会，为了提升研讨会实效，有效变“业务领导主讲+行政领导要求”模式为“公开课+参会校长点评+业务领导主讲+行政领导强调”模式，有效聚焦于“调动学生参与，促进主动学习”主题课改，促进了参会行政的有效参与和深度思考。</w:t>
      </w:r>
    </w:p>
    <w:p>
      <w:pPr>
        <w:spacing w:line="420" w:lineRule="exact"/>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4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⑷</w:t>
      </w:r>
      <w:r>
        <w:rPr>
          <w:rFonts w:asciiTheme="minorEastAsia" w:hAnsiTheme="minorEastAsia" w:eastAsiaTheme="minorEastAsia"/>
          <w:sz w:val="24"/>
        </w:rPr>
        <w:fldChar w:fldCharType="end"/>
      </w:r>
      <w:r>
        <w:rPr>
          <w:rFonts w:hint="eastAsia" w:asciiTheme="minorEastAsia" w:hAnsiTheme="minorEastAsia" w:eastAsiaTheme="minorEastAsia"/>
          <w:sz w:val="24"/>
        </w:rPr>
        <w:t>.坚持高中管理，服务高中教学。一是按要求认真组织好高中、职中省市级的教研会、培训会、教学竞赛等工作。二是根据高中的需求和教研的实际情况，认真组织好县级高中学科研训会，给青年教师的展示提供机会，给高中的教改研究搭建平台。三是认真组织好高中的学科教学竞赛工作，促进高中新教师、年青教师的优质发展。四是配合峨眉山市高中巡导组，扎实开展境内高中职中的教学巡导，采用听课、学生座谈、教师座谈、班子座谈、集中交换意见的方式进行，发现问题，研究对策，切实促进了高中、职中的健康发展。</w:t>
      </w:r>
    </w:p>
    <w:p>
      <w:pPr>
        <w:spacing w:line="42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3、扎实主题研究，提升课改实效</w:t>
      </w:r>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教研是教学思想、方法、技术之源，只有认真做好学科教研，才能有效生成先进的教学思想、方法与技术。</w:t>
      </w:r>
    </w:p>
    <w:p>
      <w:pPr>
        <w:spacing w:line="420" w:lineRule="exact"/>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1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⑴</w:t>
      </w:r>
      <w:r>
        <w:rPr>
          <w:rFonts w:asciiTheme="minorEastAsia" w:hAnsiTheme="minorEastAsia" w:eastAsiaTheme="minorEastAsia"/>
          <w:sz w:val="24"/>
        </w:rPr>
        <w:fldChar w:fldCharType="end"/>
      </w:r>
      <w:r>
        <w:rPr>
          <w:rFonts w:hint="eastAsia" w:asciiTheme="minorEastAsia" w:hAnsiTheme="minorEastAsia" w:eastAsiaTheme="minorEastAsia"/>
          <w:sz w:val="24"/>
        </w:rPr>
        <w:t>.继续主题研究，探索课改模式。继续推进2016年9月起启动的主题为“调动学生参与，促进主动学习”的5年课改工程。经过二年半的研究、探索和实践，各学段主题研究进一步深入，各学段、各学科课堂优化策略不断丰富，初中语文“一体两翼四驱动”模式、数学“三主四步”模式、物理“双主互动”模式、化学“双动”模式、英语“支架”模式，小学语文“诗画同行”模式、拼音“趣动模式”、随课微写“四步调”模式、数学“精探共研”、“双主互动”等改课堂模式不断完善，有效促进了课堂教学改革的发展、教师教学能力的提升和教学质量的提高。</w:t>
      </w:r>
    </w:p>
    <w:p>
      <w:pPr>
        <w:spacing w:line="420" w:lineRule="exact"/>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2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⑵</w:t>
      </w:r>
      <w:r>
        <w:rPr>
          <w:rFonts w:asciiTheme="minorEastAsia" w:hAnsiTheme="minorEastAsia" w:eastAsiaTheme="minorEastAsia"/>
          <w:sz w:val="24"/>
        </w:rPr>
        <w:fldChar w:fldCharType="end"/>
      </w:r>
      <w:r>
        <w:rPr>
          <w:rFonts w:hint="eastAsia" w:asciiTheme="minorEastAsia" w:hAnsiTheme="minorEastAsia" w:eastAsiaTheme="minorEastAsia"/>
          <w:sz w:val="24"/>
        </w:rPr>
        <w:t>.坚持教研改革，促进教研创新。一是中教继续探索“驻留式”教研巡导，变一日巡导为二至三日巡导，进一步深入课堂、深入教师、深入管理，工作沉得更深，问题了解更透，对策研究更细，教研巡导的作用显著增强。二是小教针对五年来幼教新教师入职较多的实际，幼教成功举办了入职五年新幼儿教师课堂展示活动，有效促进了新教师的健康成长。三是幼教针对本年度新教师多的特点，举办了新教师汇报课集中展示活动，给新教师的学习交流、展现自我提供了难得的机会，有效促进了新教师的专业发展。</w:t>
      </w:r>
    </w:p>
    <w:p>
      <w:pPr>
        <w:spacing w:line="420" w:lineRule="exact"/>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3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⑶</w:t>
      </w:r>
      <w:r>
        <w:rPr>
          <w:rFonts w:asciiTheme="minorEastAsia" w:hAnsiTheme="minorEastAsia" w:eastAsiaTheme="minorEastAsia"/>
          <w:sz w:val="24"/>
        </w:rPr>
        <w:fldChar w:fldCharType="end"/>
      </w:r>
      <w:r>
        <w:rPr>
          <w:rFonts w:hint="eastAsia" w:asciiTheme="minorEastAsia" w:hAnsiTheme="minorEastAsia" w:eastAsiaTheme="minorEastAsia"/>
          <w:sz w:val="24"/>
        </w:rPr>
        <w:t>.坚持办好竞赛，培育教学骨干。一是积极选派教师参加和观摩省、市优质课大赛，在参赛中奉献自己的教学才艺，在观摩中学习别人的先进经验。二是如期举办各学段、各学科的县级优质课大赛，给新教师提供学习的对象，给中年教师提供展示的平台，给老教师提供授艺的机会。三是继续上年启动的创新赛课项目“新教师优质课大赛”，成功举办了“体育新教师优质课大赛”，给近年大批入职的体育新教师成长创造展示的机会，有效促进体育新教师更快更好的成长。</w:t>
      </w:r>
    </w:p>
    <w:p>
      <w:pPr>
        <w:spacing w:line="42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4</w:t>
      </w:r>
      <w:r>
        <w:rPr>
          <w:rFonts w:asciiTheme="minorEastAsia" w:hAnsiTheme="minorEastAsia" w:eastAsiaTheme="minorEastAsia"/>
          <w:b/>
          <w:sz w:val="24"/>
        </w:rPr>
        <w:t>、扎实教育科研，引领教育改革</w:t>
      </w:r>
    </w:p>
    <w:p>
      <w:pPr>
        <w:spacing w:line="420" w:lineRule="exact"/>
        <w:ind w:firstLine="480" w:firstLineChars="200"/>
        <w:rPr>
          <w:rFonts w:asciiTheme="minorEastAsia" w:hAnsiTheme="minorEastAsia" w:eastAsiaTheme="minorEastAsia"/>
          <w:b/>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1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⑴</w:t>
      </w:r>
      <w:r>
        <w:rPr>
          <w:rFonts w:asciiTheme="minorEastAsia" w:hAnsiTheme="minorEastAsia" w:eastAsiaTheme="minorEastAsia"/>
          <w:sz w:val="24"/>
        </w:rPr>
        <w:fldChar w:fldCharType="end"/>
      </w:r>
      <w:r>
        <w:rPr>
          <w:rFonts w:asciiTheme="minorEastAsia" w:hAnsiTheme="minorEastAsia" w:eastAsiaTheme="minorEastAsia"/>
          <w:sz w:val="24"/>
        </w:rPr>
        <w:t>.加强课题研究管理，促使过程规范有序。目前全市在研省市县三级立项课题30项，其中四川省级6项、乐山市级19项、峨眉山市级5项。一是成立科研指导团队，强化对课题的管理与指导，本年度开展课题立项论证项目4项，在研项目巡导调研、指导8项。二是加强对教育科研队伍的培养，开展了2019年教科研工作例会暨成果推广活动，聚焦课题研究过程中的研究实践设计及实施落实进行展示培训，有效提升了学校科研骨干的能力。三是大力推进在研课题的调研清理工作，共清理出10个研究停滞的项目并予以撤销，有效促进了在研项目的研究工作。</w:t>
      </w:r>
      <w:r>
        <w:rPr>
          <w:rFonts w:asciiTheme="minorEastAsia" w:hAnsiTheme="minorEastAsia" w:eastAsiaTheme="minorEastAsia"/>
          <w:sz w:val="24"/>
        </w:rPr>
        <w:br w:type="textWrapping"/>
      </w:r>
      <w:r>
        <w:rPr>
          <w:rFonts w:hint="eastAsia" w:asciiTheme="minorEastAsia" w:hAnsiTheme="minorEastAsia" w:eastAsiaTheme="minorEastAsia"/>
          <w:sz w:val="24"/>
        </w:rPr>
        <w:t xml:space="preserve">   </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2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⑵</w:t>
      </w:r>
      <w:r>
        <w:rPr>
          <w:rFonts w:asciiTheme="minorEastAsia" w:hAnsiTheme="minorEastAsia" w:eastAsiaTheme="minorEastAsia"/>
          <w:sz w:val="24"/>
        </w:rPr>
        <w:fldChar w:fldCharType="end"/>
      </w:r>
      <w:r>
        <w:rPr>
          <w:rFonts w:asciiTheme="minorEastAsia" w:hAnsiTheme="minorEastAsia" w:eastAsiaTheme="minorEastAsia"/>
          <w:sz w:val="24"/>
        </w:rPr>
        <w:t>.强化研究成果提炼，提升课题研究质量。一是加强成果物化的指导，利用巡导、专题会甚至业余时间，鼓励、引领、帮助广大教师及教科人员，立足实践研究、梳理理性认识、总结实践经验，提炼解决策略，进一步物化成教研成果。二是督促、指导学校聚焦课题阶段研究工作，理性梳理、精炼阶段研究成果，有1项成果获四川省阶段成果三等奖，5项成果获乐山市阶段成果一等奖。</w:t>
      </w:r>
      <w:r>
        <w:rPr>
          <w:rFonts w:asciiTheme="minorEastAsia" w:hAnsiTheme="minorEastAsia" w:eastAsiaTheme="minorEastAsia"/>
          <w:sz w:val="24"/>
        </w:rPr>
        <w:br w:type="textWrapping"/>
      </w:r>
      <w:r>
        <w:rPr>
          <w:rFonts w:hint="eastAsia" w:asciiTheme="minorEastAsia" w:hAnsiTheme="minorEastAsia" w:eastAsiaTheme="minorEastAsia"/>
          <w:sz w:val="24"/>
        </w:rPr>
        <w:t xml:space="preserve">    </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3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⑶</w:t>
      </w:r>
      <w:r>
        <w:rPr>
          <w:rFonts w:asciiTheme="minorEastAsia" w:hAnsiTheme="minorEastAsia" w:eastAsiaTheme="minorEastAsia"/>
          <w:sz w:val="24"/>
        </w:rPr>
        <w:fldChar w:fldCharType="end"/>
      </w:r>
      <w:r>
        <w:rPr>
          <w:rFonts w:asciiTheme="minorEastAsia" w:hAnsiTheme="minorEastAsia" w:eastAsiaTheme="minorEastAsia"/>
          <w:sz w:val="24"/>
        </w:rPr>
        <w:t>.聚力搭建展示平台，促进教师专业成长。一是开展了2019年度校本教研优秀论文评选，聚焦教师课堂教学改革、德育工作、课程开发等的论文达825篇，评选出一等奖54篇、二等奖250篇、三等奖421篇。二是开展了聚焦课堂教学改革、校本课程建设等核心要素的微型课题研究及成果评选，评选出一等奖10项、二等奖24项、三等奖34项。</w:t>
      </w:r>
    </w:p>
    <w:p>
      <w:pPr>
        <w:spacing w:line="42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5、改进培训方式，提升师训实效</w:t>
      </w:r>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师资质量是教学质量提升的关键因素，没有高质量的师资队伍，就没有高质量的教学质量。为此，师训中心根据县域实际，始终坚持扎实师训工作，不断提升师资整体质量。</w:t>
      </w:r>
    </w:p>
    <w:p>
      <w:pPr>
        <w:spacing w:line="420" w:lineRule="exact"/>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1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⑴</w:t>
      </w:r>
      <w:r>
        <w:rPr>
          <w:rFonts w:asciiTheme="minorEastAsia" w:hAnsiTheme="minorEastAsia" w:eastAsiaTheme="minorEastAsia"/>
          <w:sz w:val="24"/>
        </w:rPr>
        <w:fldChar w:fldCharType="end"/>
      </w:r>
      <w:r>
        <w:rPr>
          <w:rFonts w:hint="eastAsia" w:asciiTheme="minorEastAsia" w:hAnsiTheme="minorEastAsia" w:eastAsiaTheme="minorEastAsia"/>
          <w:sz w:val="24"/>
        </w:rPr>
        <w:t>.扎实国培项目培训，促进教师整体提升：成功启动、举办了2019国培项目培训。培训分幼、小、初3个学段，计18个大项100个小项，共471名教师参培。培训由高校承办，所有教研员参与，以师德师风教育为先，以专业能力培育为重，扎实开展线上、线下的培训活动，有效促进了中、青年教师师德修养的提升和专业能力的提高。</w:t>
      </w:r>
    </w:p>
    <w:p>
      <w:pPr>
        <w:spacing w:line="420" w:lineRule="exact"/>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2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⑵</w:t>
      </w:r>
      <w:r>
        <w:rPr>
          <w:rFonts w:asciiTheme="minorEastAsia" w:hAnsiTheme="minorEastAsia" w:eastAsiaTheme="minorEastAsia"/>
          <w:sz w:val="24"/>
        </w:rPr>
        <w:fldChar w:fldCharType="end"/>
      </w:r>
      <w:r>
        <w:rPr>
          <w:rFonts w:hint="eastAsia" w:asciiTheme="minorEastAsia" w:hAnsiTheme="minorEastAsia" w:eastAsiaTheme="minorEastAsia"/>
          <w:sz w:val="24"/>
        </w:rPr>
        <w:t>.坚持新教师跟踪培养，促进新教师健康成长：2018年6月开展了2018年入职新教师的第二轮集中培训，并对入职三年的新教师进行了工作考核，对新教师的思德思风、职业心理、专业发展进行了有效的引领。</w:t>
      </w:r>
    </w:p>
    <w:p>
      <w:pPr>
        <w:spacing w:line="420" w:lineRule="exact"/>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3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⑶</w:t>
      </w:r>
      <w:r>
        <w:rPr>
          <w:rFonts w:asciiTheme="minorEastAsia" w:hAnsiTheme="minorEastAsia" w:eastAsiaTheme="minorEastAsia"/>
          <w:sz w:val="24"/>
        </w:rPr>
        <w:fldChar w:fldCharType="end"/>
      </w:r>
      <w:r>
        <w:rPr>
          <w:rFonts w:hint="eastAsia" w:asciiTheme="minorEastAsia" w:hAnsiTheme="minorEastAsia" w:eastAsiaTheme="minorEastAsia"/>
          <w:sz w:val="24"/>
        </w:rPr>
        <w:t>.坚持开展专项培训，促进专项工作有效推进：一是开展“三科”教材县级培训，2019年9月起，国家语文、历史、道法三个学科纺编教材全面启用，针对我市新教材使用情况，聘请上级专家、本地骨干教师，开展县域新教材的使用培训，促进了学科教师对新教材的理解和把握。二是配合市委组织举办“后备校级干部培训”，协助市委组织部、教育局，选拔了30位中层干部，参加为期4天的集中培训，就思想政治、教育政策、学校管理、领导艺术等方面对参训者进行了专业的系统的引领。</w:t>
      </w:r>
    </w:p>
    <w:p>
      <w:pPr>
        <w:spacing w:line="42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6、规范电大管理，提升成教质量</w:t>
      </w:r>
    </w:p>
    <w:p>
      <w:pPr>
        <w:spacing w:line="420" w:lineRule="exact"/>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1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⑴</w:t>
      </w:r>
      <w:r>
        <w:rPr>
          <w:rFonts w:asciiTheme="minorEastAsia" w:hAnsiTheme="minorEastAsia" w:eastAsiaTheme="minorEastAsia"/>
          <w:sz w:val="24"/>
        </w:rPr>
        <w:fldChar w:fldCharType="end"/>
      </w:r>
      <w:r>
        <w:rPr>
          <w:rFonts w:hint="eastAsia" w:asciiTheme="minorEastAsia" w:hAnsiTheme="minorEastAsia" w:eastAsiaTheme="minorEastAsia"/>
          <w:sz w:val="24"/>
        </w:rPr>
        <w:t>.加强部门制度建设，落实电大规范管理。一是配合中心加强师德师风的教育引领，增强电大教师的岗位的使命感、责任感、积极性、主动性。二是争取政策、用好政策、提供机会，切实解决电大教师的身份问题、职评问题，三是健全部门管理制度，如电大教师基本工作量化考核办法、电大教师绩效分配方案等，以制度促规范，以规范促效益。</w:t>
      </w:r>
    </w:p>
    <w:p>
      <w:pPr>
        <w:spacing w:line="420" w:lineRule="exact"/>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2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⑵</w:t>
      </w:r>
      <w:r>
        <w:rPr>
          <w:rFonts w:asciiTheme="minorEastAsia" w:hAnsiTheme="minorEastAsia" w:eastAsiaTheme="minorEastAsia"/>
          <w:sz w:val="24"/>
        </w:rPr>
        <w:fldChar w:fldCharType="end"/>
      </w:r>
      <w:r>
        <w:rPr>
          <w:rFonts w:hint="eastAsia" w:asciiTheme="minorEastAsia" w:hAnsiTheme="minorEastAsia" w:eastAsiaTheme="minorEastAsia"/>
          <w:sz w:val="24"/>
        </w:rPr>
        <w:t>.积极探索办学模式，有效突破招生瓶颈。规模是电大的生存基础，也是电大成教效益的关键指标。2019年春季招生102人，秋季招生108人，去年共完成招生210人，处于乐山市县级电大前列。</w:t>
      </w:r>
    </w:p>
    <w:p>
      <w:pPr>
        <w:spacing w:line="420" w:lineRule="exact"/>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3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⑶</w:t>
      </w:r>
      <w:r>
        <w:rPr>
          <w:rFonts w:asciiTheme="minorEastAsia" w:hAnsiTheme="minorEastAsia" w:eastAsiaTheme="minorEastAsia"/>
          <w:sz w:val="24"/>
        </w:rPr>
        <w:fldChar w:fldCharType="end"/>
      </w:r>
      <w:r>
        <w:rPr>
          <w:rFonts w:hint="eastAsia" w:asciiTheme="minorEastAsia" w:hAnsiTheme="minorEastAsia" w:eastAsiaTheme="minorEastAsia"/>
          <w:sz w:val="24"/>
        </w:rPr>
        <w:t>.扎实各项教学管理，努力提升电大形象。一是扎实做好各类学生的电子信息注册工作，包括新生入籍、教材征订、课程注册、成绩录入、毕业预审等，把“杂、繁、多”的各种信息做得有条不紊，有效杜绝了遗漏和疏忽。在校生116个班，763名学员，共计注册课程8014课次，全年毕业275人。二是加强过程教学的组织、提醒、督促、指导、帮扶，扎实学生面授教学、线上学习、线下实践，提高面授教学、学习作业、实践环节的质量，从而提升电大教育的质量。三是扎实做好考试的管理，包括考场内外的布置、考试的宣传与通知、考单的制作与打印、监考的安排与实施、后勤的服务与保障等，保证了电大考试的严肃性、纪律性和规范性，圆满的完成了考试工作。四是积极组织学生参与四川电大、乐山电大组织的各项比赛。峨眉电大分别有8人获得四川电大二等奖和乐山电大一、二等奖，有4位老师获得指导奖。</w:t>
      </w:r>
    </w:p>
    <w:p>
      <w:pPr>
        <w:spacing w:line="42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7、担当社会责任，共建和谐社会</w:t>
      </w:r>
    </w:p>
    <w:p>
      <w:pPr>
        <w:spacing w:line="420" w:lineRule="exact"/>
        <w:ind w:firstLine="470" w:firstLineChars="196"/>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1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⑴</w:t>
      </w:r>
      <w:r>
        <w:rPr>
          <w:rFonts w:asciiTheme="minorEastAsia" w:hAnsiTheme="minorEastAsia" w:eastAsiaTheme="minorEastAsia"/>
          <w:sz w:val="24"/>
        </w:rPr>
        <w:fldChar w:fldCharType="end"/>
      </w:r>
      <w:r>
        <w:rPr>
          <w:rFonts w:hint="eastAsia" w:asciiTheme="minorEastAsia" w:hAnsiTheme="minorEastAsia" w:eastAsiaTheme="minorEastAsia"/>
          <w:sz w:val="24"/>
        </w:rPr>
        <w:t>.做好扶贫工作，关爱弱势群体。中心共承担大为镇9户、罗目镇18户共计27户的扶贫任务。一是坚持每月入户、宣讲政策、了解困难、解决问题，同时给贫困以粮、油、节日礼品等物资慰问，每一名帮扶责任人认真履行扶贫责任，给予贫困户这个弱势群体以真切的关爱和实在的扶助。二是对于部分特殊贫困户给予特殊的关怀，送贫困户统节日慰问品、送为特殊贫困户送床、衣柜、急需物资以及铁丝等生产资料，帮助介绍打工，减免电大就学费用等，切实为贫困户解决许多实际困难，让贫困户切实感受到党、政府和社会的温暖，增强了脱贫的信心和决心。</w:t>
      </w:r>
    </w:p>
    <w:p>
      <w:pPr>
        <w:spacing w:line="420" w:lineRule="exact"/>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2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⑵</w:t>
      </w:r>
      <w:r>
        <w:rPr>
          <w:rFonts w:asciiTheme="minorEastAsia" w:hAnsiTheme="minorEastAsia" w:eastAsiaTheme="minorEastAsia"/>
          <w:sz w:val="24"/>
        </w:rPr>
        <w:fldChar w:fldCharType="end"/>
      </w:r>
      <w:r>
        <w:rPr>
          <w:rFonts w:hint="eastAsia" w:asciiTheme="minorEastAsia" w:hAnsiTheme="minorEastAsia" w:eastAsiaTheme="minorEastAsia"/>
          <w:sz w:val="24"/>
        </w:rPr>
        <w:t>.落实“双创”工作，共创文卫城市。按照峨眉山市“双创”相关要求，认真统筹、规划、组织“双创”工作，成立了师培中心“双创”工作小组。一是多次组织教职工宣传队、党员小组宣传队等宣传政策、打扫卫生。二是举办了4期以标语、宣传栏为载体的“双创”宣传。三是聘请专业卫生人员，对卫生死角、瓶颈进行了突击，先后投入经费1万余元对责任片区进行整治，为峨眉山市“双创”迎检贡献了单位的力量。</w:t>
      </w:r>
    </w:p>
    <w:p>
      <w:pPr>
        <w:spacing w:line="420" w:lineRule="exact"/>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3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⑶</w:t>
      </w:r>
      <w:r>
        <w:rPr>
          <w:rFonts w:asciiTheme="minorEastAsia" w:hAnsiTheme="minorEastAsia" w:eastAsiaTheme="minorEastAsia"/>
          <w:sz w:val="24"/>
        </w:rPr>
        <w:fldChar w:fldCharType="end"/>
      </w:r>
      <w:r>
        <w:rPr>
          <w:rFonts w:hint="eastAsia" w:asciiTheme="minorEastAsia" w:hAnsiTheme="minorEastAsia" w:eastAsiaTheme="minorEastAsia"/>
          <w:sz w:val="24"/>
        </w:rPr>
        <w:t>.关心教职员工，促进单位和谐。一是行政人员主动与教职员工沟通，了解困难、了解病痛、慰问心灵、以情暖人。二是充分发挥单位、工会、党支部的作用，给予生病住院职工、困难职工、新招聘异地无住房职工等物质上的帮助。三是坚持做好对“教师之家”的管理，进一步将其打造为一个放松精神、交流思想、畅谈理想、碰撞业务的场所。</w:t>
      </w: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widowControl/>
        <w:ind w:firstLine="480" w:firstLineChars="200"/>
        <w:jc w:val="left"/>
        <w:rPr>
          <w:rFonts w:ascii="仿宋" w:hAnsi="仿宋" w:eastAsia="仿宋"/>
          <w:color w:val="000000"/>
          <w:kern w:val="0"/>
          <w:sz w:val="32"/>
          <w:szCs w:val="32"/>
        </w:rPr>
      </w:pPr>
      <w:r>
        <w:rPr>
          <w:rFonts w:hint="eastAsia" w:asciiTheme="minorEastAsia" w:hAnsiTheme="minorEastAsia" w:eastAsiaTheme="minorEastAsia"/>
          <w:sz w:val="24"/>
        </w:rPr>
        <w:t>峨眉山市教师培训中心为财政全额拨款事业单位，</w:t>
      </w:r>
      <w:r>
        <w:rPr>
          <w:rFonts w:hint="eastAsia" w:cs="仿宋_GB2312" w:asciiTheme="minorEastAsia" w:hAnsiTheme="minorEastAsia" w:eastAsiaTheme="minorEastAsia"/>
          <w:kern w:val="0"/>
          <w:sz w:val="24"/>
          <w:shd w:val="clear" w:color="auto" w:fill="FFFFFF"/>
        </w:rPr>
        <w:t>事业编制数43人。年末本单位在编在册36人，其中</w:t>
      </w:r>
      <w:r>
        <w:rPr>
          <w:rFonts w:hint="eastAsia" w:asciiTheme="minorEastAsia" w:hAnsiTheme="minorEastAsia" w:eastAsiaTheme="minorEastAsia"/>
          <w:sz w:val="24"/>
        </w:rPr>
        <w:t>事业编制36人，实际在岗36人。退休37人，离休1人。</w:t>
      </w: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480" w:firstLineChars="20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2019年度收、支总计819.28万元。与2018年度收、支总计812.71万元相比，收、支总计各增加6.57万元，增长0.8</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 xml:space="preserve"> 。主要变动原因是工资变动等。</w:t>
      </w:r>
    </w:p>
    <w:p>
      <w:pPr>
        <w:spacing w:line="600" w:lineRule="exact"/>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（图</w:t>
      </w:r>
      <w:r>
        <w:rPr>
          <w:rFonts w:asciiTheme="minorEastAsia" w:hAnsiTheme="minorEastAsia" w:eastAsiaTheme="minorEastAsia"/>
          <w:color w:val="000000" w:themeColor="text1"/>
          <w:sz w:val="24"/>
        </w:rPr>
        <w:t>1</w:t>
      </w:r>
      <w:r>
        <w:rPr>
          <w:rFonts w:hint="eastAsia" w:asciiTheme="minorEastAsia" w:hAnsiTheme="minorEastAsia" w:eastAsiaTheme="minorEastAsia"/>
          <w:color w:val="000000" w:themeColor="text1"/>
          <w:sz w:val="24"/>
        </w:rPr>
        <w:t>：收、支决算总计变动情况图）（柱状图）</w:t>
      </w:r>
    </w:p>
    <w:tbl>
      <w:tblPr>
        <w:tblStyle w:val="12"/>
        <w:tblW w:w="5918" w:type="dxa"/>
        <w:tblInd w:w="108" w:type="dxa"/>
        <w:tblLayout w:type="autofit"/>
        <w:tblCellMar>
          <w:top w:w="0" w:type="dxa"/>
          <w:left w:w="108" w:type="dxa"/>
          <w:bottom w:w="0" w:type="dxa"/>
          <w:right w:w="108" w:type="dxa"/>
        </w:tblCellMar>
      </w:tblPr>
      <w:tblGrid>
        <w:gridCol w:w="1296"/>
        <w:gridCol w:w="1096"/>
        <w:gridCol w:w="776"/>
        <w:gridCol w:w="1096"/>
        <w:gridCol w:w="1096"/>
        <w:gridCol w:w="222"/>
        <w:gridCol w:w="336"/>
      </w:tblGrid>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r>
              <w:rPr>
                <w:rFonts w:ascii="宋体" w:hAnsi="宋体" w:cs="宋体"/>
                <w:kern w:val="0"/>
                <w:sz w:val="20"/>
                <w:szCs w:val="20"/>
              </w:rPr>
              <w:drawing>
                <wp:anchor distT="0" distB="0" distL="114300" distR="114300" simplePos="0" relativeHeight="251664384" behindDoc="0" locked="0" layoutInCell="1" allowOverlap="1">
                  <wp:simplePos x="0" y="0"/>
                  <wp:positionH relativeFrom="column">
                    <wp:posOffset>107315</wp:posOffset>
                  </wp:positionH>
                  <wp:positionV relativeFrom="paragraph">
                    <wp:posOffset>43815</wp:posOffset>
                  </wp:positionV>
                  <wp:extent cx="5643880" cy="2536190"/>
                  <wp:effectExtent l="19050" t="0" r="13970" b="0"/>
                  <wp:wrapNone/>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bl>
            <w:tblPr>
              <w:tblStyle w:val="12"/>
              <w:tblW w:w="0" w:type="auto"/>
              <w:tblCellSpacing w:w="0" w:type="dxa"/>
              <w:tblInd w:w="0" w:type="dxa"/>
              <w:tblLayout w:type="autofit"/>
              <w:tblCellMar>
                <w:top w:w="0" w:type="dxa"/>
                <w:left w:w="0" w:type="dxa"/>
                <w:bottom w:w="0" w:type="dxa"/>
                <w:right w:w="0" w:type="dxa"/>
              </w:tblCellMar>
            </w:tblPr>
            <w:tblGrid>
              <w:gridCol w:w="1080"/>
            </w:tblGrid>
            <w:tr>
              <w:tblPrEx>
                <w:tblCellMar>
                  <w:top w:w="0" w:type="dxa"/>
                  <w:left w:w="0" w:type="dxa"/>
                  <w:bottom w:w="0" w:type="dxa"/>
                  <w:right w:w="0" w:type="dxa"/>
                </w:tblCellMar>
              </w:tblPrEx>
              <w:trPr>
                <w:trHeight w:val="285" w:hRule="atLeast"/>
                <w:tblCellSpacing w:w="0" w:type="dxa"/>
              </w:trPr>
              <w:tc>
                <w:tcPr>
                  <w:tcW w:w="1080"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bl>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bl>
    <w:p>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480" w:firstLineChars="200"/>
        <w:outlineLvl w:val="1"/>
        <w:rPr>
          <w:rFonts w:hint="eastAsia" w:asciiTheme="minorEastAsia" w:hAnsiTheme="minorEastAsia" w:eastAsiaTheme="minorEastAsia"/>
          <w:color w:val="000000"/>
          <w:sz w:val="24"/>
        </w:rPr>
      </w:pPr>
      <w:r>
        <w:rPr>
          <w:rFonts w:asciiTheme="minorEastAsia" w:hAnsiTheme="minorEastAsia" w:eastAsiaTheme="minorEastAsia"/>
          <w:color w:val="000000"/>
          <w:sz w:val="24"/>
        </w:rPr>
        <w:t>201</w:t>
      </w:r>
      <w:r>
        <w:rPr>
          <w:rFonts w:hint="eastAsia" w:asciiTheme="minorEastAsia" w:hAnsiTheme="minorEastAsia" w:eastAsiaTheme="minorEastAsia"/>
          <w:color w:val="000000"/>
          <w:sz w:val="24"/>
        </w:rPr>
        <w:t>9年本年收入合计819.28万元，其中：一般公共预算财政拨款收入707.16万元，占86</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；事业收入112.12万元，占14</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w:t>
      </w:r>
    </w:p>
    <w:p>
      <w:pPr>
        <w:spacing w:line="600" w:lineRule="exact"/>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（图2：收入决算结构图）（饼状图）</w:t>
      </w:r>
    </w:p>
    <w:tbl>
      <w:tblPr>
        <w:tblStyle w:val="12"/>
        <w:tblW w:w="6328" w:type="dxa"/>
        <w:tblInd w:w="108" w:type="dxa"/>
        <w:tblLayout w:type="autofit"/>
        <w:tblCellMar>
          <w:top w:w="0" w:type="dxa"/>
          <w:left w:w="108" w:type="dxa"/>
          <w:bottom w:w="0" w:type="dxa"/>
          <w:right w:w="108" w:type="dxa"/>
        </w:tblCellMar>
      </w:tblPr>
      <w:tblGrid>
        <w:gridCol w:w="1706"/>
        <w:gridCol w:w="1096"/>
        <w:gridCol w:w="776"/>
        <w:gridCol w:w="1096"/>
        <w:gridCol w:w="1096"/>
        <w:gridCol w:w="222"/>
        <w:gridCol w:w="336"/>
      </w:tblGrid>
      <w:tr>
        <w:tblPrEx>
          <w:tblCellMar>
            <w:top w:w="0" w:type="dxa"/>
            <w:left w:w="108" w:type="dxa"/>
            <w:bottom w:w="0" w:type="dxa"/>
            <w:right w:w="108" w:type="dxa"/>
          </w:tblCellMar>
        </w:tblPrEx>
        <w:trPr>
          <w:trHeight w:val="285" w:hRule="atLeast"/>
        </w:trPr>
        <w:tc>
          <w:tcPr>
            <w:tcW w:w="1706" w:type="dxa"/>
            <w:tcBorders>
              <w:top w:val="nil"/>
              <w:left w:val="nil"/>
              <w:bottom w:val="nil"/>
              <w:right w:val="nil"/>
            </w:tcBorders>
            <w:shd w:val="clear" w:color="auto" w:fill="auto"/>
            <w:noWrap/>
            <w:vAlign w:val="bottom"/>
          </w:tcPr>
          <w:p>
            <w:pPr>
              <w:widowControl/>
              <w:jc w:val="left"/>
              <w:rPr>
                <w:rFonts w:ascii="宋体" w:hAnsi="宋体" w:cs="宋体"/>
                <w:kern w:val="0"/>
                <w:sz w:val="24"/>
              </w:rPr>
            </w:pPr>
            <w:r>
              <w:rPr>
                <w:rFonts w:ascii="宋体" w:hAnsi="宋体" w:cs="宋体"/>
                <w:kern w:val="0"/>
                <w:sz w:val="24"/>
              </w:rPr>
              <w:drawing>
                <wp:anchor distT="0" distB="0" distL="114300" distR="114300" simplePos="0" relativeHeight="251663360" behindDoc="0" locked="0" layoutInCell="1" allowOverlap="1">
                  <wp:simplePos x="0" y="0"/>
                  <wp:positionH relativeFrom="column">
                    <wp:posOffset>107315</wp:posOffset>
                  </wp:positionH>
                  <wp:positionV relativeFrom="paragraph">
                    <wp:posOffset>155575</wp:posOffset>
                  </wp:positionV>
                  <wp:extent cx="5716270" cy="1672590"/>
                  <wp:effectExtent l="19050" t="0" r="17780" b="3810"/>
                  <wp:wrapNone/>
                  <wp:docPr id="11" name="图片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70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70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70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bl>
            <w:tblPr>
              <w:tblStyle w:val="12"/>
              <w:tblW w:w="0" w:type="auto"/>
              <w:tblCellSpacing w:w="0" w:type="dxa"/>
              <w:tblInd w:w="0" w:type="dxa"/>
              <w:tblLayout w:type="autofit"/>
              <w:tblCellMar>
                <w:top w:w="0" w:type="dxa"/>
                <w:left w:w="0" w:type="dxa"/>
                <w:bottom w:w="0" w:type="dxa"/>
                <w:right w:w="0" w:type="dxa"/>
              </w:tblCellMar>
            </w:tblPr>
            <w:tblGrid>
              <w:gridCol w:w="1080"/>
            </w:tblGrid>
            <w:tr>
              <w:tblPrEx>
                <w:tblCellMar>
                  <w:top w:w="0" w:type="dxa"/>
                  <w:left w:w="0" w:type="dxa"/>
                  <w:bottom w:w="0" w:type="dxa"/>
                  <w:right w:w="0" w:type="dxa"/>
                </w:tblCellMar>
              </w:tblPrEx>
              <w:trPr>
                <w:trHeight w:val="285" w:hRule="atLeast"/>
                <w:tblCellSpacing w:w="0" w:type="dxa"/>
              </w:trPr>
              <w:tc>
                <w:tcPr>
                  <w:tcW w:w="108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bl>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70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70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70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bl>
    <w:p>
      <w:pPr>
        <w:pStyle w:val="23"/>
        <w:numPr>
          <w:ilvl w:val="0"/>
          <w:numId w:val="1"/>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pStyle w:val="23"/>
        <w:spacing w:line="600" w:lineRule="exact"/>
        <w:ind w:left="1430" w:firstLine="0" w:firstLineChars="0"/>
        <w:outlineLvl w:val="1"/>
        <w:rPr>
          <w:rStyle w:val="25"/>
          <w:rFonts w:ascii="黑体" w:hAnsi="黑体" w:eastAsia="黑体"/>
          <w:b w:val="0"/>
        </w:rPr>
      </w:pPr>
      <w:r>
        <w:rPr>
          <w:rStyle w:val="25"/>
          <w:rFonts w:hint="eastAsia" w:ascii="黑体" w:hAnsi="黑体" w:eastAsia="黑体"/>
          <w:b w:val="0"/>
        </w:rPr>
        <w:t>三、</w:t>
      </w:r>
      <w:r>
        <w:rPr>
          <w:rFonts w:hint="eastAsia" w:ascii="黑体" w:hAnsi="黑体" w:eastAsia="黑体"/>
          <w:color w:val="000000"/>
          <w:sz w:val="32"/>
          <w:szCs w:val="32"/>
        </w:rPr>
        <w:t>支</w:t>
      </w:r>
      <w:r>
        <w:rPr>
          <w:rStyle w:val="25"/>
          <w:rFonts w:hint="eastAsia" w:ascii="黑体" w:hAnsi="黑体" w:eastAsia="黑体"/>
          <w:b w:val="0"/>
        </w:rPr>
        <w:t>出决算情况说明</w:t>
      </w:r>
    </w:p>
    <w:p>
      <w:pPr>
        <w:spacing w:line="600" w:lineRule="exact"/>
        <w:ind w:firstLine="480" w:firstLineChars="200"/>
        <w:outlineLvl w:val="1"/>
        <w:rPr>
          <w:rFonts w:hint="eastAsia" w:asciiTheme="minorEastAsia" w:hAnsiTheme="minorEastAsia" w:eastAsiaTheme="minorEastAsia"/>
          <w:color w:val="000000"/>
          <w:sz w:val="24"/>
        </w:rPr>
      </w:pPr>
      <w:r>
        <w:rPr>
          <w:rFonts w:asciiTheme="minorEastAsia" w:hAnsiTheme="minorEastAsia" w:eastAsiaTheme="minorEastAsia"/>
          <w:color w:val="000000"/>
          <w:sz w:val="24"/>
        </w:rPr>
        <w:t>201</w:t>
      </w:r>
      <w:r>
        <w:rPr>
          <w:rFonts w:hint="eastAsia" w:asciiTheme="minorEastAsia" w:hAnsiTheme="minorEastAsia" w:eastAsiaTheme="minorEastAsia"/>
          <w:color w:val="000000"/>
          <w:sz w:val="24"/>
        </w:rPr>
        <w:t>9年本年支出合计819.28万元，其中：基本支出759.68万元，占93</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；项目支出59.6万元，占7</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 xml:space="preserve"> </w:t>
      </w:r>
    </w:p>
    <w:p>
      <w:pPr>
        <w:spacing w:line="600" w:lineRule="exact"/>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（图3：支出决算结构图）（饼状图）</w:t>
      </w:r>
    </w:p>
    <w:tbl>
      <w:tblPr>
        <w:tblStyle w:val="12"/>
        <w:tblW w:w="6734" w:type="dxa"/>
        <w:tblInd w:w="108" w:type="dxa"/>
        <w:tblLayout w:type="autofit"/>
        <w:tblCellMar>
          <w:top w:w="0" w:type="dxa"/>
          <w:left w:w="108" w:type="dxa"/>
          <w:bottom w:w="0" w:type="dxa"/>
          <w:right w:w="108" w:type="dxa"/>
        </w:tblCellMar>
      </w:tblPr>
      <w:tblGrid>
        <w:gridCol w:w="816"/>
        <w:gridCol w:w="1296"/>
        <w:gridCol w:w="1096"/>
        <w:gridCol w:w="776"/>
        <w:gridCol w:w="1096"/>
        <w:gridCol w:w="1096"/>
        <w:gridCol w:w="222"/>
        <w:gridCol w:w="336"/>
      </w:tblGrid>
      <w:tr>
        <w:tblPrEx>
          <w:tblCellMar>
            <w:top w:w="0" w:type="dxa"/>
            <w:left w:w="108" w:type="dxa"/>
            <w:bottom w:w="0" w:type="dxa"/>
            <w:right w:w="108" w:type="dxa"/>
          </w:tblCellMar>
        </w:tblPrEx>
        <w:trPr>
          <w:trHeight w:val="285" w:hRule="atLeast"/>
        </w:trPr>
        <w:tc>
          <w:tcPr>
            <w:tcW w:w="816" w:type="dxa"/>
            <w:tcBorders>
              <w:top w:val="nil"/>
              <w:left w:val="nil"/>
              <w:bottom w:val="nil"/>
              <w:right w:val="nil"/>
            </w:tcBorders>
            <w:shd w:val="clear" w:color="auto" w:fill="auto"/>
            <w:noWrap/>
            <w:vAlign w:val="bottom"/>
          </w:tcPr>
          <w:p>
            <w:pPr>
              <w:widowControl/>
              <w:jc w:val="right"/>
              <w:rPr>
                <w:rFonts w:ascii="宋体" w:hAnsi="宋体" w:cs="宋体"/>
                <w:kern w:val="0"/>
                <w:sz w:val="20"/>
                <w:szCs w:val="20"/>
              </w:rPr>
            </w:pPr>
            <w:r>
              <w:rPr>
                <w:rFonts w:ascii="宋体" w:hAnsi="宋体" w:cs="宋体"/>
                <w:kern w:val="0"/>
                <w:sz w:val="20"/>
                <w:szCs w:val="20"/>
              </w:rPr>
              <w:drawing>
                <wp:anchor distT="0" distB="0" distL="114300" distR="114300" simplePos="0" relativeHeight="251662336" behindDoc="0" locked="0" layoutInCell="1" allowOverlap="1">
                  <wp:simplePos x="0" y="0"/>
                  <wp:positionH relativeFrom="column">
                    <wp:posOffset>-36195</wp:posOffset>
                  </wp:positionH>
                  <wp:positionV relativeFrom="paragraph">
                    <wp:posOffset>114935</wp:posOffset>
                  </wp:positionV>
                  <wp:extent cx="5777230" cy="1414780"/>
                  <wp:effectExtent l="19050" t="0" r="13970" b="0"/>
                  <wp:wrapNone/>
                  <wp:docPr id="10" name="图片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tc>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816" w:type="dxa"/>
            <w:tcBorders>
              <w:top w:val="nil"/>
              <w:left w:val="nil"/>
              <w:bottom w:val="nil"/>
              <w:right w:val="nil"/>
            </w:tcBorders>
            <w:shd w:val="clear" w:color="auto" w:fill="auto"/>
            <w:noWrap/>
            <w:vAlign w:val="bottom"/>
          </w:tcPr>
          <w:p>
            <w:pPr>
              <w:widowControl/>
              <w:jc w:val="right"/>
              <w:rPr>
                <w:rFonts w:ascii="宋体" w:hAnsi="宋体" w:cs="宋体"/>
                <w:kern w:val="0"/>
                <w:sz w:val="20"/>
                <w:szCs w:val="20"/>
              </w:rPr>
            </w:pPr>
          </w:p>
        </w:tc>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816" w:type="dxa"/>
            <w:tcBorders>
              <w:top w:val="nil"/>
              <w:left w:val="nil"/>
              <w:bottom w:val="nil"/>
              <w:right w:val="nil"/>
            </w:tcBorders>
            <w:shd w:val="clear" w:color="auto" w:fill="auto"/>
            <w:noWrap/>
            <w:vAlign w:val="bottom"/>
          </w:tcPr>
          <w:p>
            <w:pPr>
              <w:widowControl/>
              <w:jc w:val="right"/>
              <w:rPr>
                <w:rFonts w:ascii="宋体" w:hAnsi="宋体" w:cs="宋体"/>
                <w:kern w:val="0"/>
                <w:sz w:val="20"/>
                <w:szCs w:val="20"/>
              </w:rPr>
            </w:pPr>
          </w:p>
        </w:tc>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bl>
            <w:tblPr>
              <w:tblStyle w:val="12"/>
              <w:tblW w:w="0" w:type="auto"/>
              <w:tblCellSpacing w:w="0" w:type="dxa"/>
              <w:tblInd w:w="0" w:type="dxa"/>
              <w:tblLayout w:type="autofit"/>
              <w:tblCellMar>
                <w:top w:w="0" w:type="dxa"/>
                <w:left w:w="0" w:type="dxa"/>
                <w:bottom w:w="0" w:type="dxa"/>
                <w:right w:w="0" w:type="dxa"/>
              </w:tblCellMar>
            </w:tblPr>
            <w:tblGrid>
              <w:gridCol w:w="1080"/>
            </w:tblGrid>
            <w:tr>
              <w:tblPrEx>
                <w:tblCellMar>
                  <w:top w:w="0" w:type="dxa"/>
                  <w:left w:w="0" w:type="dxa"/>
                  <w:bottom w:w="0" w:type="dxa"/>
                  <w:right w:w="0" w:type="dxa"/>
                </w:tblCellMar>
              </w:tblPrEx>
              <w:trPr>
                <w:trHeight w:val="285" w:hRule="atLeast"/>
                <w:tblCellSpacing w:w="0" w:type="dxa"/>
              </w:trPr>
              <w:tc>
                <w:tcPr>
                  <w:tcW w:w="108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bl>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816" w:type="dxa"/>
            <w:tcBorders>
              <w:top w:val="nil"/>
              <w:left w:val="nil"/>
              <w:bottom w:val="nil"/>
              <w:right w:val="nil"/>
            </w:tcBorders>
            <w:shd w:val="clear" w:color="auto" w:fill="auto"/>
            <w:noWrap/>
            <w:vAlign w:val="bottom"/>
          </w:tcPr>
          <w:p>
            <w:pPr>
              <w:widowControl/>
              <w:jc w:val="right"/>
              <w:rPr>
                <w:rFonts w:ascii="宋体" w:hAnsi="宋体" w:cs="宋体"/>
                <w:kern w:val="0"/>
                <w:sz w:val="20"/>
                <w:szCs w:val="20"/>
              </w:rPr>
            </w:pPr>
          </w:p>
        </w:tc>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816" w:type="dxa"/>
            <w:tcBorders>
              <w:top w:val="nil"/>
              <w:left w:val="nil"/>
              <w:bottom w:val="nil"/>
              <w:right w:val="nil"/>
            </w:tcBorders>
            <w:shd w:val="clear" w:color="auto" w:fill="auto"/>
            <w:noWrap/>
            <w:vAlign w:val="bottom"/>
          </w:tcPr>
          <w:p>
            <w:pPr>
              <w:widowControl/>
              <w:jc w:val="right"/>
              <w:rPr>
                <w:rFonts w:ascii="宋体" w:hAnsi="宋体" w:cs="宋体"/>
                <w:kern w:val="0"/>
                <w:sz w:val="20"/>
                <w:szCs w:val="20"/>
              </w:rPr>
            </w:pPr>
          </w:p>
        </w:tc>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81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81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81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bl>
    <w:p>
      <w:pPr>
        <w:spacing w:line="600" w:lineRule="exact"/>
        <w:ind w:firstLine="480" w:firstLineChars="15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hint="eastAsia" w:asciiTheme="minorEastAsia" w:hAnsiTheme="minorEastAsia" w:eastAsiaTheme="minorEastAsia"/>
          <w:color w:val="000000"/>
          <w:sz w:val="24"/>
        </w:rPr>
      </w:pPr>
      <w:r>
        <w:rPr>
          <w:rFonts w:asciiTheme="minorEastAsia" w:hAnsiTheme="minorEastAsia" w:eastAsiaTheme="minorEastAsia"/>
          <w:color w:val="000000"/>
          <w:sz w:val="24"/>
        </w:rPr>
        <w:t>201</w:t>
      </w:r>
      <w:r>
        <w:rPr>
          <w:rFonts w:hint="eastAsia" w:asciiTheme="minorEastAsia" w:hAnsiTheme="minorEastAsia" w:eastAsiaTheme="minorEastAsia"/>
          <w:color w:val="000000"/>
          <w:sz w:val="24"/>
        </w:rPr>
        <w:t>9年财政拨款收、支总计707.16万元。与</w:t>
      </w:r>
      <w:r>
        <w:rPr>
          <w:rFonts w:asciiTheme="minorEastAsia" w:hAnsiTheme="minorEastAsia" w:eastAsiaTheme="minorEastAsia"/>
          <w:color w:val="000000"/>
          <w:sz w:val="24"/>
        </w:rPr>
        <w:t>201</w:t>
      </w:r>
      <w:r>
        <w:rPr>
          <w:rFonts w:hint="eastAsia" w:asciiTheme="minorEastAsia" w:hAnsiTheme="minorEastAsia" w:eastAsiaTheme="minorEastAsia"/>
          <w:color w:val="000000"/>
          <w:sz w:val="24"/>
        </w:rPr>
        <w:t>8财政拨款收、支总计692.92万元年相比，财政拨款收、支总计各增加14.24万元，增长2</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。主要变动原因是工资调整等。</w:t>
      </w:r>
    </w:p>
    <w:p>
      <w:pPr>
        <w:spacing w:line="600" w:lineRule="exact"/>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（图4：财政拨款收、支决算总计变动情况）（柱状图）</w:t>
      </w:r>
    </w:p>
    <w:tbl>
      <w:tblPr>
        <w:tblStyle w:val="12"/>
        <w:tblW w:w="5918" w:type="dxa"/>
        <w:tblInd w:w="108" w:type="dxa"/>
        <w:tblLayout w:type="autofit"/>
        <w:tblCellMar>
          <w:top w:w="0" w:type="dxa"/>
          <w:left w:w="108" w:type="dxa"/>
          <w:bottom w:w="0" w:type="dxa"/>
          <w:right w:w="108" w:type="dxa"/>
        </w:tblCellMar>
      </w:tblPr>
      <w:tblGrid>
        <w:gridCol w:w="1296"/>
        <w:gridCol w:w="1096"/>
        <w:gridCol w:w="776"/>
        <w:gridCol w:w="1096"/>
        <w:gridCol w:w="1096"/>
        <w:gridCol w:w="222"/>
        <w:gridCol w:w="336"/>
      </w:tblGrid>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r>
              <w:rPr>
                <w:rFonts w:ascii="宋体" w:hAnsi="宋体" w:cs="宋体"/>
                <w:kern w:val="0"/>
                <w:sz w:val="20"/>
                <w:szCs w:val="20"/>
              </w:rPr>
              <w:drawing>
                <wp:anchor distT="0" distB="0" distL="114300" distR="114300" simplePos="0" relativeHeight="251659264" behindDoc="0" locked="0" layoutInCell="1" allowOverlap="1">
                  <wp:simplePos x="0" y="0"/>
                  <wp:positionH relativeFrom="column">
                    <wp:posOffset>107315</wp:posOffset>
                  </wp:positionH>
                  <wp:positionV relativeFrom="paragraph">
                    <wp:posOffset>139700</wp:posOffset>
                  </wp:positionV>
                  <wp:extent cx="5816600" cy="2043430"/>
                  <wp:effectExtent l="19050" t="0" r="12700" b="0"/>
                  <wp:wrapNone/>
                  <wp:docPr id="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bl>
            <w:tblPr>
              <w:tblStyle w:val="12"/>
              <w:tblW w:w="0" w:type="auto"/>
              <w:tblCellSpacing w:w="0" w:type="dxa"/>
              <w:tblInd w:w="0" w:type="dxa"/>
              <w:tblLayout w:type="autofit"/>
              <w:tblCellMar>
                <w:top w:w="0" w:type="dxa"/>
                <w:left w:w="0" w:type="dxa"/>
                <w:bottom w:w="0" w:type="dxa"/>
                <w:right w:w="0" w:type="dxa"/>
              </w:tblCellMar>
            </w:tblPr>
            <w:tblGrid>
              <w:gridCol w:w="1080"/>
            </w:tblGrid>
            <w:tr>
              <w:tblPrEx>
                <w:tblCellMar>
                  <w:top w:w="0" w:type="dxa"/>
                  <w:left w:w="0" w:type="dxa"/>
                  <w:bottom w:w="0" w:type="dxa"/>
                  <w:right w:w="0" w:type="dxa"/>
                </w:tblCellMar>
              </w:tblPrEx>
              <w:trPr>
                <w:trHeight w:val="285" w:hRule="atLeast"/>
                <w:tblCellSpacing w:w="0" w:type="dxa"/>
              </w:trPr>
              <w:tc>
                <w:tcPr>
                  <w:tcW w:w="1080"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bl>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bl>
    <w:p>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480" w:firstLineChars="200"/>
        <w:rPr>
          <w:rFonts w:hint="eastAsia" w:asciiTheme="minorEastAsia" w:hAnsiTheme="minorEastAsia" w:eastAsiaTheme="minorEastAsia"/>
          <w:color w:val="000000"/>
          <w:sz w:val="24"/>
        </w:rPr>
      </w:pPr>
      <w:r>
        <w:rPr>
          <w:rFonts w:asciiTheme="minorEastAsia" w:hAnsiTheme="minorEastAsia" w:eastAsiaTheme="minorEastAsia"/>
          <w:color w:val="000000"/>
          <w:sz w:val="24"/>
        </w:rPr>
        <w:t>201</w:t>
      </w:r>
      <w:r>
        <w:rPr>
          <w:rFonts w:hint="eastAsia" w:asciiTheme="minorEastAsia" w:hAnsiTheme="minorEastAsia" w:eastAsiaTheme="minorEastAsia"/>
          <w:color w:val="000000"/>
          <w:sz w:val="24"/>
        </w:rPr>
        <w:t>9年一般公共预算财政拨款支出707.16万元，占本年支出合计的86</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。与</w:t>
      </w:r>
      <w:r>
        <w:rPr>
          <w:rFonts w:asciiTheme="minorEastAsia" w:hAnsiTheme="minorEastAsia" w:eastAsiaTheme="minorEastAsia"/>
          <w:color w:val="000000"/>
          <w:sz w:val="24"/>
        </w:rPr>
        <w:t>201</w:t>
      </w:r>
      <w:r>
        <w:rPr>
          <w:rFonts w:hint="eastAsia" w:asciiTheme="minorEastAsia" w:hAnsiTheme="minorEastAsia" w:eastAsiaTheme="minorEastAsia"/>
          <w:color w:val="000000"/>
          <w:sz w:val="24"/>
        </w:rPr>
        <w:t>8年一般公共预算财政拨款支出692.92万元相比，一般公共预算财政拨款增加14.24万元，增长2</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。主要变动原因是工资变动等。</w:t>
      </w:r>
    </w:p>
    <w:p>
      <w:pPr>
        <w:spacing w:line="600" w:lineRule="exact"/>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（图5：一般公共预算财政拨款支出决算变动情况）（柱状图）</w:t>
      </w:r>
    </w:p>
    <w:tbl>
      <w:tblPr>
        <w:tblStyle w:val="12"/>
        <w:tblW w:w="7014" w:type="dxa"/>
        <w:tblInd w:w="108" w:type="dxa"/>
        <w:tblLayout w:type="autofit"/>
        <w:tblCellMar>
          <w:top w:w="0" w:type="dxa"/>
          <w:left w:w="108" w:type="dxa"/>
          <w:bottom w:w="0" w:type="dxa"/>
          <w:right w:w="108" w:type="dxa"/>
        </w:tblCellMar>
      </w:tblPr>
      <w:tblGrid>
        <w:gridCol w:w="1296"/>
        <w:gridCol w:w="1096"/>
        <w:gridCol w:w="776"/>
        <w:gridCol w:w="1096"/>
        <w:gridCol w:w="1096"/>
        <w:gridCol w:w="222"/>
        <w:gridCol w:w="336"/>
        <w:gridCol w:w="1096"/>
      </w:tblGrid>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4"/>
              </w:rPr>
            </w:pPr>
            <w:r>
              <w:rPr>
                <w:rFonts w:ascii="宋体" w:hAnsi="宋体" w:cs="宋体"/>
                <w:kern w:val="0"/>
                <w:sz w:val="24"/>
              </w:rPr>
              <w:drawing>
                <wp:anchor distT="0" distB="0" distL="114300" distR="114300" simplePos="0" relativeHeight="251661312" behindDoc="0" locked="0" layoutInCell="1" allowOverlap="1">
                  <wp:simplePos x="0" y="0"/>
                  <wp:positionH relativeFrom="column">
                    <wp:posOffset>32385</wp:posOffset>
                  </wp:positionH>
                  <wp:positionV relativeFrom="paragraph">
                    <wp:posOffset>114935</wp:posOffset>
                  </wp:positionV>
                  <wp:extent cx="5445125" cy="1455420"/>
                  <wp:effectExtent l="19050" t="0" r="22225" b="0"/>
                  <wp:wrapNone/>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bl>
            <w:tblPr>
              <w:tblStyle w:val="12"/>
              <w:tblW w:w="0" w:type="auto"/>
              <w:tblCellSpacing w:w="0" w:type="dxa"/>
              <w:tblInd w:w="0" w:type="dxa"/>
              <w:tblLayout w:type="autofit"/>
              <w:tblCellMar>
                <w:top w:w="0" w:type="dxa"/>
                <w:left w:w="0" w:type="dxa"/>
                <w:bottom w:w="0" w:type="dxa"/>
                <w:right w:w="0" w:type="dxa"/>
              </w:tblCellMar>
            </w:tblPr>
            <w:tblGrid>
              <w:gridCol w:w="1080"/>
            </w:tblGrid>
            <w:tr>
              <w:tblPrEx>
                <w:tblCellMar>
                  <w:top w:w="0" w:type="dxa"/>
                  <w:left w:w="0" w:type="dxa"/>
                  <w:bottom w:w="0" w:type="dxa"/>
                  <w:right w:w="0" w:type="dxa"/>
                </w:tblCellMar>
              </w:tblPrEx>
              <w:trPr>
                <w:trHeight w:val="285" w:hRule="atLeast"/>
                <w:tblCellSpacing w:w="0" w:type="dxa"/>
              </w:trPr>
              <w:tc>
                <w:tcPr>
                  <w:tcW w:w="1080"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bl>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2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bl>
    <w:p>
      <w:pPr>
        <w:spacing w:line="600" w:lineRule="exact"/>
        <w:ind w:firstLine="643" w:firstLineChars="200"/>
        <w:outlineLvl w:val="2"/>
        <w:rPr>
          <w:rFonts w:hint="eastAsia" w:ascii="仿宋" w:hAnsi="仿宋" w:eastAsia="仿宋"/>
          <w:b/>
          <w:color w:val="000000"/>
          <w:sz w:val="32"/>
          <w:szCs w:val="32"/>
        </w:rPr>
      </w:pPr>
      <w:bookmarkStart w:id="35" w:name="_Toc15377211"/>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eastAsia" w:asciiTheme="minorEastAsia" w:hAnsiTheme="minorEastAsia" w:eastAsiaTheme="minorEastAsia"/>
          <w:color w:val="000000" w:themeColor="text1"/>
          <w:sz w:val="24"/>
        </w:rPr>
      </w:pPr>
      <w:r>
        <w:rPr>
          <w:rFonts w:asciiTheme="minorEastAsia" w:hAnsiTheme="minorEastAsia" w:eastAsiaTheme="minorEastAsia"/>
          <w:color w:val="000000"/>
          <w:sz w:val="24"/>
        </w:rPr>
        <w:t>201</w:t>
      </w:r>
      <w:r>
        <w:rPr>
          <w:rFonts w:hint="eastAsia" w:asciiTheme="minorEastAsia" w:hAnsiTheme="minorEastAsia" w:eastAsiaTheme="minorEastAsia"/>
          <w:color w:val="000000"/>
          <w:sz w:val="24"/>
        </w:rPr>
        <w:t>9年一般公共预算财</w:t>
      </w:r>
      <w:r>
        <w:rPr>
          <w:rFonts w:hint="eastAsia" w:asciiTheme="minorEastAsia" w:hAnsiTheme="minorEastAsia" w:eastAsiaTheme="minorEastAsia"/>
          <w:color w:val="000000" w:themeColor="text1"/>
          <w:sz w:val="24"/>
        </w:rPr>
        <w:t>政拨款支出707.16万元，主要用于以下方面</w:t>
      </w:r>
      <w:r>
        <w:rPr>
          <w:rFonts w:asciiTheme="minorEastAsia" w:hAnsiTheme="minorEastAsia" w:eastAsiaTheme="minorEastAsia"/>
          <w:color w:val="000000" w:themeColor="text1"/>
          <w:sz w:val="24"/>
        </w:rPr>
        <w:t>:</w:t>
      </w:r>
      <w:r>
        <w:rPr>
          <w:rFonts w:hint="eastAsia" w:asciiTheme="minorEastAsia" w:hAnsiTheme="minorEastAsia" w:eastAsiaTheme="minorEastAsia"/>
          <w:b/>
          <w:color w:val="000000" w:themeColor="text1"/>
          <w:sz w:val="24"/>
        </w:rPr>
        <w:t>教育支出（类）</w:t>
      </w:r>
      <w:r>
        <w:rPr>
          <w:rFonts w:hint="eastAsia" w:asciiTheme="minorEastAsia" w:hAnsiTheme="minorEastAsia" w:eastAsiaTheme="minorEastAsia"/>
          <w:color w:val="000000" w:themeColor="text1"/>
          <w:sz w:val="24"/>
        </w:rPr>
        <w:t>537.83万元，占76</w:t>
      </w:r>
      <w:r>
        <w:rPr>
          <w:rFonts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b/>
          <w:color w:val="000000" w:themeColor="text1"/>
          <w:sz w:val="24"/>
        </w:rPr>
        <w:t>社会保障和就业（类）</w:t>
      </w:r>
      <w:r>
        <w:rPr>
          <w:rFonts w:hint="eastAsia" w:asciiTheme="minorEastAsia" w:hAnsiTheme="minorEastAsia" w:eastAsiaTheme="minorEastAsia"/>
          <w:color w:val="000000" w:themeColor="text1"/>
          <w:sz w:val="24"/>
        </w:rPr>
        <w:t>支出99.45万元，占14</w:t>
      </w:r>
      <w:r>
        <w:rPr>
          <w:rFonts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b/>
          <w:bCs/>
          <w:color w:val="000000" w:themeColor="text1"/>
          <w:sz w:val="24"/>
        </w:rPr>
        <w:t>卫生健康支出</w:t>
      </w:r>
      <w:r>
        <w:rPr>
          <w:rFonts w:hint="eastAsia" w:asciiTheme="minorEastAsia" w:hAnsiTheme="minorEastAsia" w:eastAsiaTheme="minorEastAsia"/>
          <w:color w:val="000000" w:themeColor="text1"/>
          <w:sz w:val="24"/>
        </w:rPr>
        <w:t>19.4万元，占3</w:t>
      </w:r>
      <w:r>
        <w:rPr>
          <w:rFonts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；住房保障支出50.48万元，占7</w:t>
      </w:r>
      <w:r>
        <w:rPr>
          <w:rFonts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w:t>
      </w:r>
      <w:r>
        <w:rPr>
          <w:rFonts w:asciiTheme="minorEastAsia" w:hAnsiTheme="minorEastAsia" w:eastAsiaTheme="minorEastAsia"/>
          <w:color w:val="000000" w:themeColor="text1"/>
          <w:sz w:val="24"/>
        </w:rPr>
        <w:t xml:space="preserve"> </w:t>
      </w:r>
    </w:p>
    <w:p>
      <w:pPr>
        <w:spacing w:line="6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（图6：一般公共预算财政拨款支出决算结构）（饼状图）</w:t>
      </w:r>
    </w:p>
    <w:tbl>
      <w:tblPr>
        <w:tblStyle w:val="12"/>
        <w:tblW w:w="6694" w:type="dxa"/>
        <w:tblInd w:w="108" w:type="dxa"/>
        <w:tblLayout w:type="autofit"/>
        <w:tblCellMar>
          <w:top w:w="0" w:type="dxa"/>
          <w:left w:w="108" w:type="dxa"/>
          <w:bottom w:w="0" w:type="dxa"/>
          <w:right w:w="108" w:type="dxa"/>
        </w:tblCellMar>
      </w:tblPr>
      <w:tblGrid>
        <w:gridCol w:w="976"/>
        <w:gridCol w:w="1096"/>
        <w:gridCol w:w="1096"/>
        <w:gridCol w:w="776"/>
        <w:gridCol w:w="1096"/>
        <w:gridCol w:w="1096"/>
        <w:gridCol w:w="222"/>
        <w:gridCol w:w="336"/>
      </w:tblGrid>
      <w:tr>
        <w:tblPrEx>
          <w:tblCellMar>
            <w:top w:w="0" w:type="dxa"/>
            <w:left w:w="108" w:type="dxa"/>
            <w:bottom w:w="0" w:type="dxa"/>
            <w:right w:w="108" w:type="dxa"/>
          </w:tblCellMar>
        </w:tblPrEx>
        <w:trPr>
          <w:trHeight w:val="285" w:hRule="atLeast"/>
        </w:trPr>
        <w:tc>
          <w:tcPr>
            <w:tcW w:w="976" w:type="dxa"/>
            <w:tcBorders>
              <w:top w:val="nil"/>
              <w:left w:val="nil"/>
              <w:bottom w:val="nil"/>
              <w:right w:val="nil"/>
            </w:tcBorders>
            <w:shd w:val="clear" w:color="auto" w:fill="auto"/>
            <w:noWrap/>
            <w:vAlign w:val="bottom"/>
          </w:tcPr>
          <w:p>
            <w:pPr>
              <w:widowControl/>
              <w:jc w:val="righ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976" w:type="dxa"/>
            <w:tcBorders>
              <w:top w:val="nil"/>
              <w:left w:val="nil"/>
              <w:bottom w:val="nil"/>
              <w:right w:val="nil"/>
            </w:tcBorders>
            <w:shd w:val="clear" w:color="auto" w:fill="auto"/>
            <w:noWrap/>
            <w:vAlign w:val="bottom"/>
          </w:tcPr>
          <w:p>
            <w:pPr>
              <w:widowControl/>
              <w:jc w:val="right"/>
              <w:rPr>
                <w:rFonts w:ascii="宋体" w:hAnsi="宋体" w:cs="宋体"/>
                <w:kern w:val="0"/>
                <w:sz w:val="20"/>
                <w:szCs w:val="20"/>
              </w:rPr>
            </w:pPr>
            <w:r>
              <w:rPr>
                <w:rFonts w:ascii="宋体" w:hAnsi="宋体" w:cs="宋体"/>
                <w:kern w:val="0"/>
                <w:sz w:val="20"/>
                <w:szCs w:val="20"/>
              </w:rPr>
              <w:drawing>
                <wp:anchor distT="0" distB="0" distL="114300" distR="114300" simplePos="0" relativeHeight="251660288" behindDoc="0" locked="0" layoutInCell="1" allowOverlap="1">
                  <wp:simplePos x="0" y="0"/>
                  <wp:positionH relativeFrom="column">
                    <wp:posOffset>167640</wp:posOffset>
                  </wp:positionH>
                  <wp:positionV relativeFrom="paragraph">
                    <wp:posOffset>23495</wp:posOffset>
                  </wp:positionV>
                  <wp:extent cx="5456555" cy="1860550"/>
                  <wp:effectExtent l="19050" t="0" r="10795" b="6350"/>
                  <wp:wrapNone/>
                  <wp:docPr id="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rPr>
          <w:trHeight w:val="285" w:hRule="atLeast"/>
        </w:trPr>
        <w:tc>
          <w:tcPr>
            <w:tcW w:w="976" w:type="dxa"/>
            <w:tcBorders>
              <w:top w:val="nil"/>
              <w:left w:val="nil"/>
              <w:bottom w:val="nil"/>
              <w:right w:val="nil"/>
            </w:tcBorders>
            <w:shd w:val="clear" w:color="auto" w:fill="auto"/>
            <w:noWrap/>
            <w:vAlign w:val="bottom"/>
          </w:tcPr>
          <w:p>
            <w:pPr>
              <w:widowControl/>
              <w:jc w:val="righ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rPr>
          <w:trHeight w:val="285" w:hRule="atLeast"/>
        </w:trPr>
        <w:tc>
          <w:tcPr>
            <w:tcW w:w="976" w:type="dxa"/>
            <w:tcBorders>
              <w:top w:val="nil"/>
              <w:left w:val="nil"/>
              <w:bottom w:val="nil"/>
              <w:right w:val="nil"/>
            </w:tcBorders>
            <w:shd w:val="clear" w:color="auto" w:fill="auto"/>
            <w:noWrap/>
            <w:vAlign w:val="bottom"/>
          </w:tcPr>
          <w:p>
            <w:pPr>
              <w:widowControl/>
              <w:jc w:val="righ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rPr>
          <w:trHeight w:val="285" w:hRule="atLeast"/>
        </w:trPr>
        <w:tc>
          <w:tcPr>
            <w:tcW w:w="976" w:type="dxa"/>
            <w:tcBorders>
              <w:top w:val="nil"/>
              <w:left w:val="nil"/>
              <w:bottom w:val="nil"/>
              <w:right w:val="nil"/>
            </w:tcBorders>
            <w:shd w:val="clear" w:color="auto" w:fill="auto"/>
            <w:noWrap/>
            <w:vAlign w:val="bottom"/>
          </w:tcPr>
          <w:p>
            <w:pPr>
              <w:widowControl/>
              <w:jc w:val="righ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rPr>
          <w:trHeight w:val="285" w:hRule="atLeast"/>
        </w:trPr>
        <w:tc>
          <w:tcPr>
            <w:tcW w:w="976" w:type="dxa"/>
            <w:tcBorders>
              <w:top w:val="nil"/>
              <w:left w:val="nil"/>
              <w:bottom w:val="nil"/>
              <w:right w:val="nil"/>
            </w:tcBorders>
            <w:shd w:val="clear" w:color="auto" w:fill="auto"/>
            <w:noWrap/>
            <w:vAlign w:val="bottom"/>
          </w:tcPr>
          <w:p>
            <w:pPr>
              <w:widowControl/>
              <w:jc w:val="righ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rPr>
          <w:trHeight w:val="285" w:hRule="atLeast"/>
        </w:trPr>
        <w:tc>
          <w:tcPr>
            <w:tcW w:w="976" w:type="dxa"/>
            <w:tcBorders>
              <w:top w:val="nil"/>
              <w:left w:val="nil"/>
              <w:bottom w:val="nil"/>
              <w:right w:val="nil"/>
            </w:tcBorders>
            <w:shd w:val="clear" w:color="auto" w:fill="auto"/>
            <w:noWrap/>
            <w:vAlign w:val="bottom"/>
          </w:tcPr>
          <w:p>
            <w:pPr>
              <w:widowControl/>
              <w:jc w:val="righ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rPr>
          <w:trHeight w:val="285" w:hRule="atLeast"/>
        </w:trPr>
        <w:tc>
          <w:tcPr>
            <w:tcW w:w="97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bl>
            <w:tblPr>
              <w:tblStyle w:val="12"/>
              <w:tblW w:w="0" w:type="auto"/>
              <w:tblCellSpacing w:w="0" w:type="dxa"/>
              <w:tblInd w:w="0" w:type="dxa"/>
              <w:tblLayout w:type="autofit"/>
              <w:tblCellMar>
                <w:top w:w="0" w:type="dxa"/>
                <w:left w:w="0" w:type="dxa"/>
                <w:bottom w:w="0" w:type="dxa"/>
                <w:right w:w="0" w:type="dxa"/>
              </w:tblCellMar>
            </w:tblPr>
            <w:tblGrid>
              <w:gridCol w:w="760"/>
            </w:tblGrid>
            <w:tr>
              <w:tblPrEx>
                <w:tblCellMar>
                  <w:top w:w="0" w:type="dxa"/>
                  <w:left w:w="0" w:type="dxa"/>
                  <w:bottom w:w="0" w:type="dxa"/>
                  <w:right w:w="0" w:type="dxa"/>
                </w:tblCellMar>
              </w:tblPrEx>
              <w:trPr>
                <w:trHeight w:val="285" w:hRule="atLeast"/>
                <w:tblCellSpacing w:w="0" w:type="dxa"/>
              </w:trPr>
              <w:tc>
                <w:tcPr>
                  <w:tcW w:w="760"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bl>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9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9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9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3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bl>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482" w:firstLineChars="200"/>
        <w:outlineLvl w:val="2"/>
        <w:rPr>
          <w:rFonts w:asciiTheme="minorEastAsia" w:hAnsiTheme="minorEastAsia" w:eastAsiaTheme="minorEastAsia"/>
          <w:color w:val="FF0000"/>
          <w:sz w:val="24"/>
        </w:rPr>
      </w:pPr>
      <w:bookmarkStart w:id="37" w:name="_Toc15377213"/>
      <w:bookmarkStart w:id="38" w:name="_Toc15378460"/>
      <w:bookmarkStart w:id="39" w:name="_Toc15377444"/>
      <w:r>
        <w:rPr>
          <w:rFonts w:hint="eastAsia" w:asciiTheme="minorEastAsia" w:hAnsiTheme="minorEastAsia" w:eastAsiaTheme="minorEastAsia"/>
          <w:b/>
          <w:color w:val="000000" w:themeColor="text1"/>
          <w:sz w:val="24"/>
        </w:rPr>
        <w:t>2019年一般公共预算支出决算数为707.16万元</w:t>
      </w:r>
      <w:r>
        <w:rPr>
          <w:rFonts w:hint="eastAsia" w:asciiTheme="minorEastAsia" w:hAnsiTheme="minorEastAsia" w:eastAsiaTheme="minorEastAsia"/>
          <w:color w:val="000000" w:themeColor="text1"/>
          <w:sz w:val="24"/>
        </w:rPr>
        <w:t>，</w:t>
      </w:r>
      <w:r>
        <w:rPr>
          <w:rStyle w:val="14"/>
          <w:rFonts w:hint="eastAsia" w:asciiTheme="minorEastAsia" w:hAnsiTheme="minorEastAsia" w:eastAsiaTheme="minorEastAsia"/>
          <w:bCs/>
          <w:color w:val="000000" w:themeColor="text1"/>
          <w:sz w:val="24"/>
        </w:rPr>
        <w:t>完成</w:t>
      </w:r>
      <w:r>
        <w:rPr>
          <w:rStyle w:val="14"/>
          <w:rFonts w:hint="eastAsia" w:asciiTheme="minorEastAsia" w:hAnsiTheme="minorEastAsia" w:eastAsiaTheme="minorEastAsia"/>
          <w:bCs/>
          <w:color w:val="000000"/>
          <w:sz w:val="24"/>
        </w:rPr>
        <w:t>预算100</w:t>
      </w:r>
      <w:r>
        <w:rPr>
          <w:rStyle w:val="14"/>
          <w:rFonts w:asciiTheme="minorEastAsia" w:hAnsiTheme="minorEastAsia" w:eastAsiaTheme="minorEastAsia"/>
          <w:bCs/>
          <w:color w:val="000000"/>
          <w:sz w:val="24"/>
        </w:rPr>
        <w:t>%</w:t>
      </w:r>
      <w:r>
        <w:rPr>
          <w:rStyle w:val="14"/>
          <w:rFonts w:hint="eastAsia" w:asciiTheme="minorEastAsia" w:hAnsiTheme="minorEastAsia" w:eastAsiaTheme="minorEastAsia"/>
          <w:bCs/>
          <w:color w:val="000000"/>
          <w:sz w:val="24"/>
        </w:rPr>
        <w:t>。其中：</w:t>
      </w:r>
      <w:bookmarkEnd w:id="37"/>
      <w:bookmarkEnd w:id="38"/>
      <w:bookmarkEnd w:id="39"/>
    </w:p>
    <w:p>
      <w:pPr>
        <w:spacing w:line="600" w:lineRule="exact"/>
        <w:ind w:firstLine="482" w:firstLineChars="200"/>
        <w:rPr>
          <w:rFonts w:asciiTheme="minorEastAsia" w:hAnsiTheme="minorEastAsia" w:eastAsiaTheme="minorEastAsia"/>
          <w:b/>
          <w:color w:val="000000"/>
          <w:sz w:val="24"/>
        </w:rPr>
      </w:pPr>
      <w:r>
        <w:rPr>
          <w:rStyle w:val="14"/>
          <w:rFonts w:asciiTheme="minorEastAsia" w:hAnsiTheme="minorEastAsia" w:eastAsiaTheme="minorEastAsia"/>
          <w:bCs/>
          <w:color w:val="000000"/>
          <w:sz w:val="24"/>
        </w:rPr>
        <w:t>1.</w:t>
      </w:r>
      <w:r>
        <w:rPr>
          <w:rStyle w:val="14"/>
          <w:rFonts w:hint="eastAsia" w:asciiTheme="minorEastAsia" w:hAnsiTheme="minorEastAsia" w:eastAsiaTheme="minorEastAsia"/>
          <w:bCs/>
          <w:color w:val="000000"/>
          <w:sz w:val="24"/>
        </w:rPr>
        <w:t>教育（类）</w:t>
      </w:r>
      <w:r>
        <w:rPr>
          <w:rStyle w:val="14"/>
          <w:rFonts w:asciiTheme="minorEastAsia" w:hAnsiTheme="minorEastAsia" w:eastAsiaTheme="minorEastAsia"/>
          <w:bCs/>
          <w:color w:val="000000"/>
          <w:sz w:val="24"/>
        </w:rPr>
        <w:t>:</w:t>
      </w:r>
      <w:r>
        <w:rPr>
          <w:rStyle w:val="14"/>
          <w:rFonts w:asciiTheme="minorEastAsia" w:hAnsiTheme="minorEastAsia" w:eastAsiaTheme="minorEastAsia"/>
          <w:b w:val="0"/>
          <w:bCs/>
          <w:color w:val="000000"/>
          <w:sz w:val="24"/>
        </w:rPr>
        <w:t xml:space="preserve"> </w:t>
      </w:r>
      <w:r>
        <w:rPr>
          <w:rStyle w:val="14"/>
          <w:rFonts w:hint="eastAsia" w:asciiTheme="minorEastAsia" w:hAnsiTheme="minorEastAsia" w:eastAsiaTheme="minorEastAsia"/>
          <w:b w:val="0"/>
          <w:bCs/>
          <w:color w:val="000000"/>
          <w:sz w:val="24"/>
        </w:rPr>
        <w:t>支出决算为537.83万元，完成预算100</w:t>
      </w:r>
      <w:r>
        <w:rPr>
          <w:rStyle w:val="14"/>
          <w:rFonts w:asciiTheme="minorEastAsia" w:hAnsiTheme="minorEastAsia" w:eastAsiaTheme="minorEastAsia"/>
          <w:b w:val="0"/>
          <w:bCs/>
          <w:color w:val="000000"/>
          <w:sz w:val="24"/>
        </w:rPr>
        <w:t>%</w:t>
      </w:r>
      <w:r>
        <w:rPr>
          <w:rStyle w:val="14"/>
          <w:rFonts w:hint="eastAsia" w:asciiTheme="minorEastAsia" w:hAnsiTheme="minorEastAsia" w:eastAsiaTheme="minorEastAsia"/>
          <w:b w:val="0"/>
          <w:bCs/>
          <w:color w:val="000000"/>
          <w:sz w:val="24"/>
        </w:rPr>
        <w:t>，。</w:t>
      </w:r>
    </w:p>
    <w:p>
      <w:pPr>
        <w:spacing w:line="600" w:lineRule="exact"/>
        <w:ind w:firstLine="482" w:firstLineChars="200"/>
        <w:rPr>
          <w:rFonts w:asciiTheme="minorEastAsia" w:hAnsiTheme="minorEastAsia" w:eastAsiaTheme="minorEastAsia"/>
          <w:b/>
          <w:color w:val="000000"/>
          <w:sz w:val="24"/>
        </w:rPr>
      </w:pPr>
      <w:r>
        <w:rPr>
          <w:rStyle w:val="14"/>
          <w:rFonts w:hint="eastAsia" w:asciiTheme="minorEastAsia" w:hAnsiTheme="minorEastAsia" w:eastAsiaTheme="minorEastAsia"/>
          <w:bCs/>
          <w:color w:val="000000"/>
          <w:sz w:val="24"/>
        </w:rPr>
        <w:t>2</w:t>
      </w:r>
      <w:r>
        <w:rPr>
          <w:rStyle w:val="14"/>
          <w:rFonts w:asciiTheme="minorEastAsia" w:hAnsiTheme="minorEastAsia" w:eastAsiaTheme="minorEastAsia"/>
          <w:bCs/>
          <w:color w:val="000000"/>
          <w:sz w:val="24"/>
        </w:rPr>
        <w:t>.</w:t>
      </w:r>
      <w:r>
        <w:rPr>
          <w:rStyle w:val="14"/>
          <w:rFonts w:hint="eastAsia" w:asciiTheme="minorEastAsia" w:hAnsiTheme="minorEastAsia" w:eastAsiaTheme="minorEastAsia"/>
          <w:bCs/>
          <w:color w:val="000000"/>
          <w:sz w:val="24"/>
        </w:rPr>
        <w:t>社会保障和就业（类）</w:t>
      </w:r>
      <w:r>
        <w:rPr>
          <w:rStyle w:val="14"/>
          <w:rFonts w:asciiTheme="minorEastAsia" w:hAnsiTheme="minorEastAsia" w:eastAsiaTheme="minorEastAsia"/>
          <w:bCs/>
          <w:color w:val="000000"/>
          <w:sz w:val="24"/>
        </w:rPr>
        <w:t>:</w:t>
      </w:r>
      <w:r>
        <w:rPr>
          <w:rStyle w:val="14"/>
          <w:rFonts w:asciiTheme="minorEastAsia" w:hAnsiTheme="minorEastAsia" w:eastAsiaTheme="minorEastAsia"/>
          <w:b w:val="0"/>
          <w:bCs/>
          <w:color w:val="000000"/>
          <w:sz w:val="24"/>
        </w:rPr>
        <w:t xml:space="preserve"> </w:t>
      </w:r>
      <w:r>
        <w:rPr>
          <w:rStyle w:val="14"/>
          <w:rFonts w:hint="eastAsia" w:asciiTheme="minorEastAsia" w:hAnsiTheme="minorEastAsia" w:eastAsiaTheme="minorEastAsia"/>
          <w:b w:val="0"/>
          <w:bCs/>
          <w:color w:val="000000"/>
          <w:sz w:val="24"/>
        </w:rPr>
        <w:t>支出决算为99.45万元，完成预算100</w:t>
      </w:r>
      <w:r>
        <w:rPr>
          <w:rStyle w:val="14"/>
          <w:rFonts w:asciiTheme="minorEastAsia" w:hAnsiTheme="minorEastAsia" w:eastAsiaTheme="minorEastAsia"/>
          <w:b w:val="0"/>
          <w:bCs/>
          <w:color w:val="000000"/>
          <w:sz w:val="24"/>
        </w:rPr>
        <w:t>%</w:t>
      </w:r>
      <w:r>
        <w:rPr>
          <w:rStyle w:val="14"/>
          <w:rFonts w:hint="eastAsia" w:asciiTheme="minorEastAsia" w:hAnsiTheme="minorEastAsia" w:eastAsiaTheme="minorEastAsia"/>
          <w:b w:val="0"/>
          <w:bCs/>
          <w:color w:val="000000"/>
          <w:sz w:val="24"/>
        </w:rPr>
        <w:t>。</w:t>
      </w:r>
    </w:p>
    <w:p>
      <w:pPr>
        <w:spacing w:line="600" w:lineRule="exact"/>
        <w:ind w:firstLine="482" w:firstLineChars="200"/>
        <w:rPr>
          <w:rFonts w:asciiTheme="minorEastAsia" w:hAnsiTheme="minorEastAsia" w:eastAsiaTheme="minorEastAsia"/>
          <w:b/>
          <w:color w:val="000000"/>
          <w:sz w:val="24"/>
        </w:rPr>
      </w:pPr>
      <w:r>
        <w:rPr>
          <w:rStyle w:val="14"/>
          <w:rFonts w:hint="eastAsia" w:asciiTheme="minorEastAsia" w:hAnsiTheme="minorEastAsia" w:eastAsiaTheme="minorEastAsia"/>
          <w:bCs/>
          <w:color w:val="000000"/>
          <w:sz w:val="24"/>
        </w:rPr>
        <w:t>3</w:t>
      </w:r>
      <w:r>
        <w:rPr>
          <w:rStyle w:val="14"/>
          <w:rFonts w:asciiTheme="minorEastAsia" w:hAnsiTheme="minorEastAsia" w:eastAsiaTheme="minorEastAsia"/>
          <w:bCs/>
          <w:color w:val="000000"/>
          <w:sz w:val="24"/>
        </w:rPr>
        <w:t>.</w:t>
      </w:r>
      <w:r>
        <w:rPr>
          <w:rFonts w:hint="eastAsia" w:asciiTheme="minorEastAsia" w:hAnsiTheme="minorEastAsia" w:eastAsiaTheme="minorEastAsia"/>
          <w:b/>
          <w:bCs/>
          <w:color w:val="000000" w:themeColor="text1"/>
          <w:sz w:val="24"/>
        </w:rPr>
        <w:t>卫生健康</w:t>
      </w:r>
      <w:r>
        <w:rPr>
          <w:rStyle w:val="14"/>
          <w:rFonts w:hint="eastAsia" w:asciiTheme="minorEastAsia" w:hAnsiTheme="minorEastAsia" w:eastAsiaTheme="minorEastAsia"/>
          <w:bCs/>
          <w:color w:val="000000"/>
          <w:sz w:val="24"/>
        </w:rPr>
        <w:t>（类）</w:t>
      </w:r>
      <w:r>
        <w:rPr>
          <w:rStyle w:val="14"/>
          <w:rFonts w:asciiTheme="minorEastAsia" w:hAnsiTheme="minorEastAsia" w:eastAsiaTheme="minorEastAsia"/>
          <w:bCs/>
          <w:color w:val="000000"/>
          <w:sz w:val="24"/>
        </w:rPr>
        <w:t>:</w:t>
      </w:r>
      <w:r>
        <w:rPr>
          <w:rStyle w:val="14"/>
          <w:rFonts w:hint="eastAsia" w:asciiTheme="minorEastAsia" w:hAnsiTheme="minorEastAsia" w:eastAsiaTheme="minorEastAsia"/>
          <w:b w:val="0"/>
          <w:bCs/>
          <w:color w:val="000000"/>
          <w:sz w:val="24"/>
        </w:rPr>
        <w:t>支出决算为19.4万元，完成预算100</w:t>
      </w:r>
      <w:r>
        <w:rPr>
          <w:rStyle w:val="14"/>
          <w:rFonts w:asciiTheme="minorEastAsia" w:hAnsiTheme="minorEastAsia" w:eastAsiaTheme="minorEastAsia"/>
          <w:b w:val="0"/>
          <w:bCs/>
          <w:color w:val="000000"/>
          <w:sz w:val="24"/>
        </w:rPr>
        <w:t>%</w:t>
      </w:r>
      <w:r>
        <w:rPr>
          <w:rStyle w:val="14"/>
          <w:rFonts w:hint="eastAsia" w:asciiTheme="minorEastAsia" w:hAnsiTheme="minorEastAsia" w:eastAsiaTheme="minorEastAsia"/>
          <w:b w:val="0"/>
          <w:bCs/>
          <w:color w:val="000000"/>
          <w:sz w:val="24"/>
        </w:rPr>
        <w:t>，</w:t>
      </w:r>
      <w:r>
        <w:rPr>
          <w:rFonts w:asciiTheme="minorEastAsia" w:hAnsiTheme="minorEastAsia" w:eastAsiaTheme="minorEastAsia"/>
          <w:b/>
          <w:color w:val="000000"/>
          <w:sz w:val="24"/>
        </w:rPr>
        <w:t xml:space="preserve"> </w:t>
      </w:r>
    </w:p>
    <w:p>
      <w:pPr>
        <w:spacing w:line="600" w:lineRule="exact"/>
        <w:ind w:firstLine="482" w:firstLineChars="200"/>
        <w:rPr>
          <w:rFonts w:ascii="仿宋" w:hAnsi="仿宋" w:eastAsia="仿宋"/>
          <w:b/>
          <w:color w:val="000000"/>
          <w:sz w:val="32"/>
          <w:szCs w:val="32"/>
        </w:rPr>
      </w:pPr>
      <w:r>
        <w:rPr>
          <w:rFonts w:hint="eastAsia" w:asciiTheme="minorEastAsia" w:hAnsiTheme="minorEastAsia" w:eastAsiaTheme="minorEastAsia"/>
          <w:b/>
          <w:color w:val="000000"/>
          <w:sz w:val="24"/>
        </w:rPr>
        <w:t>4.住房保障支出</w:t>
      </w:r>
      <w:r>
        <w:rPr>
          <w:rFonts w:hint="eastAsia" w:asciiTheme="minorEastAsia" w:hAnsiTheme="minorEastAsia" w:eastAsiaTheme="minorEastAsia"/>
          <w:color w:val="000000"/>
          <w:sz w:val="24"/>
        </w:rPr>
        <w:t>：</w:t>
      </w:r>
      <w:r>
        <w:rPr>
          <w:rStyle w:val="14"/>
          <w:rFonts w:hint="eastAsia" w:asciiTheme="minorEastAsia" w:hAnsiTheme="minorEastAsia" w:eastAsiaTheme="minorEastAsia"/>
          <w:b w:val="0"/>
          <w:bCs/>
          <w:color w:val="000000"/>
          <w:sz w:val="24"/>
        </w:rPr>
        <w:t>支出决算为50.48万元，完成预算100</w:t>
      </w:r>
      <w:r>
        <w:rPr>
          <w:rStyle w:val="14"/>
          <w:rFonts w:asciiTheme="minorEastAsia" w:hAnsiTheme="minorEastAsia" w:eastAsiaTheme="minorEastAsia"/>
          <w:b w:val="0"/>
          <w:bCs/>
          <w:color w:val="000000"/>
          <w:sz w:val="24"/>
        </w:rPr>
        <w:t>%</w:t>
      </w:r>
      <w:r>
        <w:rPr>
          <w:rStyle w:val="14"/>
          <w:rFonts w:hint="eastAsia" w:asciiTheme="minorEastAsia" w:hAnsiTheme="minorEastAsia" w:eastAsiaTheme="minorEastAsia"/>
          <w:b w:val="0"/>
          <w:bCs/>
          <w:color w:val="000000"/>
          <w:sz w:val="24"/>
        </w:rPr>
        <w:t>，</w:t>
      </w: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Theme="minorEastAsia" w:hAnsiTheme="minorEastAsia" w:eastAsiaTheme="minorEastAsia"/>
          <w:color w:val="000000"/>
          <w:sz w:val="24"/>
        </w:rPr>
      </w:pPr>
      <w:r>
        <w:rPr>
          <w:rFonts w:asciiTheme="minorEastAsia" w:hAnsiTheme="minorEastAsia" w:eastAsiaTheme="minorEastAsia"/>
          <w:color w:val="000000"/>
          <w:sz w:val="24"/>
        </w:rPr>
        <w:t>201</w:t>
      </w:r>
      <w:r>
        <w:rPr>
          <w:rFonts w:hint="eastAsia" w:asciiTheme="minorEastAsia" w:hAnsiTheme="minorEastAsia" w:eastAsiaTheme="minorEastAsia"/>
          <w:color w:val="000000"/>
          <w:sz w:val="24"/>
        </w:rPr>
        <w:t>9年一般公共预算财政拨款基本支出707.16万元，其中：</w:t>
      </w:r>
    </w:p>
    <w:p>
      <w:pPr>
        <w:spacing w:line="600" w:lineRule="exact"/>
        <w:ind w:firstLine="645"/>
        <w:rPr>
          <w:rFonts w:asciiTheme="minorEastAsia" w:hAnsiTheme="minorEastAsia" w:eastAsiaTheme="minorEastAsia"/>
          <w:color w:val="000000"/>
          <w:sz w:val="24"/>
        </w:rPr>
      </w:pPr>
      <w:r>
        <w:rPr>
          <w:rFonts w:hint="eastAsia" w:asciiTheme="minorEastAsia" w:hAnsiTheme="minorEastAsia" w:eastAsiaTheme="minorEastAsia"/>
          <w:color w:val="000000"/>
          <w:sz w:val="24"/>
        </w:rPr>
        <w:t>人员经费604.26万元，主要包括：基本工资、津贴补贴、奖金、伙食补助费、绩效工资、机关事业单位基本养老保险缴费、职业年金缴费、其他社会保障缴费、其他工资福利支出、离休费、退休费、生活补助、医疗费补助、奖励金、住房公积金、其他对个人和家庭的补助支出等。</w:t>
      </w:r>
      <w:r>
        <w:rPr>
          <w:rFonts w:asciiTheme="minorEastAsia" w:hAnsiTheme="minorEastAsia" w:eastAsiaTheme="minorEastAsia"/>
          <w:color w:val="000000"/>
          <w:sz w:val="24"/>
        </w:rPr>
        <w:br w:type="textWrapping"/>
      </w:r>
      <w:r>
        <w:rPr>
          <w:rFonts w:hint="eastAsia" w:asciiTheme="minorEastAsia" w:hAnsiTheme="minorEastAsia" w:eastAsiaTheme="minorEastAsia"/>
          <w:color w:val="000000"/>
          <w:sz w:val="24"/>
        </w:rPr>
        <w:t>　　日常公用经费43.30万元，主要包括：办公费、印刷费、、手续费、水费、电费、邮电费、差旅费、、维修（护）费、劳务费、委托业务费、工会经费、福利费、公务用车运行维护费、其他交通费、其他商品和服务支出、办公设备购置、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Theme="minorEastAsia" w:hAnsiTheme="minorEastAsia" w:eastAsiaTheme="minorEastAsia"/>
          <w:color w:val="000000"/>
          <w:sz w:val="24"/>
        </w:rPr>
      </w:pPr>
      <w:r>
        <w:rPr>
          <w:rFonts w:asciiTheme="minorEastAsia" w:hAnsiTheme="minorEastAsia" w:eastAsiaTheme="minorEastAsia"/>
          <w:color w:val="000000"/>
          <w:sz w:val="24"/>
        </w:rPr>
        <w:t>201</w:t>
      </w:r>
      <w:r>
        <w:rPr>
          <w:rFonts w:hint="eastAsia" w:asciiTheme="minorEastAsia" w:hAnsiTheme="minorEastAsia" w:eastAsiaTheme="minorEastAsia"/>
          <w:color w:val="000000"/>
          <w:sz w:val="24"/>
        </w:rPr>
        <w:t>9年“三公”经费财政拨款支出决算为1.42万元，完成预30</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，决算数小于预算数的主要原因是厉行节约。</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hint="eastAsia" w:asciiTheme="minorEastAsia" w:hAnsiTheme="minorEastAsia" w:eastAsiaTheme="minorEastAsia"/>
          <w:b/>
          <w:color w:val="000000"/>
          <w:sz w:val="24"/>
        </w:rPr>
      </w:pPr>
      <w:r>
        <w:rPr>
          <w:rFonts w:asciiTheme="minorEastAsia" w:hAnsiTheme="minorEastAsia" w:eastAsiaTheme="minorEastAsia"/>
          <w:color w:val="000000"/>
          <w:sz w:val="24"/>
        </w:rPr>
        <w:t>201</w:t>
      </w:r>
      <w:r>
        <w:rPr>
          <w:rFonts w:hint="eastAsia" w:asciiTheme="minorEastAsia" w:hAnsiTheme="minorEastAsia" w:eastAsiaTheme="minorEastAsia"/>
          <w:color w:val="000000"/>
          <w:sz w:val="24"/>
        </w:rPr>
        <w:t>9年“三公”经费财政拨款支出决算中，公务用车购置及运行维护费支出决算1.42万元，占100</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w:t>
      </w:r>
      <w:r>
        <w:rPr>
          <w:rFonts w:asciiTheme="minorEastAsia" w:hAnsiTheme="minorEastAsia" w:eastAsiaTheme="minorEastAsia"/>
          <w:b/>
          <w:color w:val="000000"/>
          <w:sz w:val="24"/>
        </w:rPr>
        <w:t xml:space="preserve"> </w:t>
      </w:r>
    </w:p>
    <w:p>
      <w:pPr>
        <w:spacing w:line="600" w:lineRule="exact"/>
        <w:ind w:firstLine="640"/>
        <w:rPr>
          <w:rFonts w:asciiTheme="minorEastAsia" w:hAnsiTheme="minorEastAsia" w:eastAsiaTheme="minorEastAsia"/>
          <w:color w:val="000000"/>
          <w:sz w:val="24"/>
        </w:rPr>
      </w:pPr>
      <w:r>
        <w:rPr>
          <w:rFonts w:hint="eastAsia" w:asciiTheme="minorEastAsia" w:hAnsiTheme="minorEastAsia" w:eastAsiaTheme="minorEastAsia"/>
          <w:color w:val="000000"/>
          <w:sz w:val="24"/>
        </w:rPr>
        <w:t>（图7：“三公”经费财政拨款支出结构）（饼状图）</w:t>
      </w:r>
    </w:p>
    <w:tbl>
      <w:tblPr>
        <w:tblStyle w:val="12"/>
        <w:tblW w:w="5382" w:type="dxa"/>
        <w:tblInd w:w="108" w:type="dxa"/>
        <w:tblLayout w:type="autofit"/>
        <w:tblCellMar>
          <w:top w:w="0" w:type="dxa"/>
          <w:left w:w="108" w:type="dxa"/>
          <w:bottom w:w="0" w:type="dxa"/>
          <w:right w:w="108" w:type="dxa"/>
        </w:tblCellMar>
      </w:tblPr>
      <w:tblGrid>
        <w:gridCol w:w="1096"/>
        <w:gridCol w:w="1096"/>
        <w:gridCol w:w="776"/>
        <w:gridCol w:w="1096"/>
        <w:gridCol w:w="1096"/>
        <w:gridCol w:w="222"/>
      </w:tblGrid>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r>
              <w:rPr>
                <w:rFonts w:ascii="宋体" w:hAnsi="宋体" w:cs="宋体"/>
                <w:kern w:val="0"/>
                <w:sz w:val="20"/>
                <w:szCs w:val="20"/>
              </w:rPr>
              <w:drawing>
                <wp:anchor distT="0" distB="0" distL="114300" distR="114300" simplePos="0" relativeHeight="251665408" behindDoc="0" locked="0" layoutInCell="1" allowOverlap="1">
                  <wp:simplePos x="0" y="0"/>
                  <wp:positionH relativeFrom="column">
                    <wp:posOffset>107315</wp:posOffset>
                  </wp:positionH>
                  <wp:positionV relativeFrom="paragraph">
                    <wp:posOffset>91440</wp:posOffset>
                  </wp:positionV>
                  <wp:extent cx="5598160" cy="1296035"/>
                  <wp:effectExtent l="19050" t="0" r="21590" b="0"/>
                  <wp:wrapNone/>
                  <wp:docPr id="1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7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r>
    </w:tbl>
    <w:p>
      <w:pPr>
        <w:spacing w:line="600" w:lineRule="exact"/>
        <w:rPr>
          <w:rFonts w:ascii="仿宋_GB2312" w:eastAsia="仿宋_GB2312"/>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Theme="minorEastAsia" w:hAnsiTheme="minorEastAsia" w:eastAsiaTheme="minorEastAsia"/>
          <w:b/>
          <w:color w:val="000000"/>
          <w:sz w:val="24"/>
        </w:rPr>
      </w:pPr>
      <w:r>
        <w:rPr>
          <w:rFonts w:asciiTheme="minorEastAsia" w:hAnsiTheme="minorEastAsia" w:eastAsiaTheme="minorEastAsia"/>
          <w:b/>
          <w:color w:val="000000"/>
          <w:sz w:val="24"/>
        </w:rPr>
        <w:t>2.</w:t>
      </w:r>
      <w:r>
        <w:rPr>
          <w:rFonts w:hint="eastAsia" w:asciiTheme="minorEastAsia" w:hAnsiTheme="minorEastAsia" w:eastAsiaTheme="minorEastAsia"/>
          <w:b/>
          <w:color w:val="000000"/>
          <w:sz w:val="24"/>
        </w:rPr>
        <w:t>公务用车购置及运行维护费支出</w:t>
      </w:r>
      <w:r>
        <w:rPr>
          <w:rFonts w:hint="eastAsia" w:asciiTheme="minorEastAsia" w:hAnsiTheme="minorEastAsia" w:eastAsiaTheme="minorEastAsia"/>
          <w:color w:val="000000"/>
          <w:sz w:val="24"/>
        </w:rPr>
        <w:t>1.42万元,</w:t>
      </w:r>
      <w:r>
        <w:rPr>
          <w:rStyle w:val="14"/>
          <w:rFonts w:hint="eastAsia" w:asciiTheme="minorEastAsia" w:hAnsiTheme="minorEastAsia" w:eastAsiaTheme="minorEastAsia"/>
          <w:b w:val="0"/>
          <w:bCs/>
          <w:color w:val="000000"/>
          <w:sz w:val="24"/>
        </w:rPr>
        <w:t>完成预算30</w:t>
      </w:r>
      <w:r>
        <w:rPr>
          <w:rStyle w:val="14"/>
          <w:rFonts w:asciiTheme="minorEastAsia" w:hAnsiTheme="minorEastAsia" w:eastAsiaTheme="minorEastAsia"/>
          <w:b w:val="0"/>
          <w:bCs/>
          <w:color w:val="000000"/>
          <w:sz w:val="24"/>
        </w:rPr>
        <w:t>%</w:t>
      </w:r>
      <w:r>
        <w:rPr>
          <w:rStyle w:val="14"/>
          <w:rFonts w:hint="eastAsia" w:asciiTheme="minorEastAsia" w:hAnsiTheme="minorEastAsia" w:eastAsiaTheme="minorEastAsia"/>
          <w:b w:val="0"/>
          <w:bCs/>
          <w:color w:val="000000"/>
          <w:sz w:val="24"/>
        </w:rPr>
        <w:t>。</w:t>
      </w:r>
      <w:r>
        <w:rPr>
          <w:rFonts w:hint="eastAsia" w:asciiTheme="minorEastAsia" w:hAnsiTheme="minorEastAsia" w:eastAsiaTheme="minorEastAsia"/>
          <w:color w:val="000000"/>
          <w:sz w:val="24"/>
        </w:rPr>
        <w:t>公务用车购置及运行维护费支出决算比</w:t>
      </w:r>
      <w:r>
        <w:rPr>
          <w:rFonts w:asciiTheme="minorEastAsia" w:hAnsiTheme="minorEastAsia" w:eastAsiaTheme="minorEastAsia"/>
          <w:color w:val="000000"/>
          <w:sz w:val="24"/>
        </w:rPr>
        <w:t>201</w:t>
      </w:r>
      <w:r>
        <w:rPr>
          <w:rFonts w:hint="eastAsia" w:asciiTheme="minorEastAsia" w:hAnsiTheme="minorEastAsia" w:eastAsiaTheme="minorEastAsia"/>
          <w:color w:val="000000"/>
          <w:sz w:val="24"/>
        </w:rPr>
        <w:t>8年减少2.28万元，下降161</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。主要原因是厉行节约。</w:t>
      </w:r>
    </w:p>
    <w:p>
      <w:pPr>
        <w:spacing w:line="6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截至</w:t>
      </w:r>
      <w:r>
        <w:rPr>
          <w:rFonts w:asciiTheme="minorEastAsia" w:hAnsiTheme="minorEastAsia" w:eastAsiaTheme="minorEastAsia"/>
          <w:color w:val="000000"/>
          <w:sz w:val="24"/>
        </w:rPr>
        <w:t>201</w:t>
      </w:r>
      <w:r>
        <w:rPr>
          <w:rFonts w:hint="eastAsia" w:asciiTheme="minorEastAsia" w:hAnsiTheme="minorEastAsia" w:eastAsiaTheme="minorEastAsia"/>
          <w:color w:val="000000"/>
          <w:sz w:val="24"/>
        </w:rPr>
        <w:t>9年</w:t>
      </w:r>
      <w:r>
        <w:rPr>
          <w:rFonts w:asciiTheme="minorEastAsia" w:hAnsiTheme="minorEastAsia" w:eastAsiaTheme="minorEastAsia"/>
          <w:color w:val="000000"/>
          <w:sz w:val="24"/>
        </w:rPr>
        <w:t>12</w:t>
      </w:r>
      <w:r>
        <w:rPr>
          <w:rFonts w:hint="eastAsia" w:asciiTheme="minorEastAsia" w:hAnsiTheme="minorEastAsia" w:eastAsiaTheme="minorEastAsia"/>
          <w:color w:val="000000"/>
          <w:sz w:val="24"/>
        </w:rPr>
        <w:t>月底，单位共有公务用车（其他用车）3辆。</w:t>
      </w:r>
    </w:p>
    <w:p>
      <w:pPr>
        <w:spacing w:line="600" w:lineRule="exact"/>
        <w:ind w:firstLine="482" w:firstLineChars="200"/>
        <w:rPr>
          <w:rFonts w:asciiTheme="minorEastAsia" w:hAnsiTheme="minorEastAsia" w:eastAsiaTheme="minorEastAsia"/>
          <w:color w:val="000000"/>
          <w:sz w:val="24"/>
        </w:rPr>
      </w:pPr>
      <w:r>
        <w:rPr>
          <w:rFonts w:hint="eastAsia" w:asciiTheme="minorEastAsia" w:hAnsiTheme="minorEastAsia" w:eastAsiaTheme="minorEastAsia"/>
          <w:b/>
          <w:color w:val="000000"/>
          <w:sz w:val="24"/>
        </w:rPr>
        <w:t>公务用车运行维护费支出</w:t>
      </w:r>
      <w:r>
        <w:rPr>
          <w:rFonts w:hint="eastAsia" w:asciiTheme="minorEastAsia" w:hAnsiTheme="minorEastAsia" w:eastAsiaTheme="minorEastAsia"/>
          <w:color w:val="000000"/>
          <w:sz w:val="24"/>
        </w:rPr>
        <w:t>1.42万元。主要用于教研师训电大招生以及扶贫等工作所需的公务用车燃料费、维修费、过路过桥费、保险费等支出。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6" w:name="_Toc15377224"/>
      <w:r>
        <w:rPr>
          <w:rFonts w:hint="eastAsia" w:ascii="仿宋" w:hAnsi="仿宋" w:eastAsia="仿宋"/>
          <w:b/>
          <w:color w:val="000000"/>
          <w:sz w:val="32"/>
          <w:szCs w:val="32"/>
        </w:rPr>
        <w:t>（三）国有资产占有使用情况</w:t>
      </w:r>
      <w:bookmarkEnd w:id="46"/>
    </w:p>
    <w:p>
      <w:pPr>
        <w:autoSpaceDE w:val="0"/>
        <w:autoSpaceDN w:val="0"/>
        <w:adjustRightInd w:val="0"/>
        <w:spacing w:line="600" w:lineRule="exact"/>
        <w:ind w:firstLine="480" w:firstLineChars="200"/>
        <w:jc w:val="left"/>
        <w:rPr>
          <w:rFonts w:asciiTheme="minorEastAsia" w:hAnsiTheme="minorEastAsia" w:eastAsiaTheme="minorEastAsia"/>
          <w:b/>
          <w:color w:val="FF0000"/>
          <w:sz w:val="24"/>
        </w:rPr>
      </w:pPr>
      <w:r>
        <w:rPr>
          <w:rFonts w:hint="eastAsia" w:asciiTheme="minorEastAsia" w:hAnsiTheme="minorEastAsia" w:eastAsiaTheme="minorEastAsia"/>
          <w:color w:val="000000"/>
          <w:sz w:val="24"/>
        </w:rPr>
        <w:t>截至</w:t>
      </w:r>
      <w:r>
        <w:rPr>
          <w:rFonts w:asciiTheme="minorEastAsia" w:hAnsiTheme="minorEastAsia" w:eastAsiaTheme="minorEastAsia"/>
          <w:color w:val="000000"/>
          <w:sz w:val="24"/>
        </w:rPr>
        <w:t>201</w:t>
      </w:r>
      <w:r>
        <w:rPr>
          <w:rFonts w:hint="eastAsia" w:asciiTheme="minorEastAsia" w:hAnsiTheme="minorEastAsia" w:eastAsiaTheme="minorEastAsia"/>
          <w:color w:val="000000"/>
          <w:sz w:val="24"/>
        </w:rPr>
        <w:t>9年</w:t>
      </w:r>
      <w:r>
        <w:rPr>
          <w:rFonts w:asciiTheme="minorEastAsia" w:hAnsiTheme="minorEastAsia" w:eastAsiaTheme="minorEastAsia"/>
          <w:color w:val="000000"/>
          <w:sz w:val="24"/>
        </w:rPr>
        <w:t>12</w:t>
      </w:r>
      <w:r>
        <w:rPr>
          <w:rFonts w:hint="eastAsia" w:asciiTheme="minorEastAsia" w:hAnsiTheme="minorEastAsia" w:eastAsiaTheme="minorEastAsia"/>
          <w:color w:val="000000"/>
          <w:sz w:val="24"/>
        </w:rPr>
        <w:t>月</w:t>
      </w:r>
      <w:r>
        <w:rPr>
          <w:rFonts w:asciiTheme="minorEastAsia" w:hAnsiTheme="minorEastAsia" w:eastAsiaTheme="minorEastAsia"/>
          <w:color w:val="000000"/>
          <w:sz w:val="24"/>
        </w:rPr>
        <w:t>31</w:t>
      </w:r>
      <w:r>
        <w:rPr>
          <w:rFonts w:hint="eastAsia" w:asciiTheme="minorEastAsia" w:hAnsiTheme="minorEastAsia" w:eastAsiaTheme="minorEastAsia"/>
          <w:color w:val="000000"/>
          <w:sz w:val="24"/>
        </w:rPr>
        <w:t>日，峨眉山市教师培训中心共有车辆3辆，其中：其他用车3辆，</w:t>
      </w:r>
      <w:r>
        <w:rPr>
          <w:rFonts w:hint="eastAsia" w:asciiTheme="minorEastAsia" w:hAnsiTheme="minorEastAsia" w:eastAsiaTheme="minorEastAsia"/>
          <w:color w:val="000000" w:themeColor="text1"/>
          <w:sz w:val="24"/>
        </w:rPr>
        <w:t>其他用车主要是用于</w:t>
      </w:r>
      <w:r>
        <w:rPr>
          <w:rFonts w:hint="eastAsia" w:asciiTheme="minorEastAsia" w:hAnsiTheme="minorEastAsia" w:eastAsiaTheme="minorEastAsia"/>
          <w:color w:val="000000"/>
          <w:sz w:val="24"/>
        </w:rPr>
        <w:t>教研师训电大招生以及扶贫等工作。</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根据预算绩效管理要求，本单位在年初预算编制阶段，组织对师训工作经费、文化课统考检测及非统考学科评价、骨干教师奖、名师工作室项目开展了预算事前绩效评估，对1个项目编制了绩效目标，预算执行过程中，选取1个项目开展绩效监控，年终执行完毕后，对4个项目开展了绩效目标完成情况自评。</w:t>
      </w:r>
    </w:p>
    <w:p>
      <w:pPr>
        <w:adjustRightInd w:val="0"/>
        <w:snapToGrid w:val="0"/>
        <w:spacing w:line="600" w:lineRule="exact"/>
        <w:ind w:firstLine="720"/>
        <w:rPr>
          <w:rFonts w:asciiTheme="minorEastAsia" w:hAnsiTheme="minorEastAsia" w:eastAsiaTheme="minorEastAsia"/>
          <w:sz w:val="24"/>
        </w:rPr>
      </w:pPr>
      <w:r>
        <w:rPr>
          <w:rFonts w:hint="eastAsia" w:cs="仿宋_GB2312" w:asciiTheme="minorEastAsia" w:hAnsiTheme="minorEastAsia" w:eastAsiaTheme="minorEastAsia"/>
          <w:sz w:val="24"/>
        </w:rPr>
        <w:t>本部门按要求对2019年部门整体支出开展绩效自评，本部门还自行组织了4个项目支出绩效评价，从评价情况来看：1.</w:t>
      </w:r>
      <w:r>
        <w:rPr>
          <w:rFonts w:hint="eastAsia" w:ascii="宋体" w:hAnsi="宋体" w:cs="宋体"/>
          <w:color w:val="000000"/>
          <w:sz w:val="24"/>
        </w:rPr>
        <w:t>文化课统考监测及非统考学科评价保障全市中小学文化课检测及非统考学科评价工作开展，全面完成预期目标；2、骨干教师奖，</w:t>
      </w:r>
      <w:r>
        <w:rPr>
          <w:rFonts w:hint="eastAsia" w:asciiTheme="minorEastAsia" w:hAnsiTheme="minorEastAsia" w:eastAsiaTheme="minorEastAsia"/>
          <w:sz w:val="24"/>
        </w:rPr>
        <w:t>营造教育人才安心生活、称心工作、潜心提升的发展环境，为峨眉山市教育事业上新台阶提供人才保障，</w:t>
      </w:r>
      <w:r>
        <w:rPr>
          <w:rFonts w:hint="eastAsia" w:cs="宋体" w:asciiTheme="minorEastAsia" w:hAnsiTheme="minorEastAsia" w:eastAsiaTheme="minorEastAsia"/>
          <w:color w:val="000000"/>
          <w:sz w:val="24"/>
        </w:rPr>
        <w:t>全面完成预期目标；3、</w:t>
      </w:r>
      <w:r>
        <w:rPr>
          <w:rFonts w:hint="eastAsia" w:ascii="宋体" w:hAnsi="宋体" w:cs="宋体"/>
          <w:color w:val="000000"/>
          <w:sz w:val="24"/>
        </w:rPr>
        <w:t>名师工作室，通过黄宇名师工作室和陈强名师工作室的工作开展，引领所在学科更好的提升与前行，</w:t>
      </w:r>
      <w:r>
        <w:rPr>
          <w:rFonts w:hint="eastAsia" w:cs="宋体" w:asciiTheme="minorEastAsia" w:hAnsiTheme="minorEastAsia" w:eastAsiaTheme="minorEastAsia"/>
          <w:color w:val="000000"/>
          <w:sz w:val="24"/>
        </w:rPr>
        <w:t>全面完成预期目标；4、</w:t>
      </w:r>
      <w:r>
        <w:rPr>
          <w:rFonts w:hint="eastAsia" w:ascii="宋体" w:hAnsi="宋体" w:cs="宋体"/>
          <w:color w:val="000000"/>
          <w:sz w:val="24"/>
        </w:rPr>
        <w:t>师训工作经费，保障全市师训工作开展，</w:t>
      </w:r>
      <w:r>
        <w:rPr>
          <w:rFonts w:hint="eastAsia" w:cs="宋体" w:asciiTheme="minorEastAsia" w:hAnsiTheme="minorEastAsia" w:eastAsiaTheme="minorEastAsia"/>
          <w:color w:val="000000"/>
          <w:sz w:val="24"/>
        </w:rPr>
        <w:t>全面完成预期目标。</w:t>
      </w:r>
    </w:p>
    <w:p>
      <w:pPr>
        <w:adjustRightInd w:val="0"/>
        <w:snapToGrid w:val="0"/>
        <w:spacing w:line="600" w:lineRule="exact"/>
        <w:ind w:firstLine="720"/>
        <w:rPr>
          <w:rFonts w:asciiTheme="minorEastAsia" w:hAnsiTheme="minorEastAsia" w:eastAsiaTheme="minorEastAsia"/>
          <w:sz w:val="24"/>
        </w:rPr>
      </w:pPr>
      <w:r>
        <w:rPr>
          <w:rFonts w:hint="eastAsia" w:ascii="楷体_GB2312" w:hAnsi="宋体" w:eastAsia="楷体_GB2312"/>
          <w:sz w:val="32"/>
          <w:szCs w:val="32"/>
          <w:lang w:val="zh-CN"/>
        </w:rPr>
        <w:t>（三）项目资金申报相符性。</w:t>
      </w:r>
      <w:r>
        <w:rPr>
          <w:rFonts w:hint="eastAsia" w:asciiTheme="minorEastAsia" w:hAnsiTheme="minorEastAsia" w:eastAsiaTheme="minorEastAsia"/>
          <w:sz w:val="24"/>
          <w:lang w:val="zh-CN"/>
        </w:rPr>
        <w:t>该项目属于民生保障类项目，申报的内容和具体实施的内容相符，申报目标合理可行。</w:t>
      </w:r>
    </w:p>
    <w:p>
      <w:pPr>
        <w:spacing w:line="580" w:lineRule="exact"/>
        <w:ind w:firstLine="640" w:firstLineChars="200"/>
        <w:rPr>
          <w:rFonts w:cs="仿宋_GB2312" w:asciiTheme="minorEastAsia" w:hAnsiTheme="minorEastAsia" w:eastAsiaTheme="minorEastAsia"/>
          <w:sz w:val="24"/>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w:t>
      </w:r>
      <w:r>
        <w:rPr>
          <w:rFonts w:hint="eastAsia" w:cs="仿宋_GB2312" w:asciiTheme="minorEastAsia" w:hAnsiTheme="minorEastAsia" w:eastAsiaTheme="minorEastAsia"/>
          <w:sz w:val="24"/>
        </w:rPr>
        <w:t>本部门在2019年度部门决算中反映“师训工作经费、文化课统考检测及非统考学科评价、骨干教师奖、名师工作室等4个项目绩效目标实际完成情况为</w:t>
      </w:r>
      <w:r>
        <w:rPr>
          <w:rFonts w:hint="eastAsia" w:cs="宋体" w:asciiTheme="minorEastAsia" w:hAnsiTheme="minorEastAsia" w:eastAsiaTheme="minorEastAsia"/>
          <w:color w:val="000000"/>
          <w:sz w:val="24"/>
        </w:rPr>
        <w:t>全面完成预期目标</w:t>
      </w:r>
      <w:r>
        <w:rPr>
          <w:rFonts w:hint="eastAsia" w:cs="仿宋_GB2312" w:asciiTheme="minorEastAsia" w:hAnsiTheme="minorEastAsia" w:eastAsiaTheme="minorEastAsia"/>
          <w:sz w:val="24"/>
        </w:rPr>
        <w:t>。</w:t>
      </w:r>
    </w:p>
    <w:p>
      <w:pPr>
        <w:spacing w:line="580" w:lineRule="exact"/>
        <w:ind w:firstLine="480" w:firstLineChars="200"/>
        <w:rPr>
          <w:rFonts w:ascii="宋体" w:hAnsi="宋体" w:cs="宋体"/>
          <w:color w:val="000000"/>
          <w:sz w:val="24"/>
        </w:rPr>
      </w:pPr>
      <w:r>
        <w:rPr>
          <w:rFonts w:hint="eastAsia" w:cs="仿宋_GB2312" w:asciiTheme="minorEastAsia" w:hAnsiTheme="minorEastAsia" w:eastAsiaTheme="minorEastAsia"/>
          <w:sz w:val="24"/>
        </w:rPr>
        <w:t>（1）</w:t>
      </w:r>
      <w:r>
        <w:rPr>
          <w:rFonts w:hint="eastAsia" w:ascii="宋体" w:hAnsi="宋体" w:cs="宋体"/>
          <w:color w:val="000000"/>
          <w:sz w:val="24"/>
        </w:rPr>
        <w:t>文化课统考监测及非统考学科评价</w:t>
      </w:r>
      <w:r>
        <w:rPr>
          <w:rFonts w:hint="eastAsia" w:cs="仿宋_GB2312" w:asciiTheme="minorEastAsia" w:hAnsiTheme="minorEastAsia" w:eastAsiaTheme="minorEastAsia"/>
          <w:sz w:val="24"/>
        </w:rPr>
        <w:t>项目全年预算数20万元，执行数为20万元，完成预算的100%。通过工作开展，</w:t>
      </w:r>
      <w:r>
        <w:rPr>
          <w:rFonts w:hint="eastAsia" w:ascii="宋体" w:hAnsi="宋体" w:cs="宋体"/>
          <w:color w:val="000000"/>
          <w:sz w:val="24"/>
        </w:rPr>
        <w:t>保障全市中小学文化课检测及非统考学科评价工作开展，全面完成预期目标。</w:t>
      </w:r>
    </w:p>
    <w:p>
      <w:pPr>
        <w:spacing w:line="58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r>
        <w:rPr>
          <w:rFonts w:hint="eastAsia" w:ascii="宋体" w:hAnsi="宋体" w:cs="宋体"/>
          <w:color w:val="000000"/>
          <w:sz w:val="24"/>
        </w:rPr>
        <w:t>骨干教师奖，</w:t>
      </w:r>
      <w:r>
        <w:rPr>
          <w:rFonts w:hint="eastAsia" w:cs="仿宋_GB2312" w:asciiTheme="minorEastAsia" w:hAnsiTheme="minorEastAsia" w:eastAsiaTheme="minorEastAsia"/>
          <w:sz w:val="24"/>
        </w:rPr>
        <w:t>项目全年预算数9.6万元，执行数为9.6万元，完成预算的100%。</w:t>
      </w:r>
      <w:r>
        <w:rPr>
          <w:rFonts w:hint="eastAsia" w:ascii="宋体" w:hAnsi="宋体" w:cs="宋体"/>
          <w:color w:val="000000"/>
          <w:sz w:val="24"/>
        </w:rPr>
        <w:t>通过此奖励，</w:t>
      </w:r>
      <w:r>
        <w:rPr>
          <w:rFonts w:hint="eastAsia" w:asciiTheme="minorEastAsia" w:hAnsiTheme="minorEastAsia" w:eastAsiaTheme="minorEastAsia"/>
          <w:sz w:val="24"/>
        </w:rPr>
        <w:t>营造教育人才安心生活、称心工作、潜心提升的发展环境，为峨眉山市教育事业上新台阶提供人才保障，</w:t>
      </w:r>
      <w:r>
        <w:rPr>
          <w:rFonts w:hint="eastAsia" w:cs="宋体" w:asciiTheme="minorEastAsia" w:hAnsiTheme="minorEastAsia" w:eastAsiaTheme="minorEastAsia"/>
          <w:color w:val="000000"/>
          <w:sz w:val="24"/>
        </w:rPr>
        <w:t>全面完成预期目标；</w:t>
      </w:r>
    </w:p>
    <w:p>
      <w:pPr>
        <w:spacing w:line="58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（3名师工作室，项目全年预算数5万元，执行数为5万元，完成预算的100%。</w:t>
      </w:r>
      <w:r>
        <w:rPr>
          <w:rFonts w:hint="eastAsia" w:ascii="宋体" w:hAnsi="宋体" w:cs="宋体"/>
          <w:color w:val="000000"/>
          <w:sz w:val="24"/>
        </w:rPr>
        <w:t>通过黄宇名师工作室和陈强名师工作室的工作开展，引领所在学科更好的提升与前行，</w:t>
      </w:r>
      <w:r>
        <w:rPr>
          <w:rFonts w:hint="eastAsia" w:cs="宋体" w:asciiTheme="minorEastAsia" w:hAnsiTheme="minorEastAsia" w:eastAsiaTheme="minorEastAsia"/>
          <w:color w:val="000000"/>
          <w:sz w:val="24"/>
        </w:rPr>
        <w:t>全面完成预期目标。</w:t>
      </w:r>
    </w:p>
    <w:p>
      <w:pPr>
        <w:adjustRightInd w:val="0"/>
        <w:snapToGrid w:val="0"/>
        <w:spacing w:line="600" w:lineRule="exact"/>
        <w:ind w:firstLine="360" w:firstLineChars="150"/>
        <w:rPr>
          <w:rFonts w:asciiTheme="minorEastAsia" w:hAnsiTheme="minorEastAsia" w:eastAsiaTheme="minorEastAsia"/>
          <w:sz w:val="24"/>
        </w:rPr>
      </w:pPr>
      <w:r>
        <w:rPr>
          <w:rFonts w:hint="eastAsia" w:cs="仿宋_GB2312" w:asciiTheme="minorEastAsia" w:hAnsiTheme="minorEastAsia" w:eastAsiaTheme="minorEastAsia"/>
          <w:sz w:val="24"/>
        </w:rPr>
        <w:t>（4）师训工作经费，项目全年预算数25万元，执行数为25万元，完成预算的100%。通过</w:t>
      </w:r>
      <w:r>
        <w:rPr>
          <w:rFonts w:hint="eastAsia" w:ascii="宋体" w:hAnsi="宋体" w:cs="宋体"/>
          <w:color w:val="000000"/>
          <w:sz w:val="24"/>
        </w:rPr>
        <w:t>师训工作开展，</w:t>
      </w:r>
      <w:r>
        <w:rPr>
          <w:rFonts w:hint="eastAsia" w:ascii="宋体" w:hAnsi="宋体" w:cs="宋体"/>
          <w:color w:val="000000"/>
          <w:kern w:val="0"/>
          <w:sz w:val="24"/>
        </w:rPr>
        <w:t>提升在职教师教学能力与业务水平</w:t>
      </w:r>
      <w:r>
        <w:rPr>
          <w:rFonts w:hint="eastAsia" w:ascii="宋体" w:hAnsi="宋体" w:cs="宋体"/>
          <w:color w:val="000000"/>
          <w:sz w:val="24"/>
        </w:rPr>
        <w:t>，</w:t>
      </w:r>
      <w:r>
        <w:rPr>
          <w:rFonts w:hint="eastAsia" w:cs="宋体" w:asciiTheme="minorEastAsia" w:hAnsiTheme="minorEastAsia" w:eastAsiaTheme="minorEastAsia"/>
          <w:color w:val="000000"/>
          <w:sz w:val="24"/>
        </w:rPr>
        <w:t>全面完成预期目标。</w:t>
      </w:r>
    </w:p>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文化课统考监测及非统考学科评价</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峨眉山市教师培训中心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保障全市中小学文化课检测及非统考学科评价工作开展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在职学生人数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29815人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29815人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及时检测与评价学生的综合素质，进一步提升在职教师教学能力与业务水平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在规定时限内完成相关</w:t>
            </w:r>
            <w:r>
              <w:rPr>
                <w:rFonts w:hint="eastAsia" w:ascii="宋体" w:hAnsi="宋体" w:cs="宋体"/>
                <w:color w:val="000000"/>
                <w:kern w:val="0"/>
                <w:sz w:val="24"/>
              </w:rPr>
              <w:t>检测与评价</w:t>
            </w:r>
            <w:r>
              <w:rPr>
                <w:rFonts w:hint="eastAsia" w:ascii="宋体" w:hAnsi="宋体" w:cs="宋体"/>
                <w:color w:val="000000"/>
                <w:sz w:val="24"/>
              </w:rPr>
              <w:t>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通过评价与检测学生综合素质，及时发现与解决问题，达到人民满意的办学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学校与社会对相关工作的满意度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骨干教师奖</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峨眉山市教师培训中心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9.6万元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9.6万元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对省级、市级、县级骨干教师的奖励</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对省级、市级、县级骨干教师的奖励</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通过对省级、市级、县级骨干教师的奖励，激励更多教师提升自己，努力工作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在规定时限内完成相关</w:t>
            </w:r>
            <w:r>
              <w:rPr>
                <w:rFonts w:hint="eastAsia" w:ascii="宋体" w:hAnsi="宋体" w:cs="宋体"/>
                <w:color w:val="000000"/>
                <w:kern w:val="0"/>
                <w:sz w:val="24"/>
              </w:rPr>
              <w:t>奖励</w:t>
            </w:r>
            <w:r>
              <w:rPr>
                <w:rFonts w:hint="eastAsia" w:ascii="宋体" w:hAnsi="宋体" w:cs="宋体"/>
                <w:color w:val="000000"/>
                <w:sz w:val="24"/>
              </w:rPr>
              <w:t>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通过对省级、市级、县级骨干教师的奖励，激励更多教师提升自己，努力工作，达到人民满意的办学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学校与社会对相关工作的满意度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名师工作室</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峨眉山市教师培训中心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通过名师工作室工作开展，引领所在学科更好的提升与前行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名师工作室数量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2个</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通过名师工作室工作开展，引领所在学科更好的提升与前行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在规定时限内完成</w:t>
            </w:r>
            <w:r>
              <w:rPr>
                <w:rFonts w:hint="eastAsia" w:ascii="宋体" w:hAnsi="宋体" w:cs="宋体"/>
                <w:color w:val="000000"/>
                <w:kern w:val="0"/>
                <w:sz w:val="24"/>
              </w:rPr>
              <w:t>名师工作室相关</w:t>
            </w:r>
            <w:r>
              <w:rPr>
                <w:rFonts w:hint="eastAsia" w:ascii="宋体" w:hAnsi="宋体" w:cs="宋体"/>
                <w:color w:val="000000"/>
                <w:sz w:val="24"/>
              </w:rPr>
              <w:t>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通过名师工作室工作开展，引领所在学科更好的提升与前行，达到人民满意的办学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学校与社会对相关工作的满意度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50"/>
        <w:gridCol w:w="170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师训工作经费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峨眉山市教师培训中心</w:t>
            </w:r>
          </w:p>
        </w:tc>
      </w:tr>
      <w:tr>
        <w:tblPrEx>
          <w:tblCellMar>
            <w:top w:w="0" w:type="dxa"/>
            <w:left w:w="0" w:type="dxa"/>
            <w:bottom w:w="0" w:type="dxa"/>
            <w:right w:w="0" w:type="dxa"/>
          </w:tblCellMar>
        </w:tblPrEx>
        <w:trPr>
          <w:trHeight w:val="276" w:hRule="atLeast"/>
          <w:jc w:val="center"/>
        </w:trPr>
        <w:tc>
          <w:tcPr>
            <w:tcW w:w="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7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25万元</w:t>
            </w:r>
          </w:p>
        </w:tc>
      </w:tr>
      <w:tr>
        <w:tblPrEx>
          <w:tblCellMar>
            <w:top w:w="0" w:type="dxa"/>
            <w:left w:w="0" w:type="dxa"/>
            <w:bottom w:w="0" w:type="dxa"/>
            <w:right w:w="0" w:type="dxa"/>
          </w:tblCellMar>
        </w:tblPrEx>
        <w:trPr>
          <w:trHeight w:val="276" w:hRule="atLeast"/>
          <w:jc w:val="center"/>
        </w:trPr>
        <w:tc>
          <w:tcPr>
            <w:tcW w:w="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7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25万元</w:t>
            </w:r>
          </w:p>
        </w:tc>
      </w:tr>
      <w:tr>
        <w:tblPrEx>
          <w:tblCellMar>
            <w:top w:w="0" w:type="dxa"/>
            <w:left w:w="0" w:type="dxa"/>
            <w:bottom w:w="0" w:type="dxa"/>
            <w:right w:w="0" w:type="dxa"/>
          </w:tblCellMar>
        </w:tblPrEx>
        <w:trPr>
          <w:trHeight w:val="1511" w:hRule="atLeast"/>
          <w:jc w:val="center"/>
        </w:trPr>
        <w:tc>
          <w:tcPr>
            <w:tcW w:w="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7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512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512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保障全市师训工作开展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5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5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在职教师人数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2800人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2800人</w:t>
            </w:r>
          </w:p>
        </w:tc>
      </w:tr>
      <w:tr>
        <w:tblPrEx>
          <w:tblCellMar>
            <w:top w:w="0" w:type="dxa"/>
            <w:left w:w="0" w:type="dxa"/>
            <w:bottom w:w="0" w:type="dxa"/>
            <w:right w:w="0" w:type="dxa"/>
          </w:tblCellMar>
        </w:tblPrEx>
        <w:trPr>
          <w:trHeight w:val="1297" w:hRule="atLeast"/>
          <w:jc w:val="center"/>
        </w:trPr>
        <w:tc>
          <w:tcPr>
            <w:tcW w:w="5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提升在职教师教学能力与业务水平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5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在规定时限内完成相关培训工作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5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学生综合素质得到提升，达到人民满意的办学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5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教师对培训等相关工作的满意度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numPr>
          <w:ilvl w:val="0"/>
          <w:numId w:val="2"/>
        </w:numPr>
        <w:spacing w:line="600" w:lineRule="exact"/>
        <w:ind w:firstLine="660" w:firstLineChars="150"/>
        <w:jc w:val="center"/>
        <w:outlineLvl w:val="0"/>
        <w:rPr>
          <w:rStyle w:val="24"/>
          <w:rFonts w:ascii="黑体" w:hAnsi="黑体" w:eastAsia="黑体"/>
          <w:b w:val="0"/>
        </w:rPr>
      </w:pPr>
      <w:bookmarkStart w:id="47" w:name="_Toc15396613"/>
      <w:bookmarkStart w:id="48"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47"/>
      <w:bookmarkEnd w:id="48"/>
    </w:p>
    <w:p>
      <w:pPr>
        <w:spacing w:line="600" w:lineRule="exact"/>
        <w:jc w:val="left"/>
        <w:rPr>
          <w:rFonts w:ascii="宋体"/>
          <w:b/>
          <w:color w:val="000000"/>
          <w:sz w:val="44"/>
          <w:szCs w:val="44"/>
        </w:rPr>
      </w:pPr>
    </w:p>
    <w:p>
      <w:pPr>
        <w:spacing w:line="580" w:lineRule="exact"/>
        <w:ind w:firstLine="560" w:firstLineChars="200"/>
        <w:rPr>
          <w:rFonts w:asciiTheme="minorEastAsia" w:hAnsiTheme="minorEastAsia" w:eastAsiaTheme="minorEastAsia"/>
          <w:color w:val="000000"/>
          <w:sz w:val="28"/>
          <w:szCs w:val="28"/>
        </w:rPr>
      </w:pPr>
      <w:bookmarkStart w:id="49" w:name="_Toc15396614"/>
      <w:bookmarkStart w:id="50" w:name="_Toc15377226"/>
      <w:r>
        <w:rPr>
          <w:rFonts w:hint="eastAsia" w:asciiTheme="minorEastAsia" w:hAnsiTheme="minorEastAsia" w:eastAsiaTheme="minorEastAsia"/>
          <w:sz w:val="28"/>
          <w:szCs w:val="28"/>
        </w:rPr>
        <w:t>1</w:t>
      </w:r>
      <w:r>
        <w:rPr>
          <w:rFonts w:hint="eastAsia" w:asciiTheme="minorEastAsia" w:hAnsiTheme="minorEastAsia" w:eastAsiaTheme="minorEastAsia"/>
          <w:color w:val="000000"/>
          <w:sz w:val="28"/>
          <w:szCs w:val="28"/>
        </w:rPr>
        <w:t xml:space="preserve">.财政拨款收入：指省级财政当年拨付的资金。 </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2.事业收入：指事业单位开展专业业务活动及辅助活动所取得的收入。如财政专户核拨的幼儿园保教费收入等。</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3.经营收入：指事业单位在专业业务活动及其辅助活动之外开展非独立核算经营活动取得的收入。</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4.其他收入：指除上述“财政拨款收入”、“事业收入”、“经营收入”等以外的收入。主要是捐赠收入、利息收入等。 </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6.年初结转和结余：指以前年度尚未完成、结转到本年按有关规定继续使用的资金。  </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7.一般公共服务支出（类）群众团体事务（款）其他群众团体事务支出（项）：指反映上述项目以外其他用于群众团体事务方面的支出。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8.国防支出（类）国防动员（款）兵役征集（项）：指反映用于兵役征集等方面的支出。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9.教育支出（类）教育管理事务（款）行政运行（项）:指反映行政单位（包括实行公务员管理的事业单位）的基本支出。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10.教育支出（类）教育管理事务（款）一般行政管理事务（项）:指反映行政单位（包括实行公务员管理的事业单位）未单独设置项级科目的其他项目支出。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11.教育支出（类）普通教育（款）学前教育（项）:指反映各部门举办的学前教育支出。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12.教育支出（类）普通教育（款）小学教育（项）:指反映各部门举办的小学教育支出。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13.教育支出（类）普通教育（款）初中教育（项）:指反映各部门举办的初中教育支出。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14.教育支出（类）普通教育（款）高中教育（项）:指反映各部门举办的高级中学教育支出。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15.教育支出（类）普通教育（款）其他普通教育支出（项）:指反映除上述项目以外其他用于普通教育方面的支出。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16.教育支出（类）职业教育（款）中专教育（项）:指反映各部门举办的各类中等专业学校的支出。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17.教育支出（类）职业教育（款）职业高中教育（项）:指反映各部门举办的职业中学、农业中学（含普通高中改制的）、半工（农）半读中学的支出或补助费。</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18.教育支出（类）职业教育（款）其他职业教育支出（项）: 指反映除上述项目以外其他用于职业教育方面的支出。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19.教育支出（类）成人教育（款）成人高等教育（项）:指反映各部门举办函授、夜大、高等教育自学考试等方面的支出。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20.教育支出（类）成人教育（款）成人广播电视教育（项）:指反映各部门举办成人广播电视教育的支出。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21.教育支出（类）进修及培训（款）教师进修（项）:指反映教师进修、师资培训支出。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22.教育支出（类）教育费附加安排的支出（款）农村中小学校舍建设（项）:指反映教育费附加安排用于农村中小学校舍新建、改建、修缮和维护的支出。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23.教育支出（类）教育费附加安排的支出（款）农村中小学教学设施（项）:指反映教育费附加安排用于改善农村中小学教学设施和办学条件的支出。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24.教育支出（类）教育费附加安排的支出（款）城市中小学校舍建设（项）:指反映教育费附加安排用于城市中小学校舍新建、改建、修缮和维护的支出。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25.教育支出（类）教育费附加安排的支出（款）中等职业学校教学设施（项）:指反映教育费附加安排用于中等职业学校教学设施的支出。 </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26.教育支出（类）教育费附加安排的支出（款）其他教育费附加安排的支出（项）: 指反映除上述项目以外的教育费附加支出。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27.教育支出（类）其他教育支出（款）其他教育支出（项）:指反映除上述项目以外其他用于教育方面的支出。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28.文化体育与传媒支出（类）体育（款）其他体育支出（项）:指反映上述项目以外其他用于体育方面的支出。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31.社会保障和就业支出（类）行政事业单位离退休（款）机关事业单位职业年金缴费支出（项）: 指反映机关事业单位实施养老保险制度由单位缴纳的职业年金支出。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32.社会保障和就业支出（类）行政事业单位离退休（款）其他行政事业单位离退休支出（项）: 指反映除上述项目以外其他用于行政事业单位离退休方面的支出。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33. 社会保障和就业支出（类）抚恤（款）死亡抚恤（项）:指反映按规定用于烈士和牺牲、病故人员家属的一次性和定期抚恤金以及丧葬补助费。</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34.社会保障和就业支出（类）抚恤（款）其他优抚支出（项）:指反映除上述项目以外其他用于优抚方面的支出。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Theme="minorEastAsia" w:hAnsiTheme="minorEastAsia" w:eastAsiaTheme="minorEastAsia"/>
          <w:color w:val="000000"/>
          <w:sz w:val="28"/>
          <w:szCs w:val="28"/>
        </w:rPr>
        <w:br w:type="textWrapping"/>
      </w:r>
      <w:r>
        <w:rPr>
          <w:rFonts w:hint="eastAsia" w:asciiTheme="minorEastAsia" w:hAnsiTheme="minorEastAsia" w:eastAsiaTheme="minorEastAsia"/>
          <w:color w:val="000000"/>
          <w:sz w:val="28"/>
          <w:szCs w:val="28"/>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37.农林水支出（类）扶贫（款）其他扶贫支出（项）：指反映除上述项目以外其他用于扶贫方面的支出。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39.结余分配：指事业单位按规定提取的职工福利基金、事业基金和缴纳的所得税，以及建设单位按规定应交回的基本建设竣工项目结余资金。</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40.年末结转和结余：指本年度或以前年度预算安排、因客观条件发生变化无法按原计划实施，需延迟到以后年度按有关规定继续使用的资金。</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41.基本支出：指为保障机构正常运转、完成日常工作任务而发生的人员支出和公用支出。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42.项目支出：指在基本支出之外为完成特定行政任务和事业发展目标所发生的支出。 </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43.经营支出：指事业单位在专业业务活动及其辅助活动之外开展非独立核算经营活动发生的支出。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r>
        <w:rPr>
          <w:rFonts w:asciiTheme="minorEastAsia" w:hAnsiTheme="minorEastAsia" w:eastAsiaTheme="minorEastAsia"/>
          <w:color w:val="000000"/>
          <w:sz w:val="28"/>
          <w:szCs w:val="28"/>
        </w:rPr>
        <w:br w:type="page"/>
      </w:r>
      <w:bookmarkEnd w:id="49"/>
      <w:r>
        <w:rPr>
          <w:rFonts w:hint="eastAsia" w:ascii="黑体" w:hAnsi="黑体" w:eastAsia="黑体"/>
          <w:color w:val="000000"/>
          <w:sz w:val="44"/>
          <w:szCs w:val="44"/>
        </w:rPr>
        <w:t>第</w:t>
      </w:r>
      <w:r>
        <w:rPr>
          <w:rStyle w:val="24"/>
          <w:rFonts w:hint="eastAsia" w:ascii="黑体" w:hAnsi="黑体" w:eastAsia="黑体"/>
        </w:rPr>
        <w:t>四部分 附件</w:t>
      </w:r>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ind w:firstLine="640" w:firstLineChars="200"/>
        <w:rPr>
          <w:rFonts w:ascii="仿宋_GB2312" w:eastAsia="仿宋_GB2312"/>
          <w:color w:val="000000"/>
          <w:sz w:val="32"/>
          <w:szCs w:val="32"/>
        </w:rPr>
      </w:pPr>
    </w:p>
    <w:p>
      <w:pPr>
        <w:widowControl/>
        <w:shd w:val="clear" w:color="auto" w:fill="FFFFFF"/>
        <w:spacing w:line="700" w:lineRule="exact"/>
        <w:ind w:firstLine="883" w:firstLineChars="200"/>
        <w:jc w:val="center"/>
        <w:rPr>
          <w:rFonts w:cs="宋体" w:asciiTheme="minorEastAsia" w:hAnsiTheme="minorEastAsia" w:eastAsiaTheme="minorEastAsia"/>
          <w:b/>
          <w:kern w:val="0"/>
          <w:sz w:val="44"/>
          <w:szCs w:val="44"/>
        </w:rPr>
      </w:pPr>
      <w:r>
        <w:rPr>
          <w:rFonts w:hint="eastAsia" w:cs="宋体" w:asciiTheme="minorEastAsia" w:hAnsiTheme="minorEastAsia" w:eastAsiaTheme="minorEastAsia"/>
          <w:b/>
          <w:kern w:val="0"/>
          <w:sz w:val="44"/>
          <w:szCs w:val="44"/>
        </w:rPr>
        <w:t>峨眉山市教师培训中心</w:t>
      </w:r>
    </w:p>
    <w:p>
      <w:pPr>
        <w:widowControl/>
        <w:shd w:val="clear" w:color="auto" w:fill="FFFFFF"/>
        <w:spacing w:line="700" w:lineRule="exact"/>
        <w:ind w:firstLine="883" w:firstLineChars="200"/>
        <w:jc w:val="center"/>
        <w:rPr>
          <w:rFonts w:cs="宋体" w:asciiTheme="minorEastAsia" w:hAnsiTheme="minorEastAsia" w:eastAsiaTheme="minorEastAsia"/>
          <w:b/>
          <w:kern w:val="0"/>
          <w:sz w:val="44"/>
          <w:szCs w:val="44"/>
        </w:rPr>
      </w:pPr>
      <w:r>
        <w:rPr>
          <w:rFonts w:hint="eastAsia" w:cs="宋体" w:asciiTheme="minorEastAsia" w:hAnsiTheme="minorEastAsia" w:eastAsiaTheme="minorEastAsia"/>
          <w:b/>
          <w:kern w:val="0"/>
          <w:sz w:val="44"/>
          <w:szCs w:val="44"/>
        </w:rPr>
        <w:t>2019年部门整体支出绩效评价报告</w:t>
      </w:r>
    </w:p>
    <w:p>
      <w:pPr>
        <w:widowControl/>
        <w:shd w:val="clear" w:color="auto" w:fill="FFFFFF"/>
        <w:spacing w:line="600" w:lineRule="exact"/>
        <w:jc w:val="left"/>
        <w:rPr>
          <w:rFonts w:ascii="仿宋_GB2312" w:hAnsi="仿宋_GB2312" w:eastAsia="仿宋_GB2312" w:cs="仿宋_GB2312"/>
          <w:kern w:val="0"/>
          <w:sz w:val="30"/>
          <w:szCs w:val="30"/>
        </w:rPr>
      </w:pPr>
    </w:p>
    <w:p>
      <w:pPr>
        <w:widowControl/>
        <w:shd w:val="clear" w:color="auto" w:fill="FFFFFF"/>
        <w:adjustRightInd w:val="0"/>
        <w:snapToGrid w:val="0"/>
        <w:spacing w:line="580" w:lineRule="exact"/>
        <w:ind w:firstLine="640"/>
        <w:jc w:val="left"/>
        <w:rPr>
          <w:rFonts w:cs="宋体" w:asciiTheme="minorEastAsia" w:hAnsiTheme="minorEastAsia" w:eastAsiaTheme="minorEastAsia"/>
          <w:b/>
          <w:kern w:val="0"/>
          <w:sz w:val="32"/>
          <w:szCs w:val="32"/>
        </w:rPr>
      </w:pPr>
      <w:r>
        <w:rPr>
          <w:rFonts w:hint="eastAsia" w:cs="宋体" w:asciiTheme="minorEastAsia" w:hAnsiTheme="minorEastAsia" w:eastAsiaTheme="minorEastAsia"/>
          <w:b/>
          <w:bCs/>
          <w:kern w:val="0"/>
          <w:sz w:val="32"/>
          <w:szCs w:val="32"/>
        </w:rPr>
        <w:t>一、部门概况</w:t>
      </w:r>
    </w:p>
    <w:p>
      <w:pPr>
        <w:widowControl/>
        <w:shd w:val="clear" w:color="auto" w:fill="FFFFFF"/>
        <w:adjustRightInd w:val="0"/>
        <w:snapToGrid w:val="0"/>
        <w:spacing w:line="580" w:lineRule="exact"/>
        <w:ind w:firstLine="643"/>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（一）机构组成、人员概况</w:t>
      </w:r>
      <w:r>
        <w:rPr>
          <w:rFonts w:hint="eastAsia" w:cs="宋体" w:asciiTheme="minorEastAsia" w:hAnsiTheme="minorEastAsia" w:eastAsiaTheme="minorEastAsia"/>
          <w:kern w:val="0"/>
          <w:sz w:val="28"/>
          <w:szCs w:val="28"/>
        </w:rPr>
        <w:t>。</w:t>
      </w:r>
    </w:p>
    <w:p>
      <w:pPr>
        <w:shd w:val="clear" w:color="auto" w:fill="FFFFFF"/>
        <w:spacing w:line="580" w:lineRule="exact"/>
        <w:ind w:firstLine="480" w:firstLineChars="200"/>
        <w:rPr>
          <w:rFonts w:cs="宋体" w:asciiTheme="minorEastAsia" w:hAnsiTheme="minorEastAsia" w:eastAsiaTheme="minorEastAsia"/>
          <w:kern w:val="0"/>
          <w:sz w:val="24"/>
        </w:rPr>
      </w:pPr>
      <w:r>
        <w:rPr>
          <w:rFonts w:hint="eastAsia" w:asciiTheme="minorEastAsia" w:hAnsiTheme="minorEastAsia" w:eastAsiaTheme="minorEastAsia"/>
          <w:sz w:val="24"/>
        </w:rPr>
        <w:t>峨眉山市教师培训中心为财政全额拨款事业单位，</w:t>
      </w:r>
      <w:r>
        <w:rPr>
          <w:rFonts w:hint="eastAsia" w:cs="仿宋_GB2312" w:asciiTheme="minorEastAsia" w:hAnsiTheme="minorEastAsia" w:eastAsiaTheme="minorEastAsia"/>
          <w:kern w:val="0"/>
          <w:sz w:val="24"/>
          <w:shd w:val="clear" w:color="auto" w:fill="FFFFFF"/>
        </w:rPr>
        <w:t>事业编制数43人。年末本单位在编在册36人，其中</w:t>
      </w:r>
      <w:r>
        <w:rPr>
          <w:rFonts w:hint="eastAsia" w:asciiTheme="minorEastAsia" w:hAnsiTheme="minorEastAsia" w:eastAsiaTheme="minorEastAsia"/>
          <w:sz w:val="24"/>
        </w:rPr>
        <w:t>事业编制36人，实际在岗36人。退休37人，离休1人。</w:t>
      </w:r>
    </w:p>
    <w:p>
      <w:pPr>
        <w:widowControl/>
        <w:shd w:val="clear" w:color="auto" w:fill="FFFFFF"/>
        <w:adjustRightInd w:val="0"/>
        <w:snapToGrid w:val="0"/>
        <w:spacing w:line="580" w:lineRule="exact"/>
        <w:ind w:firstLine="643"/>
        <w:jc w:val="left"/>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（二）单位主要职责</w:t>
      </w:r>
      <w:r>
        <w:rPr>
          <w:rFonts w:hint="eastAsia" w:cs="宋体" w:asciiTheme="minorEastAsia" w:hAnsiTheme="minorEastAsia" w:eastAsiaTheme="minorEastAsia"/>
          <w:kern w:val="0"/>
          <w:sz w:val="28"/>
          <w:szCs w:val="28"/>
        </w:rPr>
        <w:t>。</w:t>
      </w:r>
    </w:p>
    <w:p>
      <w:pPr>
        <w:snapToGrid w:val="0"/>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研究、指导、管理、服务（教学研究、教学指导、教学管理、教学服务、教师培训、电大教学）</w:t>
      </w:r>
    </w:p>
    <w:p>
      <w:pPr>
        <w:widowControl/>
        <w:shd w:val="clear" w:color="auto" w:fill="FFFFFF"/>
        <w:adjustRightInd w:val="0"/>
        <w:snapToGrid w:val="0"/>
        <w:spacing w:line="580" w:lineRule="exact"/>
        <w:ind w:firstLine="640"/>
        <w:jc w:val="left"/>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二、部门财政资金收支情况</w:t>
      </w:r>
    </w:p>
    <w:p>
      <w:pPr>
        <w:widowControl/>
        <w:shd w:val="clear" w:color="auto" w:fill="FFFFFF"/>
        <w:adjustRightInd w:val="0"/>
        <w:snapToGrid w:val="0"/>
        <w:spacing w:line="580" w:lineRule="exact"/>
        <w:ind w:firstLine="562" w:firstLineChars="200"/>
        <w:jc w:val="left"/>
        <w:outlineLvl w:val="0"/>
        <w:rPr>
          <w:rFonts w:cs="宋体" w:asciiTheme="minorEastAsia" w:hAnsiTheme="minorEastAsia" w:eastAsiaTheme="minorEastAsia"/>
          <w:b/>
          <w:kern w:val="0"/>
          <w:sz w:val="28"/>
          <w:szCs w:val="28"/>
        </w:rPr>
      </w:pPr>
      <w:r>
        <w:rPr>
          <w:rFonts w:hint="eastAsia" w:cs="宋体" w:asciiTheme="minorEastAsia" w:hAnsiTheme="minorEastAsia" w:eastAsiaTheme="minorEastAsia"/>
          <w:b/>
          <w:sz w:val="28"/>
          <w:szCs w:val="28"/>
        </w:rPr>
        <w:t>（一）</w:t>
      </w:r>
      <w:r>
        <w:rPr>
          <w:rFonts w:hint="eastAsia" w:cs="宋体" w:asciiTheme="minorEastAsia" w:hAnsiTheme="minorEastAsia" w:eastAsiaTheme="minorEastAsia"/>
          <w:b/>
          <w:kern w:val="0"/>
          <w:sz w:val="28"/>
          <w:szCs w:val="28"/>
        </w:rPr>
        <w:t>部门财政资金收入情况。</w:t>
      </w:r>
    </w:p>
    <w:p>
      <w:pPr>
        <w:ind w:firstLine="709"/>
        <w:rPr>
          <w:rFonts w:cs="宋体" w:asciiTheme="minorEastAsia" w:hAnsiTheme="minorEastAsia" w:eastAsiaTheme="minorEastAsia"/>
          <w:kern w:val="0"/>
          <w:sz w:val="24"/>
        </w:rPr>
      </w:pPr>
    </w:p>
    <w:p>
      <w:pPr>
        <w:ind w:firstLine="709"/>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峨眉山市教师培训中心2019年部门决算收入为819.28万元(其中一般公共预算</w:t>
      </w:r>
    </w:p>
    <w:p>
      <w:pPr>
        <w:rPr>
          <w:rFonts w:cs="宋体" w:asciiTheme="minorEastAsia" w:hAnsiTheme="minorEastAsia" w:eastAsiaTheme="minorEastAsia"/>
          <w:kern w:val="0"/>
          <w:sz w:val="24"/>
        </w:rPr>
      </w:pPr>
    </w:p>
    <w:p>
      <w:pPr>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rPr>
        <w:t>财政拨款707.16万元，事业收入112.12万元)，年初预算收入为678.18万元；</w:t>
      </w:r>
      <w:r>
        <w:rPr>
          <w:rFonts w:hint="eastAsia" w:cs="仿宋_GB2312" w:asciiTheme="minorEastAsia" w:hAnsiTheme="minorEastAsia" w:eastAsiaTheme="minorEastAsia"/>
          <w:kern w:val="0"/>
          <w:sz w:val="24"/>
        </w:rPr>
        <w:t>决算</w:t>
      </w:r>
    </w:p>
    <w:p>
      <w:pPr>
        <w:rPr>
          <w:rFonts w:cs="仿宋_GB2312" w:asciiTheme="minorEastAsia" w:hAnsiTheme="minorEastAsia" w:eastAsiaTheme="minorEastAsia"/>
          <w:kern w:val="0"/>
          <w:sz w:val="24"/>
        </w:rPr>
      </w:pPr>
    </w:p>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收入与年初预算收入的差额141.10万元,差额的主要原因为：一是各种临时经费追加</w:t>
      </w:r>
    </w:p>
    <w:p>
      <w:pPr>
        <w:rPr>
          <w:rFonts w:cs="仿宋_GB2312" w:asciiTheme="minorEastAsia" w:hAnsiTheme="minorEastAsia" w:eastAsiaTheme="minorEastAsia"/>
          <w:kern w:val="0"/>
          <w:sz w:val="24"/>
        </w:rPr>
      </w:pPr>
    </w:p>
    <w:p>
      <w:pPr>
        <w:rPr>
          <w:rFonts w:cs="仿宋" w:asciiTheme="minorEastAsia" w:hAnsiTheme="minorEastAsia" w:eastAsiaTheme="minorEastAsia"/>
          <w:color w:val="000000"/>
          <w:sz w:val="24"/>
        </w:rPr>
      </w:pPr>
      <w:r>
        <w:rPr>
          <w:rFonts w:hint="eastAsia" w:cs="仿宋_GB2312" w:asciiTheme="minorEastAsia" w:hAnsiTheme="minorEastAsia" w:eastAsiaTheme="minorEastAsia"/>
          <w:kern w:val="0"/>
          <w:sz w:val="24"/>
        </w:rPr>
        <w:t>（如人员工资调标变动等），二是项目经费增加（</w:t>
      </w:r>
      <w:r>
        <w:rPr>
          <w:rFonts w:hint="eastAsia" w:cs="仿宋" w:asciiTheme="minorEastAsia" w:hAnsiTheme="minorEastAsia" w:eastAsiaTheme="minorEastAsia"/>
          <w:color w:val="000000"/>
          <w:sz w:val="24"/>
        </w:rPr>
        <w:t>增加陈强名师工作室、骨干教师补</w:t>
      </w:r>
    </w:p>
    <w:p>
      <w:pPr>
        <w:rPr>
          <w:rFonts w:cs="仿宋" w:asciiTheme="minorEastAsia" w:hAnsiTheme="minorEastAsia" w:eastAsiaTheme="minorEastAsia"/>
          <w:color w:val="000000"/>
          <w:sz w:val="24"/>
        </w:rPr>
      </w:pPr>
    </w:p>
    <w:p>
      <w:pP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贴等）。</w:t>
      </w:r>
    </w:p>
    <w:p>
      <w:pPr>
        <w:widowControl/>
        <w:shd w:val="clear" w:color="auto" w:fill="FFFFFF"/>
        <w:adjustRightInd w:val="0"/>
        <w:snapToGrid w:val="0"/>
        <w:spacing w:line="580" w:lineRule="exact"/>
        <w:ind w:firstLine="480" w:firstLineChars="200"/>
        <w:jc w:val="left"/>
        <w:outlineLvl w:val="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未列入年初预算收入，实际进行了收入。年中、年末调整预算后，全年实际收入和预算收入平衡。</w:t>
      </w:r>
    </w:p>
    <w:p>
      <w:pPr>
        <w:widowControl/>
        <w:shd w:val="clear" w:color="auto" w:fill="FFFFFF"/>
        <w:adjustRightInd w:val="0"/>
        <w:snapToGrid w:val="0"/>
        <w:spacing w:line="580" w:lineRule="exact"/>
        <w:ind w:firstLine="562" w:firstLineChars="200"/>
        <w:jc w:val="left"/>
        <w:outlineLvl w:val="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（二）部门财政资金支出情况。</w:t>
      </w:r>
    </w:p>
    <w:p>
      <w:pPr>
        <w:ind w:firstLine="709"/>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峨眉山市教师培训中心2019年支出决算数为819.28万元，其中：基本支出</w:t>
      </w:r>
    </w:p>
    <w:p>
      <w:pPr>
        <w:rPr>
          <w:rFonts w:cs="宋体" w:asciiTheme="minorEastAsia" w:hAnsiTheme="minorEastAsia" w:eastAsiaTheme="minorEastAsia"/>
          <w:kern w:val="0"/>
          <w:sz w:val="24"/>
        </w:rPr>
      </w:pPr>
    </w:p>
    <w:p>
      <w:pP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759.68万元，项目支出59.60万元；年初预算数支出数为678.18万元，其中：基本</w:t>
      </w:r>
    </w:p>
    <w:p>
      <w:pPr>
        <w:rPr>
          <w:rFonts w:cs="宋体" w:asciiTheme="minorEastAsia" w:hAnsiTheme="minorEastAsia" w:eastAsiaTheme="minorEastAsia"/>
          <w:kern w:val="0"/>
          <w:sz w:val="24"/>
        </w:rPr>
      </w:pPr>
    </w:p>
    <w:p>
      <w:pPr>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rPr>
        <w:t>支出658.18万元，项目支出20万元。</w:t>
      </w:r>
      <w:r>
        <w:rPr>
          <w:rFonts w:hint="eastAsia" w:cs="仿宋_GB2312" w:asciiTheme="minorEastAsia" w:hAnsiTheme="minorEastAsia" w:eastAsiaTheme="minorEastAsia"/>
          <w:kern w:val="0"/>
          <w:sz w:val="24"/>
        </w:rPr>
        <w:t>决算支出与年初预算支出的差额141.10万元,</w:t>
      </w:r>
    </w:p>
    <w:p>
      <w:pPr>
        <w:rPr>
          <w:rFonts w:cs="仿宋_GB2312" w:asciiTheme="minorEastAsia" w:hAnsiTheme="minorEastAsia" w:eastAsiaTheme="minorEastAsia"/>
          <w:kern w:val="0"/>
          <w:sz w:val="24"/>
        </w:rPr>
      </w:pPr>
    </w:p>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差额的主要原因为：一是各种临时经费追加（如人员工资调标变动等），二是项目经</w:t>
      </w:r>
    </w:p>
    <w:p>
      <w:pPr>
        <w:rPr>
          <w:rFonts w:cs="仿宋_GB2312" w:asciiTheme="minorEastAsia" w:hAnsiTheme="minorEastAsia" w:eastAsiaTheme="minorEastAsia"/>
          <w:kern w:val="0"/>
          <w:sz w:val="24"/>
        </w:rPr>
      </w:pPr>
    </w:p>
    <w:p>
      <w:pPr>
        <w:rPr>
          <w:rFonts w:cs="仿宋" w:asciiTheme="minorEastAsia" w:hAnsiTheme="minorEastAsia" w:eastAsiaTheme="minorEastAsia"/>
          <w:color w:val="000000"/>
          <w:sz w:val="24"/>
        </w:rPr>
      </w:pPr>
      <w:r>
        <w:rPr>
          <w:rFonts w:hint="eastAsia" w:cs="仿宋_GB2312" w:asciiTheme="minorEastAsia" w:hAnsiTheme="minorEastAsia" w:eastAsiaTheme="minorEastAsia"/>
          <w:kern w:val="0"/>
          <w:sz w:val="24"/>
        </w:rPr>
        <w:t>费增加（</w:t>
      </w:r>
      <w:r>
        <w:rPr>
          <w:rFonts w:hint="eastAsia" w:cs="仿宋" w:asciiTheme="minorEastAsia" w:hAnsiTheme="minorEastAsia" w:eastAsiaTheme="minorEastAsia"/>
          <w:color w:val="000000"/>
          <w:sz w:val="24"/>
        </w:rPr>
        <w:t>增加陈强名师工作室、骨干教师补贴等）。</w:t>
      </w:r>
    </w:p>
    <w:p>
      <w:pPr>
        <w:widowControl/>
        <w:shd w:val="clear" w:color="auto" w:fill="FFFFFF"/>
        <w:adjustRightInd w:val="0"/>
        <w:snapToGrid w:val="0"/>
        <w:spacing w:line="580" w:lineRule="exact"/>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教育系统2019年年初结转结余0万元，年末结转结余为0万元。</w:t>
      </w:r>
    </w:p>
    <w:p>
      <w:pPr>
        <w:widowControl/>
        <w:shd w:val="clear" w:color="auto" w:fill="FFFFFF"/>
        <w:adjustRightInd w:val="0"/>
        <w:snapToGrid w:val="0"/>
        <w:spacing w:line="580" w:lineRule="exact"/>
        <w:ind w:firstLine="640"/>
        <w:jc w:val="left"/>
        <w:rPr>
          <w:rFonts w:cs="宋体" w:asciiTheme="minorEastAsia" w:hAnsiTheme="minorEastAsia" w:eastAsiaTheme="minorEastAsia"/>
          <w:b/>
          <w:bCs/>
          <w:kern w:val="0"/>
          <w:sz w:val="32"/>
          <w:szCs w:val="32"/>
        </w:rPr>
      </w:pPr>
      <w:r>
        <w:rPr>
          <w:rFonts w:hint="eastAsia" w:cs="宋体" w:asciiTheme="minorEastAsia" w:hAnsiTheme="minorEastAsia" w:eastAsiaTheme="minorEastAsia"/>
          <w:b/>
          <w:bCs/>
          <w:kern w:val="0"/>
          <w:sz w:val="32"/>
          <w:szCs w:val="32"/>
        </w:rPr>
        <w:t>三、部门整体支出管理情况</w:t>
      </w:r>
    </w:p>
    <w:p>
      <w:pPr>
        <w:widowControl/>
        <w:shd w:val="clear" w:color="auto" w:fill="FFFFFF"/>
        <w:adjustRightInd w:val="0"/>
        <w:snapToGrid w:val="0"/>
        <w:spacing w:line="580" w:lineRule="exact"/>
        <w:ind w:firstLine="562" w:firstLineChars="200"/>
        <w:jc w:val="left"/>
        <w:outlineLvl w:val="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（一）预决算编制情况。</w:t>
      </w:r>
    </w:p>
    <w:p>
      <w:pPr>
        <w:widowControl/>
        <w:shd w:val="clear" w:color="auto" w:fill="FFFFFF"/>
        <w:adjustRightInd w:val="0"/>
        <w:snapToGrid w:val="0"/>
        <w:spacing w:line="580" w:lineRule="exact"/>
        <w:ind w:firstLine="600" w:firstLineChars="250"/>
        <w:jc w:val="left"/>
        <w:outlineLvl w:val="0"/>
        <w:rPr>
          <w:rFonts w:cs="宋体" w:asciiTheme="minorEastAsia" w:hAnsiTheme="minorEastAsia" w:eastAsiaTheme="minorEastAsia"/>
          <w:sz w:val="24"/>
        </w:rPr>
      </w:pPr>
      <w:r>
        <w:rPr>
          <w:rFonts w:hint="eastAsia" w:cs="宋体" w:asciiTheme="minorEastAsia" w:hAnsiTheme="minorEastAsia" w:eastAsiaTheme="minorEastAsia"/>
          <w:kern w:val="0"/>
          <w:sz w:val="24"/>
        </w:rPr>
        <w:t>2019年，峨眉山市教师培训中心</w:t>
      </w:r>
      <w:r>
        <w:rPr>
          <w:rFonts w:hint="eastAsia" w:cs="宋体" w:asciiTheme="minorEastAsia" w:hAnsiTheme="minorEastAsia" w:eastAsiaTheme="minorEastAsia"/>
          <w:sz w:val="24"/>
        </w:rPr>
        <w:t>严格按照财政部门的要求和实现编制预决算、填报绩效目标和专项项目进度表。</w:t>
      </w:r>
      <w:r>
        <w:rPr>
          <w:rFonts w:hint="eastAsia" w:cs="宋体" w:asciiTheme="minorEastAsia" w:hAnsiTheme="minorEastAsia" w:eastAsiaTheme="minorEastAsia"/>
          <w:kern w:val="0"/>
          <w:sz w:val="24"/>
        </w:rPr>
        <w:t>2019年部门年初预算收入为678.18万元；</w:t>
      </w:r>
      <w:r>
        <w:rPr>
          <w:rFonts w:hint="eastAsia" w:cs="宋体" w:asciiTheme="minorEastAsia" w:hAnsiTheme="minorEastAsia" w:eastAsiaTheme="minorEastAsia"/>
          <w:sz w:val="24"/>
        </w:rPr>
        <w:t>其中一般公共财政拨款收入518.18万元，事业收入160万元；支出预算</w:t>
      </w:r>
      <w:r>
        <w:rPr>
          <w:rFonts w:hint="eastAsia" w:cs="宋体" w:asciiTheme="minorEastAsia" w:hAnsiTheme="minorEastAsia" w:eastAsiaTheme="minorEastAsia"/>
          <w:kern w:val="0"/>
          <w:sz w:val="24"/>
        </w:rPr>
        <w:t>678.18</w:t>
      </w:r>
      <w:r>
        <w:rPr>
          <w:rFonts w:hint="eastAsia" w:cs="宋体" w:asciiTheme="minorEastAsia" w:hAnsiTheme="minorEastAsia" w:eastAsiaTheme="minorEastAsia"/>
          <w:sz w:val="24"/>
        </w:rPr>
        <w:t>万元，其中基本支出预算658.18万元，项目预支出预算20万元。</w:t>
      </w:r>
      <w:r>
        <w:rPr>
          <w:rFonts w:hint="eastAsia" w:cs="宋体" w:asciiTheme="minorEastAsia" w:hAnsiTheme="minorEastAsia" w:eastAsiaTheme="minorEastAsia"/>
          <w:kern w:val="0"/>
          <w:sz w:val="24"/>
        </w:rPr>
        <w:t>2019年部门</w:t>
      </w:r>
      <w:r>
        <w:rPr>
          <w:rFonts w:hint="eastAsia" w:cs="宋体" w:asciiTheme="minorEastAsia" w:hAnsiTheme="minorEastAsia" w:eastAsiaTheme="minorEastAsia"/>
          <w:sz w:val="24"/>
        </w:rPr>
        <w:t>决算收入为</w:t>
      </w:r>
      <w:r>
        <w:rPr>
          <w:rFonts w:hint="eastAsia" w:cs="宋体" w:asciiTheme="minorEastAsia" w:hAnsiTheme="minorEastAsia" w:eastAsiaTheme="minorEastAsia"/>
          <w:kern w:val="0"/>
          <w:sz w:val="24"/>
        </w:rPr>
        <w:t>819.28万元，其中一般公共预算财政拨款707.16万元，其他收入112.12万元</w:t>
      </w:r>
      <w:r>
        <w:rPr>
          <w:rFonts w:hint="eastAsia" w:cs="宋体" w:asciiTheme="minorEastAsia" w:hAnsiTheme="minorEastAsia" w:eastAsiaTheme="minorEastAsia"/>
          <w:sz w:val="24"/>
        </w:rPr>
        <w:t>；决算支出为819.28万元，其中基本支出759.68万元，项目支出59.60万元。</w:t>
      </w:r>
    </w:p>
    <w:p>
      <w:pPr>
        <w:widowControl/>
        <w:shd w:val="clear" w:color="auto" w:fill="FFFFFF"/>
        <w:adjustRightInd w:val="0"/>
        <w:snapToGrid w:val="0"/>
        <w:spacing w:line="580" w:lineRule="exact"/>
        <w:ind w:firstLine="562" w:firstLineChars="200"/>
        <w:jc w:val="left"/>
        <w:outlineLvl w:val="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（二）执行管理情况。</w:t>
      </w:r>
    </w:p>
    <w:p>
      <w:pPr>
        <w:snapToGrid w:val="0"/>
        <w:spacing w:line="580" w:lineRule="exact"/>
        <w:ind w:firstLine="600" w:firstLineChars="250"/>
        <w:rPr>
          <w:rFonts w:asciiTheme="minorEastAsia" w:hAnsiTheme="minorEastAsia" w:eastAsiaTheme="minorEastAsia"/>
          <w:sz w:val="24"/>
        </w:rPr>
      </w:pPr>
      <w:r>
        <w:rPr>
          <w:rFonts w:hint="eastAsia" w:cs="宋体" w:asciiTheme="minorEastAsia" w:hAnsiTheme="minorEastAsia" w:eastAsiaTheme="minorEastAsia"/>
          <w:sz w:val="24"/>
        </w:rPr>
        <w:t>严格按照上报的资金计划完成资金拨付，根据预算合理控制支出数额及支出进度，临时事项，按规定程序报市政府批准或是完成预算调整程序后执行。峨眉山市教师培训中心基本支出部分按月均衡执行，项目支出部分按所报项目进度及时执行。2019年调整收入预算为819.28万元,调整金额141.10万元；</w:t>
      </w:r>
      <w:r>
        <w:rPr>
          <w:rFonts w:hint="eastAsia" w:asciiTheme="minorEastAsia" w:hAnsiTheme="minorEastAsia" w:eastAsiaTheme="minorEastAsia"/>
          <w:sz w:val="24"/>
        </w:rPr>
        <w:t>截止2019年6月支出409.64万元,执行比例50%;9月支出548.92万元,执行比例67%;12月支出819.28万元,执行比例100%,全年支出执行较好。</w:t>
      </w:r>
    </w:p>
    <w:p>
      <w:pPr>
        <w:widowControl/>
        <w:shd w:val="clear" w:color="auto" w:fill="FFFFFF"/>
        <w:adjustRightInd w:val="0"/>
        <w:snapToGrid w:val="0"/>
        <w:spacing w:line="580" w:lineRule="exact"/>
        <w:ind w:firstLine="562" w:firstLineChars="200"/>
        <w:jc w:val="left"/>
        <w:outlineLvl w:val="0"/>
        <w:rPr>
          <w:rFonts w:ascii="楷体_GB2312" w:hAnsi="宋体" w:eastAsia="楷体_GB2312" w:cs="宋体"/>
          <w:sz w:val="32"/>
          <w:szCs w:val="32"/>
        </w:rPr>
      </w:pPr>
      <w:r>
        <w:rPr>
          <w:rFonts w:hint="eastAsia" w:cs="宋体" w:asciiTheme="minorEastAsia" w:hAnsiTheme="minorEastAsia" w:eastAsiaTheme="minorEastAsia"/>
          <w:b/>
          <w:sz w:val="28"/>
          <w:szCs w:val="28"/>
        </w:rPr>
        <w:t>（三）支出绩效情况</w:t>
      </w:r>
      <w:r>
        <w:rPr>
          <w:rFonts w:hint="eastAsia" w:ascii="楷体_GB2312" w:hAnsi="宋体" w:eastAsia="楷体_GB2312" w:cs="宋体"/>
          <w:sz w:val="32"/>
          <w:szCs w:val="32"/>
        </w:rPr>
        <w:t>。</w:t>
      </w:r>
    </w:p>
    <w:p>
      <w:pPr>
        <w:widowControl/>
        <w:shd w:val="clear" w:color="auto" w:fill="FFFFFF"/>
        <w:adjustRightInd w:val="0"/>
        <w:snapToGrid w:val="0"/>
        <w:spacing w:line="580" w:lineRule="exact"/>
        <w:ind w:firstLine="703" w:firstLineChars="250"/>
        <w:jc w:val="left"/>
        <w:outlineLvl w:val="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1.部门支出绩效</w:t>
      </w:r>
    </w:p>
    <w:p>
      <w:pPr>
        <w:widowControl/>
        <w:shd w:val="clear" w:color="auto" w:fill="FFFFFF"/>
        <w:adjustRightInd w:val="0"/>
        <w:snapToGrid w:val="0"/>
        <w:spacing w:line="580" w:lineRule="exact"/>
        <w:ind w:firstLine="703" w:firstLineChars="250"/>
        <w:jc w:val="left"/>
        <w:outlineLvl w:val="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（1）事业运行保障</w:t>
      </w:r>
    </w:p>
    <w:p>
      <w:pPr>
        <w:widowControl/>
        <w:spacing w:line="580" w:lineRule="exact"/>
        <w:ind w:firstLine="480" w:firstLineChars="2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rPr>
        <w:t>峨眉山市教师培训中心事业运行保障经费基本支出的范围包括人员经费和日常公用经费，2019年基本支出决算数759.68万元，其中:人员经费604.26万元，日常公用经费155.42万元。</w:t>
      </w:r>
      <w:r>
        <w:rPr>
          <w:rFonts w:hint="eastAsia" w:cs="仿宋_GB2312" w:asciiTheme="minorEastAsia" w:hAnsiTheme="minorEastAsia" w:eastAsiaTheme="minorEastAsia"/>
          <w:kern w:val="0"/>
          <w:sz w:val="24"/>
        </w:rPr>
        <w:t>基本支出能够保障教育事业运行。</w:t>
      </w:r>
    </w:p>
    <w:p>
      <w:pPr>
        <w:widowControl/>
        <w:spacing w:line="58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（2）厉行节约。</w:t>
      </w:r>
    </w:p>
    <w:p>
      <w:pPr>
        <w:widowControl/>
        <w:spacing w:line="580" w:lineRule="exact"/>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2019年峨眉山市教师培训中心因公出国（境）费用、会议费、车辆购置及运行费用和公务接待经费等控制较好。其中2019年三公经费、会议费、培训费总额1.42万元，较2018年（总额3.70万元）大幅下降。2019年各项费用与2018年对比情况如下：因公出国出境费用无，与2018年相同；公务车运行维护费1.42万元，</w:t>
      </w:r>
      <w:r>
        <w:rPr>
          <w:rFonts w:hint="eastAsia" w:cs="仿宋_GB2312" w:asciiTheme="minorEastAsia" w:hAnsiTheme="minorEastAsia" w:eastAsiaTheme="minorEastAsia"/>
          <w:bCs/>
          <w:kern w:val="0"/>
          <w:sz w:val="24"/>
        </w:rPr>
        <w:t>较2018年的3.70万元减少2.28万元，下降61.68%</w:t>
      </w:r>
      <w:r>
        <w:rPr>
          <w:rFonts w:hint="eastAsia" w:cs="仿宋_GB2312" w:asciiTheme="minorEastAsia" w:hAnsiTheme="minorEastAsia" w:eastAsiaTheme="minorEastAsia"/>
          <w:kern w:val="0"/>
          <w:sz w:val="24"/>
        </w:rPr>
        <w:t>；公务接待费0万元，与2018年相同;会议费0万元，与2018年相同；培训费0万元，与2018年相同。总体费用下降的主要原因为本单位遵守中央八项规定，励行节约，除刚性支出外，全面减少一般性支出。</w:t>
      </w:r>
    </w:p>
    <w:p>
      <w:pPr>
        <w:widowControl/>
        <w:spacing w:line="58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（3）节能降耗</w:t>
      </w:r>
    </w:p>
    <w:p>
      <w:pPr>
        <w:widowControl/>
        <w:spacing w:line="580" w:lineRule="exact"/>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2019年峨眉山市教师培训中心节能降耗情况总体情况良好。其中总能耗3.45万元，较2018年减少1.25万元。2019年能耗情况与2018年对比情况如下：水费1.08万元，较2018年增加0.7万元，增加的主要原因是本年将部分桶装饮用水列入了水费，另电大并入教研室为峨眉山市教师培训中心；燃油费1.42万元，较2018年减少2.28万元,减少原因厉行节约；电费0.95万元，较2018年增加0.33万元，增加的主要原因是电大并入教研室为峨眉山市教师培训中心，另增加监控等电器导致费用上升。</w:t>
      </w:r>
    </w:p>
    <w:p>
      <w:pPr>
        <w:widowControl/>
        <w:spacing w:line="58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2.专项预算项目支出绩效</w:t>
      </w:r>
    </w:p>
    <w:p>
      <w:pPr>
        <w:widowControl/>
        <w:spacing w:line="580" w:lineRule="exact"/>
        <w:ind w:firstLine="482" w:firstLineChars="200"/>
        <w:rPr>
          <w:rFonts w:cs="仿宋_GB2312" w:asciiTheme="minorEastAsia" w:hAnsiTheme="minorEastAsia" w:eastAsiaTheme="minorEastAsia"/>
          <w:b/>
          <w:kern w:val="0"/>
          <w:sz w:val="24"/>
        </w:rPr>
      </w:pPr>
      <w:r>
        <w:rPr>
          <w:rFonts w:hint="eastAsia" w:cs="仿宋_GB2312" w:asciiTheme="minorEastAsia" w:hAnsiTheme="minorEastAsia" w:eastAsiaTheme="minorEastAsia"/>
          <w:b/>
          <w:kern w:val="0"/>
          <w:sz w:val="24"/>
        </w:rPr>
        <w:t>（1）项目资金管理情况</w:t>
      </w:r>
    </w:p>
    <w:p>
      <w:pPr>
        <w:widowControl/>
        <w:spacing w:line="580" w:lineRule="exact"/>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所有项目资金的管理都按照相关规定执行，实行专款专用。</w:t>
      </w:r>
    </w:p>
    <w:p>
      <w:pPr>
        <w:widowControl/>
        <w:shd w:val="clear" w:color="auto" w:fill="FFFFFF"/>
        <w:adjustRightInd w:val="0"/>
        <w:snapToGrid w:val="0"/>
        <w:spacing w:line="580" w:lineRule="exact"/>
        <w:jc w:val="left"/>
        <w:outlineLvl w:val="0"/>
        <w:rPr>
          <w:rFonts w:cs="仿宋_GB2312" w:asciiTheme="minorEastAsia" w:hAnsiTheme="minorEastAsia" w:eastAsiaTheme="minorEastAsia"/>
          <w:b/>
          <w:sz w:val="28"/>
          <w:szCs w:val="28"/>
        </w:rPr>
      </w:pPr>
      <w:r>
        <w:rPr>
          <w:rFonts w:hint="eastAsia" w:ascii="仿宋_GB2312" w:hAnsi="仿宋_GB2312" w:eastAsia="仿宋_GB2312" w:cs="仿宋_GB2312"/>
          <w:sz w:val="32"/>
          <w:szCs w:val="32"/>
        </w:rPr>
        <w:t xml:space="preserve">   </w:t>
      </w:r>
      <w:r>
        <w:rPr>
          <w:rFonts w:hint="eastAsia" w:cs="仿宋_GB2312" w:asciiTheme="minorEastAsia" w:hAnsiTheme="minorEastAsia" w:eastAsiaTheme="minorEastAsia"/>
          <w:b/>
          <w:sz w:val="28"/>
          <w:szCs w:val="28"/>
        </w:rPr>
        <w:t>（2）绩效目标完成情况</w:t>
      </w:r>
    </w:p>
    <w:p>
      <w:pPr>
        <w:widowControl/>
        <w:spacing w:line="440" w:lineRule="exact"/>
        <w:ind w:firstLine="592" w:firstLineChars="247"/>
        <w:jc w:val="left"/>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1 \* GB3</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①</w:t>
      </w:r>
      <w:r>
        <w:rPr>
          <w:rFonts w:asciiTheme="minorEastAsia" w:hAnsiTheme="minorEastAsia" w:eastAsiaTheme="minorEastAsia"/>
          <w:sz w:val="24"/>
        </w:rPr>
        <w:fldChar w:fldCharType="end"/>
      </w:r>
      <w:r>
        <w:rPr>
          <w:rFonts w:hint="eastAsia" w:asciiTheme="minorEastAsia" w:hAnsiTheme="minorEastAsia" w:eastAsiaTheme="minorEastAsia"/>
          <w:sz w:val="24"/>
        </w:rPr>
        <w:t>.高中：2019届，重本360，列乐山第一位。本科1049，列乐山第二位。（其中博睿特重本210，本科258）。高二一本上线371人，列乐山第一位，本科上线902人，列乐山第二位。高一一本上线355人，列乐山第一位，本科上线814人，列乐山第二位。</w:t>
      </w:r>
    </w:p>
    <w:p>
      <w:pPr>
        <w:widowControl/>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2 \* GB3</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②</w:t>
      </w:r>
      <w:r>
        <w:rPr>
          <w:rFonts w:asciiTheme="minorEastAsia" w:hAnsiTheme="minorEastAsia" w:eastAsiaTheme="minorEastAsia"/>
          <w:sz w:val="24"/>
        </w:rPr>
        <w:fldChar w:fldCharType="end"/>
      </w:r>
      <w:r>
        <w:rPr>
          <w:rFonts w:hint="eastAsia" w:asciiTheme="minorEastAsia" w:hAnsiTheme="minorEastAsia" w:eastAsiaTheme="minorEastAsia"/>
          <w:sz w:val="24"/>
        </w:rPr>
        <w:t>.初中：九年级，尖子生，乐山市第10、前20、前50、前100名，峨眉分别为3人、5人、11人、19人，均名列乐山市第2名；学科人均分，数学、英语、物理、化学、道法、历史6科乐山市第二名，语文1科第三名。八年级，思品、历史人均分乐山市第一名，语、数、外、物人均分乐山市第二名，六科人均总分乐山市第二名；生物、地理乐山毕业会考学科人均分均分乐山市第二名。峨眉山教研室荣获2019年度乐山教科所初中质量评估一等奖。</w:t>
      </w:r>
    </w:p>
    <w:p>
      <w:pPr>
        <w:widowControl/>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3 \* GB3</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③</w:t>
      </w:r>
      <w:r>
        <w:rPr>
          <w:rFonts w:asciiTheme="minorEastAsia" w:hAnsiTheme="minorEastAsia" w:eastAsiaTheme="minorEastAsia"/>
          <w:sz w:val="24"/>
        </w:rPr>
        <w:fldChar w:fldCharType="end"/>
      </w:r>
      <w:r>
        <w:rPr>
          <w:rFonts w:hint="eastAsia" w:asciiTheme="minorEastAsia" w:hAnsiTheme="minorEastAsia" w:eastAsiaTheme="minorEastAsia"/>
          <w:sz w:val="24"/>
        </w:rPr>
        <w:t>.小学：六年级参加乐山市调研考试，语文、数学人均分列乐山第一名，科学人均分列乐山第四名，英语人均分列乐山第五名，人均总分列乐山第二名。峨眉山教研室荣获2019年度乐山教科所小学质量评估一等奖。</w:t>
      </w:r>
    </w:p>
    <w:p>
      <w:pPr>
        <w:widowControl/>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4 \* GB3</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④</w:t>
      </w:r>
      <w:r>
        <w:rPr>
          <w:rFonts w:asciiTheme="minorEastAsia" w:hAnsiTheme="minorEastAsia" w:eastAsiaTheme="minorEastAsia"/>
          <w:sz w:val="24"/>
        </w:rPr>
        <w:fldChar w:fldCharType="end"/>
      </w:r>
      <w:r>
        <w:rPr>
          <w:rFonts w:hint="eastAsia" w:asciiTheme="minorEastAsia" w:hAnsiTheme="minorEastAsia" w:eastAsiaTheme="minorEastAsia"/>
          <w:sz w:val="24"/>
        </w:rPr>
        <w:t>.幼教：继续以“幼儿园区域游戏实践研究”为主题，扎实开展结对教研、集中教研、国培项目县幼儿园教师保教能力提升系列培训等工作，形成了多达七本的研训成果，44篇游戏案例荣获峨眉、乐山优秀奖，在乐山市幼儿园保教质量评估中，八所幼儿园获得一等奖。</w:t>
      </w:r>
    </w:p>
    <w:p>
      <w:pPr>
        <w:widowControl/>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5 \* GB3</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⑤</w:t>
      </w:r>
      <w:r>
        <w:rPr>
          <w:rFonts w:asciiTheme="minorEastAsia" w:hAnsiTheme="minorEastAsia" w:eastAsiaTheme="minorEastAsia"/>
          <w:sz w:val="24"/>
        </w:rPr>
        <w:fldChar w:fldCharType="end"/>
      </w:r>
      <w:r>
        <w:rPr>
          <w:rFonts w:hint="eastAsia" w:asciiTheme="minorEastAsia" w:hAnsiTheme="minorEastAsia" w:eastAsiaTheme="minorEastAsia"/>
          <w:sz w:val="24"/>
        </w:rPr>
        <w:t>.电大：2019年3月峨眉电大被四川电大评为示范性考点；2019春招102人，秋招108人，共计210人，位居乐山市第3名；指导学员参加省市电大举办的技能大赛，获省市奖4人次；参加省市2019年优秀评选，6人次被评为各级各类优秀。</w:t>
      </w:r>
    </w:p>
    <w:p>
      <w:pPr>
        <w:spacing w:line="420" w:lineRule="exact"/>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6 \* GB3</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⑥</w:t>
      </w:r>
      <w:r>
        <w:rPr>
          <w:rFonts w:asciiTheme="minorEastAsia" w:hAnsiTheme="minorEastAsia" w:eastAsiaTheme="minorEastAsia"/>
          <w:sz w:val="24"/>
        </w:rPr>
        <w:fldChar w:fldCharType="end"/>
      </w:r>
      <w:r>
        <w:rPr>
          <w:rFonts w:hint="eastAsia" w:asciiTheme="minorEastAsia" w:hAnsiTheme="minorEastAsia" w:eastAsiaTheme="minorEastAsia"/>
          <w:sz w:val="24"/>
        </w:rPr>
        <w:t>教科：一是2019年度校本教研优秀论文评选，参评论文825篇，评选出一等奖54篇、二等奖250篇、三等奖421篇。二2019年度微型课题研究及成果评选，参评微型课题80余项，评选出一等奖10项、二等奖24项、三等奖34项。</w:t>
      </w:r>
    </w:p>
    <w:p>
      <w:pPr>
        <w:spacing w:line="420" w:lineRule="exact"/>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7 \* GB3</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⑦</w:t>
      </w:r>
      <w:r>
        <w:rPr>
          <w:rFonts w:asciiTheme="minorEastAsia" w:hAnsiTheme="minorEastAsia" w:eastAsiaTheme="minorEastAsia"/>
          <w:sz w:val="24"/>
        </w:rPr>
        <w:fldChar w:fldCharType="end"/>
      </w:r>
      <w:r>
        <w:rPr>
          <w:rFonts w:hint="eastAsia" w:asciiTheme="minorEastAsia" w:hAnsiTheme="minorEastAsia" w:eastAsiaTheme="minorEastAsia"/>
          <w:sz w:val="24"/>
        </w:rPr>
        <w:t>.教研：小教、中教均获“乐山市2019年教学质量管理一等奖”。</w:t>
      </w:r>
    </w:p>
    <w:p>
      <w:pPr>
        <w:widowControl/>
        <w:shd w:val="clear" w:color="auto" w:fill="FFFFFF"/>
        <w:adjustRightInd w:val="0"/>
        <w:snapToGrid w:val="0"/>
        <w:spacing w:line="580" w:lineRule="exact"/>
        <w:ind w:firstLine="555"/>
        <w:jc w:val="left"/>
        <w:outlineLvl w:val="0"/>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（4）财务管理情况</w:t>
      </w:r>
    </w:p>
    <w:p>
      <w:pPr>
        <w:widowControl/>
        <w:shd w:val="clear" w:color="auto" w:fill="FFFFFF"/>
        <w:adjustRightInd w:val="0"/>
        <w:snapToGrid w:val="0"/>
        <w:spacing w:line="580" w:lineRule="exact"/>
        <w:ind w:firstLine="555"/>
        <w:jc w:val="left"/>
        <w:outlineLvl w:val="0"/>
        <w:rPr>
          <w:rFonts w:cs="仿宋_GB2312" w:asciiTheme="minorEastAsia" w:hAnsiTheme="minorEastAsia" w:eastAsiaTheme="minorEastAsia"/>
          <w:sz w:val="24"/>
        </w:rPr>
      </w:pPr>
      <w:r>
        <w:rPr>
          <w:rFonts w:hint="eastAsia" w:cs="仿宋_GB2312" w:asciiTheme="minorEastAsia" w:hAnsiTheme="minorEastAsia" w:eastAsiaTheme="minorEastAsia"/>
          <w:sz w:val="24"/>
        </w:rPr>
        <w:t>所有专项资金实行专款专用，不得挪用；各项采购严格按照政府采购制度执行。</w:t>
      </w:r>
    </w:p>
    <w:p>
      <w:pPr>
        <w:widowControl/>
        <w:shd w:val="clear" w:color="auto" w:fill="FFFFFF"/>
        <w:adjustRightInd w:val="0"/>
        <w:snapToGrid w:val="0"/>
        <w:spacing w:line="580" w:lineRule="exact"/>
        <w:ind w:firstLine="555"/>
        <w:jc w:val="left"/>
        <w:outlineLvl w:val="0"/>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（5）绩效管理工作开展情况</w:t>
      </w:r>
    </w:p>
    <w:p>
      <w:pPr>
        <w:widowControl/>
        <w:shd w:val="clear" w:color="auto" w:fill="FFFFFF"/>
        <w:adjustRightInd w:val="0"/>
        <w:snapToGrid w:val="0"/>
        <w:spacing w:line="580" w:lineRule="exact"/>
        <w:ind w:firstLine="555"/>
        <w:jc w:val="left"/>
        <w:outlineLvl w:val="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根据《峨眉山市财政局关于开展2020年财政支出绩效评价工作的通知》（峨财通[2020]36号）文件精神</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我单位成立了绩效评价工作领导小组，负责绩效评价工作的组织领导和具体实施。评价小组采取座谈等方式听取情况，检查基本支出、项目支出有关账目，收集整理支出相关资料，进行分析，形成评价结论。</w:t>
      </w:r>
    </w:p>
    <w:p>
      <w:pPr>
        <w:widowControl/>
        <w:shd w:val="clear" w:color="auto" w:fill="FFFFFF"/>
        <w:adjustRightInd w:val="0"/>
        <w:snapToGrid w:val="0"/>
        <w:spacing w:line="580" w:lineRule="exact"/>
        <w:ind w:firstLine="555"/>
        <w:jc w:val="left"/>
        <w:outlineLvl w:val="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通过绩效评价梳理出的问题，将通过座谈的形式传达给相关部门，以便完善。</w:t>
      </w:r>
    </w:p>
    <w:p>
      <w:pPr>
        <w:widowControl/>
        <w:shd w:val="clear" w:color="auto" w:fill="FFFFFF"/>
        <w:adjustRightInd w:val="0"/>
        <w:snapToGrid w:val="0"/>
        <w:spacing w:line="580" w:lineRule="exact"/>
        <w:ind w:firstLine="640"/>
        <w:jc w:val="left"/>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四、评价结论及建议</w:t>
      </w:r>
    </w:p>
    <w:p>
      <w:pPr>
        <w:widowControl/>
        <w:shd w:val="clear" w:color="auto" w:fill="FFFFFF"/>
        <w:adjustRightInd w:val="0"/>
        <w:snapToGrid w:val="0"/>
        <w:spacing w:line="580" w:lineRule="exact"/>
        <w:ind w:firstLine="555"/>
        <w:jc w:val="left"/>
        <w:outlineLvl w:val="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（一）评价结论。</w:t>
      </w:r>
    </w:p>
    <w:p>
      <w:pPr>
        <w:widowControl/>
        <w:shd w:val="clear" w:color="auto" w:fill="FFFFFF"/>
        <w:adjustRightInd w:val="0"/>
        <w:snapToGrid w:val="0"/>
        <w:spacing w:line="580" w:lineRule="exact"/>
        <w:jc w:val="left"/>
        <w:outlineLvl w:val="0"/>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峨眉山市教师培训中心部门支出绩效评价得分94 ，具体情况见下表：</w:t>
      </w:r>
    </w:p>
    <w:p>
      <w:pPr>
        <w:widowControl/>
        <w:shd w:val="clear" w:color="auto" w:fill="FFFFFF"/>
        <w:adjustRightInd w:val="0"/>
        <w:snapToGrid w:val="0"/>
        <w:spacing w:line="580" w:lineRule="exact"/>
        <w:jc w:val="left"/>
        <w:outlineLvl w:val="0"/>
        <w:rPr>
          <w:rFonts w:cs="宋体" w:asciiTheme="minorEastAsia" w:hAnsiTheme="minorEastAsia" w:eastAsiaTheme="minorEastAsia"/>
          <w:b/>
          <w:kern w:val="0"/>
          <w:sz w:val="28"/>
          <w:szCs w:val="28"/>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9"/>
        <w:gridCol w:w="2622"/>
        <w:gridCol w:w="2772"/>
        <w:gridCol w:w="873"/>
        <w:gridCol w:w="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一级指标</w:t>
            </w:r>
          </w:p>
        </w:tc>
        <w:tc>
          <w:tcPr>
            <w:tcW w:w="2622" w:type="dxa"/>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二级指标</w:t>
            </w:r>
          </w:p>
        </w:tc>
        <w:tc>
          <w:tcPr>
            <w:tcW w:w="2772" w:type="dxa"/>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三级指标</w:t>
            </w:r>
          </w:p>
        </w:tc>
        <w:tc>
          <w:tcPr>
            <w:tcW w:w="873" w:type="dxa"/>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总分</w:t>
            </w:r>
          </w:p>
        </w:tc>
        <w:tc>
          <w:tcPr>
            <w:tcW w:w="926" w:type="dxa"/>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restart"/>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预算编制</w:t>
            </w:r>
          </w:p>
        </w:tc>
        <w:tc>
          <w:tcPr>
            <w:tcW w:w="2622" w:type="dxa"/>
            <w:vMerge w:val="restart"/>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报送时效</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基础信息更新</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预算草案报送</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Merge w:val="restart"/>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编制质量</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预算编制准确</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预算执行调整</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部门预算审查</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绩效目标</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绩效目标编制</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5</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专项预算提前细化</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预控指标细化</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5</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预算公开</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公开内容</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569" w:type="dxa"/>
            <w:vMerge w:val="restart"/>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预算执行</w:t>
            </w:r>
          </w:p>
        </w:tc>
        <w:tc>
          <w:tcPr>
            <w:tcW w:w="262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绩效分配</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项目绩效分配</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10</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Merge w:val="restart"/>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执行进度</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6</w:t>
            </w:r>
            <w:r>
              <w:rPr>
                <w:rFonts w:hint="eastAsia" w:ascii="仿宋_GB2312" w:hAnsi="宋体" w:eastAsia="仿宋_GB2312" w:cs="宋体"/>
                <w:kern w:val="0"/>
                <w:sz w:val="24"/>
              </w:rPr>
              <w:t>月执行进度</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9</w:t>
            </w:r>
            <w:r>
              <w:rPr>
                <w:rFonts w:hint="eastAsia" w:ascii="仿宋_GB2312" w:hAnsi="宋体" w:eastAsia="仿宋_GB2312" w:cs="宋体"/>
                <w:kern w:val="0"/>
                <w:sz w:val="24"/>
              </w:rPr>
              <w:t>月执行进度</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569" w:type="dxa"/>
            <w:vMerge w:val="restart"/>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执行进度</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12</w:t>
            </w:r>
            <w:r>
              <w:rPr>
                <w:rFonts w:hint="eastAsia" w:ascii="仿宋_GB2312" w:hAnsi="宋体" w:eastAsia="仿宋_GB2312" w:cs="宋体"/>
                <w:kern w:val="0"/>
                <w:sz w:val="24"/>
              </w:rPr>
              <w:t>月执行进度</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预算调整</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执行中期评估</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9</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Merge w:val="restart"/>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行政成本</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节能降耗</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廉洁行政</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1569" w:type="dxa"/>
            <w:vMerge w:val="restart"/>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支出绩效</w:t>
            </w:r>
          </w:p>
        </w:tc>
        <w:tc>
          <w:tcPr>
            <w:tcW w:w="2622" w:type="dxa"/>
            <w:vMerge w:val="restart"/>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绩效评价</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部门预算绩效评价</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14</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w:t>
            </w:r>
            <w:r>
              <w:rPr>
                <w:rFonts w:hint="eastAsia"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专项预算项目绩效评价</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14</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决算审查</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部门决算差错率</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决算公开</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公开内容</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结余注销</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结余注销率</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绩效管理</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工作开展</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1569"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合计</w:t>
            </w:r>
          </w:p>
        </w:tc>
        <w:tc>
          <w:tcPr>
            <w:tcW w:w="5394" w:type="dxa"/>
            <w:gridSpan w:val="2"/>
            <w:vAlign w:val="center"/>
          </w:tcPr>
          <w:p>
            <w:pPr>
              <w:widowControl/>
              <w:adjustRightInd w:val="0"/>
              <w:snapToGrid w:val="0"/>
              <w:spacing w:line="340" w:lineRule="exact"/>
              <w:jc w:val="center"/>
              <w:outlineLvl w:val="0"/>
              <w:rPr>
                <w:rFonts w:ascii="仿宋_GB2312" w:eastAsia="仿宋_GB2312" w:cs="宋体"/>
                <w:kern w:val="0"/>
                <w:sz w:val="24"/>
              </w:rPr>
            </w:pP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100</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9</w:t>
            </w:r>
            <w:r>
              <w:rPr>
                <w:rFonts w:hint="eastAsia" w:ascii="仿宋_GB2312" w:hAnsi="宋体" w:eastAsia="仿宋_GB2312" w:cs="宋体"/>
                <w:kern w:val="0"/>
                <w:sz w:val="24"/>
              </w:rPr>
              <w:t>4</w:t>
            </w:r>
          </w:p>
        </w:tc>
      </w:tr>
    </w:tbl>
    <w:p>
      <w:pPr>
        <w:widowControl/>
        <w:shd w:val="clear" w:color="auto" w:fill="FFFFFF"/>
        <w:adjustRightInd w:val="0"/>
        <w:snapToGrid w:val="0"/>
        <w:spacing w:line="580" w:lineRule="exact"/>
        <w:ind w:firstLine="555"/>
        <w:jc w:val="left"/>
        <w:outlineLvl w:val="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（二）存在问题。</w:t>
      </w:r>
    </w:p>
    <w:p>
      <w:pPr>
        <w:widowControl/>
        <w:shd w:val="clear" w:color="auto" w:fill="FFFFFF"/>
        <w:adjustRightInd w:val="0"/>
        <w:snapToGrid w:val="0"/>
        <w:spacing w:line="58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kern w:val="0"/>
          <w:sz w:val="24"/>
        </w:rPr>
        <w:t>预算编制工作有待细化。预算编制不够明确和细化，预算编制的合理性需要提高，预算执行力度还要进一步加强。</w:t>
      </w:r>
    </w:p>
    <w:p>
      <w:pPr>
        <w:widowControl/>
        <w:shd w:val="clear" w:color="auto" w:fill="FFFFFF"/>
        <w:adjustRightInd w:val="0"/>
        <w:snapToGrid w:val="0"/>
        <w:spacing w:line="58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2.部门支出相关的规章制度还不够完善，需要进一步加强支出各环节的衔接与管理，完善内控制度。</w:t>
      </w:r>
    </w:p>
    <w:p>
      <w:pPr>
        <w:widowControl/>
        <w:shd w:val="clear" w:color="auto" w:fill="FFFFFF"/>
        <w:adjustRightInd w:val="0"/>
        <w:snapToGrid w:val="0"/>
        <w:spacing w:line="580" w:lineRule="exact"/>
        <w:ind w:firstLine="562" w:firstLineChars="200"/>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（三）改进建议。</w:t>
      </w:r>
    </w:p>
    <w:p>
      <w:pPr>
        <w:widowControl/>
        <w:shd w:val="clear" w:color="auto" w:fill="FFFFFF"/>
        <w:adjustRightInd w:val="0"/>
        <w:snapToGrid w:val="0"/>
        <w:spacing w:line="580" w:lineRule="exact"/>
        <w:ind w:firstLine="64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针对上述存在的问题及对外整体支出管理工作的需要，拟实施的改进措施如下：</w:t>
      </w:r>
    </w:p>
    <w:p>
      <w:pPr>
        <w:widowControl/>
        <w:shd w:val="clear" w:color="auto" w:fill="FFFFFF"/>
        <w:adjustRightInd w:val="0"/>
        <w:snapToGrid w:val="0"/>
        <w:spacing w:line="580" w:lineRule="exact"/>
        <w:ind w:firstLine="64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细化预算编制工作，认真做好预算的编制。进一步加强单位内部机构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line="580" w:lineRule="exact"/>
        <w:ind w:firstLine="64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加强财务管理，严格财务审核。加强单位财务管理，健全单位财务管理制度体系，规范单位财务行为。在费用报账支付时，按照预算规定的费用项目和用途进行资金使用审核、列报支付、财务核算，做到全年总控、按月均衡支出，杜绝超支现象的发生。</w:t>
      </w:r>
    </w:p>
    <w:p>
      <w:pPr>
        <w:widowControl/>
        <w:shd w:val="clear" w:color="auto" w:fill="FFFFFF"/>
        <w:adjustRightInd w:val="0"/>
        <w:snapToGrid w:val="0"/>
        <w:spacing w:line="580" w:lineRule="exact"/>
        <w:ind w:firstLine="64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完善资产管理，抓好“三公”经费控制，进一步减少一般性支出。严格编制政府采购年初预算和计划，规范各类资产的购置审批制度、资产出租出借和收入管理制度、资产采购制度、使用管理制度、资产处置和报废审批制度、资产管理岗位职责制度等，加强单位内部的资产管理工作，做到适时清点、及时报废、账实相符。严格控制“三公”经费的规模和比例，把关“三公”经费支出的审核、审批，杜绝挪用和挤占其他预算资金行为；进一步细化“三公”经费的管理，合理压缩“三公”经费支出。</w:t>
      </w:r>
    </w:p>
    <w:p>
      <w:pPr>
        <w:widowControl/>
        <w:shd w:val="clear" w:color="auto" w:fill="FFFFFF"/>
        <w:adjustRightInd w:val="0"/>
        <w:snapToGrid w:val="0"/>
        <w:spacing w:line="58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4.相关人员加强学习，特别是针对新《预算法》、《行政事业单位会计制度》、《政府会计制度》、《行政事业单位内部控制规范》等学习，规范部门预算收支核算，切实提高部门预算收支水平。</w:t>
      </w:r>
    </w:p>
    <w:p>
      <w:pPr>
        <w:widowControl/>
        <w:shd w:val="clear" w:color="auto" w:fill="FFFFFF"/>
        <w:adjustRightInd w:val="0"/>
        <w:snapToGrid w:val="0"/>
        <w:spacing w:line="580" w:lineRule="exact"/>
        <w:ind w:firstLine="640"/>
        <w:jc w:val="righ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w:t>
      </w:r>
    </w:p>
    <w:p>
      <w:pPr>
        <w:widowControl/>
        <w:shd w:val="clear" w:color="auto" w:fill="FFFFFF"/>
        <w:adjustRightInd w:val="0"/>
        <w:snapToGrid w:val="0"/>
        <w:spacing w:line="580" w:lineRule="exact"/>
        <w:ind w:right="740"/>
        <w:jc w:val="right"/>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峨眉山市教师培训中心</w:t>
      </w:r>
    </w:p>
    <w:p>
      <w:pPr>
        <w:widowControl/>
        <w:shd w:val="clear" w:color="auto" w:fill="FFFFFF"/>
        <w:adjustRightInd w:val="0"/>
        <w:snapToGrid w:val="0"/>
        <w:spacing w:line="580" w:lineRule="exact"/>
        <w:ind w:right="1080"/>
        <w:jc w:val="right"/>
        <w:rPr>
          <w:rFonts w:asciiTheme="minorEastAsia" w:hAnsiTheme="minorEastAsia" w:eastAsiaTheme="minorEastAsia"/>
          <w:b/>
          <w:sz w:val="28"/>
          <w:szCs w:val="28"/>
        </w:rPr>
      </w:pPr>
      <w:r>
        <w:rPr>
          <w:rFonts w:hint="eastAsia" w:cs="宋体" w:asciiTheme="minorEastAsia" w:hAnsiTheme="minorEastAsia" w:eastAsiaTheme="minorEastAsia"/>
          <w:b/>
          <w:kern w:val="0"/>
          <w:sz w:val="28"/>
          <w:szCs w:val="28"/>
        </w:rPr>
        <w:t>2020年10月20日</w:t>
      </w: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cs="仿宋_GB2312" w:asciiTheme="minorEastAsia" w:hAnsiTheme="minorEastAsia" w:eastAsiaTheme="minorEastAsia"/>
          <w:b/>
          <w:sz w:val="30"/>
          <w:szCs w:val="30"/>
        </w:rPr>
      </w:pPr>
      <w:r>
        <w:rPr>
          <w:rFonts w:hint="eastAsia" w:cs="黑体" w:asciiTheme="minorEastAsia" w:hAnsiTheme="minorEastAsia" w:eastAsiaTheme="minorEastAsia"/>
          <w:b/>
          <w:sz w:val="30"/>
          <w:szCs w:val="30"/>
        </w:rPr>
        <w:t>附件2</w:t>
      </w:r>
    </w:p>
    <w:p>
      <w:pPr>
        <w:pStyle w:val="30"/>
        <w:spacing w:line="600" w:lineRule="exact"/>
        <w:jc w:val="center"/>
        <w:rPr>
          <w:rFonts w:asciiTheme="minorEastAsia" w:hAnsiTheme="minorEastAsia" w:eastAsiaTheme="minorEastAsia"/>
          <w:b/>
          <w:kern w:val="0"/>
          <w:sz w:val="30"/>
          <w:szCs w:val="30"/>
        </w:rPr>
      </w:pPr>
    </w:p>
    <w:p>
      <w:pPr>
        <w:pStyle w:val="30"/>
        <w:spacing w:line="600" w:lineRule="exact"/>
        <w:jc w:val="center"/>
        <w:rPr>
          <w:rFonts w:asciiTheme="minorEastAsia" w:hAnsiTheme="minorEastAsia" w:eastAsiaTheme="minorEastAsia"/>
          <w:b/>
          <w:kern w:val="0"/>
          <w:sz w:val="30"/>
          <w:szCs w:val="30"/>
        </w:rPr>
      </w:pPr>
      <w:r>
        <w:rPr>
          <w:rFonts w:hint="eastAsia" w:asciiTheme="minorEastAsia" w:hAnsiTheme="minorEastAsia" w:eastAsiaTheme="minorEastAsia"/>
          <w:b/>
          <w:kern w:val="0"/>
          <w:sz w:val="30"/>
          <w:szCs w:val="30"/>
        </w:rPr>
        <w:t>峨眉山市教师培训中心</w:t>
      </w:r>
    </w:p>
    <w:p>
      <w:pPr>
        <w:pStyle w:val="30"/>
        <w:spacing w:line="600" w:lineRule="exact"/>
        <w:jc w:val="center"/>
        <w:rPr>
          <w:rFonts w:asciiTheme="minorEastAsia" w:hAnsiTheme="minorEastAsia" w:eastAsiaTheme="minorEastAsia"/>
          <w:b/>
          <w:kern w:val="0"/>
          <w:sz w:val="30"/>
          <w:szCs w:val="30"/>
          <w:lang w:val="zh-CN"/>
        </w:rPr>
      </w:pPr>
      <w:r>
        <w:rPr>
          <w:rFonts w:hint="eastAsia" w:asciiTheme="minorEastAsia" w:hAnsiTheme="minorEastAsia" w:eastAsiaTheme="minorEastAsia"/>
          <w:b/>
          <w:kern w:val="0"/>
          <w:sz w:val="30"/>
          <w:szCs w:val="30"/>
        </w:rPr>
        <w:t>骨干教师奖</w:t>
      </w:r>
      <w:r>
        <w:rPr>
          <w:rFonts w:hint="eastAsia" w:asciiTheme="minorEastAsia" w:hAnsiTheme="minorEastAsia" w:eastAsiaTheme="minorEastAsia"/>
          <w:b/>
          <w:kern w:val="0"/>
          <w:sz w:val="30"/>
          <w:szCs w:val="30"/>
          <w:lang w:val="zh-CN"/>
        </w:rPr>
        <w:t>项目</w:t>
      </w:r>
    </w:p>
    <w:p>
      <w:pPr>
        <w:pStyle w:val="30"/>
        <w:spacing w:line="600" w:lineRule="exact"/>
        <w:jc w:val="center"/>
        <w:rPr>
          <w:rFonts w:asciiTheme="minorEastAsia" w:hAnsiTheme="minorEastAsia" w:eastAsiaTheme="minorEastAsia"/>
          <w:b/>
          <w:kern w:val="0"/>
          <w:sz w:val="30"/>
          <w:szCs w:val="30"/>
          <w:lang w:val="zh-CN"/>
        </w:rPr>
      </w:pPr>
      <w:r>
        <w:rPr>
          <w:rFonts w:hint="eastAsia" w:asciiTheme="minorEastAsia" w:hAnsiTheme="minorEastAsia" w:eastAsiaTheme="minorEastAsia"/>
          <w:b/>
          <w:kern w:val="0"/>
          <w:sz w:val="30"/>
          <w:szCs w:val="30"/>
        </w:rPr>
        <w:t>2019年</w:t>
      </w:r>
      <w:r>
        <w:rPr>
          <w:rFonts w:hint="eastAsia" w:asciiTheme="minorEastAsia" w:hAnsiTheme="minorEastAsia" w:eastAsiaTheme="minorEastAsia"/>
          <w:b/>
          <w:kern w:val="0"/>
          <w:sz w:val="30"/>
          <w:szCs w:val="30"/>
          <w:lang w:val="zh-CN"/>
        </w:rPr>
        <w:t>绩效评价报告</w:t>
      </w:r>
    </w:p>
    <w:p>
      <w:pPr>
        <w:pStyle w:val="30"/>
        <w:spacing w:line="600" w:lineRule="exact"/>
        <w:jc w:val="center"/>
        <w:rPr>
          <w:rFonts w:ascii="方正小标宋简体" w:hAnsi="宋体" w:eastAsia="方正小标宋简体"/>
          <w:kern w:val="0"/>
          <w:sz w:val="44"/>
          <w:szCs w:val="44"/>
        </w:rPr>
      </w:pPr>
    </w:p>
    <w:p>
      <w:pPr>
        <w:adjustRightInd w:val="0"/>
        <w:snapToGrid w:val="0"/>
        <w:spacing w:line="600" w:lineRule="exact"/>
        <w:ind w:firstLine="720"/>
        <w:rPr>
          <w:rFonts w:asciiTheme="minorEastAsia" w:hAnsiTheme="minorEastAsia" w:eastAsiaTheme="minorEastAsia"/>
          <w:b/>
          <w:sz w:val="32"/>
          <w:szCs w:val="32"/>
          <w:lang w:val="zh-CN"/>
        </w:rPr>
      </w:pPr>
      <w:r>
        <w:rPr>
          <w:rFonts w:hint="eastAsia" w:asciiTheme="minorEastAsia" w:hAnsiTheme="minorEastAsia" w:eastAsiaTheme="minorEastAsia"/>
          <w:b/>
          <w:sz w:val="32"/>
          <w:szCs w:val="32"/>
        </w:rPr>
        <w:t>一、</w:t>
      </w:r>
      <w:r>
        <w:rPr>
          <w:rFonts w:hint="eastAsia" w:asciiTheme="minorEastAsia" w:hAnsiTheme="minorEastAsia" w:eastAsiaTheme="minorEastAsia"/>
          <w:b/>
          <w:sz w:val="32"/>
          <w:szCs w:val="32"/>
          <w:lang w:val="zh-CN"/>
        </w:rPr>
        <w:t>项目概况</w:t>
      </w:r>
    </w:p>
    <w:p>
      <w:pPr>
        <w:ind w:firstLine="562" w:firstLineChars="200"/>
        <w:rPr>
          <w:rFonts w:asciiTheme="minorEastAsia" w:hAnsiTheme="minorEastAsia" w:eastAsiaTheme="minorEastAsia"/>
          <w:b/>
          <w:sz w:val="28"/>
          <w:szCs w:val="28"/>
          <w:lang w:val="zh-CN"/>
        </w:rPr>
      </w:pPr>
      <w:r>
        <w:rPr>
          <w:rFonts w:hint="eastAsia" w:asciiTheme="minorEastAsia" w:hAnsiTheme="minorEastAsia" w:eastAsiaTheme="minorEastAsia"/>
          <w:b/>
          <w:sz w:val="28"/>
          <w:szCs w:val="28"/>
          <w:lang w:val="zh-CN"/>
        </w:rPr>
        <w:t>（一）项目资金申报及批复情况。</w:t>
      </w:r>
    </w:p>
    <w:p>
      <w:pPr>
        <w:ind w:firstLine="480" w:firstLineChars="200"/>
        <w:rPr>
          <w:rFonts w:asciiTheme="minorEastAsia" w:hAnsiTheme="minorEastAsia" w:eastAsiaTheme="minorEastAsia"/>
          <w:bCs/>
          <w:sz w:val="24"/>
        </w:rPr>
      </w:pPr>
    </w:p>
    <w:p>
      <w:pPr>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根据《关于加强教育人才队伍建设的意见》（峨委发【2012】2号）以及峨眉山市</w:t>
      </w:r>
    </w:p>
    <w:p>
      <w:pPr>
        <w:rPr>
          <w:rFonts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rPr>
        <w:t>教育局、峨眉山市财政局、峨眉山市人力资源和社会保障局共同出台《关于印发峨眉</w:t>
      </w:r>
    </w:p>
    <w:p>
      <w:pPr>
        <w:rPr>
          <w:rFonts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rPr>
        <w:t>山市教育人才队伍建设专项资金管理办法修订的通知》（峨教发[2017]30号）的精神</w:t>
      </w:r>
    </w:p>
    <w:p>
      <w:pPr>
        <w:rPr>
          <w:rFonts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rPr>
        <w:t>及要求，充分发挥教育人才特别是高层次优秀教育人才在我市教育事业发展中的重要</w:t>
      </w:r>
    </w:p>
    <w:p>
      <w:pPr>
        <w:rPr>
          <w:rFonts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rPr>
        <w:t>作用。峨眉山市教师培训中心共计申报骨干教师奖励9.6万元，其中省级7人（每人</w:t>
      </w:r>
    </w:p>
    <w:p>
      <w:pPr>
        <w:rPr>
          <w:rFonts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rPr>
        <w:t>0.72万元）、市级6人（每人0.48万元）、县级7人（每人0.24万元）。</w:t>
      </w:r>
    </w:p>
    <w:p>
      <w:pPr>
        <w:adjustRightInd w:val="0"/>
        <w:snapToGrid w:val="0"/>
        <w:spacing w:line="600" w:lineRule="exact"/>
        <w:ind w:firstLine="720"/>
        <w:rPr>
          <w:rFonts w:asciiTheme="minorEastAsia" w:hAnsiTheme="minorEastAsia" w:eastAsiaTheme="minorEastAsia"/>
          <w:b/>
          <w:sz w:val="28"/>
          <w:szCs w:val="28"/>
        </w:rPr>
      </w:pPr>
      <w:r>
        <w:rPr>
          <w:rFonts w:hint="eastAsia" w:asciiTheme="minorEastAsia" w:hAnsiTheme="minorEastAsia" w:eastAsiaTheme="minorEastAsia"/>
          <w:b/>
          <w:sz w:val="28"/>
          <w:szCs w:val="28"/>
          <w:lang w:val="zh-CN"/>
        </w:rPr>
        <w:t>（二）项目绩效目标。</w:t>
      </w:r>
    </w:p>
    <w:p>
      <w:pPr>
        <w:adjustRightInd w:val="0"/>
        <w:snapToGrid w:val="0"/>
        <w:spacing w:line="600" w:lineRule="exact"/>
        <w:ind w:firstLine="720"/>
        <w:rPr>
          <w:rFonts w:asciiTheme="minorEastAsia" w:hAnsiTheme="minorEastAsia" w:eastAsiaTheme="minorEastAsia"/>
          <w:sz w:val="24"/>
        </w:rPr>
      </w:pPr>
      <w:r>
        <w:rPr>
          <w:rFonts w:hint="eastAsia" w:asciiTheme="minorEastAsia" w:hAnsiTheme="minorEastAsia" w:eastAsiaTheme="minorEastAsia"/>
          <w:sz w:val="24"/>
        </w:rPr>
        <w:t>优化以特级教师、省级教学名师和省级骨干教师为龙头，乐山市级骨干教师和峨眉山市级骨干教师为骨干，广大中青年教师为基础的教育人力资源配置，营造教育人才安心生活、称心工作、潜心提升的发展环境。为峨眉山市教育事业上新台阶提供人才保障。</w:t>
      </w:r>
    </w:p>
    <w:p>
      <w:pPr>
        <w:adjustRightInd w:val="0"/>
        <w:snapToGrid w:val="0"/>
        <w:spacing w:line="60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b/>
          <w:sz w:val="28"/>
          <w:szCs w:val="28"/>
          <w:lang w:val="zh-CN"/>
        </w:rPr>
        <w:t>（三）项目资金申报相符性</w:t>
      </w:r>
      <w:r>
        <w:rPr>
          <w:rFonts w:hint="eastAsia" w:asciiTheme="minorEastAsia" w:hAnsiTheme="minorEastAsia" w:eastAsiaTheme="minorEastAsia"/>
          <w:sz w:val="28"/>
          <w:szCs w:val="28"/>
          <w:lang w:val="zh-CN"/>
        </w:rPr>
        <w:t>。</w:t>
      </w:r>
    </w:p>
    <w:p>
      <w:pPr>
        <w:adjustRightInd w:val="0"/>
        <w:snapToGrid w:val="0"/>
        <w:spacing w:line="600" w:lineRule="exact"/>
        <w:ind w:firstLine="720"/>
        <w:rPr>
          <w:rFonts w:asciiTheme="minorEastAsia" w:hAnsiTheme="minorEastAsia" w:eastAsiaTheme="minorEastAsia"/>
          <w:sz w:val="24"/>
        </w:rPr>
      </w:pPr>
      <w:r>
        <w:rPr>
          <w:rFonts w:hint="eastAsia" w:asciiTheme="minorEastAsia" w:hAnsiTheme="minorEastAsia" w:eastAsiaTheme="minorEastAsia"/>
          <w:sz w:val="24"/>
          <w:lang w:val="zh-CN"/>
        </w:rPr>
        <w:t>该项目属于民生保障类项目，申报的内容和具体实施的内容相符，申报目标合理可行，</w:t>
      </w:r>
      <w:r>
        <w:rPr>
          <w:rFonts w:hint="eastAsia" w:asciiTheme="minorEastAsia" w:hAnsiTheme="minorEastAsia" w:eastAsiaTheme="minorEastAsia"/>
          <w:sz w:val="24"/>
        </w:rPr>
        <w:t>为峨眉山市教育事业上新台阶提供人才保障。</w:t>
      </w:r>
    </w:p>
    <w:p>
      <w:pPr>
        <w:spacing w:line="600" w:lineRule="exact"/>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二、项目实施及管理情况</w:t>
      </w:r>
    </w:p>
    <w:p>
      <w:pPr>
        <w:spacing w:line="600" w:lineRule="exact"/>
        <w:ind w:firstLine="562" w:firstLineChars="200"/>
        <w:rPr>
          <w:rFonts w:ascii="楷体_GB2312" w:eastAsia="楷体_GB2312"/>
          <w:sz w:val="32"/>
          <w:szCs w:val="32"/>
        </w:rPr>
      </w:pPr>
      <w:r>
        <w:rPr>
          <w:rFonts w:hint="eastAsia" w:asciiTheme="minorEastAsia" w:hAnsiTheme="minorEastAsia" w:eastAsiaTheme="minorEastAsia"/>
          <w:b/>
          <w:sz w:val="28"/>
          <w:szCs w:val="28"/>
        </w:rPr>
        <w:t>（一）资金计划、到位及使用情况</w:t>
      </w:r>
      <w:r>
        <w:rPr>
          <w:rFonts w:hint="eastAsia" w:ascii="楷体_GB2312" w:eastAsia="楷体_GB2312"/>
          <w:sz w:val="32"/>
          <w:szCs w:val="32"/>
        </w:rPr>
        <w:t>。</w:t>
      </w:r>
    </w:p>
    <w:p>
      <w:pPr>
        <w:adjustRightInd w:val="0"/>
        <w:snapToGrid w:val="0"/>
        <w:spacing w:line="600" w:lineRule="exact"/>
        <w:ind w:firstLine="720"/>
        <w:rPr>
          <w:rFonts w:asciiTheme="minorEastAsia" w:hAnsiTheme="minorEastAsia" w:eastAsiaTheme="minorEastAsia"/>
          <w:sz w:val="24"/>
          <w:lang w:val="zh-CN"/>
        </w:rPr>
      </w:pPr>
      <w:r>
        <w:rPr>
          <w:rFonts w:hint="eastAsia" w:asciiTheme="minorEastAsia" w:hAnsiTheme="minorEastAsia" w:eastAsiaTheme="minorEastAsia"/>
          <w:b/>
          <w:sz w:val="28"/>
          <w:szCs w:val="28"/>
          <w:lang w:val="zh-CN"/>
        </w:rPr>
        <w:t>1.资金计划及到位</w:t>
      </w:r>
      <w:r>
        <w:rPr>
          <w:rFonts w:hint="eastAsia" w:asciiTheme="minorEastAsia" w:hAnsiTheme="minorEastAsia" w:eastAsiaTheme="minorEastAsia"/>
          <w:sz w:val="24"/>
          <w:lang w:val="zh-CN"/>
        </w:rPr>
        <w:t>。2019年该项目预算资金9.6万元，根据项目资金结算实际，下达预算指标</w:t>
      </w:r>
      <w:r>
        <w:rPr>
          <w:rFonts w:hint="eastAsia" w:asciiTheme="minorEastAsia" w:hAnsiTheme="minorEastAsia" w:eastAsiaTheme="minorEastAsia"/>
          <w:sz w:val="24"/>
        </w:rPr>
        <w:t>9.6万元。</w:t>
      </w:r>
      <w:r>
        <w:rPr>
          <w:rFonts w:hint="eastAsia" w:asciiTheme="minorEastAsia" w:hAnsiTheme="minorEastAsia" w:eastAsiaTheme="minorEastAsia"/>
          <w:sz w:val="24"/>
          <w:lang w:val="zh-CN"/>
        </w:rPr>
        <w:t>项目由市教育局制定拨款报告给市财政局，市财政局审核后，将项目指标下达市教育局机关并进行资金拨付。2019年6月，拨付资金9.6万元。拨付时间绩效目标完成率100%，拨付资金额度完成率100%</w:t>
      </w:r>
    </w:p>
    <w:p>
      <w:pPr>
        <w:widowControl/>
        <w:spacing w:line="600" w:lineRule="exact"/>
        <w:ind w:firstLine="885"/>
        <w:jc w:val="left"/>
        <w:rPr>
          <w:rFonts w:asciiTheme="minorEastAsia" w:hAnsiTheme="minorEastAsia" w:eastAsiaTheme="minorEastAsia"/>
          <w:sz w:val="24"/>
          <w:lang w:val="zh-CN"/>
        </w:rPr>
      </w:pPr>
      <w:r>
        <w:rPr>
          <w:rFonts w:hint="eastAsia" w:asciiTheme="minorEastAsia" w:hAnsiTheme="minorEastAsia" w:eastAsiaTheme="minorEastAsia"/>
          <w:b/>
          <w:sz w:val="28"/>
          <w:szCs w:val="28"/>
          <w:lang w:val="zh-CN"/>
        </w:rPr>
        <w:t>2.资金使用。</w:t>
      </w:r>
      <w:r>
        <w:rPr>
          <w:rFonts w:hint="eastAsia" w:asciiTheme="minorEastAsia" w:hAnsiTheme="minorEastAsia" w:eastAsiaTheme="minorEastAsia"/>
          <w:sz w:val="24"/>
          <w:lang w:val="zh-CN"/>
        </w:rPr>
        <w:t>2019年，该项目实际使用资金9.6万元，全额用于</w:t>
      </w:r>
      <w:r>
        <w:rPr>
          <w:rFonts w:hint="eastAsia" w:asciiTheme="minorEastAsia" w:hAnsiTheme="minorEastAsia" w:eastAsiaTheme="minorEastAsia"/>
          <w:sz w:val="24"/>
        </w:rPr>
        <w:t>2019年骨干教师奖励</w:t>
      </w:r>
      <w:r>
        <w:rPr>
          <w:rFonts w:hint="eastAsia" w:asciiTheme="minorEastAsia" w:hAnsiTheme="minorEastAsia" w:eastAsiaTheme="minorEastAsia"/>
          <w:sz w:val="24"/>
          <w:lang w:val="zh-CN"/>
        </w:rPr>
        <w:t>。根据</w:t>
      </w:r>
      <w:r>
        <w:rPr>
          <w:rFonts w:hint="eastAsia" w:asciiTheme="minorEastAsia" w:hAnsiTheme="minorEastAsia" w:eastAsiaTheme="minorEastAsia"/>
          <w:bCs/>
          <w:sz w:val="24"/>
        </w:rPr>
        <w:t>《关于加强教育人才队伍建设的意见》（峨委发【2012】2号）以及峨眉山市教育局、峨眉山市财政局、峨眉山市人力资源和社会保障局共同出台《关于印发峨眉山市教育人才队伍建设专项资金管理办法修订的通知》（峨教发[2017]30号）的精神及要求，共支付峨眉山市教师培训中心20人（省级7人、市级6人、县级7人） 。</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
          <w:sz w:val="28"/>
          <w:szCs w:val="28"/>
        </w:rPr>
        <w:t>二）项目财务管理情况。</w:t>
      </w:r>
    </w:p>
    <w:p>
      <w:pPr>
        <w:adjustRightInd w:val="0"/>
        <w:snapToGrid w:val="0"/>
        <w:spacing w:line="600" w:lineRule="exact"/>
        <w:ind w:firstLine="720"/>
        <w:rPr>
          <w:rFonts w:asciiTheme="minorEastAsia" w:hAnsiTheme="minorEastAsia" w:eastAsiaTheme="minorEastAsia"/>
          <w:sz w:val="24"/>
          <w:lang w:val="zh-CN"/>
        </w:rPr>
      </w:pPr>
      <w:r>
        <w:rPr>
          <w:rFonts w:hint="eastAsia" w:asciiTheme="minorEastAsia" w:hAnsiTheme="minorEastAsia" w:eastAsiaTheme="minorEastAsia"/>
          <w:sz w:val="24"/>
          <w:lang w:val="zh-CN"/>
        </w:rPr>
        <w:t>该项目资金纳入教育局机关财务账务体系统一管理和使用，收入支出严格按照《会计法》、《行政事业单位计制度》、《行政事业单位财务管理制度》、《教育局财务内部控制制度》等财务管理制度执行。通过金算盘软件进行账务处理，支出票据统一由市教育局支付中心审核，通过转账支付给中标企业。资金的管理使用严格执行财务管理制度，财务处理及时，会计核算规范。</w:t>
      </w:r>
    </w:p>
    <w:p>
      <w:pPr>
        <w:spacing w:line="6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（三）项目组织实施情况。</w:t>
      </w:r>
    </w:p>
    <w:p>
      <w:pPr>
        <w:spacing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建立教育人才工作协调机制，成立市委市政府分管教育工作的领导为组长，相关部门负责人为成员的峨眉山市教育人才工作领导小组，负责全市教育人才工作的综合协调。市人社局和市委编办承担教育人才引进等政策落实；教育局提出队伍建设的规划，落实相关工作；市财政局要对教育人才队伍建设工作给予资金保障。</w:t>
      </w:r>
    </w:p>
    <w:p>
      <w:pPr>
        <w:spacing w:line="600" w:lineRule="exact"/>
        <w:ind w:firstLine="803"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三、项目绩效情况</w:t>
      </w:r>
    </w:p>
    <w:p>
      <w:pPr>
        <w:spacing w:line="600" w:lineRule="exact"/>
        <w:ind w:firstLine="562" w:firstLineChars="200"/>
        <w:rPr>
          <w:rFonts w:ascii="楷体_GB2312" w:eastAsia="楷体_GB2312"/>
          <w:sz w:val="32"/>
          <w:szCs w:val="32"/>
        </w:rPr>
      </w:pPr>
      <w:r>
        <w:rPr>
          <w:rFonts w:hint="eastAsia" w:asciiTheme="minorEastAsia" w:hAnsiTheme="minorEastAsia" w:eastAsiaTheme="minorEastAsia"/>
          <w:b/>
          <w:sz w:val="28"/>
          <w:szCs w:val="28"/>
        </w:rPr>
        <w:t>（一）项目完成情况</w:t>
      </w:r>
      <w:r>
        <w:rPr>
          <w:rFonts w:hint="eastAsia" w:ascii="楷体_GB2312" w:eastAsia="楷体_GB2312"/>
          <w:sz w:val="32"/>
          <w:szCs w:val="32"/>
        </w:rPr>
        <w:t>。</w:t>
      </w:r>
    </w:p>
    <w:p>
      <w:pPr>
        <w:spacing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该项目对照预算， 2019年1月，下达预算指标</w:t>
      </w:r>
      <w:r>
        <w:rPr>
          <w:rFonts w:hint="eastAsia" w:asciiTheme="minorEastAsia" w:hAnsiTheme="minorEastAsia" w:eastAsiaTheme="minorEastAsia"/>
          <w:sz w:val="24"/>
          <w:lang w:val="zh-CN"/>
        </w:rPr>
        <w:t>9.6万元</w:t>
      </w:r>
      <w:r>
        <w:rPr>
          <w:rFonts w:hint="eastAsia" w:asciiTheme="minorEastAsia" w:hAnsiTheme="minorEastAsia" w:eastAsiaTheme="minorEastAsia"/>
          <w:sz w:val="24"/>
        </w:rPr>
        <w:t>，6月支付金额</w:t>
      </w:r>
      <w:r>
        <w:rPr>
          <w:rFonts w:hint="eastAsia" w:asciiTheme="minorEastAsia" w:hAnsiTheme="minorEastAsia" w:eastAsiaTheme="minorEastAsia"/>
          <w:sz w:val="24"/>
          <w:lang w:val="zh-CN"/>
        </w:rPr>
        <w:t>9.6万元。预算指标和资金拨付均按计划实施。资金拨付进度、拨付总额达到预期安排，项目完成情况较好，完成率100%。</w:t>
      </w:r>
    </w:p>
    <w:p>
      <w:pPr>
        <w:spacing w:line="600" w:lineRule="exact"/>
        <w:ind w:firstLine="562" w:firstLineChars="200"/>
        <w:rPr>
          <w:rFonts w:ascii="楷体_GB2312" w:eastAsia="楷体_GB2312"/>
          <w:sz w:val="32"/>
          <w:szCs w:val="32"/>
        </w:rPr>
      </w:pPr>
      <w:r>
        <w:rPr>
          <w:rFonts w:hint="eastAsia" w:asciiTheme="minorEastAsia" w:hAnsiTheme="minorEastAsia" w:eastAsiaTheme="minorEastAsia"/>
          <w:b/>
          <w:sz w:val="28"/>
          <w:szCs w:val="28"/>
        </w:rPr>
        <w:t>（二）项目效益情况</w:t>
      </w:r>
      <w:r>
        <w:rPr>
          <w:rFonts w:hint="eastAsia" w:ascii="楷体_GB2312" w:eastAsia="楷体_GB2312"/>
          <w:sz w:val="32"/>
          <w:szCs w:val="32"/>
        </w:rPr>
        <w:t>。</w:t>
      </w:r>
    </w:p>
    <w:p>
      <w:pPr>
        <w:adjustRightInd w:val="0"/>
        <w:snapToGrid w:val="0"/>
        <w:spacing w:line="600" w:lineRule="exact"/>
        <w:ind w:firstLine="720"/>
        <w:rPr>
          <w:rFonts w:asciiTheme="minorEastAsia" w:hAnsiTheme="minorEastAsia" w:eastAsiaTheme="minorEastAsia"/>
          <w:sz w:val="24"/>
        </w:rPr>
      </w:pPr>
      <w:r>
        <w:rPr>
          <w:rFonts w:hint="eastAsia" w:asciiTheme="minorEastAsia" w:hAnsiTheme="minorEastAsia" w:eastAsiaTheme="minorEastAsia"/>
          <w:sz w:val="24"/>
        </w:rPr>
        <w:t>优化了以特级教师、省级教学名师和省级骨干教师为龙头、乐山市级骨干教师和峨眉山市级骨干教师为骨干、广大中青年教师为基础的教育人力资源配置，营造教育人才安心生活、称心工作、潜心提升的发展环境。为峨眉山市教育事业上新台阶提供人才保障。</w:t>
      </w:r>
    </w:p>
    <w:p>
      <w:pPr>
        <w:spacing w:line="6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四、问题及建议 </w:t>
      </w:r>
    </w:p>
    <w:p>
      <w:pPr>
        <w:spacing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加大教育人才工作的投入，切实提高人才投入效益，进一步弘扬尊师重教的社会风尚。</w:t>
      </w:r>
    </w:p>
    <w:p>
      <w:pPr>
        <w:spacing w:line="600" w:lineRule="exact"/>
        <w:ind w:firstLine="600"/>
        <w:jc w:val="right"/>
        <w:rPr>
          <w:rFonts w:ascii="仿宋_GB2312" w:hAnsi="宋体" w:eastAsia="仿宋_GB2312"/>
          <w:sz w:val="32"/>
          <w:szCs w:val="32"/>
        </w:rPr>
      </w:pPr>
    </w:p>
    <w:p>
      <w:pPr>
        <w:spacing w:line="600" w:lineRule="exact"/>
        <w:ind w:right="640" w:firstLine="600"/>
        <w:jc w:val="center"/>
        <w:rPr>
          <w:rFonts w:ascii="仿宋_GB2312" w:hAnsi="宋体" w:eastAsia="仿宋_GB2312"/>
          <w:sz w:val="32"/>
          <w:szCs w:val="32"/>
        </w:rPr>
      </w:pPr>
      <w:r>
        <w:rPr>
          <w:rFonts w:hint="eastAsia" w:ascii="仿宋_GB2312" w:hAnsi="宋体" w:eastAsia="仿宋_GB2312"/>
          <w:sz w:val="32"/>
          <w:szCs w:val="32"/>
        </w:rPr>
        <w:t xml:space="preserve">                 </w:t>
      </w:r>
    </w:p>
    <w:p>
      <w:pPr>
        <w:spacing w:line="600" w:lineRule="exact"/>
        <w:ind w:right="640" w:firstLine="600"/>
        <w:jc w:val="center"/>
        <w:rPr>
          <w:rFonts w:asciiTheme="minorEastAsia" w:hAnsiTheme="minorEastAsia" w:eastAsiaTheme="minorEastAsia"/>
          <w:b/>
          <w:sz w:val="28"/>
          <w:szCs w:val="28"/>
        </w:rPr>
      </w:pPr>
      <w:r>
        <w:rPr>
          <w:rFonts w:hint="eastAsia" w:ascii="仿宋_GB2312" w:hAnsi="宋体" w:eastAsia="仿宋_GB2312"/>
          <w:sz w:val="32"/>
          <w:szCs w:val="32"/>
        </w:rPr>
        <w:t xml:space="preserve">                     </w:t>
      </w:r>
      <w:r>
        <w:rPr>
          <w:rFonts w:hint="eastAsia" w:asciiTheme="minorEastAsia" w:hAnsiTheme="minorEastAsia" w:eastAsiaTheme="minorEastAsia"/>
          <w:b/>
          <w:sz w:val="28"/>
          <w:szCs w:val="28"/>
        </w:rPr>
        <w:t>峨眉山市教师培训中心</w:t>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                                   2020年10月20日</w:t>
      </w:r>
    </w:p>
    <w:p>
      <w:pPr>
        <w:rPr>
          <w:rFonts w:ascii="仿宋_GB2312" w:hAnsi="宋体" w:eastAsia="仿宋_GB2312"/>
          <w:sz w:val="32"/>
          <w:szCs w:val="32"/>
        </w:rPr>
      </w:pPr>
    </w:p>
    <w:p>
      <w:pPr>
        <w:widowControl/>
        <w:jc w:val="left"/>
        <w:rPr>
          <w:rFonts w:ascii="仿宋_GB2312" w:eastAsia="仿宋_GB2312"/>
          <w:b/>
          <w:color w:val="000000"/>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spacing w:line="600" w:lineRule="exact"/>
        <w:jc w:val="center"/>
        <w:outlineLvl w:val="0"/>
        <w:rPr>
          <w:rStyle w:val="24"/>
          <w:rFonts w:ascii="黑体" w:hAnsi="黑体" w:eastAsia="黑体"/>
          <w:b w:val="0"/>
        </w:rPr>
      </w:pPr>
      <w:bookmarkStart w:id="51"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0"/>
      <w:bookmarkEnd w:id="51"/>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2"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52"/>
    </w:p>
    <w:p>
      <w:pPr>
        <w:pStyle w:val="3"/>
        <w:rPr>
          <w:rFonts w:ascii="仿宋" w:hAnsi="仿宋" w:eastAsia="仿宋"/>
          <w:color w:val="000000"/>
        </w:rPr>
      </w:pPr>
      <w:bookmarkStart w:id="53"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3"/>
    </w:p>
    <w:p>
      <w:pPr>
        <w:pStyle w:val="3"/>
        <w:rPr>
          <w:rFonts w:ascii="仿宋" w:hAnsi="仿宋" w:eastAsia="仿宋"/>
          <w:color w:val="000000"/>
        </w:rPr>
      </w:pPr>
      <w:bookmarkStart w:id="54"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54"/>
    </w:p>
    <w:p>
      <w:pPr>
        <w:pStyle w:val="3"/>
        <w:rPr>
          <w:rFonts w:ascii="仿宋" w:hAnsi="仿宋" w:eastAsia="仿宋"/>
          <w:b w:val="0"/>
          <w:color w:val="000000"/>
        </w:rPr>
      </w:pPr>
      <w:bookmarkStart w:id="55"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55"/>
    </w:p>
    <w:p>
      <w:pPr>
        <w:pStyle w:val="3"/>
        <w:rPr>
          <w:rStyle w:val="25"/>
          <w:rFonts w:ascii="仿宋" w:hAnsi="仿宋" w:eastAsia="仿宋"/>
          <w:b w:val="0"/>
          <w:bCs w:val="0"/>
        </w:rPr>
      </w:pPr>
      <w:bookmarkStart w:id="56"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56"/>
      <w:bookmarkStart w:id="57"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57"/>
    </w:p>
    <w:p>
      <w:pPr>
        <w:pStyle w:val="3"/>
        <w:rPr>
          <w:rFonts w:ascii="仿宋" w:hAnsi="仿宋" w:eastAsia="仿宋"/>
          <w:color w:val="000000"/>
        </w:rPr>
      </w:pPr>
      <w:bookmarkStart w:id="58"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58"/>
    </w:p>
    <w:p>
      <w:pPr>
        <w:pStyle w:val="3"/>
        <w:rPr>
          <w:rFonts w:ascii="仿宋" w:hAnsi="仿宋" w:eastAsia="仿宋"/>
          <w:color w:val="000000"/>
        </w:rPr>
      </w:pPr>
      <w:bookmarkStart w:id="59"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59"/>
    </w:p>
    <w:p>
      <w:pPr>
        <w:pStyle w:val="3"/>
        <w:rPr>
          <w:rFonts w:ascii="仿宋" w:hAnsi="仿宋" w:eastAsia="仿宋"/>
          <w:color w:val="000000"/>
        </w:rPr>
      </w:pPr>
      <w:bookmarkStart w:id="60"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0"/>
    </w:p>
    <w:p>
      <w:pPr>
        <w:pStyle w:val="3"/>
        <w:rPr>
          <w:rFonts w:ascii="仿宋" w:hAnsi="仿宋" w:eastAsia="仿宋"/>
          <w:color w:val="000000"/>
        </w:rPr>
      </w:pPr>
      <w:bookmarkStart w:id="61"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1"/>
    </w:p>
    <w:p>
      <w:pPr>
        <w:pStyle w:val="3"/>
        <w:rPr>
          <w:rFonts w:ascii="仿宋" w:hAnsi="仿宋" w:eastAsia="仿宋"/>
          <w:color w:val="000000"/>
        </w:rPr>
      </w:pPr>
      <w:bookmarkStart w:id="62"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2"/>
    </w:p>
    <w:p>
      <w:pPr>
        <w:pStyle w:val="3"/>
        <w:rPr>
          <w:rFonts w:ascii="仿宋" w:hAnsi="仿宋" w:eastAsia="仿宋"/>
          <w:color w:val="000000"/>
        </w:rPr>
      </w:pPr>
      <w:bookmarkStart w:id="63"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3"/>
    </w:p>
    <w:p>
      <w:pPr>
        <w:pStyle w:val="3"/>
        <w:rPr>
          <w:rFonts w:ascii="仿宋" w:hAnsi="仿宋" w:eastAsia="仿宋"/>
          <w:color w:val="000000" w:themeColor="text1"/>
        </w:rPr>
      </w:pPr>
      <w:bookmarkStart w:id="64"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64"/>
    </w:p>
    <w:sectPr>
      <w:headerReference r:id="rId3" w:type="default"/>
      <w:footerReference r:id="rId4" w:type="default"/>
      <w:pgSz w:w="11906" w:h="16838"/>
      <w:pgMar w:top="1440" w:right="1558" w:bottom="1440" w:left="141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1120"/>
      <w:docPartObj>
        <w:docPartGallery w:val="AutoText"/>
      </w:docPartObj>
    </w:sdtPr>
    <w:sdtContent>
      <w:p>
        <w:pPr>
          <w:pStyle w:val="8"/>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43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12CDC"/>
    <w:rsid w:val="000222C6"/>
    <w:rsid w:val="0002549F"/>
    <w:rsid w:val="000468DB"/>
    <w:rsid w:val="0006487A"/>
    <w:rsid w:val="00065F8F"/>
    <w:rsid w:val="00070A43"/>
    <w:rsid w:val="000768F2"/>
    <w:rsid w:val="000814D4"/>
    <w:rsid w:val="0009184B"/>
    <w:rsid w:val="00094236"/>
    <w:rsid w:val="0009593C"/>
    <w:rsid w:val="00097322"/>
    <w:rsid w:val="000A6A92"/>
    <w:rsid w:val="000B047F"/>
    <w:rsid w:val="000B5923"/>
    <w:rsid w:val="000B5A48"/>
    <w:rsid w:val="000B6FF3"/>
    <w:rsid w:val="000C048E"/>
    <w:rsid w:val="000C3467"/>
    <w:rsid w:val="000C3CA6"/>
    <w:rsid w:val="000C703A"/>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5BB"/>
    <w:rsid w:val="002B2613"/>
    <w:rsid w:val="002D19B0"/>
    <w:rsid w:val="002D6D05"/>
    <w:rsid w:val="002F1818"/>
    <w:rsid w:val="002F567B"/>
    <w:rsid w:val="003216A9"/>
    <w:rsid w:val="0032737C"/>
    <w:rsid w:val="00335A74"/>
    <w:rsid w:val="0036561B"/>
    <w:rsid w:val="0037013F"/>
    <w:rsid w:val="00380C92"/>
    <w:rsid w:val="003A484F"/>
    <w:rsid w:val="003A4883"/>
    <w:rsid w:val="003A772C"/>
    <w:rsid w:val="003B0BE0"/>
    <w:rsid w:val="003B0C1B"/>
    <w:rsid w:val="003B688C"/>
    <w:rsid w:val="003C0291"/>
    <w:rsid w:val="003C39AE"/>
    <w:rsid w:val="003C7B60"/>
    <w:rsid w:val="003D0C0F"/>
    <w:rsid w:val="003D1FB2"/>
    <w:rsid w:val="003D66DA"/>
    <w:rsid w:val="003E1310"/>
    <w:rsid w:val="003E6F55"/>
    <w:rsid w:val="00402F42"/>
    <w:rsid w:val="00406254"/>
    <w:rsid w:val="00416CD4"/>
    <w:rsid w:val="004223DE"/>
    <w:rsid w:val="00434489"/>
    <w:rsid w:val="00437085"/>
    <w:rsid w:val="004426E0"/>
    <w:rsid w:val="00443880"/>
    <w:rsid w:val="00445E4D"/>
    <w:rsid w:val="004464F4"/>
    <w:rsid w:val="00455619"/>
    <w:rsid w:val="00471401"/>
    <w:rsid w:val="00473208"/>
    <w:rsid w:val="00473F31"/>
    <w:rsid w:val="0048263A"/>
    <w:rsid w:val="00487E5D"/>
    <w:rsid w:val="004A3C9D"/>
    <w:rsid w:val="004A711F"/>
    <w:rsid w:val="004B199D"/>
    <w:rsid w:val="004B4690"/>
    <w:rsid w:val="004C22FF"/>
    <w:rsid w:val="004D15B6"/>
    <w:rsid w:val="004D4E7C"/>
    <w:rsid w:val="004E0A2D"/>
    <w:rsid w:val="004E206B"/>
    <w:rsid w:val="004E6DF7"/>
    <w:rsid w:val="004F0FBD"/>
    <w:rsid w:val="004F403E"/>
    <w:rsid w:val="004F42AF"/>
    <w:rsid w:val="00505A47"/>
    <w:rsid w:val="00511F63"/>
    <w:rsid w:val="00512FDA"/>
    <w:rsid w:val="00520DA0"/>
    <w:rsid w:val="00525F6E"/>
    <w:rsid w:val="005664BB"/>
    <w:rsid w:val="00566FFA"/>
    <w:rsid w:val="005733EB"/>
    <w:rsid w:val="0057481D"/>
    <w:rsid w:val="00575F0B"/>
    <w:rsid w:val="0058486E"/>
    <w:rsid w:val="00585B33"/>
    <w:rsid w:val="0059014D"/>
    <w:rsid w:val="005A500B"/>
    <w:rsid w:val="005B17BC"/>
    <w:rsid w:val="005B5C64"/>
    <w:rsid w:val="005C6BD0"/>
    <w:rsid w:val="005C6C4C"/>
    <w:rsid w:val="005D1C8B"/>
    <w:rsid w:val="005D468D"/>
    <w:rsid w:val="005D5CED"/>
    <w:rsid w:val="005F1A4C"/>
    <w:rsid w:val="00605688"/>
    <w:rsid w:val="006070AF"/>
    <w:rsid w:val="00607E6C"/>
    <w:rsid w:val="006101B1"/>
    <w:rsid w:val="00614E44"/>
    <w:rsid w:val="006156CA"/>
    <w:rsid w:val="0062270A"/>
    <w:rsid w:val="00622830"/>
    <w:rsid w:val="00623DA0"/>
    <w:rsid w:val="00630AEF"/>
    <w:rsid w:val="006325F8"/>
    <w:rsid w:val="00633463"/>
    <w:rsid w:val="00634C9A"/>
    <w:rsid w:val="006440E4"/>
    <w:rsid w:val="00650378"/>
    <w:rsid w:val="00662B0C"/>
    <w:rsid w:val="0066343B"/>
    <w:rsid w:val="00664777"/>
    <w:rsid w:val="006748A4"/>
    <w:rsid w:val="00677B69"/>
    <w:rsid w:val="00681A31"/>
    <w:rsid w:val="00683E73"/>
    <w:rsid w:val="006A3141"/>
    <w:rsid w:val="006A5E34"/>
    <w:rsid w:val="006B2422"/>
    <w:rsid w:val="006B2B9A"/>
    <w:rsid w:val="006C1398"/>
    <w:rsid w:val="006C1937"/>
    <w:rsid w:val="006F020C"/>
    <w:rsid w:val="007127B7"/>
    <w:rsid w:val="0071798E"/>
    <w:rsid w:val="00727533"/>
    <w:rsid w:val="007328E6"/>
    <w:rsid w:val="007416B6"/>
    <w:rsid w:val="007468A8"/>
    <w:rsid w:val="00746F48"/>
    <w:rsid w:val="0075404D"/>
    <w:rsid w:val="0076182A"/>
    <w:rsid w:val="00767B7E"/>
    <w:rsid w:val="007770C3"/>
    <w:rsid w:val="00784D24"/>
    <w:rsid w:val="00785FBA"/>
    <w:rsid w:val="00786E4A"/>
    <w:rsid w:val="007875EB"/>
    <w:rsid w:val="0079426B"/>
    <w:rsid w:val="007D1682"/>
    <w:rsid w:val="007D312A"/>
    <w:rsid w:val="007D3F19"/>
    <w:rsid w:val="007D6DDC"/>
    <w:rsid w:val="007E23B0"/>
    <w:rsid w:val="007F1991"/>
    <w:rsid w:val="007F2C2F"/>
    <w:rsid w:val="007F522B"/>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1556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DB7"/>
    <w:rsid w:val="009C2E98"/>
    <w:rsid w:val="009C37FB"/>
    <w:rsid w:val="009D3447"/>
    <w:rsid w:val="009D4711"/>
    <w:rsid w:val="009F1185"/>
    <w:rsid w:val="009F18CD"/>
    <w:rsid w:val="009F2A13"/>
    <w:rsid w:val="009F7527"/>
    <w:rsid w:val="00A039ED"/>
    <w:rsid w:val="00A04EB0"/>
    <w:rsid w:val="00A0654A"/>
    <w:rsid w:val="00A13CC1"/>
    <w:rsid w:val="00A16847"/>
    <w:rsid w:val="00A237D8"/>
    <w:rsid w:val="00A268C4"/>
    <w:rsid w:val="00A26980"/>
    <w:rsid w:val="00A27B83"/>
    <w:rsid w:val="00A307CD"/>
    <w:rsid w:val="00A331C8"/>
    <w:rsid w:val="00A35117"/>
    <w:rsid w:val="00A40A00"/>
    <w:rsid w:val="00A4142F"/>
    <w:rsid w:val="00A422EB"/>
    <w:rsid w:val="00A45BB7"/>
    <w:rsid w:val="00A56DF2"/>
    <w:rsid w:val="00A56E6E"/>
    <w:rsid w:val="00A67AB5"/>
    <w:rsid w:val="00A733B2"/>
    <w:rsid w:val="00A741C2"/>
    <w:rsid w:val="00A80714"/>
    <w:rsid w:val="00A91760"/>
    <w:rsid w:val="00A93B00"/>
    <w:rsid w:val="00A93C21"/>
    <w:rsid w:val="00AB64C9"/>
    <w:rsid w:val="00AC3C6A"/>
    <w:rsid w:val="00AC7501"/>
    <w:rsid w:val="00AD0F83"/>
    <w:rsid w:val="00AD5620"/>
    <w:rsid w:val="00AD656B"/>
    <w:rsid w:val="00AD7C1B"/>
    <w:rsid w:val="00AE16BA"/>
    <w:rsid w:val="00AE1EBE"/>
    <w:rsid w:val="00AF3796"/>
    <w:rsid w:val="00B03C9D"/>
    <w:rsid w:val="00B060AE"/>
    <w:rsid w:val="00B10517"/>
    <w:rsid w:val="00B14E76"/>
    <w:rsid w:val="00B161B8"/>
    <w:rsid w:val="00B2048C"/>
    <w:rsid w:val="00B310B9"/>
    <w:rsid w:val="00B35F3F"/>
    <w:rsid w:val="00B36CBB"/>
    <w:rsid w:val="00B406D5"/>
    <w:rsid w:val="00B425E0"/>
    <w:rsid w:val="00B440AA"/>
    <w:rsid w:val="00B44B70"/>
    <w:rsid w:val="00B53C56"/>
    <w:rsid w:val="00B57DAF"/>
    <w:rsid w:val="00B65F2F"/>
    <w:rsid w:val="00B76B18"/>
    <w:rsid w:val="00B77EA6"/>
    <w:rsid w:val="00B81598"/>
    <w:rsid w:val="00B841F1"/>
    <w:rsid w:val="00B944D6"/>
    <w:rsid w:val="00BA46AB"/>
    <w:rsid w:val="00BA6884"/>
    <w:rsid w:val="00BB4DF0"/>
    <w:rsid w:val="00BC289F"/>
    <w:rsid w:val="00BC2D50"/>
    <w:rsid w:val="00BC5361"/>
    <w:rsid w:val="00BC5460"/>
    <w:rsid w:val="00BC6B50"/>
    <w:rsid w:val="00BD0E25"/>
    <w:rsid w:val="00BE5D6A"/>
    <w:rsid w:val="00BF5BD6"/>
    <w:rsid w:val="00C03E31"/>
    <w:rsid w:val="00C30E69"/>
    <w:rsid w:val="00C33E72"/>
    <w:rsid w:val="00C354B2"/>
    <w:rsid w:val="00C35554"/>
    <w:rsid w:val="00C42709"/>
    <w:rsid w:val="00C46134"/>
    <w:rsid w:val="00C533CC"/>
    <w:rsid w:val="00C5751C"/>
    <w:rsid w:val="00C61BFC"/>
    <w:rsid w:val="00C62B85"/>
    <w:rsid w:val="00C65438"/>
    <w:rsid w:val="00C82CDC"/>
    <w:rsid w:val="00C91CBB"/>
    <w:rsid w:val="00CB4E70"/>
    <w:rsid w:val="00CC09B6"/>
    <w:rsid w:val="00CC666F"/>
    <w:rsid w:val="00CD1E3F"/>
    <w:rsid w:val="00CE34D0"/>
    <w:rsid w:val="00CE4387"/>
    <w:rsid w:val="00CE44F6"/>
    <w:rsid w:val="00CE49DA"/>
    <w:rsid w:val="00CE7B61"/>
    <w:rsid w:val="00D00095"/>
    <w:rsid w:val="00D06CA4"/>
    <w:rsid w:val="00D114F0"/>
    <w:rsid w:val="00D20620"/>
    <w:rsid w:val="00D254F7"/>
    <w:rsid w:val="00D26091"/>
    <w:rsid w:val="00D2685C"/>
    <w:rsid w:val="00D34E7C"/>
    <w:rsid w:val="00D3547F"/>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889"/>
    <w:rsid w:val="00E01053"/>
    <w:rsid w:val="00E07ACF"/>
    <w:rsid w:val="00E17B67"/>
    <w:rsid w:val="00E331A1"/>
    <w:rsid w:val="00E33202"/>
    <w:rsid w:val="00E336A9"/>
    <w:rsid w:val="00E472B1"/>
    <w:rsid w:val="00E50624"/>
    <w:rsid w:val="00E568DF"/>
    <w:rsid w:val="00E616AB"/>
    <w:rsid w:val="00E64269"/>
    <w:rsid w:val="00E66797"/>
    <w:rsid w:val="00E7553E"/>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06915"/>
    <w:rsid w:val="00F1361C"/>
    <w:rsid w:val="00F156F0"/>
    <w:rsid w:val="00F160C7"/>
    <w:rsid w:val="00F2408F"/>
    <w:rsid w:val="00F240E9"/>
    <w:rsid w:val="00F36D8F"/>
    <w:rsid w:val="00F417B1"/>
    <w:rsid w:val="00F45853"/>
    <w:rsid w:val="00F602DF"/>
    <w:rsid w:val="00F754A1"/>
    <w:rsid w:val="00F81FD9"/>
    <w:rsid w:val="00F841AA"/>
    <w:rsid w:val="00F84A94"/>
    <w:rsid w:val="00F86C43"/>
    <w:rsid w:val="00F87E96"/>
    <w:rsid w:val="00FA23E8"/>
    <w:rsid w:val="00FD3CC1"/>
    <w:rsid w:val="00FF1E02"/>
    <w:rsid w:val="00FF30B4"/>
    <w:rsid w:val="10C055FF"/>
    <w:rsid w:val="16BB723D"/>
    <w:rsid w:val="240371BF"/>
    <w:rsid w:val="29FD04D3"/>
    <w:rsid w:val="319F7F4E"/>
    <w:rsid w:val="4ECE2238"/>
    <w:rsid w:val="72734D90"/>
    <w:rsid w:val="75DE0E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四号正文"/>
    <w:basedOn w:val="1"/>
    <w:qFormat/>
    <w:uiPriority w:val="0"/>
    <w:pPr>
      <w:spacing w:line="360" w:lineRule="auto"/>
    </w:pPr>
    <w:rPr>
      <w:rFonts w:ascii="??" w:hAnsi="??" w:cs="宋体"/>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5991;&#20214;&#22841;%20(3)\2019&#24180;&#25945;&#32946;&#31995;&#32479;&#20915;&#31639;&#20844;&#24320;&#36164;&#26009;\&#26032;&#24314;%20Microsoft%20Excel%20&#24037;&#20316;&#34920;(&#20915;&#31639;&#20844;&#24320;&#29992;&#22270;&#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5991;&#20214;&#22841;%20(3)\2019&#24180;&#25945;&#32946;&#31995;&#32479;&#20915;&#31639;&#20844;&#24320;&#36164;&#26009;\&#26032;&#24314;%20Microsoft%20Excel%20&#24037;&#20316;&#34920;(&#20915;&#31639;&#20844;&#24320;&#29992;&#22270;&#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5991;&#20214;&#22841;%20(3)\2019&#24180;&#25945;&#32946;&#31995;&#32479;&#20915;&#31639;&#20844;&#24320;&#36164;&#26009;\&#26032;&#24314;%20Microsoft%20Excel%20&#24037;&#20316;&#34920;(&#20915;&#31639;&#20844;&#24320;&#29992;&#22270;&#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032;&#24314;&#25991;&#20214;&#22841;%20(3)\2019&#24180;&#25945;&#32946;&#31995;&#32479;&#20915;&#31639;&#20844;&#24320;&#36164;&#26009;\&#26032;&#24314;%20Microsoft%20Excel%20&#24037;&#20316;&#34920;(&#20915;&#31639;&#20844;&#24320;&#29992;&#22270;&#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6032;&#24314;&#25991;&#20214;&#22841;%20(3)\2019&#24180;&#25945;&#32946;&#31995;&#32479;&#20915;&#31639;&#20844;&#24320;&#36164;&#26009;\&#26032;&#24314;%20Microsoft%20Excel%20&#24037;&#20316;&#34920;(&#20915;&#31639;&#20844;&#24320;&#29992;&#22270;&#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6032;&#24314;&#25991;&#20214;&#22841;%20(3)\2019&#24180;&#25945;&#32946;&#31995;&#32479;&#20915;&#31639;&#20844;&#24320;&#36164;&#26009;\&#26032;&#24314;%20Microsoft%20Excel%20&#24037;&#20316;&#34920;(&#20915;&#31639;&#20844;&#24320;&#29992;&#22270;&#65289;.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6032;&#24314;&#25991;&#20214;&#22841;%20(3)\2019&#24180;&#25945;&#32946;&#31995;&#32479;&#20915;&#31639;&#20844;&#24320;&#36164;&#26009;\&#26032;&#24314;%20Microsoft%20Excel%20&#24037;&#20316;&#34920;(&#20915;&#31639;&#20844;&#24320;&#29992;&#2227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rgbClr val="4F81BD"/>
            </a:solidFill>
            <a:ln w="25400">
              <a:noFill/>
            </a:ln>
          </c:spPr>
          <c:invertIfNegative val="0"/>
          <c:dLbls>
            <c:delete val="1"/>
          </c:dLbls>
          <c:cat>
            <c:strRef>
              <c:f>Sheet1!$A$128:$A$131</c:f>
              <c:strCache>
                <c:ptCount val="2"/>
                <c:pt idx="0">
                  <c:v>2018年收、支</c:v>
                </c:pt>
                <c:pt idx="1">
                  <c:v>2019年收、支</c:v>
                </c:pt>
              </c:strCache>
            </c:strRef>
          </c:cat>
          <c:val>
            <c:numRef>
              <c:f>Sheet1!$B$128:$B$131</c:f>
              <c:numCache>
                <c:formatCode>General</c:formatCode>
                <c:ptCount val="4"/>
                <c:pt idx="0">
                  <c:v>812.71</c:v>
                </c:pt>
                <c:pt idx="1">
                  <c:v>819.280000000001</c:v>
                </c:pt>
              </c:numCache>
            </c:numRef>
          </c:val>
        </c:ser>
        <c:dLbls>
          <c:showLegendKey val="0"/>
          <c:showVal val="0"/>
          <c:showCatName val="0"/>
          <c:showSerName val="0"/>
          <c:showPercent val="0"/>
          <c:showBubbleSize val="0"/>
        </c:dLbls>
        <c:gapWidth val="150"/>
        <c:overlap val="100"/>
        <c:axId val="162039680"/>
        <c:axId val="174778624"/>
      </c:barChart>
      <c:catAx>
        <c:axId val="16203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270000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74778624"/>
        <c:crosses val="autoZero"/>
        <c:auto val="1"/>
        <c:lblAlgn val="ctr"/>
        <c:lblOffset val="100"/>
        <c:noMultiLvlLbl val="0"/>
      </c:catAx>
      <c:valAx>
        <c:axId val="1747786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62039680"/>
        <c:crosses val="autoZero"/>
        <c:crossBetween val="between"/>
      </c:valAx>
      <c:spPr>
        <a:noFill/>
        <a:ln w="25400">
          <a:noFill/>
        </a:ln>
      </c:spPr>
    </c:plotArea>
    <c:legend>
      <c:legendPos val="r"/>
      <c:layout/>
      <c:overlay val="0"/>
      <c:spPr>
        <a:noFill/>
        <a:ln w="25400">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layout>
                <c:manualLayout>
                  <c:x val="0.188097112860893"/>
                  <c:y val="0.0094116360454943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5846456692913"/>
                  <c:y val="-0.0079006270049577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11375765529309"/>
                  <c:y val="0.0059882618839312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33968285214349"/>
                  <c:y val="0.0279844706911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707.16</c:v>
                </c:pt>
                <c:pt idx="2">
                  <c:v>0</c:v>
                </c:pt>
                <c:pt idx="3">
                  <c:v>112.12</c:v>
                </c:pt>
                <c:pt idx="4">
                  <c:v>0</c:v>
                </c:pt>
                <c:pt idx="5">
                  <c:v>0</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2"/>
              <c:layout>
                <c:manualLayout>
                  <c:x val="-0.106966754155731"/>
                  <c:y val="0.03145815106445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2"/>
                  <c:y val="0.025671114027413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Sheet1!$A$18:$A$22</c:f>
              <c:strCache>
                <c:ptCount val="5"/>
                <c:pt idx="0">
                  <c:v>基本支出</c:v>
                </c:pt>
                <c:pt idx="1">
                  <c:v>项目支出</c:v>
                </c:pt>
                <c:pt idx="2">
                  <c:v>上缴上级支出</c:v>
                </c:pt>
                <c:pt idx="3">
                  <c:v>经营支出</c:v>
                </c:pt>
                <c:pt idx="4">
                  <c:v>对附属单位补助支出</c:v>
                </c:pt>
              </c:strCache>
            </c:strRef>
          </c:cat>
          <c:val>
            <c:numRef>
              <c:f>Sheet1!$B$18:$B$22</c:f>
              <c:numCache>
                <c:formatCode>General</c:formatCode>
                <c:ptCount val="5"/>
                <c:pt idx="0">
                  <c:v>759.680000000001</c:v>
                </c:pt>
                <c:pt idx="1">
                  <c:v>59.6</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6"/>
          <c:h val="0.828939195100612"/>
        </c:manualLayout>
      </c:layout>
      <c:barChart>
        <c:barDir val="col"/>
        <c:grouping val="clustered"/>
        <c:varyColors val="0"/>
        <c:ser>
          <c:idx val="0"/>
          <c:order val="0"/>
          <c:invertIfNegative val="0"/>
          <c:dLbls>
            <c:delete val="1"/>
          </c:dLbls>
          <c:cat>
            <c:strRef>
              <c:f>Sheet1!$A$38:$A$39</c:f>
              <c:strCache>
                <c:ptCount val="2"/>
                <c:pt idx="0">
                  <c:v>2019年财政拨款收支</c:v>
                </c:pt>
                <c:pt idx="1">
                  <c:v>2018年财政拨款收支</c:v>
                </c:pt>
              </c:strCache>
            </c:strRef>
          </c:cat>
          <c:val>
            <c:numRef>
              <c:f>Sheet1!$B$38:$B$39</c:f>
              <c:numCache>
                <c:formatCode>General</c:formatCode>
                <c:ptCount val="2"/>
                <c:pt idx="0">
                  <c:v>707.16</c:v>
                </c:pt>
                <c:pt idx="1">
                  <c:v>692.92</c:v>
                </c:pt>
              </c:numCache>
            </c:numRef>
          </c:val>
        </c:ser>
        <c:dLbls>
          <c:showLegendKey val="0"/>
          <c:showVal val="0"/>
          <c:showCatName val="0"/>
          <c:showSerName val="0"/>
          <c:showPercent val="0"/>
          <c:showBubbleSize val="0"/>
        </c:dLbls>
        <c:gapWidth val="150"/>
        <c:axId val="179906432"/>
        <c:axId val="179909760"/>
      </c:barChart>
      <c:catAx>
        <c:axId val="179906432"/>
        <c:scaling>
          <c:orientation val="minMax"/>
        </c:scaling>
        <c:delete val="0"/>
        <c:axPos val="b"/>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79909760"/>
        <c:crosses val="autoZero"/>
        <c:auto val="1"/>
        <c:lblAlgn val="ctr"/>
        <c:lblOffset val="100"/>
        <c:noMultiLvlLbl val="0"/>
      </c:catAx>
      <c:valAx>
        <c:axId val="179909760"/>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79906432"/>
        <c:crosses val="autoZero"/>
        <c:crossBetween val="between"/>
      </c:valAx>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rgbClr val="4F81BD"/>
            </a:solidFill>
            <a:ln w="25400">
              <a:noFill/>
            </a:ln>
          </c:spPr>
          <c:invertIfNegative val="0"/>
          <c:dLbls>
            <c:delete val="1"/>
          </c:dLbls>
          <c:cat>
            <c:strRef>
              <c:f>Sheet1!$A$59:$A$60</c:f>
              <c:strCache>
                <c:ptCount val="2"/>
                <c:pt idx="0">
                  <c:v>2019年度一般公共预算财政拨款支出</c:v>
                </c:pt>
                <c:pt idx="1">
                  <c:v>2018年度一般公共预算财政拨款支出</c:v>
                </c:pt>
              </c:strCache>
            </c:strRef>
          </c:cat>
          <c:val>
            <c:numRef>
              <c:f>Sheet1!$B$59:$B$60</c:f>
              <c:numCache>
                <c:formatCode>General</c:formatCode>
                <c:ptCount val="2"/>
                <c:pt idx="0">
                  <c:v>707.16</c:v>
                </c:pt>
                <c:pt idx="1" c:formatCode="0.00_ ">
                  <c:v>692.92</c:v>
                </c:pt>
              </c:numCache>
            </c:numRef>
          </c:val>
        </c:ser>
        <c:dLbls>
          <c:showLegendKey val="0"/>
          <c:showVal val="0"/>
          <c:showCatName val="0"/>
          <c:showSerName val="0"/>
          <c:showPercent val="0"/>
          <c:showBubbleSize val="0"/>
        </c:dLbls>
        <c:gapWidth val="150"/>
        <c:overlap val="100"/>
        <c:axId val="180463104"/>
        <c:axId val="182332416"/>
      </c:barChart>
      <c:catAx>
        <c:axId val="18046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82332416"/>
        <c:crosses val="autoZero"/>
        <c:auto val="1"/>
        <c:lblAlgn val="ctr"/>
        <c:lblOffset val="100"/>
        <c:noMultiLvlLbl val="0"/>
      </c:catAx>
      <c:valAx>
        <c:axId val="1823324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8046310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381003488060102"/>
          <c:y val="0.0641025641025641"/>
          <c:w val="0.65602361148377"/>
          <c:h val="0.834615384615385"/>
        </c:manualLayout>
      </c:layout>
      <c:pie3D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Sheet1!$A$79:$A$85</c:f>
              <c:strCache>
                <c:ptCount val="7"/>
                <c:pt idx="0">
                  <c:v>一般公共服务支出</c:v>
                </c:pt>
                <c:pt idx="1">
                  <c:v>国防支出</c:v>
                </c:pt>
                <c:pt idx="2">
                  <c:v>教育支出</c:v>
                </c:pt>
                <c:pt idx="3">
                  <c:v>社会保障和就业支出</c:v>
                </c:pt>
                <c:pt idx="4">
                  <c:v>卫生健康支出</c:v>
                </c:pt>
                <c:pt idx="5">
                  <c:v>农林水支出</c:v>
                </c:pt>
                <c:pt idx="6">
                  <c:v>住房保障支出</c:v>
                </c:pt>
              </c:strCache>
            </c:strRef>
          </c:cat>
          <c:val>
            <c:numRef>
              <c:f>Sheet1!$B$79:$B$85</c:f>
              <c:numCache>
                <c:formatCode>General</c:formatCode>
                <c:ptCount val="7"/>
                <c:pt idx="0">
                  <c:v>0</c:v>
                </c:pt>
                <c:pt idx="1">
                  <c:v>0</c:v>
                </c:pt>
                <c:pt idx="2">
                  <c:v>537.829999999999</c:v>
                </c:pt>
                <c:pt idx="3">
                  <c:v>99.45</c:v>
                </c:pt>
                <c:pt idx="4">
                  <c:v>19.4</c:v>
                </c:pt>
                <c:pt idx="5">
                  <c:v>0</c:v>
                </c:pt>
                <c:pt idx="6">
                  <c:v>50.48</c:v>
                </c:pt>
              </c:numCache>
            </c:numRef>
          </c:val>
        </c:ser>
        <c:dLbls>
          <c:showLegendKey val="0"/>
          <c:showVal val="1"/>
          <c:showCatName val="0"/>
          <c:showSerName val="0"/>
          <c:showPercent val="0"/>
          <c:showBubbleSize val="0"/>
        </c:dLbls>
      </c:pie3DChart>
      <c:spPr>
        <a:noFill/>
        <a:ln w="25400">
          <a:noFill/>
        </a:ln>
      </c:spPr>
    </c:plotArea>
    <c:legend>
      <c:legendPos val="r"/>
      <c:layout>
        <c:manualLayout>
          <c:xMode val="edge"/>
          <c:yMode val="edge"/>
          <c:x val="0.712500016122064"/>
          <c:y val="0.163999932700721"/>
          <c:w val="0.255499880696731"/>
          <c:h val="0.633499899051082"/>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6585010207057"/>
          <c:y val="0.334640540434927"/>
          <c:w val="0.468249135524726"/>
          <c:h val="0.343126111252223"/>
        </c:manualLayout>
      </c:layout>
      <c:pie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Sheet1!$A$106:$A$108</c:f>
              <c:strCache>
                <c:ptCount val="3"/>
                <c:pt idx="0">
                  <c:v>因公出国（境）费支出决算</c:v>
                </c:pt>
                <c:pt idx="1">
                  <c:v>公务用车购置及运行维护费支出决算</c:v>
                </c:pt>
                <c:pt idx="2">
                  <c:v>公务接待费支出决算</c:v>
                </c:pt>
              </c:strCache>
            </c:strRef>
          </c:cat>
          <c:val>
            <c:numRef>
              <c:f>Sheet1!$B$106:$B$108</c:f>
              <c:numCache>
                <c:formatCode>General</c:formatCode>
                <c:ptCount val="3"/>
                <c:pt idx="0">
                  <c:v>0</c:v>
                </c:pt>
                <c:pt idx="1">
                  <c:v>1.42</c:v>
                </c:pt>
                <c:pt idx="2">
                  <c:v>0</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manualLayout>
          <c:xMode val="edge"/>
          <c:yMode val="edge"/>
          <c:x val="0.641566137566138"/>
          <c:y val="0.243385281227838"/>
          <c:w val="0.333037037037037"/>
          <c:h val="0.664203839416148"/>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24D97-53AD-4C73-93BB-56CFCE9683D4}">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3085</Words>
  <Characters>17589</Characters>
  <Lines>146</Lines>
  <Paragraphs>41</Paragraphs>
  <TotalTime>787</TotalTime>
  <ScaleCrop>false</ScaleCrop>
  <LinksUpToDate>false</LinksUpToDate>
  <CharactersWithSpaces>20633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尧冰松</cp:lastModifiedBy>
  <cp:lastPrinted>2020-10-22T07:31:00Z</cp:lastPrinted>
  <dcterms:modified xsi:type="dcterms:W3CDTF">2025-07-11T06:52:06Z</dcterms:modified>
  <dc:title>四川省***</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B26D128580A84E05966DBF06F29C9ED5</vt:lpwstr>
  </property>
</Properties>
</file>