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hint="eastAsia" w:ascii="方正小标宋简体" w:hAnsi="方正小标宋简体" w:eastAsia="方正小标宋简体" w:cs="方正小标宋简体"/>
          <w:color w:val="000000"/>
          <w:sz w:val="72"/>
          <w:szCs w:val="72"/>
        </w:rPr>
        <w:t>2019年度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color w:val="000000"/>
          <w:sz w:val="72"/>
          <w:szCs w:val="72"/>
        </w:rPr>
      </w:pPr>
      <w:bookmarkStart w:id="6" w:name="_Toc15396476"/>
      <w:bookmarkStart w:id="7" w:name="_Toc15378442"/>
      <w:bookmarkStart w:id="8" w:name="_Toc15396598"/>
      <w:bookmarkStart w:id="9" w:name="_Toc15377194"/>
      <w:bookmarkStart w:id="10" w:name="_Toc15306268"/>
      <w:bookmarkStart w:id="11" w:name="_Toc15377426"/>
      <w:r>
        <w:rPr>
          <w:rFonts w:hint="eastAsia" w:ascii="方正小标宋简体" w:hAnsi="方正小标宋简体" w:eastAsia="方正小标宋简体" w:cs="方正小标宋简体"/>
          <w:color w:val="000000"/>
          <w:sz w:val="72"/>
          <w:szCs w:val="72"/>
          <w:lang w:val="en-US" w:eastAsia="zh-CN"/>
        </w:rPr>
        <w:t>中共峨眉山市纪委</w:t>
      </w:r>
      <w:r>
        <w:rPr>
          <w:rFonts w:hint="eastAsia" w:ascii="方正小标宋简体" w:hAnsi="方正小标宋简体" w:eastAsia="方正小标宋简体" w:cs="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月3</w:t>
      </w:r>
      <w:r>
        <w:rPr>
          <w:rFonts w:hint="eastAsia"/>
          <w:lang w:val="en-US" w:eastAsia="zh-CN"/>
        </w:rPr>
        <w:t>0</w:t>
      </w:r>
      <w:r>
        <w:rPr>
          <w:rFonts w:hint="eastAsia"/>
        </w:rPr>
        <w:t>日</w:t>
      </w:r>
    </w:p>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lang w:val="en-US" w:eastAsia="zh-CN"/>
        </w:rPr>
        <w:t xml:space="preserve"> </w:t>
      </w:r>
      <w:r>
        <w:rPr>
          <w:rFonts w:hint="eastAsia"/>
          <w:sz w:val="24"/>
        </w:rPr>
        <w:t>部门概况</w:t>
      </w:r>
      <w:r>
        <w:rPr>
          <w:rFonts w:hint="eastAsia"/>
          <w:sz w:val="24"/>
          <w:lang w:val="en-US" w:eastAsia="zh-CN"/>
        </w:rPr>
        <w:t xml:space="preserve"> </w:t>
      </w:r>
      <w:r>
        <w:rPr>
          <w:rFonts w:hint="eastAsia"/>
          <w:sz w:val="32"/>
          <w:szCs w:val="32"/>
        </w:rPr>
        <w:t>……………………………………………………</w:t>
      </w:r>
      <w:r>
        <w:rPr>
          <w:rFonts w:hint="eastAsia"/>
          <w:sz w:val="32"/>
          <w:szCs w:val="32"/>
          <w:lang w:val="en-US" w:eastAsia="zh-CN"/>
        </w:rPr>
        <w:t>4</w:t>
      </w:r>
    </w:p>
    <w:p>
      <w:pPr>
        <w:pStyle w:val="11"/>
        <w:adjustRightInd w:val="0"/>
        <w:snapToGrid w:val="0"/>
        <w:spacing w:line="440" w:lineRule="exact"/>
        <w:jc w:val="left"/>
        <w:rPr>
          <w:rFonts w:hint="eastAsia" w:ascii="仿宋" w:hAnsi="仿宋" w:eastAsia="宋体"/>
          <w:sz w:val="24"/>
          <w:lang w:val="en-US" w:eastAsia="zh-CN"/>
        </w:rPr>
      </w:pPr>
      <w:r>
        <w:rPr>
          <w:rFonts w:hint="eastAsia"/>
          <w:sz w:val="24"/>
        </w:rPr>
        <w:t>一、基本职能及主要工作</w:t>
      </w:r>
      <w:r>
        <w:rPr>
          <w:rFonts w:hint="eastAsia"/>
          <w:sz w:val="24"/>
          <w:lang w:val="en-US" w:eastAsia="zh-CN"/>
        </w:rPr>
        <w:t xml:space="preserve"> </w:t>
      </w:r>
      <w:r>
        <w:rPr>
          <w:rFonts w:hint="eastAsia"/>
          <w:sz w:val="32"/>
          <w:szCs w:val="32"/>
        </w:rPr>
        <w:t>……………………………………………</w:t>
      </w:r>
      <w:r>
        <w:rPr>
          <w:rFonts w:hint="eastAsia"/>
          <w:sz w:val="32"/>
          <w:szCs w:val="32"/>
          <w:lang w:val="en-US" w:eastAsia="zh-CN"/>
        </w:rPr>
        <w:t>4</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二、机构设置</w:t>
      </w:r>
      <w:r>
        <w:rPr>
          <w:rFonts w:hint="eastAsia"/>
          <w:sz w:val="24"/>
          <w:lang w:val="en-US" w:eastAsia="zh-CN"/>
        </w:rPr>
        <w:t xml:space="preserve"> </w:t>
      </w:r>
      <w:r>
        <w:rPr>
          <w:rFonts w:hint="eastAsia"/>
          <w:sz w:val="32"/>
          <w:szCs w:val="32"/>
        </w:rPr>
        <w:t>………………………………………………………</w:t>
      </w:r>
      <w:r>
        <w:rPr>
          <w:rFonts w:hint="eastAsia"/>
          <w:sz w:val="32"/>
          <w:szCs w:val="32"/>
          <w:lang w:val="en-US" w:eastAsia="zh-CN"/>
        </w:rPr>
        <w:t>8</w:t>
      </w:r>
    </w:p>
    <w:p>
      <w:pPr>
        <w:pStyle w:val="10"/>
        <w:adjustRightInd w:val="0"/>
        <w:snapToGrid w:val="0"/>
        <w:spacing w:before="0" w:line="440" w:lineRule="exact"/>
        <w:jc w:val="left"/>
        <w:rPr>
          <w:rFonts w:hint="eastAsia" w:eastAsia="仿宋"/>
          <w:sz w:val="24"/>
          <w:szCs w:val="24"/>
          <w:lang w:val="en-US" w:eastAsia="zh-CN"/>
        </w:rPr>
      </w:pPr>
      <w:r>
        <w:rPr>
          <w:rFonts w:hint="eastAsia"/>
          <w:sz w:val="24"/>
        </w:rPr>
        <w:t>第二部分度部门决算情况说明</w:t>
      </w:r>
      <w:r>
        <w:rPr>
          <w:rFonts w:hint="eastAsia"/>
          <w:sz w:val="24"/>
          <w:lang w:val="en-US" w:eastAsia="zh-CN"/>
        </w:rPr>
        <w:t xml:space="preserve"> </w:t>
      </w:r>
      <w:r>
        <w:rPr>
          <w:rFonts w:hint="eastAsia"/>
          <w:sz w:val="32"/>
          <w:szCs w:val="32"/>
        </w:rPr>
        <w:t>……………………………………………</w:t>
      </w:r>
      <w:r>
        <w:rPr>
          <w:rFonts w:hint="eastAsia"/>
          <w:sz w:val="32"/>
          <w:szCs w:val="32"/>
          <w:lang w:val="en-US" w:eastAsia="zh-CN"/>
        </w:rPr>
        <w:t>9</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 xml:space="preserve"> </w:t>
      </w:r>
      <w:r>
        <w:rPr>
          <w:rFonts w:hint="eastAsia"/>
          <w:sz w:val="32"/>
          <w:szCs w:val="32"/>
        </w:rPr>
        <w:t>………………………………………</w:t>
      </w:r>
      <w:r>
        <w:rPr>
          <w:rFonts w:hint="eastAsia"/>
          <w:sz w:val="32"/>
          <w:szCs w:val="32"/>
          <w:lang w:val="en-US" w:eastAsia="zh-CN"/>
        </w:rPr>
        <w:t>9</w:t>
      </w:r>
    </w:p>
    <w:p>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 xml:space="preserve"> </w:t>
      </w:r>
      <w:r>
        <w:rPr>
          <w:rFonts w:hint="eastAsia"/>
          <w:sz w:val="32"/>
          <w:szCs w:val="32"/>
        </w:rPr>
        <w:t>………………………………………………</w:t>
      </w:r>
      <w:r>
        <w:rPr>
          <w:rFonts w:hint="eastAsia"/>
          <w:sz w:val="32"/>
          <w:szCs w:val="32"/>
          <w:lang w:val="en-US" w:eastAsia="zh-CN"/>
        </w:rPr>
        <w:t>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32"/>
          <w:szCs w:val="32"/>
        </w:rPr>
        <w:t>………………………………………………</w:t>
      </w:r>
      <w:r>
        <w:rPr>
          <w:rFonts w:hint="eastAsia"/>
          <w:sz w:val="32"/>
          <w:szCs w:val="32"/>
          <w:lang w:val="en-US" w:eastAsia="zh-CN"/>
        </w:rPr>
        <w:t>10</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32"/>
          <w:szCs w:val="32"/>
        </w:rPr>
        <w:t>………………………………</w:t>
      </w:r>
      <w:r>
        <w:rPr>
          <w:rFonts w:hint="eastAsia"/>
          <w:sz w:val="32"/>
          <w:szCs w:val="32"/>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32"/>
          <w:szCs w:val="32"/>
        </w:rPr>
        <w:t>……………………………</w:t>
      </w:r>
      <w:r>
        <w:rPr>
          <w:rFonts w:hint="eastAsia"/>
          <w:sz w:val="32"/>
          <w:szCs w:val="32"/>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32"/>
          <w:szCs w:val="32"/>
        </w:rPr>
        <w:t>………………………</w:t>
      </w:r>
      <w:r>
        <w:rPr>
          <w:rFonts w:hint="eastAsia"/>
          <w:sz w:val="32"/>
          <w:szCs w:val="32"/>
          <w:lang w:val="en-US" w:eastAsia="zh-CN"/>
        </w:rPr>
        <w:t>14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32"/>
          <w:szCs w:val="32"/>
        </w:rPr>
        <w:t>……………………………</w:t>
      </w:r>
      <w:r>
        <w:rPr>
          <w:rFonts w:hint="eastAsia"/>
          <w:sz w:val="32"/>
          <w:szCs w:val="32"/>
          <w:lang w:val="en-US" w:eastAsia="zh-CN"/>
        </w:rPr>
        <w:t>14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32"/>
          <w:szCs w:val="32"/>
        </w:rPr>
        <w:t>…………………………………</w:t>
      </w:r>
      <w:r>
        <w:rPr>
          <w:rFonts w:hint="eastAsia"/>
          <w:sz w:val="32"/>
          <w:szCs w:val="32"/>
          <w:lang w:val="en-US" w:eastAsia="zh-CN"/>
        </w:rPr>
        <w:t>16</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sz w:val="24"/>
          <w:lang w:val="en-US" w:eastAsia="zh-CN"/>
        </w:rPr>
        <w:t>九</w:t>
      </w:r>
      <w:r>
        <w:rPr>
          <w:rFonts w:hint="eastAsia"/>
          <w:sz w:val="24"/>
        </w:rPr>
        <w:t>、</w:t>
      </w:r>
      <w:r>
        <w:rPr>
          <w:sz w:val="24"/>
        </w:rPr>
        <w:t>国</w:t>
      </w:r>
      <w:r>
        <w:rPr>
          <w:rFonts w:hint="eastAsia"/>
          <w:sz w:val="24"/>
        </w:rPr>
        <w:t>有资本经营预算支出决算情况说明</w:t>
      </w:r>
      <w:r>
        <w:rPr>
          <w:rFonts w:hint="eastAsia"/>
          <w:sz w:val="24"/>
          <w:lang w:val="en-US" w:eastAsia="zh-CN"/>
        </w:rPr>
        <w:t xml:space="preserve"> </w:t>
      </w:r>
      <w:r>
        <w:rPr>
          <w:rFonts w:hint="eastAsia"/>
          <w:sz w:val="32"/>
          <w:szCs w:val="32"/>
        </w:rPr>
        <w:t>………………………………</w:t>
      </w:r>
      <w:r>
        <w:rPr>
          <w:rFonts w:hint="eastAsia"/>
          <w:sz w:val="32"/>
          <w:szCs w:val="32"/>
          <w:lang w:val="en-US" w:eastAsia="zh-CN"/>
        </w:rPr>
        <w:t>16</w:t>
      </w:r>
    </w:p>
    <w:p>
      <w:pPr>
        <w:adjustRightInd w:val="0"/>
        <w:snapToGrid w:val="0"/>
        <w:spacing w:line="440" w:lineRule="exact"/>
        <w:ind w:firstLine="480" w:firstLineChars="200"/>
        <w:jc w:val="left"/>
        <w:rPr>
          <w:rFonts w:hint="default" w:ascii="仿宋" w:hAnsi="仿宋" w:eastAsia="宋体" w:cstheme="minorBidi"/>
          <w:sz w:val="24"/>
          <w:lang w:val="en-US" w:eastAsia="zh-CN"/>
        </w:rPr>
      </w:pPr>
      <w:r>
        <w:rPr>
          <w:rFonts w:hint="eastAsia"/>
          <w:sz w:val="24"/>
          <w:lang w:val="en-US" w:eastAsia="zh-CN"/>
        </w:rPr>
        <w:t>十、</w:t>
      </w:r>
      <w:r>
        <w:rPr>
          <w:rFonts w:hint="eastAsia"/>
          <w:sz w:val="24"/>
        </w:rPr>
        <w:t>其他重要事项的情况说明</w:t>
      </w:r>
      <w:r>
        <w:rPr>
          <w:rFonts w:hint="eastAsia"/>
          <w:sz w:val="32"/>
          <w:szCs w:val="32"/>
        </w:rPr>
        <w:t>…………………………………………</w:t>
      </w:r>
      <w:r>
        <w:rPr>
          <w:rFonts w:hint="eastAsia"/>
          <w:sz w:val="32"/>
          <w:szCs w:val="32"/>
          <w:lang w:val="en-US" w:eastAsia="zh-CN"/>
        </w:rPr>
        <w:t>17</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w:t>
      </w:r>
      <w:r>
        <w:rPr>
          <w:rFonts w:hint="eastAsia"/>
          <w:sz w:val="32"/>
          <w:szCs w:val="32"/>
        </w:rPr>
        <w:t>……………………………………………………</w:t>
      </w:r>
      <w:r>
        <w:rPr>
          <w:rFonts w:hint="eastAsia"/>
          <w:sz w:val="32"/>
          <w:szCs w:val="32"/>
          <w:lang w:val="en-US" w:eastAsia="zh-CN"/>
        </w:rPr>
        <w:t>26</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32"/>
          <w:szCs w:val="32"/>
        </w:rPr>
        <w:t>…………………………………………………………</w:t>
      </w:r>
      <w:r>
        <w:rPr>
          <w:rFonts w:hint="eastAsia"/>
          <w:sz w:val="32"/>
          <w:szCs w:val="32"/>
          <w:lang w:val="en-US" w:eastAsia="zh-CN"/>
        </w:rPr>
        <w:t>28</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ascii="仿宋" w:hAnsi="仿宋" w:eastAsia="仿宋" w:cstheme="minorBidi"/>
          <w:sz w:val="24"/>
        </w:rPr>
      </w:pPr>
    </w:p>
    <w:p>
      <w:pPr>
        <w:pStyle w:val="11"/>
        <w:adjustRightInd w:val="0"/>
        <w:snapToGrid w:val="0"/>
        <w:spacing w:line="440" w:lineRule="exact"/>
        <w:jc w:val="both"/>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both"/>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 xml:space="preserve"> </w:t>
      </w:r>
      <w:r>
        <w:rPr>
          <w:rFonts w:hint="eastAsia"/>
          <w:sz w:val="32"/>
          <w:szCs w:val="32"/>
        </w:rPr>
        <w:t>……………………</w:t>
      </w:r>
      <w:r>
        <w:rPr>
          <w:rFonts w:hint="eastAsia"/>
          <w:sz w:val="32"/>
          <w:szCs w:val="32"/>
          <w:lang w:val="en-US" w:eastAsia="zh-CN"/>
        </w:rPr>
        <w:t>31</w:t>
      </w:r>
    </w:p>
    <w:p>
      <w:pPr>
        <w:pStyle w:val="11"/>
        <w:adjustRightInd w:val="0"/>
        <w:snapToGrid w:val="0"/>
        <w:spacing w:line="440" w:lineRule="exact"/>
        <w:jc w:val="both"/>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r>
        <w:rPr>
          <w:rFonts w:hint="eastAsia"/>
          <w:sz w:val="32"/>
          <w:szCs w:val="32"/>
        </w:rPr>
        <w:t>…………………………</w:t>
      </w:r>
      <w:r>
        <w:rPr>
          <w:rFonts w:hint="eastAsia"/>
          <w:sz w:val="32"/>
          <w:szCs w:val="32"/>
          <w:lang w:val="en-US" w:eastAsia="zh-CN"/>
        </w:rPr>
        <w:t>31</w:t>
      </w:r>
    </w:p>
    <w:p>
      <w:pPr>
        <w:pStyle w:val="11"/>
        <w:adjustRightInd w:val="0"/>
        <w:snapToGrid w:val="0"/>
        <w:spacing w:line="440" w:lineRule="exact"/>
        <w:jc w:val="both"/>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r>
        <w:rPr>
          <w:rFonts w:hint="eastAsia"/>
          <w:sz w:val="32"/>
          <w:szCs w:val="32"/>
        </w:rPr>
        <w:t>…………………</w:t>
      </w:r>
      <w:r>
        <w:rPr>
          <w:rFonts w:hint="eastAsia"/>
          <w:sz w:val="32"/>
          <w:szCs w:val="32"/>
          <w:lang w:val="en-US" w:eastAsia="zh-CN"/>
        </w:rPr>
        <w:t>31</w:t>
      </w:r>
    </w:p>
    <w:p>
      <w:pPr>
        <w:pStyle w:val="11"/>
        <w:adjustRightInd w:val="0"/>
        <w:snapToGrid w:val="0"/>
        <w:spacing w:line="440" w:lineRule="exact"/>
        <w:jc w:val="both"/>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32"/>
          <w:szCs w:val="32"/>
        </w:rPr>
        <w:t>……………………………………</w:t>
      </w:r>
      <w:r>
        <w:rPr>
          <w:rFonts w:hint="eastAsia"/>
          <w:sz w:val="32"/>
          <w:szCs w:val="32"/>
          <w:lang w:val="en-US" w:eastAsia="zh-CN"/>
        </w:rPr>
        <w:t>31</w:t>
      </w:r>
    </w:p>
    <w:p>
      <w:pPr>
        <w:pStyle w:val="11"/>
        <w:adjustRightInd w:val="0"/>
        <w:snapToGrid w:val="0"/>
        <w:spacing w:line="440" w:lineRule="exact"/>
        <w:jc w:val="left"/>
        <w:rPr>
          <w:rFonts w:ascii="仿宋" w:hAnsi="仿宋" w:eastAsia="仿宋" w:cstheme="minorBidi"/>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numPr>
          <w:ilvl w:val="0"/>
          <w:numId w:val="1"/>
        </w:numPr>
        <w:jc w:val="center"/>
        <w:rPr>
          <w:rStyle w:val="25"/>
          <w:rFonts w:hint="eastAsia" w:ascii="黑体" w:hAnsi="黑体" w:eastAsia="黑体"/>
          <w:b w:val="0"/>
          <w:bCs w:val="0"/>
        </w:rPr>
      </w:pPr>
      <w:r>
        <w:rPr>
          <w:rStyle w:val="25"/>
          <w:rFonts w:hint="eastAsia" w:ascii="黑体" w:hAnsi="黑体" w:eastAsia="黑体"/>
          <w:b w:val="0"/>
          <w:bCs w:val="0"/>
        </w:rPr>
        <w:t>部门概况</w:t>
      </w:r>
      <w:bookmarkEnd w:id="12"/>
      <w:bookmarkEnd w:id="13"/>
      <w:bookmarkStart w:id="14" w:name="_Toc15377197"/>
      <w:bookmarkStart w:id="15" w:name="_Toc15396600"/>
    </w:p>
    <w:p>
      <w:pPr>
        <w:pStyle w:val="2"/>
        <w:pageBreakBefore w:val="0"/>
        <w:numPr>
          <w:ilvl w:val="0"/>
          <w:numId w:val="0"/>
        </w:numPr>
        <w:kinsoku/>
        <w:wordWrap/>
        <w:overflowPunct/>
        <w:topLinePunct w:val="0"/>
        <w:autoSpaceDE/>
        <w:autoSpaceDN/>
        <w:bidi w:val="0"/>
        <w:spacing w:before="0" w:after="0" w:line="600" w:lineRule="exact"/>
        <w:ind w:firstLine="640" w:firstLineChars="200"/>
        <w:jc w:val="both"/>
        <w:textAlignment w:val="auto"/>
        <w:rPr>
          <w:rStyle w:val="26"/>
          <w:rFonts w:ascii="仿宋" w:hAnsi="仿宋" w:eastAsia="仿宋"/>
          <w:b w:val="0"/>
          <w:bCs w:val="0"/>
          <w:sz w:val="32"/>
          <w:szCs w:val="32"/>
        </w:rPr>
      </w:pPr>
      <w:r>
        <w:rPr>
          <w:rFonts w:hint="eastAsia" w:ascii="黑体" w:hAnsi="黑体" w:eastAsia="黑体"/>
          <w:b w:val="0"/>
          <w:color w:val="000000"/>
          <w:sz w:val="32"/>
          <w:szCs w:val="32"/>
        </w:rPr>
        <w:t>一、基</w:t>
      </w:r>
      <w:r>
        <w:rPr>
          <w:rStyle w:val="26"/>
          <w:rFonts w:hint="eastAsia" w:ascii="黑体" w:hAnsi="黑体" w:eastAsia="黑体"/>
          <w:b w:val="0"/>
          <w:bCs w:val="0"/>
          <w:sz w:val="32"/>
          <w:szCs w:val="32"/>
        </w:rPr>
        <w:t>本职能及主要工作</w:t>
      </w:r>
      <w:bookmarkEnd w:id="14"/>
      <w:bookmarkEnd w:id="15"/>
    </w:p>
    <w:p>
      <w:pPr>
        <w:pStyle w:val="31"/>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_GB2312" w:hAnsi="仿宋_GB2312" w:eastAsia="仿宋_GB2312" w:cs="仿宋_GB2312"/>
          <w:bCs/>
          <w:color w:val="000000"/>
          <w:sz w:val="32"/>
          <w:szCs w:val="32"/>
        </w:rPr>
        <w:t xml:space="preserve">负责全市党的纪律检查和监察工作。依照党的章程和其他党内法规履行监督、执纪、问责职责。负责经常对党员进行遵守纪律的教育，作出关于维护党纪的决定。依照法律规定履行监督、调查、处置职责。依法对市委管理的行使公权力的公职人员进行监察，调查职务违法和职务犯罪。组织协调全面从严治党、党风廉政建设和反腐败宣传教育工作。综合分析全面从严治党、党风廉政建设和反腐败工作情况。 </w:t>
      </w:r>
    </w:p>
    <w:p>
      <w:pPr>
        <w:pStyle w:val="5"/>
        <w:pageBreakBefore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600" w:lineRule="exact"/>
        <w:ind w:firstLine="640" w:firstLineChars="200"/>
        <w:rPr>
          <w:rFonts w:ascii="仿宋_GB2312" w:eastAsia="仿宋_GB2312"/>
          <w:color w:val="000000"/>
          <w:sz w:val="32"/>
          <w:szCs w:val="32"/>
        </w:rPr>
      </w:pPr>
      <w:r>
        <w:rPr>
          <w:rFonts w:hint="eastAsia" w:ascii="楷体_GB2312" w:eastAsia="楷体_GB2312"/>
          <w:color w:val="000000"/>
          <w:sz w:val="32"/>
          <w:szCs w:val="32"/>
          <w:lang w:val="en-US" w:eastAsia="zh-CN"/>
        </w:rPr>
        <w:t>一是</w:t>
      </w:r>
      <w:r>
        <w:rPr>
          <w:rFonts w:hint="eastAsia" w:ascii="楷体_GB2312" w:eastAsia="楷体_GB2312"/>
          <w:color w:val="000000"/>
          <w:sz w:val="32"/>
          <w:szCs w:val="32"/>
        </w:rPr>
        <w:t>压实责任强化担当</w:t>
      </w:r>
      <w:r>
        <w:rPr>
          <w:rFonts w:hint="eastAsia" w:ascii="楷体_GB2312" w:eastAsia="楷体_GB2312"/>
          <w:color w:val="000000"/>
          <w:sz w:val="32"/>
          <w:szCs w:val="32"/>
          <w:lang w:eastAsia="zh-CN"/>
        </w:rPr>
        <w:t>。</w:t>
      </w:r>
      <w:r>
        <w:rPr>
          <w:rFonts w:hint="eastAsia" w:ascii="仿宋_GB2312" w:eastAsia="仿宋_GB2312"/>
          <w:color w:val="000000"/>
          <w:sz w:val="32"/>
          <w:szCs w:val="32"/>
        </w:rPr>
        <w:t>始终坚守协助党委推进全面从严治党的职责定位，组织全市</w:t>
      </w:r>
      <w:r>
        <w:rPr>
          <w:rFonts w:ascii="仿宋_GB2312" w:eastAsia="仿宋_GB2312"/>
          <w:color w:val="000000"/>
          <w:sz w:val="32"/>
          <w:szCs w:val="32"/>
        </w:rPr>
        <w:t>18</w:t>
      </w:r>
      <w:r>
        <w:rPr>
          <w:rFonts w:hint="eastAsia" w:ascii="仿宋_GB2312" w:eastAsia="仿宋_GB2312"/>
          <w:color w:val="000000"/>
          <w:sz w:val="32"/>
          <w:szCs w:val="32"/>
        </w:rPr>
        <w:t>个乡镇、</w:t>
      </w:r>
      <w:r>
        <w:rPr>
          <w:rFonts w:ascii="仿宋_GB2312" w:eastAsia="仿宋_GB2312"/>
          <w:color w:val="000000"/>
          <w:sz w:val="32"/>
          <w:szCs w:val="32"/>
        </w:rPr>
        <w:t>60</w:t>
      </w:r>
      <w:r>
        <w:rPr>
          <w:rFonts w:hint="eastAsia" w:ascii="仿宋_GB2312" w:eastAsia="仿宋_GB2312"/>
          <w:color w:val="000000"/>
          <w:sz w:val="32"/>
          <w:szCs w:val="32"/>
        </w:rPr>
        <w:t>个部门党委（党组）负责人签订目标责任书，组织</w:t>
      </w:r>
      <w:r>
        <w:rPr>
          <w:rFonts w:ascii="仿宋_GB2312" w:eastAsia="仿宋_GB2312"/>
          <w:color w:val="000000"/>
          <w:sz w:val="32"/>
          <w:szCs w:val="32"/>
        </w:rPr>
        <w:t>7</w:t>
      </w:r>
      <w:r>
        <w:rPr>
          <w:rFonts w:hint="eastAsia" w:ascii="仿宋_GB2312" w:eastAsia="仿宋_GB2312"/>
          <w:color w:val="000000"/>
          <w:sz w:val="32"/>
          <w:szCs w:val="32"/>
        </w:rPr>
        <w:t>名市委班子成员、</w:t>
      </w:r>
      <w:r>
        <w:rPr>
          <w:rFonts w:ascii="仿宋_GB2312" w:eastAsia="仿宋_GB2312"/>
          <w:color w:val="000000"/>
          <w:sz w:val="32"/>
          <w:szCs w:val="32"/>
        </w:rPr>
        <w:t>85</w:t>
      </w:r>
      <w:r>
        <w:rPr>
          <w:rFonts w:hint="eastAsia" w:ascii="仿宋_GB2312" w:eastAsia="仿宋_GB2312"/>
          <w:color w:val="000000"/>
          <w:sz w:val="32"/>
          <w:szCs w:val="32"/>
        </w:rPr>
        <w:t>名乡镇和部门党政主要负责人向市纪委全会述责述廉并接受测评，对测评排名靠后的</w:t>
      </w:r>
      <w:r>
        <w:rPr>
          <w:rFonts w:ascii="仿宋_GB2312" w:eastAsia="仿宋_GB2312"/>
          <w:color w:val="000000"/>
          <w:sz w:val="32"/>
          <w:szCs w:val="32"/>
        </w:rPr>
        <w:t>4</w:t>
      </w:r>
      <w:r>
        <w:rPr>
          <w:rFonts w:hint="eastAsia" w:ascii="仿宋_GB2312" w:eastAsia="仿宋_GB2312"/>
          <w:color w:val="000000"/>
          <w:sz w:val="32"/>
          <w:szCs w:val="32"/>
        </w:rPr>
        <w:t>名主要负责人进行约谈。开展本级党风廉政社会评价和政风行风测评，根据测评情况向分管市领导发送提示函</w:t>
      </w:r>
      <w:r>
        <w:rPr>
          <w:rFonts w:ascii="仿宋_GB2312" w:eastAsia="仿宋_GB2312"/>
          <w:color w:val="000000"/>
          <w:sz w:val="32"/>
          <w:szCs w:val="32"/>
        </w:rPr>
        <w:t>4</w:t>
      </w:r>
      <w:r>
        <w:rPr>
          <w:rFonts w:hint="eastAsia" w:ascii="仿宋_GB2312" w:eastAsia="仿宋_GB2312"/>
          <w:color w:val="000000"/>
          <w:sz w:val="32"/>
          <w:szCs w:val="32"/>
        </w:rPr>
        <w:t>份，向相关单位部门发放建议书</w:t>
      </w:r>
      <w:r>
        <w:rPr>
          <w:rFonts w:ascii="仿宋_GB2312" w:eastAsia="仿宋_GB2312"/>
          <w:color w:val="000000"/>
          <w:sz w:val="32"/>
          <w:szCs w:val="32"/>
        </w:rPr>
        <w:t>51</w:t>
      </w:r>
      <w:r>
        <w:rPr>
          <w:rFonts w:hint="eastAsia" w:ascii="仿宋_GB2312" w:eastAsia="仿宋_GB2312"/>
          <w:color w:val="000000"/>
          <w:sz w:val="32"/>
          <w:szCs w:val="32"/>
        </w:rPr>
        <w:t>份，告知书</w:t>
      </w:r>
      <w:r>
        <w:rPr>
          <w:rFonts w:ascii="仿宋_GB2312" w:eastAsia="仿宋_GB2312"/>
          <w:color w:val="000000"/>
          <w:sz w:val="32"/>
          <w:szCs w:val="32"/>
        </w:rPr>
        <w:t>16</w:t>
      </w:r>
      <w:r>
        <w:rPr>
          <w:rFonts w:hint="eastAsia" w:ascii="仿宋_GB2312" w:eastAsia="仿宋_GB2312"/>
          <w:color w:val="000000"/>
          <w:sz w:val="32"/>
          <w:szCs w:val="32"/>
        </w:rPr>
        <w:t>份，对测评结果排名靠后的</w:t>
      </w:r>
      <w:r>
        <w:rPr>
          <w:rFonts w:ascii="仿宋_GB2312" w:eastAsia="仿宋_GB2312"/>
          <w:color w:val="000000"/>
          <w:sz w:val="32"/>
          <w:szCs w:val="32"/>
        </w:rPr>
        <w:t>6</w:t>
      </w:r>
      <w:r>
        <w:rPr>
          <w:rFonts w:hint="eastAsia" w:ascii="仿宋_GB2312" w:eastAsia="仿宋_GB2312"/>
          <w:color w:val="000000"/>
          <w:sz w:val="32"/>
          <w:szCs w:val="32"/>
        </w:rPr>
        <w:t>名乡镇和部门主要负责人进行约谈，督促相关单位落实整改党风廉政建设社会评价和政风行风测评反馈问题</w:t>
      </w:r>
      <w:r>
        <w:rPr>
          <w:rFonts w:ascii="仿宋_GB2312" w:eastAsia="仿宋_GB2312"/>
          <w:color w:val="000000"/>
          <w:sz w:val="32"/>
          <w:szCs w:val="32"/>
        </w:rPr>
        <w:t>194</w:t>
      </w:r>
      <w:r>
        <w:rPr>
          <w:rFonts w:hint="eastAsia" w:ascii="仿宋_GB2312" w:eastAsia="仿宋_GB2312"/>
          <w:color w:val="000000"/>
          <w:sz w:val="32"/>
          <w:szCs w:val="32"/>
        </w:rPr>
        <w:t>个。牵头开展主题教育中的1个中央专项整治、2个省级专项整治和1个峨眉山市本级专项整治，推动主题教育工作有序有力有效开展。</w:t>
      </w:r>
    </w:p>
    <w:p>
      <w:pPr>
        <w:spacing w:line="600" w:lineRule="exact"/>
        <w:ind w:firstLine="640" w:firstLineChars="200"/>
        <w:rPr>
          <w:rFonts w:ascii="仿宋_GB2312" w:hAnsi="宋体" w:eastAsia="仿宋_GB2312" w:cs="宋体"/>
          <w:color w:val="000000"/>
          <w:kern w:val="0"/>
          <w:sz w:val="32"/>
          <w:szCs w:val="32"/>
        </w:rPr>
      </w:pPr>
      <w:r>
        <w:rPr>
          <w:rFonts w:hint="eastAsia" w:ascii="楷体_GB2312" w:eastAsia="楷体_GB2312"/>
          <w:color w:val="000000"/>
          <w:sz w:val="32"/>
          <w:szCs w:val="32"/>
          <w:lang w:val="en-US" w:eastAsia="zh-CN"/>
        </w:rPr>
        <w:t>二是</w:t>
      </w:r>
      <w:r>
        <w:rPr>
          <w:rFonts w:hint="eastAsia" w:ascii="楷体_GB2312" w:eastAsia="楷体_GB2312"/>
          <w:color w:val="000000"/>
          <w:sz w:val="32"/>
          <w:szCs w:val="32"/>
        </w:rPr>
        <w:t>服务大局积极有为</w:t>
      </w:r>
      <w:r>
        <w:rPr>
          <w:rFonts w:hint="eastAsia" w:ascii="楷体_GB2312" w:eastAsia="楷体_GB2312"/>
          <w:color w:val="000000"/>
          <w:sz w:val="32"/>
          <w:szCs w:val="32"/>
          <w:lang w:eastAsia="zh-CN"/>
        </w:rPr>
        <w:t>。</w:t>
      </w:r>
      <w:r>
        <w:rPr>
          <w:rFonts w:hint="eastAsia" w:ascii="仿宋_GB2312" w:hAnsi="宋体" w:eastAsia="仿宋_GB2312" w:cs="宋体"/>
          <w:color w:val="000000"/>
          <w:kern w:val="0"/>
          <w:sz w:val="32"/>
          <w:szCs w:val="32"/>
        </w:rPr>
        <w:t xml:space="preserve">全力参与景区违建农房整治工作，成立监督检查组和纪律保障组，严明政治纪律、强化政治监督，确保上级党委、纪委和峨眉山市委关于景区违建整治的工作部署有效落实。敦促134名（包含42名峨眉公职人员）占用、持有景区农房的党员干部本人、配偶及直系亲属到纪检监察机关登记报告、书面承诺、上交钥匙、签订协议，上交率和签订率均达到100%。设立48个景区意见箱，抽调14人组成3个督查组开展15轮督查，收集汇总群众意见78条，组织工作组成员和村组干部召开纪律提醒谈心谈话会2次。查处涉及景区违建问题干部2人，给予党纪政务处分2人,发现并通报1起在景区违建整治工作中配合不力的情况，对1人采取留置措施。着力整治景区违建农房整治中的黑、恶、乱问题，移送拒不配合人员线索1人，核实人员信息5人，约谈重点人员2人次。 </w:t>
      </w:r>
    </w:p>
    <w:p>
      <w:pPr>
        <w:spacing w:line="600" w:lineRule="exact"/>
        <w:ind w:firstLine="800" w:firstLineChars="250"/>
        <w:rPr>
          <w:rFonts w:ascii="仿宋_GB2312" w:eastAsia="仿宋_GB2312"/>
          <w:color w:val="000000"/>
          <w:sz w:val="32"/>
          <w:szCs w:val="32"/>
        </w:rPr>
      </w:pPr>
      <w:r>
        <w:rPr>
          <w:rFonts w:hint="eastAsia" w:ascii="楷体_GB2312" w:eastAsia="楷体_GB2312"/>
          <w:color w:val="000000"/>
          <w:sz w:val="32"/>
          <w:szCs w:val="32"/>
          <w:lang w:val="en-US" w:eastAsia="zh-CN"/>
        </w:rPr>
        <w:t>三是</w:t>
      </w:r>
      <w:r>
        <w:rPr>
          <w:rFonts w:hint="eastAsia" w:ascii="楷体_GB2312" w:eastAsia="楷体_GB2312"/>
          <w:color w:val="000000"/>
          <w:sz w:val="32"/>
          <w:szCs w:val="32"/>
        </w:rPr>
        <w:t>监督检查从严从实</w:t>
      </w:r>
      <w:r>
        <w:rPr>
          <w:rFonts w:hint="eastAsia" w:ascii="楷体_GB2312" w:eastAsia="楷体_GB2312"/>
          <w:color w:val="000000"/>
          <w:sz w:val="32"/>
          <w:szCs w:val="32"/>
          <w:lang w:eastAsia="zh-CN"/>
        </w:rPr>
        <w:t>。</w:t>
      </w:r>
      <w:r>
        <w:rPr>
          <w:rFonts w:hint="eastAsia" w:ascii="仿宋_GB2312" w:eastAsia="仿宋_GB2312"/>
          <w:color w:val="000000"/>
          <w:sz w:val="32"/>
          <w:szCs w:val="32"/>
        </w:rPr>
        <w:t>成立13个督查组围绕脱贫攻坚、“大走访大服务”、“大棚房”整治、旅游环境秩序整治、商业保险摸排等重点工作开展综合督查12次，发现反馈整改各类问题90余个。加强对贯彻落实中央八项规定和省、市十项规定及相关纪律规定情况的监督检查，开展监督检查4次，查处违反八项规定问题案件11件19人。扎实推进扶贫领域腐败和作风问题专项治理，查处扶贫领域作风问题3件，党纪处分1人，批评教育4人。查处峨眉山旅游环境秩序乱象追责问责1件3人，党纪处分1人，组织处理2人。积极搭建群众监督作风建设常态机制，组织32个机关单位邀请930名群众代表进机关“作客”，现场观摩，通报工作，收集意见建议137条。</w:t>
      </w:r>
      <w:r>
        <w:rPr>
          <w:rFonts w:hint="eastAsia" w:ascii="仿宋_GB2312" w:hAnsi="仿宋_GB2312" w:eastAsia="仿宋_GB2312" w:cs="仿宋_GB2312"/>
          <w:color w:val="000000"/>
          <w:sz w:val="32"/>
          <w:szCs w:val="32"/>
        </w:rPr>
        <w:t>畅通群众监督渠道，</w:t>
      </w:r>
      <w:r>
        <w:rPr>
          <w:rFonts w:hint="eastAsia" w:ascii="仿宋_GB2312" w:eastAsia="仿宋_GB2312"/>
          <w:color w:val="000000"/>
          <w:sz w:val="32"/>
          <w:szCs w:val="32"/>
        </w:rPr>
        <w:t>组织开展“</w:t>
      </w:r>
      <w:r>
        <w:rPr>
          <w:rFonts w:hint="eastAsia" w:ascii="仿宋_GB2312" w:hAnsi="仿宋_GB2312" w:eastAsia="仿宋_GB2312" w:cs="仿宋_GB2312"/>
          <w:color w:val="000000"/>
          <w:sz w:val="32"/>
          <w:szCs w:val="32"/>
        </w:rPr>
        <w:t>阳光问廉”坝坝会61场</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rPr>
        <w:t>接受群众现场质询316人次，解决解释群众问题243个，对需要协调解决的73个问题建立问题台账，采取“清单制+责任制”形式限时整改解决。</w:t>
      </w:r>
    </w:p>
    <w:p>
      <w:pPr>
        <w:spacing w:line="600" w:lineRule="exact"/>
        <w:ind w:firstLine="640" w:firstLineChars="200"/>
        <w:rPr>
          <w:rFonts w:hint="eastAsia" w:ascii="仿宋_GB2312" w:hAnsi="Arial" w:eastAsia="仿宋_GB2312" w:cs="Arial"/>
          <w:color w:val="000000"/>
          <w:kern w:val="0"/>
          <w:sz w:val="32"/>
          <w:szCs w:val="32"/>
        </w:rPr>
      </w:pPr>
      <w:r>
        <w:rPr>
          <w:rFonts w:hint="eastAsia" w:ascii="楷体_GB2312" w:eastAsia="楷体_GB2312"/>
          <w:color w:val="000000"/>
          <w:sz w:val="32"/>
          <w:szCs w:val="32"/>
          <w:lang w:val="en-US" w:eastAsia="zh-CN"/>
        </w:rPr>
        <w:t>四是</w:t>
      </w:r>
      <w:r>
        <w:rPr>
          <w:rFonts w:hint="eastAsia" w:ascii="楷体_GB2312" w:eastAsia="楷体_GB2312"/>
          <w:color w:val="000000"/>
          <w:sz w:val="32"/>
          <w:szCs w:val="32"/>
        </w:rPr>
        <w:t>惩治腐败强势推进</w:t>
      </w:r>
      <w:r>
        <w:rPr>
          <w:rFonts w:hint="eastAsia" w:ascii="楷体_GB2312" w:eastAsia="楷体_GB2312"/>
          <w:color w:val="000000"/>
          <w:sz w:val="32"/>
          <w:szCs w:val="32"/>
          <w:lang w:eastAsia="zh-CN"/>
        </w:rPr>
        <w:t>。</w:t>
      </w:r>
      <w:r>
        <w:rPr>
          <w:rFonts w:hint="eastAsia" w:ascii="仿宋_GB2312" w:hAnsi="Arial" w:eastAsia="仿宋_GB2312" w:cs="Arial"/>
          <w:color w:val="000000"/>
          <w:kern w:val="0"/>
          <w:sz w:val="32"/>
          <w:szCs w:val="32"/>
        </w:rPr>
        <w:t>建立健全公、检、法及其他行政执法部门移送违法违纪问题线索的联动协作机制，</w:t>
      </w:r>
      <w:r>
        <w:rPr>
          <w:rFonts w:hint="eastAsia" w:ascii="仿宋_GB2312" w:hAnsi="仿宋_GB2312" w:eastAsia="仿宋_GB2312" w:cs="仿宋_GB2312"/>
          <w:color w:val="000000"/>
          <w:sz w:val="32"/>
          <w:szCs w:val="32"/>
        </w:rPr>
        <w:t>收到执法机关及司法机关移送反馈问题线索19件，</w:t>
      </w:r>
      <w:r>
        <w:rPr>
          <w:rFonts w:hint="eastAsia" w:ascii="仿宋_GB2312" w:hAnsi="Arial" w:eastAsia="仿宋_GB2312" w:cs="Arial"/>
          <w:color w:val="000000"/>
          <w:kern w:val="0"/>
          <w:sz w:val="32"/>
          <w:szCs w:val="32"/>
        </w:rPr>
        <w:t>加强与政法机关、公安机关的协作配合，强化扫黑除恶专项斗争监督执纪问责工作，查处“保护伞”1件1人，给予开除党籍处分并移送司法机关；查处涉黑涉恶腐败问题7件7人，均给予开除党籍处分。今年以来，全市纪检监察组织共受理信访举报77件（次），综合运用监督执纪“四种形态”处置问题线索164件，了结154件，党纪政务立案104件124人，给予组织处理55人次，给予党纪政务处分102件121人（其中科级干部14件14人），移送司法机关3件4人（其中，采取留置措施2件2人），形成有力震慑。</w:t>
      </w:r>
    </w:p>
    <w:p>
      <w:pPr>
        <w:spacing w:line="600" w:lineRule="exact"/>
        <w:ind w:firstLine="640" w:firstLineChars="200"/>
        <w:rPr>
          <w:rFonts w:ascii="仿宋_GB2312" w:eastAsia="仿宋_GB2312"/>
          <w:color w:val="000000"/>
          <w:sz w:val="32"/>
          <w:szCs w:val="32"/>
        </w:rPr>
      </w:pPr>
      <w:r>
        <w:rPr>
          <w:rFonts w:hint="eastAsia" w:ascii="楷体_GB2312" w:eastAsia="楷体_GB2312"/>
          <w:color w:val="000000"/>
          <w:sz w:val="32"/>
          <w:szCs w:val="32"/>
          <w:lang w:val="en-US" w:eastAsia="zh-CN"/>
        </w:rPr>
        <w:t>五是</w:t>
      </w:r>
      <w:r>
        <w:rPr>
          <w:rFonts w:hint="eastAsia" w:ascii="楷体_GB2312" w:eastAsia="楷体_GB2312"/>
          <w:color w:val="000000"/>
          <w:sz w:val="32"/>
          <w:szCs w:val="32"/>
        </w:rPr>
        <w:t>正风肃纪持续加力</w:t>
      </w:r>
      <w:r>
        <w:rPr>
          <w:rFonts w:hint="eastAsia" w:ascii="楷体_GB2312" w:eastAsia="楷体_GB2312"/>
          <w:color w:val="000000"/>
          <w:sz w:val="32"/>
          <w:szCs w:val="32"/>
          <w:lang w:eastAsia="zh-CN"/>
        </w:rPr>
        <w:t>。</w:t>
      </w:r>
      <w:r>
        <w:rPr>
          <w:rFonts w:hint="eastAsia" w:ascii="仿宋_GB2312" w:hAnsi="仿宋" w:eastAsia="仿宋_GB2312"/>
          <w:color w:val="000000"/>
          <w:sz w:val="32"/>
          <w:szCs w:val="32"/>
        </w:rPr>
        <w:t>集中整治形式主义、官僚主义突出问题，结合我市实际</w:t>
      </w:r>
      <w:r>
        <w:rPr>
          <w:rFonts w:hint="eastAsia" w:ascii="仿宋_GB2312" w:eastAsia="仿宋_GB2312"/>
          <w:color w:val="000000"/>
          <w:sz w:val="32"/>
          <w:szCs w:val="32"/>
        </w:rPr>
        <w:t>开展</w:t>
      </w:r>
      <w:r>
        <w:rPr>
          <w:rFonts w:hint="eastAsia" w:ascii="仿宋_GB2312" w:eastAsia="仿宋_GB2312"/>
          <w:snapToGrid w:val="0"/>
          <w:color w:val="000000"/>
          <w:sz w:val="32"/>
          <w:szCs w:val="32"/>
        </w:rPr>
        <w:t>“领导当甩手、机关打太极、基层耍威风、干部谋私利”专项整治，</w:t>
      </w:r>
      <w:r>
        <w:rPr>
          <w:rFonts w:hint="eastAsia" w:ascii="仿宋_GB2312" w:eastAsia="仿宋_GB2312"/>
          <w:color w:val="000000"/>
          <w:sz w:val="32"/>
          <w:szCs w:val="32"/>
        </w:rPr>
        <w:t>列出负面清单12条</w:t>
      </w:r>
      <w:r>
        <w:rPr>
          <w:rFonts w:hint="eastAsia" w:ascii="仿宋_GB2312" w:eastAsia="仿宋_GB2312"/>
          <w:snapToGrid w:val="0"/>
          <w:color w:val="000000"/>
          <w:sz w:val="32"/>
          <w:szCs w:val="32"/>
        </w:rPr>
        <w:t>，</w:t>
      </w:r>
      <w:r>
        <w:rPr>
          <w:rFonts w:hint="eastAsia" w:ascii="仿宋_GB2312" w:eastAsia="仿宋_GB2312"/>
          <w:color w:val="000000"/>
          <w:sz w:val="32"/>
          <w:szCs w:val="32"/>
        </w:rPr>
        <w:t>查处相关问题12起，党纪政务处分17人，组织处理11人，公开通报曝光典型案例5件14人，向分管市领导发送提示函4份，向“心连心”反馈问题中存在推诿现象的6个单位发送监察建议书，督促妥善处理群众反映问题。围绕违规操办婚丧喜庆事宜、滥发津贴补贴、公款吃喝、公费旅游等对22个单位开展督查，联合税务部门利用“线上税务系统”开展节前“四风”问题监督检查，发现和处置违规购买烟酒等问题线索3条，查处利用名贵特产谋求私利相关问题1起，组织处理1人，约谈4人。开展拒收红包礼金专项整治活动，通过自查自纠和监督检查，有力促进相关规定政策落实到位，查处收受红包礼金问题3件，给予党纪政纪处分2人，组织处理1人。</w:t>
      </w:r>
    </w:p>
    <w:p>
      <w:pPr>
        <w:spacing w:line="60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lang w:val="en-US" w:eastAsia="zh-CN"/>
        </w:rPr>
        <w:t>六是</w:t>
      </w:r>
      <w:r>
        <w:rPr>
          <w:rFonts w:hint="eastAsia" w:ascii="楷体_GB2312" w:eastAsia="楷体_GB2312"/>
          <w:color w:val="000000"/>
          <w:sz w:val="32"/>
          <w:szCs w:val="32"/>
        </w:rPr>
        <w:t>源头防腐全面拓展</w:t>
      </w:r>
      <w:r>
        <w:rPr>
          <w:rFonts w:hint="eastAsia" w:ascii="楷体_GB2312" w:eastAsia="楷体_GB2312"/>
          <w:color w:val="000000"/>
          <w:sz w:val="32"/>
          <w:szCs w:val="32"/>
          <w:lang w:eastAsia="zh-CN"/>
        </w:rPr>
        <w:t>。</w:t>
      </w:r>
      <w:r>
        <w:rPr>
          <w:rFonts w:hint="eastAsia" w:ascii="仿宋_GB2312" w:eastAsia="仿宋_GB2312"/>
          <w:color w:val="000000"/>
          <w:sz w:val="32"/>
          <w:szCs w:val="32"/>
        </w:rPr>
        <w:t>多形式开展廉政教育，组织全市县级党员领导干部到四川省雷马屏监狱开展警示教育活动，组织科级以上党员领导干部观看警示教育片，开展“弘扬好家风</w:t>
      </w:r>
      <w:r>
        <w:rPr>
          <w:rFonts w:ascii="仿宋_GB2312" w:eastAsia="仿宋_GB2312"/>
          <w:color w:val="000000"/>
          <w:sz w:val="32"/>
          <w:szCs w:val="32"/>
        </w:rPr>
        <w:t> </w:t>
      </w:r>
      <w:r>
        <w:rPr>
          <w:rFonts w:hint="eastAsia" w:ascii="仿宋_GB2312" w:eastAsia="仿宋_GB2312"/>
          <w:color w:val="000000"/>
          <w:sz w:val="32"/>
          <w:szCs w:val="32"/>
        </w:rPr>
        <w:t>传承好家训</w:t>
      </w:r>
      <w:r>
        <w:rPr>
          <w:rFonts w:ascii="仿宋_GB2312" w:eastAsia="仿宋_GB2312"/>
          <w:color w:val="000000"/>
          <w:sz w:val="32"/>
          <w:szCs w:val="32"/>
        </w:rPr>
        <w:t> </w:t>
      </w:r>
      <w:r>
        <w:rPr>
          <w:rFonts w:hint="eastAsia" w:ascii="仿宋_GB2312" w:eastAsia="仿宋_GB2312"/>
          <w:color w:val="000000"/>
          <w:sz w:val="32"/>
          <w:szCs w:val="32"/>
        </w:rPr>
        <w:t>建设好家庭”宣讲活动和“两个建设”宣传月活动，印发党风廉政建设宣传品18余万份，举办“我来画你来学——纪法宣传漫画展”，展出优秀廉洁漫画文130余幅，组织全市党员干部观看学习。在中纪委纪检监察报、省纪委廉洁四川、“嘉廉话”、廉政瞭望、四川党的建设等媒体发布党风廉政建设和反腐败宣传稿件71篇。在“嘉廉话”曝光违反中央八项规定精神，形式主义、官僚主义案例，违规赌博敛财等案例6起。强化“清山峨眉”微信公众号的打造，全年发布信息54期，稿件107条。</w:t>
      </w:r>
    </w:p>
    <w:p>
      <w:pPr>
        <w:spacing w:line="600" w:lineRule="exact"/>
        <w:ind w:firstLine="640" w:firstLineChars="200"/>
        <w:rPr>
          <w:rFonts w:ascii="仿宋_GB2312" w:eastAsia="仿宋_GB2312"/>
          <w:color w:val="000000"/>
          <w:sz w:val="32"/>
          <w:szCs w:val="32"/>
        </w:rPr>
      </w:pPr>
      <w:r>
        <w:rPr>
          <w:rFonts w:hint="eastAsia" w:ascii="楷体_GB2312" w:eastAsia="楷体_GB2312"/>
          <w:color w:val="000000"/>
          <w:sz w:val="32"/>
          <w:szCs w:val="32"/>
          <w:lang w:val="en-US" w:eastAsia="zh-CN"/>
        </w:rPr>
        <w:t>七是</w:t>
      </w:r>
      <w:r>
        <w:rPr>
          <w:rFonts w:hint="eastAsia" w:ascii="楷体_GB2312" w:eastAsia="楷体_GB2312"/>
          <w:color w:val="000000"/>
          <w:sz w:val="32"/>
          <w:szCs w:val="32"/>
        </w:rPr>
        <w:t>巡察工作规范推进</w:t>
      </w:r>
      <w:r>
        <w:rPr>
          <w:rFonts w:hint="eastAsia" w:ascii="楷体_GB2312" w:eastAsia="楷体_GB2312"/>
          <w:color w:val="000000"/>
          <w:sz w:val="32"/>
          <w:szCs w:val="32"/>
          <w:lang w:eastAsia="zh-CN"/>
        </w:rPr>
        <w:t>。</w:t>
      </w:r>
      <w:r>
        <w:rPr>
          <w:rFonts w:hint="eastAsia" w:ascii="仿宋_GB2312" w:eastAsia="仿宋_GB2312"/>
          <w:color w:val="000000"/>
          <w:sz w:val="32"/>
          <w:szCs w:val="32"/>
        </w:rPr>
        <w:t>把“两个维护”作为巡察根本政治任务，聚焦“六个围绕、一个加强”，</w:t>
      </w:r>
      <w:r>
        <w:rPr>
          <w:rFonts w:hint="eastAsia" w:ascii="仿宋_GB2312" w:eastAsia="仿宋_GB2312"/>
          <w:bCs/>
          <w:color w:val="000000"/>
          <w:sz w:val="32"/>
          <w:szCs w:val="32"/>
        </w:rPr>
        <w:t>开展2轮常规巡察和教育系统专项巡察</w:t>
      </w:r>
      <w:r>
        <w:rPr>
          <w:rFonts w:hint="eastAsia" w:ascii="仿宋_GB2312" w:eastAsia="仿宋_GB2312"/>
          <w:color w:val="000000"/>
          <w:sz w:val="32"/>
          <w:szCs w:val="32"/>
        </w:rPr>
        <w:t>，</w:t>
      </w:r>
      <w:r>
        <w:rPr>
          <w:rFonts w:hint="eastAsia" w:ascii="仿宋_GB2312" w:eastAsia="仿宋_GB2312"/>
          <w:bCs/>
          <w:color w:val="000000"/>
          <w:sz w:val="32"/>
          <w:szCs w:val="32"/>
        </w:rPr>
        <w:t>发现问题368个，移交问题线索6条，反馈有关职能部门意见4条，党纪政务处分3人。</w:t>
      </w:r>
      <w:r>
        <w:rPr>
          <w:rFonts w:hint="eastAsia" w:ascii="仿宋_GB2312" w:eastAsia="仿宋_GB2312"/>
          <w:color w:val="000000"/>
          <w:sz w:val="32"/>
          <w:szCs w:val="32"/>
        </w:rPr>
        <w:t>切实做好巡察工作“后半篇文章”，持续加大中央和省委巡视反馈问题整改落实力度，组织2次“回头看”和成效评估，督促</w:t>
      </w:r>
      <w:r>
        <w:rPr>
          <w:rFonts w:ascii="仿宋_GB2312" w:eastAsia="仿宋_GB2312"/>
          <w:color w:val="000000"/>
          <w:sz w:val="32"/>
          <w:szCs w:val="32"/>
        </w:rPr>
        <w:t>18</w:t>
      </w:r>
      <w:r>
        <w:rPr>
          <w:rFonts w:hint="eastAsia" w:ascii="仿宋_GB2312" w:eastAsia="仿宋_GB2312"/>
          <w:color w:val="000000"/>
          <w:sz w:val="32"/>
          <w:szCs w:val="32"/>
        </w:rPr>
        <w:t>个主责单位全面对标补短，确保整改到位。创新建立《关于抽调优秀干部参与巡察工作暂行办法》，</w:t>
      </w:r>
      <w:r>
        <w:rPr>
          <w:rFonts w:hint="eastAsia" w:ascii="仿宋_GB2312" w:eastAsia="仿宋_GB2312"/>
          <w:bCs/>
          <w:color w:val="000000"/>
          <w:sz w:val="32"/>
          <w:szCs w:val="32"/>
        </w:rPr>
        <w:t>建立300余人的全市“巡察人才库”，</w:t>
      </w:r>
      <w:r>
        <w:rPr>
          <w:rFonts w:hint="eastAsia" w:ascii="仿宋_GB2312" w:eastAsia="仿宋_GB2312"/>
          <w:color w:val="000000"/>
          <w:sz w:val="32"/>
          <w:szCs w:val="32"/>
        </w:rPr>
        <w:t>利用机构改革契机，增加巡察机构编制，不断充实巡察力量。</w:t>
      </w:r>
    </w:p>
    <w:p>
      <w:pPr>
        <w:spacing w:line="600" w:lineRule="exact"/>
        <w:ind w:firstLine="640" w:firstLineChars="200"/>
        <w:rPr>
          <w:rFonts w:hint="eastAsia" w:ascii="仿宋" w:hAnsi="仿宋" w:eastAsia="仿宋"/>
          <w:bCs/>
          <w:color w:val="000000"/>
          <w:sz w:val="32"/>
          <w:szCs w:val="32"/>
        </w:rPr>
      </w:pPr>
      <w:r>
        <w:rPr>
          <w:rFonts w:hint="eastAsia" w:ascii="楷体_GB2312" w:eastAsia="楷体_GB2312"/>
          <w:color w:val="000000"/>
          <w:sz w:val="32"/>
          <w:szCs w:val="32"/>
          <w:lang w:val="en-US" w:eastAsia="zh-CN"/>
        </w:rPr>
        <w:t>八是</w:t>
      </w:r>
      <w:r>
        <w:rPr>
          <w:rFonts w:hint="eastAsia" w:ascii="楷体_GB2312" w:eastAsia="楷体_GB2312"/>
          <w:color w:val="000000"/>
          <w:sz w:val="32"/>
          <w:szCs w:val="32"/>
        </w:rPr>
        <w:t>自身建设明显加强</w:t>
      </w:r>
      <w:r>
        <w:rPr>
          <w:rFonts w:hint="eastAsia" w:ascii="楷体_GB2312" w:eastAsia="楷体_GB2312"/>
          <w:color w:val="000000"/>
          <w:sz w:val="32"/>
          <w:szCs w:val="32"/>
          <w:lang w:eastAsia="zh-CN"/>
        </w:rPr>
        <w:t>。</w:t>
      </w:r>
      <w:r>
        <w:rPr>
          <w:rFonts w:hint="eastAsia" w:ascii="仿宋_GB2312" w:eastAsia="仿宋_GB2312"/>
          <w:color w:val="000000"/>
          <w:sz w:val="32"/>
          <w:szCs w:val="32"/>
        </w:rPr>
        <w:t>结合党和国家机构改革，完成纪委机关“三定”方案编制，同步完成12个派驻机构正式挂牌，制定派驻机构工作规定、报告工作办法、监督执纪工作规范、案件档案归档管理工作规范、公文处理规范等派驻机构统一管理制度。加强对派驻机构和乡镇纪委办案工作的指导，派驻机构办案9件10人，乡镇纪委办案31件34人。实施纪检监察系统“五大行动”，抓实本级纪检监察干部全员培训，组织开展“纪检监察青年干部业务知识讲座”6期，参训460余人次。邀请30余名人大代表、政协委员、群众代表到纪委机关“作客”，主动接受群众监督。扎实推进系统内形式主义官僚主义整治，自查整改问题10个。强化系统内部监管，党纪立案查处1人，坚决防止“灯下黑”。</w:t>
      </w:r>
    </w:p>
    <w:p>
      <w:pPr>
        <w:pStyle w:val="3"/>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中共峨眉山市纪委</w:t>
      </w:r>
      <w:r>
        <w:rPr>
          <w:rFonts w:hint="eastAsia" w:ascii="仿宋_GB2312" w:hAnsi="仿宋_GB2312" w:eastAsia="仿宋_GB2312" w:cs="仿宋_GB2312"/>
          <w:color w:val="000000"/>
          <w:kern w:val="0"/>
          <w:sz w:val="32"/>
          <w:szCs w:val="32"/>
          <w:lang w:val="en-US" w:eastAsia="zh-CN"/>
        </w:rPr>
        <w:t>与</w:t>
      </w:r>
      <w:r>
        <w:rPr>
          <w:rFonts w:hint="eastAsia" w:ascii="仿宋_GB2312" w:hAnsi="仿宋_GB2312" w:eastAsia="仿宋_GB2312" w:cs="仿宋_GB2312"/>
          <w:color w:val="000000"/>
          <w:kern w:val="0"/>
          <w:sz w:val="32"/>
          <w:szCs w:val="32"/>
        </w:rPr>
        <w:t>峨眉山市</w:t>
      </w:r>
      <w:r>
        <w:rPr>
          <w:rFonts w:hint="eastAsia" w:ascii="仿宋_GB2312" w:hAnsi="仿宋_GB2312" w:eastAsia="仿宋_GB2312" w:cs="仿宋_GB2312"/>
          <w:color w:val="000000"/>
          <w:sz w:val="32"/>
          <w:szCs w:val="32"/>
        </w:rPr>
        <w:t>监委</w:t>
      </w:r>
      <w:r>
        <w:rPr>
          <w:rFonts w:hint="eastAsia" w:ascii="仿宋_GB2312" w:hAnsi="仿宋_GB2312" w:eastAsia="仿宋_GB2312" w:cs="仿宋_GB2312"/>
          <w:color w:val="000000"/>
          <w:kern w:val="0"/>
          <w:sz w:val="32"/>
          <w:szCs w:val="32"/>
        </w:rPr>
        <w:t>属一级预算单位合署办公，</w:t>
      </w:r>
      <w:r>
        <w:rPr>
          <w:rFonts w:hint="eastAsia" w:ascii="仿宋_GB2312" w:hAnsi="仿宋_GB2312" w:eastAsia="仿宋_GB2312" w:cs="仿宋_GB2312"/>
          <w:color w:val="000000"/>
          <w:kern w:val="0"/>
          <w:sz w:val="32"/>
          <w:szCs w:val="32"/>
          <w:lang w:val="en-US" w:eastAsia="zh-CN"/>
        </w:rPr>
        <w:t>实行一套工作机构、两个机关名称，履行党的纪律检查和国家监察两项职能。</w:t>
      </w:r>
      <w:r>
        <w:rPr>
          <w:rFonts w:hint="eastAsia" w:ascii="仿宋_GB2312" w:hAnsi="仿宋_GB2312" w:eastAsia="仿宋_GB2312" w:cs="仿宋_GB2312"/>
          <w:color w:val="000000"/>
          <w:kern w:val="0"/>
          <w:sz w:val="32"/>
          <w:szCs w:val="32"/>
        </w:rPr>
        <w:t>委机关有</w:t>
      </w:r>
      <w:r>
        <w:rPr>
          <w:rFonts w:hint="eastAsia" w:ascii="仿宋_GB2312" w:hAnsi="仿宋_GB2312" w:eastAsia="仿宋_GB2312" w:cs="仿宋_GB2312"/>
          <w:color w:val="000000"/>
          <w:sz w:val="32"/>
          <w:szCs w:val="32"/>
        </w:rPr>
        <w:t>12</w:t>
      </w:r>
      <w:r>
        <w:rPr>
          <w:rFonts w:hint="eastAsia" w:ascii="仿宋_GB2312" w:hAnsi="仿宋_GB2312" w:eastAsia="仿宋_GB2312" w:cs="仿宋_GB2312"/>
          <w:color w:val="000000"/>
          <w:kern w:val="0"/>
          <w:sz w:val="32"/>
          <w:szCs w:val="32"/>
        </w:rPr>
        <w:t>个职能室和3个农村片区纪工委（监察室）</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无下属单位。</w:t>
      </w:r>
    </w:p>
    <w:p>
      <w:pPr>
        <w:pageBreakBefore w:val="0"/>
        <w:widowControl/>
        <w:kinsoku/>
        <w:wordWrap/>
        <w:overflowPunct/>
        <w:topLinePunct w:val="0"/>
        <w:autoSpaceDE/>
        <w:autoSpaceDN/>
        <w:bidi w:val="0"/>
        <w:spacing w:line="600" w:lineRule="exact"/>
        <w:jc w:val="left"/>
        <w:textAlignment w:val="auto"/>
        <w:rPr>
          <w:rFonts w:ascii="仿宋" w:hAnsi="仿宋" w:eastAsia="仿宋"/>
          <w:color w:val="000000"/>
          <w:kern w:val="0"/>
          <w:sz w:val="32"/>
          <w:szCs w:val="32"/>
        </w:rPr>
      </w:pPr>
      <w:r>
        <w:rPr>
          <w:rFonts w:ascii="仿宋" w:hAnsi="仿宋" w:eastAsia="仿宋"/>
          <w:color w:val="000000"/>
          <w:sz w:val="32"/>
          <w:szCs w:val="32"/>
        </w:rPr>
        <w:br w:type="page"/>
      </w:r>
    </w:p>
    <w:p>
      <w:pPr>
        <w:pStyle w:val="2"/>
        <w:pageBreakBefore w:val="0"/>
        <w:widowControl w:val="0"/>
        <w:kinsoku/>
        <w:wordWrap/>
        <w:overflowPunct/>
        <w:topLinePunct w:val="0"/>
        <w:autoSpaceDE/>
        <w:autoSpaceDN/>
        <w:bidi w:val="0"/>
        <w:adjustRightInd/>
        <w:snapToGrid/>
        <w:spacing w:line="600" w:lineRule="exact"/>
        <w:ind w:right="440"/>
        <w:jc w:val="right"/>
        <w:textAlignment w:val="auto"/>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Pr>
        <w:pStyle w:val="2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770" w:leftChars="0" w:firstLineChars="0"/>
        <w:textAlignment w:val="auto"/>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2019年度收、支总计</w:t>
      </w:r>
      <w:r>
        <w:rPr>
          <w:rFonts w:hint="eastAsia" w:ascii="仿宋" w:hAnsi="仿宋" w:eastAsia="仿宋"/>
          <w:color w:val="auto"/>
          <w:sz w:val="32"/>
          <w:szCs w:val="32"/>
          <w:lang w:val="en-US" w:eastAsia="zh-CN"/>
        </w:rPr>
        <w:t>1323.54</w:t>
      </w:r>
      <w:r>
        <w:rPr>
          <w:rFonts w:hint="eastAsia" w:ascii="仿宋" w:hAnsi="仿宋" w:eastAsia="仿宋"/>
          <w:color w:val="auto"/>
          <w:sz w:val="32"/>
          <w:szCs w:val="32"/>
        </w:rPr>
        <w:t>万元。与2018年相比，收、支总计各增加</w:t>
      </w:r>
      <w:r>
        <w:rPr>
          <w:rFonts w:hint="eastAsia" w:ascii="仿宋" w:hAnsi="仿宋" w:eastAsia="仿宋"/>
          <w:color w:val="auto"/>
          <w:sz w:val="32"/>
          <w:szCs w:val="32"/>
          <w:lang w:val="en-US" w:eastAsia="zh-CN"/>
        </w:rPr>
        <w:t>314.33</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31.15</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2019年新增项目，项目经费增加。</w:t>
      </w:r>
    </w:p>
    <w:p>
      <w:pPr>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anchor distT="0" distB="0" distL="114300" distR="114300" simplePos="0" relativeHeight="251659264" behindDoc="0" locked="0" layoutInCell="1" allowOverlap="1">
            <wp:simplePos x="0" y="0"/>
            <wp:positionH relativeFrom="column">
              <wp:posOffset>190500</wp:posOffset>
            </wp:positionH>
            <wp:positionV relativeFrom="paragraph">
              <wp:posOffset>231775</wp:posOffset>
            </wp:positionV>
            <wp:extent cx="5080000" cy="381000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4"/>
        <w:numPr>
          <w:ilvl w:val="0"/>
          <w:numId w:val="0"/>
        </w:numPr>
        <w:spacing w:line="600" w:lineRule="exact"/>
        <w:ind w:left="1050" w:leftChars="0"/>
        <w:outlineLvl w:val="1"/>
        <w:rPr>
          <w:rStyle w:val="26"/>
          <w:rFonts w:ascii="黑体" w:hAnsi="黑体" w:eastAsia="黑体"/>
          <w:b w:val="0"/>
        </w:rPr>
      </w:pPr>
      <w:bookmarkStart w:id="26" w:name="_Toc15377206"/>
      <w:bookmarkStart w:id="27" w:name="_Toc15396604"/>
    </w:p>
    <w:p>
      <w:pPr>
        <w:pStyle w:val="24"/>
        <w:numPr>
          <w:ilvl w:val="0"/>
          <w:numId w:val="0"/>
        </w:numPr>
        <w:spacing w:line="600" w:lineRule="exact"/>
        <w:ind w:left="1050" w:leftChars="0"/>
        <w:outlineLvl w:val="1"/>
        <w:rPr>
          <w:rStyle w:val="26"/>
          <w:rFonts w:ascii="黑体" w:hAnsi="黑体" w:eastAsia="黑体"/>
          <w:b w:val="0"/>
        </w:rPr>
      </w:pPr>
    </w:p>
    <w:p>
      <w:pPr>
        <w:pStyle w:val="24"/>
        <w:numPr>
          <w:ilvl w:val="0"/>
          <w:numId w:val="0"/>
        </w:numPr>
        <w:spacing w:line="600" w:lineRule="exact"/>
        <w:ind w:left="1050" w:leftChars="0"/>
        <w:outlineLvl w:val="1"/>
        <w:rPr>
          <w:rStyle w:val="26"/>
          <w:rFonts w:ascii="黑体" w:hAnsi="黑体" w:eastAsia="黑体"/>
          <w:b w:val="0"/>
        </w:rPr>
      </w:pPr>
    </w:p>
    <w:p>
      <w:pPr>
        <w:pStyle w:val="24"/>
        <w:numPr>
          <w:ilvl w:val="0"/>
          <w:numId w:val="0"/>
        </w:numPr>
        <w:spacing w:line="600" w:lineRule="exact"/>
        <w:ind w:left="1050" w:leftChars="0"/>
        <w:outlineLvl w:val="1"/>
        <w:rPr>
          <w:rStyle w:val="26"/>
          <w:rFonts w:ascii="黑体" w:hAnsi="黑体" w:eastAsia="黑体"/>
          <w:b w:val="0"/>
        </w:rPr>
      </w:pPr>
    </w:p>
    <w:p>
      <w:pPr>
        <w:pStyle w:val="24"/>
        <w:numPr>
          <w:ilvl w:val="0"/>
          <w:numId w:val="0"/>
        </w:numPr>
        <w:spacing w:line="600" w:lineRule="exact"/>
        <w:ind w:left="1050" w:leftChars="0"/>
        <w:outlineLvl w:val="1"/>
        <w:rPr>
          <w:rStyle w:val="26"/>
          <w:rFonts w:ascii="黑体" w:hAnsi="黑体" w:eastAsia="黑体"/>
          <w:b w:val="0"/>
        </w:rPr>
      </w:pPr>
    </w:p>
    <w:p>
      <w:pPr>
        <w:pStyle w:val="24"/>
        <w:numPr>
          <w:ilvl w:val="0"/>
          <w:numId w:val="0"/>
        </w:numPr>
        <w:spacing w:line="600" w:lineRule="exact"/>
        <w:ind w:left="1050" w:leftChars="0"/>
        <w:outlineLvl w:val="1"/>
        <w:rPr>
          <w:rStyle w:val="26"/>
          <w:rFonts w:ascii="黑体" w:hAnsi="黑体" w:eastAsia="黑体"/>
          <w:b w:val="0"/>
        </w:rPr>
      </w:pPr>
    </w:p>
    <w:p>
      <w:pPr>
        <w:pStyle w:val="24"/>
        <w:numPr>
          <w:ilvl w:val="0"/>
          <w:numId w:val="0"/>
        </w:numPr>
        <w:spacing w:line="600" w:lineRule="exact"/>
        <w:ind w:left="1050" w:leftChars="0"/>
        <w:outlineLvl w:val="1"/>
        <w:rPr>
          <w:rStyle w:val="26"/>
          <w:rFonts w:ascii="黑体" w:hAnsi="黑体" w:eastAsia="黑体"/>
          <w:b w:val="0"/>
        </w:rPr>
      </w:pPr>
    </w:p>
    <w:p>
      <w:pPr>
        <w:pStyle w:val="24"/>
        <w:numPr>
          <w:ilvl w:val="0"/>
          <w:numId w:val="0"/>
        </w:numPr>
        <w:spacing w:line="600" w:lineRule="exact"/>
        <w:ind w:left="1050" w:leftChars="0"/>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jc w:val="center"/>
        <w:outlineLvl w:val="1"/>
        <w:rPr>
          <w:rStyle w:val="26"/>
          <w:rFonts w:ascii="黑体" w:hAnsi="黑体" w:eastAsia="黑体"/>
          <w:b w:val="0"/>
        </w:rPr>
      </w:pPr>
    </w:p>
    <w:p>
      <w:pPr>
        <w:pStyle w:val="24"/>
        <w:numPr>
          <w:ilvl w:val="0"/>
          <w:numId w:val="0"/>
        </w:numPr>
        <w:spacing w:line="600" w:lineRule="exact"/>
        <w:ind w:left="1050" w:leftChars="0"/>
        <w:jc w:val="center"/>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图1：收支决算总计变动情况图（单位：万元）</w:t>
      </w:r>
    </w:p>
    <w:p>
      <w:pPr>
        <w:pStyle w:val="24"/>
        <w:numPr>
          <w:ilvl w:val="0"/>
          <w:numId w:val="0"/>
        </w:numPr>
        <w:spacing w:line="600" w:lineRule="exact"/>
        <w:ind w:left="1050" w:leftChars="0"/>
        <w:outlineLvl w:val="1"/>
        <w:rPr>
          <w:rStyle w:val="26"/>
          <w:rFonts w:ascii="黑体" w:hAnsi="黑体" w:eastAsia="黑体"/>
          <w:b w:val="0"/>
        </w:rPr>
      </w:pPr>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_GB2312" w:eastAsia="仿宋_GB2312"/>
          <w:color w:val="FF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1308.42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1284.14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98.14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14.28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0.76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_GB2312" w:eastAsia="仿宋_GB2312"/>
          <w:color w:val="FF0000"/>
          <w:sz w:val="32"/>
          <w:szCs w:val="32"/>
        </w:rPr>
      </w:pP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-44450</wp:posOffset>
            </wp:positionH>
            <wp:positionV relativeFrom="paragraph">
              <wp:posOffset>85090</wp:posOffset>
            </wp:positionV>
            <wp:extent cx="5764530" cy="2902585"/>
            <wp:effectExtent l="4445" t="4445" r="22225" b="762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jc w:val="both"/>
        <w:rPr>
          <w:rFonts w:ascii="仿宋_GB2312" w:eastAsia="仿宋_GB2312"/>
          <w:color w:val="FF0000"/>
          <w:sz w:val="32"/>
          <w:szCs w:val="32"/>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outlineLvl w:val="1"/>
        <w:rPr>
          <w:rFonts w:hint="eastAsia" w:ascii="仿宋_GB2312" w:hAnsi="仿宋_GB2312" w:eastAsia="仿宋_GB2312" w:cs="仿宋_GB2312"/>
          <w:color w:val="000000"/>
          <w:sz w:val="32"/>
          <w:szCs w:val="32"/>
          <w:lang w:val="en-US" w:eastAsia="zh-CN"/>
        </w:rPr>
      </w:pPr>
      <w:bookmarkStart w:id="28" w:name="_Toc15377207"/>
      <w:bookmarkStart w:id="29" w:name="_Toc15396605"/>
    </w:p>
    <w:p>
      <w:pPr>
        <w:pStyle w:val="2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图2：收入决算结构图（单位：万元）</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Style w:val="26"/>
          <w:rFonts w:ascii="黑体" w:hAnsi="黑体" w:eastAsia="黑体"/>
          <w:b w:val="0"/>
        </w:rPr>
      </w:pPr>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1305.33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981.50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75.19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323.83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24.81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_GB2312" w:eastAsia="仿宋_GB2312"/>
          <w:color w:val="FF0000"/>
          <w:sz w:val="32"/>
          <w:szCs w:val="32"/>
          <w:lang w:eastAsia="zh-CN"/>
        </w:rPr>
        <w:drawing>
          <wp:anchor distT="0" distB="0" distL="114300" distR="114300" simplePos="0" relativeHeight="251661312" behindDoc="0" locked="0" layoutInCell="1" allowOverlap="1">
            <wp:simplePos x="0" y="0"/>
            <wp:positionH relativeFrom="column">
              <wp:posOffset>77470</wp:posOffset>
            </wp:positionH>
            <wp:positionV relativeFrom="paragraph">
              <wp:posOffset>13335</wp:posOffset>
            </wp:positionV>
            <wp:extent cx="5655945" cy="2674620"/>
            <wp:effectExtent l="4445" t="4445" r="16510" b="698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_GB2312" w:eastAsia="仿宋_GB2312"/>
          <w:color w:val="FF0000"/>
          <w:sz w:val="32"/>
          <w:szCs w:val="32"/>
          <w:lang w:eastAsia="zh-CN"/>
        </w:rPr>
      </w:pPr>
    </w:p>
    <w:p>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jc w:val="center"/>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图3：支出决算结构图（单位：万元）</w:t>
      </w: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lang w:val="en-US" w:eastAsia="zh-CN"/>
        </w:rPr>
        <w:t>四、</w:t>
      </w:r>
      <w:r>
        <w:rPr>
          <w:rFonts w:hint="eastAsia" w:ascii="黑体" w:hAnsi="黑体" w:eastAsia="黑体"/>
          <w:color w:val="000000"/>
          <w:sz w:val="32"/>
          <w:szCs w:val="32"/>
        </w:rPr>
        <w:t>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1304.69</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295.49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29.28</w:t>
      </w:r>
      <w:r>
        <w:rPr>
          <w:rFonts w:ascii="仿宋" w:hAnsi="仿宋" w:eastAsia="仿宋"/>
          <w:color w:val="000000"/>
          <w:sz w:val="32"/>
          <w:szCs w:val="32"/>
        </w:rPr>
        <w:t>%</w:t>
      </w:r>
      <w:r>
        <w:rPr>
          <w:rFonts w:hint="eastAsia" w:ascii="仿宋" w:hAnsi="仿宋" w:eastAsia="仿宋"/>
          <w:color w:val="000000"/>
          <w:sz w:val="32"/>
          <w:szCs w:val="32"/>
        </w:rPr>
        <w:t>。主要变动原</w:t>
      </w:r>
      <w:r>
        <w:rPr>
          <w:rFonts w:hint="eastAsia" w:ascii="仿宋" w:hAnsi="仿宋" w:eastAsia="仿宋"/>
          <w:color w:val="auto"/>
          <w:sz w:val="32"/>
          <w:szCs w:val="32"/>
        </w:rPr>
        <w:t>因是</w:t>
      </w:r>
      <w:r>
        <w:rPr>
          <w:rFonts w:hint="eastAsia" w:ascii="仿宋" w:hAnsi="仿宋" w:eastAsia="仿宋"/>
          <w:color w:val="auto"/>
          <w:sz w:val="32"/>
          <w:szCs w:val="32"/>
          <w:lang w:val="en-US" w:eastAsia="zh-CN"/>
        </w:rPr>
        <w:t>本年新增项目，项目经费增加。</w:t>
      </w:r>
    </w:p>
    <w:p>
      <w:pPr>
        <w:spacing w:line="600" w:lineRule="exact"/>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anchor distT="0" distB="0" distL="114300" distR="114300" simplePos="0" relativeHeight="251662336" behindDoc="0" locked="0" layoutInCell="1" allowOverlap="1">
            <wp:simplePos x="0" y="0"/>
            <wp:positionH relativeFrom="column">
              <wp:posOffset>159385</wp:posOffset>
            </wp:positionH>
            <wp:positionV relativeFrom="paragraph">
              <wp:posOffset>82550</wp:posOffset>
            </wp:positionV>
            <wp:extent cx="5080000" cy="3982720"/>
            <wp:effectExtent l="4445" t="4445" r="20955" b="1333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rPr>
          <w:rFonts w:hint="eastAsia" w:ascii="仿宋" w:hAnsi="仿宋" w:eastAsia="仿宋"/>
          <w:color w:val="000000" w:themeColor="text1"/>
          <w:sz w:val="32"/>
          <w:szCs w:val="32"/>
          <w:lang w:eastAsia="zh-CN"/>
        </w:rPr>
      </w:pPr>
      <w:bookmarkStart w:id="32" w:name="_Toc15377209"/>
      <w:bookmarkStart w:id="33" w:name="_Toc15396607"/>
      <w:r>
        <w:rPr>
          <w:rFonts w:hint="eastAsia" w:ascii="仿宋" w:hAnsi="仿宋" w:eastAsia="仿宋"/>
          <w:color w:val="000000" w:themeColor="text1"/>
          <w:sz w:val="32"/>
          <w:szCs w:val="32"/>
        </w:rPr>
        <w:t>图4：财政拨款收、支决算总计变动情况</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单位：万元</w:t>
      </w:r>
      <w:r>
        <w:rPr>
          <w:rFonts w:hint="eastAsia" w:ascii="仿宋" w:hAnsi="仿宋" w:eastAsia="仿宋"/>
          <w:color w:val="000000" w:themeColor="text1"/>
          <w:sz w:val="32"/>
          <w:szCs w:val="32"/>
          <w:lang w:eastAsia="zh-CN"/>
        </w:rPr>
        <w:t>）</w:t>
      </w:r>
    </w:p>
    <w:p>
      <w:pPr>
        <w:spacing w:line="600" w:lineRule="exact"/>
        <w:ind w:firstLine="643" w:firstLineChars="200"/>
        <w:outlineLvl w:val="1"/>
        <w:rPr>
          <w:rStyle w:val="26"/>
          <w:rFonts w:ascii="黑体" w:hAnsi="黑体" w:eastAsia="黑体"/>
          <w:b w:val="0"/>
        </w:rPr>
      </w:pPr>
      <w:r>
        <w:rPr>
          <w:rFonts w:hint="eastAsia" w:ascii="黑体" w:hAnsi="黑体" w:eastAsia="黑体"/>
          <w:b/>
          <w:color w:val="000000"/>
          <w:sz w:val="32"/>
          <w:szCs w:val="32"/>
          <w:lang w:val="en-US" w:eastAsia="zh-CN"/>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1289.17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98.81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297.95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30.06</w:t>
      </w:r>
      <w:r>
        <w:rPr>
          <w:rFonts w:ascii="仿宋" w:hAnsi="仿宋" w:eastAsia="仿宋"/>
          <w:color w:val="000000"/>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本年新增项目，项目经费增加。</w:t>
      </w: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anchor distT="0" distB="0" distL="114300" distR="114300" simplePos="0" relativeHeight="251663360" behindDoc="0" locked="0" layoutInCell="1" allowOverlap="1">
            <wp:simplePos x="0" y="0"/>
            <wp:positionH relativeFrom="column">
              <wp:posOffset>229235</wp:posOffset>
            </wp:positionH>
            <wp:positionV relativeFrom="paragraph">
              <wp:posOffset>168910</wp:posOffset>
            </wp:positionV>
            <wp:extent cx="5080000" cy="3810000"/>
            <wp:effectExtent l="4445" t="4445" r="20955" b="1460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仿宋" w:hAnsi="仿宋" w:eastAsia="仿宋"/>
          <w:b/>
          <w:color w:val="000000"/>
          <w:sz w:val="32"/>
          <w:szCs w:val="32"/>
        </w:rPr>
      </w:pPr>
      <w:bookmarkStart w:id="35" w:name="_Toc15377211"/>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0" w:firstLineChars="200"/>
        <w:outlineLvl w:val="2"/>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图5：一般公共预算财政拨款支出决算变动情况</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单位：万元</w:t>
      </w:r>
      <w:r>
        <w:rPr>
          <w:rFonts w:hint="eastAsia" w:ascii="仿宋" w:hAnsi="仿宋" w:eastAsia="仿宋"/>
          <w:color w:val="000000" w:themeColor="text1"/>
          <w:sz w:val="32"/>
          <w:szCs w:val="32"/>
          <w:lang w:eastAsia="zh-CN"/>
        </w:rPr>
        <w:t>）</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lang w:val="en-US" w:eastAsia="zh-CN"/>
        </w:rPr>
        <w:t>1289.17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1151.16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89.29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65.66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15.87</w:t>
      </w:r>
      <w:r>
        <w:rPr>
          <w:rFonts w:hint="eastAsia" w:ascii="仿宋" w:hAnsi="仿宋" w:eastAsia="仿宋"/>
          <w:color w:val="000000" w:themeColor="text1"/>
          <w:sz w:val="32"/>
          <w:szCs w:val="32"/>
        </w:rPr>
        <w:t>元，占</w:t>
      </w:r>
      <w:r>
        <w:rPr>
          <w:rFonts w:hint="eastAsia" w:ascii="仿宋" w:hAnsi="仿宋" w:eastAsia="仿宋"/>
          <w:color w:val="000000" w:themeColor="text1"/>
          <w:sz w:val="32"/>
          <w:szCs w:val="32"/>
          <w:lang w:val="en-US" w:eastAsia="zh-CN"/>
        </w:rPr>
        <w:t>1.23</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56.48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4.38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323850</wp:posOffset>
            </wp:positionH>
            <wp:positionV relativeFrom="paragraph">
              <wp:posOffset>-281305</wp:posOffset>
            </wp:positionV>
            <wp:extent cx="5080000" cy="3810000"/>
            <wp:effectExtent l="4445" t="4445" r="20955" b="1460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outlineLvl w:val="2"/>
        <w:rPr>
          <w:rFonts w:hint="eastAsia" w:ascii="仿宋" w:hAnsi="仿宋" w:eastAsia="仿宋"/>
          <w:color w:val="000000"/>
          <w:sz w:val="32"/>
          <w:szCs w:val="32"/>
          <w:lang w:val="en-US" w:eastAsia="zh-CN"/>
        </w:rPr>
      </w:pPr>
      <w:bookmarkStart w:id="36" w:name="_Toc15377212"/>
      <w:r>
        <w:rPr>
          <w:rFonts w:hint="eastAsia" w:ascii="仿宋" w:hAnsi="仿宋" w:eastAsia="仿宋"/>
          <w:color w:val="000000"/>
          <w:sz w:val="32"/>
          <w:szCs w:val="32"/>
        </w:rPr>
        <w:t>图6：一般公共预算财政拨款支出决算结构</w:t>
      </w:r>
      <w:r>
        <w:rPr>
          <w:rFonts w:hint="eastAsia" w:ascii="仿宋" w:hAnsi="仿宋" w:eastAsia="仿宋"/>
          <w:color w:val="000000"/>
          <w:sz w:val="32"/>
          <w:szCs w:val="32"/>
          <w:lang w:val="en-US" w:eastAsia="zh-CN"/>
        </w:rPr>
        <w:t>图（单位：万元）</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auto"/>
          <w:sz w:val="32"/>
          <w:szCs w:val="32"/>
        </w:rPr>
      </w:pPr>
      <w:bookmarkStart w:id="37" w:name="_Toc15377213"/>
      <w:bookmarkStart w:id="38" w:name="_Toc15378460"/>
      <w:bookmarkStart w:id="39" w:name="_Toc15377444"/>
      <w:r>
        <w:rPr>
          <w:rFonts w:hint="eastAsia" w:ascii="仿宋" w:hAnsi="仿宋" w:eastAsia="仿宋"/>
          <w:b/>
          <w:color w:val="auto"/>
          <w:sz w:val="32"/>
          <w:szCs w:val="32"/>
        </w:rPr>
        <w:t>2019年</w:t>
      </w:r>
      <w:r>
        <w:rPr>
          <w:rFonts w:hint="eastAsia" w:ascii="仿宋" w:hAnsi="仿宋" w:eastAsia="仿宋"/>
          <w:b/>
          <w:color w:val="auto"/>
          <w:sz w:val="32"/>
          <w:szCs w:val="32"/>
          <w:lang w:val="en-US" w:eastAsia="zh-CN"/>
        </w:rPr>
        <w:t>一</w:t>
      </w:r>
      <w:r>
        <w:rPr>
          <w:rFonts w:hint="eastAsia" w:ascii="仿宋" w:hAnsi="仿宋" w:eastAsia="仿宋"/>
          <w:b/>
          <w:color w:val="auto"/>
          <w:sz w:val="32"/>
          <w:szCs w:val="32"/>
        </w:rPr>
        <w:t>般公共预算支出决算数为</w:t>
      </w:r>
      <w:r>
        <w:rPr>
          <w:rFonts w:hint="eastAsia" w:ascii="仿宋" w:hAnsi="仿宋" w:eastAsia="仿宋"/>
          <w:b/>
          <w:color w:val="auto"/>
          <w:sz w:val="32"/>
          <w:szCs w:val="32"/>
          <w:lang w:val="en-US" w:eastAsia="zh-CN"/>
        </w:rPr>
        <w:t>1289.17万元</w:t>
      </w:r>
      <w:r>
        <w:rPr>
          <w:rFonts w:hint="eastAsia" w:ascii="仿宋" w:hAnsi="仿宋" w:eastAsia="仿宋"/>
          <w:color w:val="auto"/>
          <w:sz w:val="32"/>
          <w:szCs w:val="32"/>
        </w:rPr>
        <w:t>，</w:t>
      </w:r>
      <w:r>
        <w:rPr>
          <w:rStyle w:val="15"/>
          <w:rFonts w:hint="eastAsia" w:ascii="仿宋" w:hAnsi="仿宋" w:eastAsia="仿宋"/>
          <w:bCs/>
          <w:color w:val="auto"/>
          <w:sz w:val="32"/>
          <w:szCs w:val="32"/>
        </w:rPr>
        <w:t>完成预算</w:t>
      </w:r>
      <w:r>
        <w:rPr>
          <w:rStyle w:val="15"/>
          <w:rFonts w:hint="eastAsia" w:ascii="仿宋" w:hAnsi="仿宋" w:eastAsia="仿宋"/>
          <w:bCs/>
          <w:color w:val="auto"/>
          <w:sz w:val="32"/>
          <w:szCs w:val="32"/>
          <w:lang w:val="en-US" w:eastAsia="zh-CN"/>
        </w:rPr>
        <w:t>99.90</w:t>
      </w:r>
      <w:r>
        <w:rPr>
          <w:rStyle w:val="15"/>
          <w:rFonts w:ascii="仿宋" w:hAnsi="仿宋" w:eastAsia="仿宋"/>
          <w:bCs/>
          <w:color w:val="auto"/>
          <w:sz w:val="32"/>
          <w:szCs w:val="32"/>
        </w:rPr>
        <w:t>%</w:t>
      </w:r>
      <w:r>
        <w:rPr>
          <w:rStyle w:val="15"/>
          <w:rFonts w:hint="eastAsia" w:ascii="仿宋" w:hAnsi="仿宋" w:eastAsia="仿宋"/>
          <w:bCs/>
          <w:color w:val="auto"/>
          <w:sz w:val="32"/>
          <w:szCs w:val="32"/>
        </w:rPr>
        <w:t>。其中：</w:t>
      </w:r>
      <w:bookmarkEnd w:id="37"/>
      <w:bookmarkEnd w:id="38"/>
      <w:bookmarkEnd w:id="39"/>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纪检监察事务（款）行政运行（项）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843.49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
          <w:bCs w:val="0"/>
          <w:color w:val="000000"/>
          <w:sz w:val="32"/>
          <w:szCs w:val="32"/>
          <w:lang w:val="en-US" w:eastAsia="zh-CN"/>
        </w:rPr>
        <w:t>2.</w:t>
      </w:r>
      <w:r>
        <w:rPr>
          <w:rStyle w:val="15"/>
          <w:rFonts w:hint="eastAsia" w:ascii="仿宋" w:hAnsi="仿宋" w:eastAsia="仿宋"/>
          <w:b/>
          <w:bCs w:val="0"/>
          <w:color w:val="000000"/>
          <w:sz w:val="32"/>
          <w:szCs w:val="32"/>
        </w:rPr>
        <w:t>一般公</w:t>
      </w:r>
      <w:r>
        <w:rPr>
          <w:rStyle w:val="15"/>
          <w:rFonts w:hint="eastAsia" w:ascii="仿宋" w:hAnsi="仿宋" w:eastAsia="仿宋"/>
          <w:bCs/>
          <w:color w:val="000000"/>
          <w:sz w:val="32"/>
          <w:szCs w:val="32"/>
        </w:rPr>
        <w:t>共服务</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纪检监察事务（款）一般行政管理事务（项）：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131.07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bCs w:val="0"/>
          <w:color w:val="000000"/>
          <w:sz w:val="32"/>
          <w:szCs w:val="32"/>
          <w:lang w:val="en-US" w:eastAsia="zh-CN"/>
        </w:rPr>
        <w:t>3.</w:t>
      </w:r>
      <w:r>
        <w:rPr>
          <w:rStyle w:val="15"/>
          <w:rFonts w:hint="eastAsia" w:ascii="仿宋" w:hAnsi="仿宋" w:eastAsia="仿宋"/>
          <w:b/>
          <w:bCs w:val="0"/>
          <w:color w:val="000000"/>
          <w:sz w:val="32"/>
          <w:szCs w:val="32"/>
        </w:rPr>
        <w:t>一般公</w:t>
      </w:r>
      <w:r>
        <w:rPr>
          <w:rStyle w:val="15"/>
          <w:rFonts w:hint="eastAsia" w:ascii="仿宋" w:hAnsi="仿宋" w:eastAsia="仿宋"/>
          <w:bCs/>
          <w:color w:val="000000"/>
          <w:sz w:val="32"/>
          <w:szCs w:val="32"/>
        </w:rPr>
        <w:t>共服务</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纪检监察事务（款）大案要案查处（项）：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173.60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
          <w:bCs w:val="0"/>
          <w:color w:val="000000"/>
          <w:sz w:val="32"/>
          <w:szCs w:val="32"/>
          <w:lang w:val="en-US" w:eastAsia="zh-CN"/>
        </w:rPr>
        <w:t>4.</w:t>
      </w:r>
      <w:r>
        <w:rPr>
          <w:rStyle w:val="15"/>
          <w:rFonts w:hint="eastAsia" w:ascii="仿宋" w:hAnsi="仿宋" w:eastAsia="仿宋"/>
          <w:b/>
          <w:bCs w:val="0"/>
          <w:color w:val="000000"/>
          <w:sz w:val="32"/>
          <w:szCs w:val="32"/>
        </w:rPr>
        <w:t>一般公</w:t>
      </w:r>
      <w:r>
        <w:rPr>
          <w:rStyle w:val="15"/>
          <w:rFonts w:hint="eastAsia" w:ascii="仿宋" w:hAnsi="仿宋" w:eastAsia="仿宋"/>
          <w:bCs/>
          <w:color w:val="000000"/>
          <w:sz w:val="32"/>
          <w:szCs w:val="32"/>
        </w:rPr>
        <w:t>共服务</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纪检监察事务（款）其他纪检监察事务支出（项）：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3.00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行政事业单位离退休（款）机关事业单位基本养老保险缴费支出（项）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46.16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行政事业单位离退休（款）机关事业单位职业年金缴费支出（项）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19.50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15.87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92.75</w:t>
      </w:r>
      <w:r>
        <w:rPr>
          <w:rStyle w:val="15"/>
          <w:rFonts w:ascii="仿宋" w:hAnsi="仿宋" w:eastAsia="仿宋"/>
          <w:b w:val="0"/>
          <w:bCs/>
          <w:color w:val="000000"/>
          <w:sz w:val="32"/>
          <w:szCs w:val="32"/>
        </w:rPr>
        <w:t>%</w:t>
      </w:r>
      <w:r>
        <w:rPr>
          <w:rStyle w:val="15"/>
          <w:rFonts w:hint="eastAsia" w:ascii="仿宋" w:hAnsi="仿宋" w:eastAsia="仿宋"/>
          <w:b w:val="0"/>
          <w:bCs/>
          <w:color w:val="auto"/>
          <w:sz w:val="32"/>
          <w:szCs w:val="32"/>
          <w:u w:val="none"/>
        </w:rPr>
        <w:t>，决算数小于预算数的主要原因是</w:t>
      </w:r>
      <w:r>
        <w:rPr>
          <w:rStyle w:val="15"/>
          <w:rFonts w:hint="eastAsia" w:ascii="仿宋" w:hAnsi="仿宋" w:eastAsia="仿宋"/>
          <w:b w:val="0"/>
          <w:bCs/>
          <w:color w:val="auto"/>
          <w:sz w:val="32"/>
          <w:szCs w:val="32"/>
          <w:u w:val="none"/>
          <w:lang w:val="en-US" w:eastAsia="zh-CN"/>
        </w:rPr>
        <w:t>人员调出</w:t>
      </w:r>
      <w:r>
        <w:rPr>
          <w:rStyle w:val="15"/>
          <w:rFonts w:hint="eastAsia" w:ascii="仿宋" w:hAnsi="仿宋" w:eastAsia="仿宋"/>
          <w:b w:val="0"/>
          <w:bCs/>
          <w:color w:val="auto"/>
          <w:sz w:val="32"/>
          <w:szCs w:val="32"/>
          <w:u w:val="none"/>
        </w:rPr>
        <w:t>。</w:t>
      </w:r>
    </w:p>
    <w:p>
      <w:pPr>
        <w:spacing w:line="600" w:lineRule="exact"/>
        <w:ind w:firstLine="643" w:firstLineChars="200"/>
        <w:rPr>
          <w:rFonts w:ascii="仿宋" w:hAnsi="仿宋" w:eastAsia="仿宋"/>
          <w:b/>
          <w:color w:val="000000"/>
          <w:sz w:val="32"/>
          <w:szCs w:val="32"/>
        </w:rPr>
      </w:pPr>
      <w:r>
        <w:rPr>
          <w:rFonts w:hint="eastAsia" w:ascii="仿宋" w:hAnsi="仿宋" w:eastAsia="仿宋"/>
          <w:b/>
          <w:bCs/>
          <w:color w:val="000000"/>
          <w:sz w:val="32"/>
          <w:szCs w:val="32"/>
          <w:lang w:val="en-US" w:eastAsia="zh-CN"/>
        </w:rPr>
        <w:t>8.住房保障（类）住房改革支出（款）住房公积金（项）：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56.48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981.50</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810.55</w:t>
      </w:r>
      <w:r>
        <w:rPr>
          <w:rFonts w:hint="eastAsia" w:ascii="仿宋" w:hAnsi="仿宋" w:eastAsia="仿宋"/>
          <w:color w:val="000000"/>
          <w:sz w:val="32"/>
          <w:szCs w:val="32"/>
        </w:rPr>
        <w:t>万元，主要包括：基本工资、津贴补贴、奖金、机关事业单位基本养老保险缴费、职业年金缴费、其他社会保障缴费、其他工资福利支出、生活补助、奖励金、住房公积金、其他对个人和家庭的补助支出等。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170.95</w:t>
      </w:r>
      <w:r>
        <w:rPr>
          <w:rFonts w:hint="eastAsia" w:ascii="仿宋" w:hAnsi="仿宋" w:eastAsia="仿宋"/>
          <w:color w:val="000000"/>
          <w:sz w:val="32"/>
          <w:szCs w:val="32"/>
        </w:rPr>
        <w:t>万元，主要包括：办公费、印刷费、手续费、水费、电费、邮电费、差旅费、维修（护）费、租赁费、会议费、培训费、公务接待费、劳务费、工会经费、公务用车运行维护费、其他交通费、其他商品和服务支出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2019年“三公”经费财政拨款支出决算为</w:t>
      </w:r>
      <w:r>
        <w:rPr>
          <w:rFonts w:hint="eastAsia" w:ascii="仿宋_GB2312" w:hAnsi="仿宋_GB2312" w:eastAsia="仿宋_GB2312" w:cs="仿宋_GB2312"/>
          <w:color w:val="auto"/>
          <w:sz w:val="32"/>
          <w:szCs w:val="32"/>
          <w:lang w:val="en-US" w:eastAsia="zh-CN"/>
        </w:rPr>
        <w:t>23.42</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32.99</w:t>
      </w:r>
      <w:r>
        <w:rPr>
          <w:rFonts w:hint="eastAsia" w:ascii="仿宋_GB2312" w:hAnsi="仿宋_GB2312" w:eastAsia="仿宋_GB2312" w:cs="仿宋_GB2312"/>
          <w:color w:val="auto"/>
          <w:sz w:val="32"/>
          <w:szCs w:val="32"/>
        </w:rPr>
        <w:t>%，决算数小于预算数的主要原因是严格贯彻执行中央八项规定和省委省政府十项规定，持续完善制度，坚决杜绝奢侈浪费。</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19.94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85.14</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3.48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14.86</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298450</wp:posOffset>
            </wp:positionH>
            <wp:positionV relativeFrom="paragraph">
              <wp:posOffset>38735</wp:posOffset>
            </wp:positionV>
            <wp:extent cx="5080000" cy="3810000"/>
            <wp:effectExtent l="4445" t="4445" r="20955" b="1460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jc w:val="center"/>
        <w:rPr>
          <w:rFonts w:ascii="仿宋_GB2312" w:eastAsia="仿宋_GB2312"/>
          <w:b/>
          <w:color w:val="000000"/>
          <w:sz w:val="32"/>
          <w:szCs w:val="32"/>
        </w:rPr>
      </w:pPr>
      <w:r>
        <w:rPr>
          <w:rFonts w:hint="eastAsia" w:ascii="仿宋" w:hAnsi="仿宋" w:eastAsia="仿宋"/>
          <w:color w:val="000000"/>
          <w:sz w:val="32"/>
          <w:szCs w:val="32"/>
        </w:rPr>
        <w:t>图7：“三公”经费财政拨款支出结构（</w:t>
      </w:r>
      <w:r>
        <w:rPr>
          <w:rFonts w:hint="eastAsia" w:ascii="仿宋" w:hAnsi="仿宋" w:eastAsia="仿宋"/>
          <w:color w:val="000000"/>
          <w:sz w:val="32"/>
          <w:szCs w:val="32"/>
          <w:lang w:val="en-US" w:eastAsia="zh-CN"/>
        </w:rPr>
        <w:t>单位：万元</w:t>
      </w:r>
      <w:r>
        <w:rPr>
          <w:rFonts w:hint="eastAsia" w:ascii="仿宋" w:hAnsi="仿宋" w:eastAsia="仿宋"/>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eastAsia" w:ascii="仿宋_GB2312" w:eastAsia="仿宋_GB2312"/>
          <w:color w:val="0000FF"/>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19.94</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32.69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4.93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19.82</w:t>
      </w:r>
      <w:r>
        <w:rPr>
          <w:rFonts w:ascii="仿宋_GB2312" w:eastAsia="仿宋_GB2312"/>
          <w:color w:val="000000"/>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严格执行公务用车管理使用制度，有效控制公务用车运行费用支出。</w:t>
      </w:r>
    </w:p>
    <w:p>
      <w:pPr>
        <w:spacing w:line="600" w:lineRule="exact"/>
        <w:ind w:firstLine="640"/>
        <w:rPr>
          <w:rFonts w:hint="default" w:ascii="仿宋_GB2312" w:eastAsia="仿宋_GB2312"/>
          <w:color w:val="0000FF"/>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w:t>
      </w:r>
      <w:r>
        <w:rPr>
          <w:rFonts w:hint="eastAsia" w:ascii="仿宋_GB2312" w:eastAsia="仿宋_GB2312"/>
          <w:color w:val="auto"/>
          <w:sz w:val="32"/>
          <w:szCs w:val="32"/>
        </w:rPr>
        <w:t>，其中：执法执勤用车</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其他用车1辆。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19.94</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监督检查、审查调查、脱贫攻坚、景区违建整治工作</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3.48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34.8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1.79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33.97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严格控制接待标准，厉行节俭。</w:t>
      </w:r>
      <w:r>
        <w:rPr>
          <w:rFonts w:hint="eastAsia" w:ascii="仿宋_GB2312" w:eastAsia="仿宋_GB2312"/>
          <w:color w:val="000000"/>
          <w:sz w:val="32"/>
          <w:szCs w:val="32"/>
        </w:rPr>
        <w:t>其中：</w:t>
      </w:r>
    </w:p>
    <w:p>
      <w:pPr>
        <w:spacing w:line="600" w:lineRule="exact"/>
        <w:ind w:firstLine="640"/>
        <w:rPr>
          <w:rFonts w:ascii="仿宋_GB2312" w:eastAsia="仿宋_GB2312"/>
          <w:color w:val="auto"/>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3.48</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外地纪委来峨</w:t>
      </w:r>
      <w:r>
        <w:rPr>
          <w:rFonts w:hint="eastAsia" w:ascii="仿宋_GB2312" w:eastAsia="仿宋_GB2312"/>
          <w:color w:val="auto"/>
          <w:sz w:val="32"/>
          <w:szCs w:val="32"/>
          <w:lang w:val="en-US" w:eastAsia="zh-CN"/>
        </w:rPr>
        <w:t>眉交流学习、协助上级纪委查办案件</w:t>
      </w:r>
      <w:r>
        <w:rPr>
          <w:rFonts w:hint="eastAsia" w:ascii="仿宋_GB2312" w:eastAsia="仿宋_GB2312"/>
          <w:color w:val="auto"/>
          <w:sz w:val="32"/>
          <w:szCs w:val="32"/>
        </w:rPr>
        <w:t>开支的餐费等。国内公务接待</w:t>
      </w:r>
      <w:r>
        <w:rPr>
          <w:rFonts w:hint="eastAsia" w:ascii="仿宋_GB2312" w:eastAsia="仿宋_GB2312"/>
          <w:color w:val="auto"/>
          <w:sz w:val="32"/>
          <w:szCs w:val="32"/>
          <w:lang w:val="en-US" w:eastAsia="zh-CN"/>
        </w:rPr>
        <w:t>38</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360余</w:t>
      </w:r>
      <w:r>
        <w:rPr>
          <w:rFonts w:hint="eastAsia" w:ascii="仿宋_GB2312" w:eastAsia="仿宋_GB2312"/>
          <w:color w:val="auto"/>
          <w:sz w:val="32"/>
          <w:szCs w:val="32"/>
        </w:rPr>
        <w:t>人次（不包括陪同人员），共计支出</w:t>
      </w:r>
      <w:r>
        <w:rPr>
          <w:rFonts w:hint="eastAsia" w:ascii="仿宋" w:hAnsi="仿宋" w:eastAsia="仿宋"/>
          <w:color w:val="auto"/>
          <w:sz w:val="32"/>
          <w:szCs w:val="32"/>
          <w:lang w:val="en-US" w:eastAsia="zh-CN"/>
        </w:rPr>
        <w:t>3.48</w:t>
      </w:r>
      <w:r>
        <w:rPr>
          <w:rFonts w:hint="eastAsia" w:ascii="仿宋_GB2312" w:eastAsia="仿宋_GB2312"/>
          <w:color w:val="auto"/>
          <w:sz w:val="32"/>
          <w:szCs w:val="32"/>
        </w:rPr>
        <w:t>万元，具体内容包括：</w:t>
      </w:r>
      <w:r>
        <w:rPr>
          <w:rFonts w:hint="eastAsia" w:ascii="仿宋_GB2312" w:eastAsia="仿宋_GB2312"/>
          <w:color w:val="auto"/>
          <w:sz w:val="32"/>
          <w:szCs w:val="32"/>
          <w:lang w:val="en-US" w:eastAsia="zh-CN"/>
        </w:rPr>
        <w:t>接待省、市纪委和外地区县纪委调研办案、学习交流等</w:t>
      </w:r>
      <w:r>
        <w:rPr>
          <w:rFonts w:hint="eastAsia" w:ascii="仿宋_GB2312" w:eastAsia="仿宋_GB2312"/>
          <w:color w:val="auto"/>
          <w:sz w:val="32"/>
          <w:szCs w:val="32"/>
        </w:rPr>
        <w:t>。</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bookmarkStart w:id="46" w:name="_Toc15377218"/>
      <w:bookmarkStart w:id="47" w:name="_Toc15396610"/>
    </w:p>
    <w:p>
      <w:pPr>
        <w:spacing w:line="600" w:lineRule="exact"/>
        <w:ind w:firstLine="640" w:firstLineChars="200"/>
        <w:outlineLvl w:val="1"/>
        <w:rPr>
          <w:rStyle w:val="26"/>
          <w:rFonts w:ascii="黑体" w:hAnsi="黑体" w:eastAsia="黑体"/>
        </w:rPr>
      </w:pPr>
      <w:r>
        <w:rPr>
          <w:rStyle w:val="26"/>
          <w:rFonts w:hint="eastAsia" w:ascii="黑体" w:hAnsi="黑体" w:eastAsia="黑体"/>
          <w:b w:val="0"/>
          <w:lang w:val="en-US" w:eastAsia="zh-CN"/>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hint="eastAsia" w:ascii="仿宋_GB2312" w:eastAsia="仿宋_GB2312"/>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14.28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其中峨眉山景区违建整治工作经费9.29万元，“双创”工作经费支出4.99万元。</w:t>
      </w:r>
      <w:bookmarkStart w:id="48" w:name="_Toc15377219"/>
      <w:bookmarkStart w:id="49" w:name="_Toc15396611"/>
    </w:p>
    <w:p>
      <w:pPr>
        <w:spacing w:line="600" w:lineRule="exact"/>
        <w:ind w:firstLine="640"/>
        <w:rPr>
          <w:rStyle w:val="26"/>
          <w:rFonts w:ascii="黑体" w:hAnsi="黑体" w:eastAsia="黑体"/>
          <w:b w:val="0"/>
        </w:rPr>
      </w:pPr>
      <w:r>
        <w:rPr>
          <w:rStyle w:val="26"/>
          <w:rFonts w:hint="eastAsia" w:ascii="黑体" w:hAnsi="黑体" w:eastAsia="黑体"/>
          <w:b w:val="0"/>
          <w:lang w:val="en-US" w:eastAsia="zh-CN"/>
        </w:rPr>
        <w:t>九、</w:t>
      </w:r>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市纪委监委</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170.95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21.22</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14.17</w:t>
      </w:r>
      <w:r>
        <w:rPr>
          <w:rFonts w:ascii="仿宋_GB2312" w:eastAsia="仿宋_GB2312"/>
          <w:color w:val="000000"/>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监察体制改革后，人员增加，增加巡察办公区，费用相应增加。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市纪委监委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9年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市纪委监委</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val="en-US" w:eastAsia="zh-CN"/>
        </w:rPr>
        <w:t>执法执勤用车5辆，</w:t>
      </w:r>
      <w:r>
        <w:rPr>
          <w:rFonts w:hint="eastAsia" w:ascii="仿宋_GB2312" w:eastAsia="仿宋_GB2312"/>
          <w:color w:val="auto"/>
          <w:sz w:val="32"/>
          <w:szCs w:val="32"/>
        </w:rPr>
        <w:t>其他用车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其他用车主要是用于</w:t>
      </w:r>
      <w:r>
        <w:rPr>
          <w:rFonts w:hint="eastAsia" w:ascii="仿宋_GB2312" w:eastAsia="仿宋_GB2312"/>
          <w:color w:val="auto"/>
          <w:sz w:val="32"/>
          <w:szCs w:val="32"/>
          <w:lang w:val="en-US" w:eastAsia="zh-CN"/>
        </w:rPr>
        <w:t>监督检查、第一书记驻村帮扶等公务出行</w:t>
      </w:r>
      <w:r>
        <w:rPr>
          <w:rFonts w:hint="eastAsia" w:ascii="仿宋_GB2312" w:eastAsia="仿宋_GB2312"/>
          <w:color w:val="auto"/>
          <w:sz w:val="32"/>
          <w:szCs w:val="32"/>
          <w:lang w:eastAsia="zh-CN"/>
        </w:rPr>
        <w:t>。</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留置措施保障经费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val="en-US" w:eastAsia="zh-CN"/>
        </w:rPr>
        <w:t>预、决算编制合理，支出高效规范，财政支出既保证了机关正常规范运转，又保证了重点项目开支，财政支出绩效良好。</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留置措施保障经费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党风廉政建设宣传教育经费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大走访大服务走进群众工作经费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市委巡察工作经费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纪检监察干部培训费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留置措施保障经费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67.64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84.5</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推动构建全市风清气正良好政治生态，为全市经济社会发展提供坚强保障。</w:t>
      </w:r>
    </w:p>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56"/>
        <w:gridCol w:w="1201"/>
        <w:gridCol w:w="1025"/>
        <w:gridCol w:w="2724"/>
        <w:gridCol w:w="2062"/>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留置措施保障经费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中共峨眉山市纪委</w:t>
            </w:r>
          </w:p>
        </w:tc>
      </w:tr>
      <w:tr>
        <w:tblPrEx>
          <w:tblCellMar>
            <w:top w:w="0" w:type="dxa"/>
            <w:left w:w="0" w:type="dxa"/>
            <w:bottom w:w="0" w:type="dxa"/>
            <w:right w:w="0" w:type="dxa"/>
          </w:tblCellMar>
        </w:tblPrEx>
        <w:trPr>
          <w:trHeight w:val="27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80万</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67.64万</w:t>
            </w:r>
          </w:p>
        </w:tc>
      </w:tr>
      <w:tr>
        <w:tblPrEx>
          <w:tblCellMar>
            <w:top w:w="0" w:type="dxa"/>
            <w:left w:w="0" w:type="dxa"/>
            <w:bottom w:w="0" w:type="dxa"/>
            <w:right w:w="0" w:type="dxa"/>
          </w:tblCellMar>
        </w:tblPrEx>
        <w:trPr>
          <w:trHeight w:val="276"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80万</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67.64万</w:t>
            </w:r>
          </w:p>
        </w:tc>
      </w:tr>
      <w:tr>
        <w:tblPrEx>
          <w:tblCellMar>
            <w:top w:w="0" w:type="dxa"/>
            <w:left w:w="0" w:type="dxa"/>
            <w:bottom w:w="0" w:type="dxa"/>
            <w:right w:w="0" w:type="dxa"/>
          </w:tblCellMar>
        </w:tblPrEx>
        <w:trPr>
          <w:trHeight w:val="92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9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4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877"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9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推动构建全市风清气正良好政治生态，为全市经济社会发展提供坚强保障。</w:t>
            </w:r>
          </w:p>
        </w:tc>
        <w:tc>
          <w:tcPr>
            <w:tcW w:w="44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推动构建全市风清气正良好政治生态，为全市经济社会发展提供坚强保障。</w:t>
            </w:r>
          </w:p>
        </w:tc>
      </w:tr>
      <w:tr>
        <w:tblPrEx>
          <w:tblCellMar>
            <w:top w:w="0" w:type="dxa"/>
            <w:left w:w="0" w:type="dxa"/>
            <w:bottom w:w="0" w:type="dxa"/>
            <w:right w:w="0" w:type="dxa"/>
          </w:tblCellMar>
        </w:tblPrEx>
        <w:trPr>
          <w:trHeight w:val="702" w:hRule="atLeast"/>
          <w:jc w:val="center"/>
        </w:trPr>
        <w:tc>
          <w:tcPr>
            <w:tcW w:w="5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5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对公职人员职务犯罪</w:t>
            </w:r>
            <w:r>
              <w:rPr>
                <w:rFonts w:hint="eastAsia" w:ascii="宋体" w:hAnsi="宋体" w:cs="宋体"/>
                <w:color w:val="000000"/>
                <w:sz w:val="24"/>
              </w:rPr>
              <w:t>采取留置措施</w:t>
            </w:r>
            <w:r>
              <w:rPr>
                <w:rFonts w:hint="eastAsia" w:ascii="宋体" w:hAnsi="宋体" w:cs="宋体"/>
                <w:color w:val="000000"/>
                <w:sz w:val="24"/>
                <w:lang w:eastAsia="zh-CN"/>
              </w:rPr>
              <w:t>，</w:t>
            </w:r>
            <w:r>
              <w:rPr>
                <w:rFonts w:hint="eastAsia" w:ascii="宋体" w:hAnsi="宋体" w:cs="宋体"/>
                <w:color w:val="000000"/>
                <w:sz w:val="24"/>
                <w:lang w:val="en-US" w:eastAsia="zh-CN"/>
              </w:rPr>
              <w:t>并移送司法机关</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5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质量指标</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在查办案工作中，始终坚持以事实为依据，以法律为准绳，严格贯彻二十四字办案方针，确保案件质量</w:t>
            </w:r>
            <w:r>
              <w:rPr>
                <w:rFonts w:hint="eastAsia" w:ascii="宋体" w:hAnsi="宋体" w:cs="宋体"/>
                <w:color w:val="000000"/>
                <w:sz w:val="24"/>
                <w:lang w:val="en-US" w:eastAsia="zh-CN"/>
              </w:rPr>
              <w:t>和办案安全</w:t>
            </w:r>
            <w:r>
              <w:rPr>
                <w:rFonts w:hint="eastAsia" w:ascii="宋体" w:hAnsi="宋体" w:cs="宋体"/>
                <w:color w:val="000000"/>
                <w:sz w:val="24"/>
              </w:rPr>
              <w:t>。</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697" w:hRule="atLeast"/>
          <w:jc w:val="center"/>
        </w:trPr>
        <w:tc>
          <w:tcPr>
            <w:tcW w:w="5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时效指标</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按照时效办结案件，无超期案件。</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5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加大反腐和作风建设力度，营造风清气正的良好政治生态环境</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5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sz w:val="24"/>
              </w:rPr>
              <w:t>可持续影响指标</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着力巩固反腐败斗争成果，努力实现干部清正、政府清廉、政治清明的廉政目标</w:t>
            </w:r>
            <w:r>
              <w:rPr>
                <w:rFonts w:hint="eastAsia" w:ascii="宋体" w:hAnsi="宋体" w:cs="宋体"/>
                <w:color w:val="000000"/>
                <w:sz w:val="24"/>
                <w:lang w:eastAsia="zh-CN"/>
              </w:rPr>
              <w:t>。</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50" w:hRule="atLeast"/>
          <w:jc w:val="center"/>
        </w:trPr>
        <w:tc>
          <w:tcPr>
            <w:tcW w:w="5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保持惩治高压态势，坚决查处违纪违法问题，持之以恒纠正“四风”，切实维护群众的切身利益，进一步提升了群众对纪检监察机关执纪能力、反腐力度满意度</w:t>
            </w:r>
          </w:p>
        </w:tc>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90%</w:t>
            </w:r>
          </w:p>
        </w:tc>
      </w:tr>
    </w:tbl>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4"/>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党风廉政建设宣传教育经费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eastAsia="仿宋_GB2312"/>
          <w:color w:val="000000"/>
          <w:sz w:val="32"/>
          <w:szCs w:val="32"/>
        </w:rPr>
        <w:t>多形式开展</w:t>
      </w:r>
      <w:r>
        <w:rPr>
          <w:rFonts w:hint="eastAsia" w:ascii="仿宋_GB2312" w:eastAsia="仿宋_GB2312"/>
          <w:color w:val="000000"/>
          <w:sz w:val="32"/>
          <w:szCs w:val="32"/>
          <w:lang w:val="en-US" w:eastAsia="zh-CN"/>
        </w:rPr>
        <w:t>党风</w:t>
      </w:r>
      <w:r>
        <w:rPr>
          <w:rFonts w:hint="eastAsia" w:ascii="仿宋_GB2312" w:eastAsia="仿宋_GB2312"/>
          <w:color w:val="000000"/>
          <w:sz w:val="32"/>
          <w:szCs w:val="32"/>
        </w:rPr>
        <w:t>廉政</w:t>
      </w:r>
      <w:r>
        <w:rPr>
          <w:rFonts w:hint="eastAsia" w:ascii="仿宋_GB2312" w:eastAsia="仿宋_GB2312"/>
          <w:color w:val="000000"/>
          <w:sz w:val="32"/>
          <w:szCs w:val="32"/>
          <w:lang w:val="en-US" w:eastAsia="zh-CN"/>
        </w:rPr>
        <w:t>宣传</w:t>
      </w:r>
      <w:r>
        <w:rPr>
          <w:rFonts w:hint="eastAsia" w:ascii="仿宋_GB2312" w:eastAsia="仿宋_GB2312"/>
          <w:color w:val="000000"/>
          <w:sz w:val="32"/>
          <w:szCs w:val="32"/>
        </w:rPr>
        <w:t>教育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不断加强党风廉政建设和党员干部作风建设，源头防腐全面拓展。</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22"/>
        <w:gridCol w:w="1135"/>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党风廉政建设宣传教育经费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中共峨眉山市纪委</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w:t>
            </w:r>
            <w:r>
              <w:rPr>
                <w:rFonts w:hint="eastAsia" w:ascii="宋体" w:hAnsi="宋体" w:cs="宋体"/>
                <w:color w:val="000000"/>
                <w:sz w:val="24"/>
              </w:rPr>
              <w:t>万</w:t>
            </w:r>
          </w:p>
        </w:tc>
      </w:tr>
      <w:tr>
        <w:tblPrEx>
          <w:tblCellMar>
            <w:top w:w="0" w:type="dxa"/>
            <w:left w:w="0" w:type="dxa"/>
            <w:bottom w:w="0" w:type="dxa"/>
            <w:right w:w="0" w:type="dxa"/>
          </w:tblCellMar>
        </w:tblPrEx>
        <w:trPr>
          <w:trHeight w:val="27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w:t>
            </w:r>
            <w:r>
              <w:rPr>
                <w:rFonts w:hint="eastAsia" w:ascii="宋体" w:hAnsi="宋体" w:cs="宋体"/>
                <w:color w:val="000000"/>
                <w:sz w:val="24"/>
              </w:rPr>
              <w:t>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w:t>
            </w:r>
            <w:r>
              <w:rPr>
                <w:rFonts w:hint="eastAsia" w:ascii="宋体" w:hAnsi="宋体" w:cs="宋体"/>
                <w:color w:val="000000"/>
                <w:sz w:val="24"/>
              </w:rPr>
              <w:t>万</w:t>
            </w:r>
          </w:p>
        </w:tc>
      </w:tr>
      <w:tr>
        <w:tblPrEx>
          <w:tblCellMar>
            <w:top w:w="0" w:type="dxa"/>
            <w:left w:w="0" w:type="dxa"/>
            <w:bottom w:w="0" w:type="dxa"/>
            <w:right w:w="0" w:type="dxa"/>
          </w:tblCellMar>
        </w:tblPrEx>
        <w:trPr>
          <w:trHeight w:val="151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val="en-US" w:eastAsia="zh-CN"/>
              </w:rPr>
            </w:pPr>
            <w:r>
              <w:rPr>
                <w:rFonts w:hint="eastAsia" w:ascii="宋体" w:hAnsi="宋体" w:cs="宋体"/>
                <w:color w:val="000000"/>
                <w:sz w:val="24"/>
              </w:rPr>
              <w:t>多形式开展</w:t>
            </w:r>
            <w:r>
              <w:rPr>
                <w:rFonts w:hint="eastAsia" w:ascii="宋体" w:hAnsi="宋体" w:cs="宋体"/>
                <w:color w:val="000000"/>
                <w:sz w:val="24"/>
                <w:lang w:val="en-US" w:eastAsia="zh-CN"/>
              </w:rPr>
              <w:t>党风</w:t>
            </w:r>
            <w:r>
              <w:rPr>
                <w:rFonts w:hint="eastAsia" w:ascii="宋体" w:hAnsi="宋体" w:cs="宋体"/>
                <w:color w:val="000000"/>
                <w:sz w:val="24"/>
              </w:rPr>
              <w:t>廉政</w:t>
            </w:r>
            <w:r>
              <w:rPr>
                <w:rFonts w:hint="eastAsia" w:ascii="宋体" w:hAnsi="宋体" w:cs="宋体"/>
                <w:color w:val="000000"/>
                <w:sz w:val="24"/>
                <w:lang w:val="en-US" w:eastAsia="zh-CN"/>
              </w:rPr>
              <w:t>宣传</w:t>
            </w:r>
            <w:r>
              <w:rPr>
                <w:rFonts w:hint="eastAsia" w:ascii="宋体" w:hAnsi="宋体" w:cs="宋体"/>
                <w:color w:val="000000"/>
                <w:sz w:val="24"/>
              </w:rPr>
              <w:t>教育，</w:t>
            </w:r>
            <w:r>
              <w:rPr>
                <w:rFonts w:hint="eastAsia" w:ascii="宋体" w:hAnsi="宋体" w:cs="宋体"/>
                <w:color w:val="000000"/>
                <w:sz w:val="24"/>
                <w:lang w:val="en-US" w:eastAsia="zh-CN"/>
              </w:rPr>
              <w:t>不断加强党风廉政建设和党员干部作风建设，源头防腐全面拓展。</w:t>
            </w:r>
          </w:p>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val="en-US" w:eastAsia="zh-CN"/>
              </w:rPr>
            </w:pPr>
            <w:r>
              <w:rPr>
                <w:rFonts w:hint="eastAsia" w:ascii="宋体" w:hAnsi="宋体" w:cs="宋体"/>
                <w:color w:val="000000"/>
                <w:sz w:val="24"/>
              </w:rPr>
              <w:t>多形式开展</w:t>
            </w:r>
            <w:r>
              <w:rPr>
                <w:rFonts w:hint="eastAsia" w:ascii="宋体" w:hAnsi="宋体" w:cs="宋体"/>
                <w:color w:val="000000"/>
                <w:sz w:val="24"/>
                <w:lang w:val="en-US" w:eastAsia="zh-CN"/>
              </w:rPr>
              <w:t>党风</w:t>
            </w:r>
            <w:r>
              <w:rPr>
                <w:rFonts w:hint="eastAsia" w:ascii="宋体" w:hAnsi="宋体" w:cs="宋体"/>
                <w:color w:val="000000"/>
                <w:sz w:val="24"/>
              </w:rPr>
              <w:t>廉政</w:t>
            </w:r>
            <w:r>
              <w:rPr>
                <w:rFonts w:hint="eastAsia" w:ascii="宋体" w:hAnsi="宋体" w:cs="宋体"/>
                <w:color w:val="000000"/>
                <w:sz w:val="24"/>
                <w:lang w:val="en-US" w:eastAsia="zh-CN"/>
              </w:rPr>
              <w:t>宣传</w:t>
            </w:r>
            <w:r>
              <w:rPr>
                <w:rFonts w:hint="eastAsia" w:ascii="宋体" w:hAnsi="宋体" w:cs="宋体"/>
                <w:color w:val="000000"/>
                <w:sz w:val="24"/>
              </w:rPr>
              <w:t>教育，</w:t>
            </w:r>
            <w:r>
              <w:rPr>
                <w:rFonts w:hint="eastAsia" w:ascii="宋体" w:hAnsi="宋体" w:cs="宋体"/>
                <w:color w:val="000000"/>
                <w:sz w:val="24"/>
                <w:lang w:val="en-US" w:eastAsia="zh-CN"/>
              </w:rPr>
              <w:t>不断加强党风廉政建设和党员干部作风建设，源头防腐全面拓展。</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6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val="en-US" w:eastAsia="zh-CN"/>
              </w:rPr>
              <w:t>开展廉政警示教育</w:t>
            </w:r>
            <w:r>
              <w:rPr>
                <w:rFonts w:hint="eastAsia" w:ascii="宋体" w:hAnsi="宋体" w:cs="宋体"/>
                <w:color w:val="000000"/>
                <w:sz w:val="24"/>
                <w:lang w:eastAsia="zh-CN"/>
              </w:rPr>
              <w:t>，</w:t>
            </w:r>
            <w:r>
              <w:rPr>
                <w:rFonts w:hint="eastAsia" w:ascii="宋体" w:hAnsi="宋体" w:cs="宋体"/>
                <w:color w:val="000000"/>
                <w:sz w:val="24"/>
                <w:lang w:val="en-US" w:eastAsia="zh-CN"/>
              </w:rPr>
              <w:t>开展党风廉政建设</w:t>
            </w:r>
            <w:r>
              <w:rPr>
                <w:rFonts w:hint="eastAsia" w:ascii="宋体" w:hAnsi="宋体" w:cs="宋体"/>
                <w:color w:val="000000"/>
                <w:sz w:val="24"/>
              </w:rPr>
              <w:t>宣传月活动，印发党风廉政建设宣传品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组织县级党员干部和科级以上党员干部开展警示教育活动，开展党风廉政建设宣传月活动等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组织全市县级党员领导干部到四川省雷马屏监狱开展警示教育活动，组织科级以上党员领导干部观看警示教育片，开展宣讲活动和“两个建设”宣传月活动</w:t>
            </w:r>
            <w:r>
              <w:rPr>
                <w:rFonts w:hint="eastAsia" w:ascii="宋体" w:hAnsi="宋体" w:cs="宋体"/>
                <w:color w:val="000000"/>
                <w:sz w:val="24"/>
                <w:lang w:eastAsia="zh-CN"/>
              </w:rPr>
              <w:t>，</w:t>
            </w:r>
            <w:r>
              <w:rPr>
                <w:rFonts w:hint="eastAsia" w:ascii="宋体" w:hAnsi="宋体" w:cs="宋体"/>
                <w:color w:val="000000"/>
                <w:sz w:val="24"/>
              </w:rPr>
              <w:t>印发党风廉政建设宣传品18余万份</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297"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在中央、省级、和乐山市级媒体平台宣传我市党风廉政建设工作开展情况和成效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在中纪委纪检监察报、省纪委廉洁四川、“嘉廉话”、廉政瞭望、四川党的建设等媒体发布党风廉政建设和反腐败宣传稿件。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在中纪委纪检监察报、省纪委廉洁四川、“嘉廉话”、廉政瞭望、四川党的建设等媒体发布党风廉政建设和反腐败宣传稿件71篇</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按计划在本年度内完成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color w:val="000000"/>
                <w:sz w:val="24"/>
                <w:lang w:val="en-US"/>
              </w:rPr>
            </w:pPr>
            <w:r>
              <w:rPr>
                <w:rFonts w:hint="eastAsia" w:ascii="宋体" w:hAnsi="宋体" w:cs="宋体"/>
                <w:color w:val="000000"/>
                <w:sz w:val="24"/>
              </w:rPr>
              <w:t>多形式开展</w:t>
            </w:r>
            <w:r>
              <w:rPr>
                <w:rFonts w:hint="eastAsia" w:ascii="宋体" w:hAnsi="宋体" w:cs="宋体"/>
                <w:color w:val="000000"/>
                <w:sz w:val="24"/>
                <w:lang w:val="en-US" w:eastAsia="zh-CN"/>
              </w:rPr>
              <w:t>党风</w:t>
            </w:r>
            <w:r>
              <w:rPr>
                <w:rFonts w:hint="eastAsia" w:ascii="宋体" w:hAnsi="宋体" w:cs="宋体"/>
                <w:color w:val="000000"/>
                <w:sz w:val="24"/>
              </w:rPr>
              <w:t>廉政</w:t>
            </w:r>
            <w:r>
              <w:rPr>
                <w:rFonts w:hint="eastAsia" w:ascii="宋体" w:hAnsi="宋体" w:cs="宋体"/>
                <w:color w:val="000000"/>
                <w:sz w:val="24"/>
                <w:lang w:val="en-US" w:eastAsia="zh-CN"/>
              </w:rPr>
              <w:t>宣传</w:t>
            </w:r>
            <w:r>
              <w:rPr>
                <w:rFonts w:hint="eastAsia" w:ascii="宋体" w:hAnsi="宋体" w:cs="宋体"/>
                <w:color w:val="000000"/>
                <w:sz w:val="24"/>
              </w:rPr>
              <w:t>教育，</w:t>
            </w:r>
            <w:r>
              <w:rPr>
                <w:rFonts w:hint="eastAsia" w:ascii="宋体" w:hAnsi="宋体" w:cs="宋体"/>
                <w:color w:val="000000"/>
                <w:sz w:val="24"/>
                <w:lang w:val="en-US" w:eastAsia="zh-CN"/>
              </w:rPr>
              <w:t>不断加强党风廉政建设和党员干部作风建设。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源头防腐全面拓展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党员干部满意度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大走访大服务走进群众工作经费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12.60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63.02</w:t>
            </w:r>
            <w:r>
              <w:rPr>
                <w:rFonts w:hint="eastAsia" w:ascii="仿宋_GB2312" w:hAnsi="仿宋_GB2312" w:eastAsia="仿宋_GB2312" w:cs="仿宋_GB2312"/>
                <w:sz w:val="32"/>
                <w:szCs w:val="32"/>
              </w:rPr>
              <w:t>%。通过项目实施，</w:t>
            </w:r>
            <w:r>
              <w:rPr>
                <w:rFonts w:hint="eastAsia" w:ascii="仿宋_GB2312" w:eastAsia="仿宋_GB2312"/>
                <w:sz w:val="32"/>
                <w:szCs w:val="32"/>
              </w:rPr>
              <w:t>广泛深入宣传党的方针政策、为民利民惠民政策、市委市政府重大决策部署，帮助群众了解政策、掌握政策</w:t>
            </w:r>
            <w:r>
              <w:rPr>
                <w:rFonts w:hint="eastAsia" w:ascii="仿宋_GB2312" w:eastAsia="仿宋_GB2312"/>
                <w:sz w:val="32"/>
                <w:szCs w:val="32"/>
                <w:lang w:eastAsia="zh-CN"/>
              </w:rPr>
              <w:t>；</w:t>
            </w:r>
            <w:r>
              <w:rPr>
                <w:rFonts w:hint="eastAsia" w:ascii="仿宋_GB2312" w:eastAsia="仿宋_GB2312"/>
                <w:sz w:val="32"/>
                <w:szCs w:val="32"/>
              </w:rPr>
              <w:t>围绕十八大以来我市在民生、交通、旅游、项目、城市发展等方面的成就进行宣传，不断提升群众对市委市政府工作理解和满意度</w:t>
            </w:r>
            <w:r>
              <w:rPr>
                <w:rFonts w:hint="eastAsia" w:ascii="仿宋_GB2312" w:eastAsia="仿宋_GB2312"/>
                <w:sz w:val="32"/>
                <w:szCs w:val="32"/>
                <w:lang w:eastAsia="zh-CN"/>
              </w:rPr>
              <w:t>；</w:t>
            </w:r>
            <w:r>
              <w:rPr>
                <w:rFonts w:hint="eastAsia" w:ascii="仿宋_GB2312" w:eastAsia="仿宋_GB2312"/>
                <w:sz w:val="32"/>
                <w:szCs w:val="32"/>
              </w:rPr>
              <w:t>入户开展户情民意调查，收集掌握群众在生产生活、子女教育、医疗卫生、劳动就业等方面的具体问题和意见建议，引导群众理性合法表达诉求</w:t>
            </w:r>
            <w:r>
              <w:rPr>
                <w:rFonts w:hint="eastAsia" w:ascii="仿宋_GB2312" w:eastAsia="仿宋_GB2312"/>
                <w:sz w:val="32"/>
                <w:szCs w:val="32"/>
                <w:lang w:eastAsia="zh-CN"/>
              </w:rPr>
              <w:t>；</w:t>
            </w:r>
            <w:r>
              <w:rPr>
                <w:rFonts w:hint="eastAsia" w:ascii="仿宋_GB2312" w:eastAsia="仿宋_GB2312"/>
                <w:sz w:val="32"/>
                <w:szCs w:val="32"/>
              </w:rPr>
              <w:t>对入户收集到的群众生产生活难题帮助协调解决，对群众合理诉求做好相应解释和记录。</w:t>
            </w:r>
          </w:p>
          <w:p>
            <w:pPr>
              <w:widowControl/>
              <w:jc w:val="both"/>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大走访大服务走进群众工作经费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中共峨眉山市纪委</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12.60</w:t>
            </w:r>
          </w:p>
        </w:tc>
      </w:tr>
      <w:tr>
        <w:tblPrEx>
          <w:tblCellMar>
            <w:top w:w="0" w:type="dxa"/>
            <w:left w:w="0" w:type="dxa"/>
            <w:bottom w:w="0" w:type="dxa"/>
            <w:right w:w="0" w:type="dxa"/>
          </w:tblCellMar>
        </w:tblPrEx>
        <w:trPr>
          <w:trHeight w:val="27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12.60</w:t>
            </w:r>
          </w:p>
        </w:tc>
      </w:tr>
      <w:tr>
        <w:tblPrEx>
          <w:tblCellMar>
            <w:top w:w="0" w:type="dxa"/>
            <w:left w:w="0" w:type="dxa"/>
            <w:bottom w:w="0" w:type="dxa"/>
            <w:right w:w="0" w:type="dxa"/>
          </w:tblCellMar>
        </w:tblPrEx>
        <w:trPr>
          <w:trHeight w:val="151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为深入践行以“人民为中心”的发展思想，密切党同人民群众的血肉联系，加快补齐人民群众对美好生活需要的短板，为峨眉山打造绿水青山典范城市汇集强大凝聚力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为深入践行以“人民为中心”的发展思想，密切党同人民群众的血肉联系，加快补齐人民群众对美好生活需要的短板，为峨眉山打造绿水青山典范城市汇集强大凝聚力</w:t>
            </w:r>
          </w:p>
        </w:tc>
      </w:tr>
      <w:tr>
        <w:tblPrEx>
          <w:tblCellMar>
            <w:top w:w="0" w:type="dxa"/>
            <w:left w:w="0" w:type="dxa"/>
            <w:bottom w:w="0" w:type="dxa"/>
            <w:right w:w="0" w:type="dxa"/>
          </w:tblCellMar>
        </w:tblPrEx>
        <w:trPr>
          <w:trHeight w:val="1042" w:hRule="atLeast"/>
          <w:jc w:val="center"/>
        </w:trPr>
        <w:tc>
          <w:tcPr>
            <w:tcW w:w="6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全市党员干部走访城乡居民家庭</w:t>
            </w:r>
            <w:r>
              <w:rPr>
                <w:rFonts w:hint="eastAsia" w:ascii="宋体" w:hAnsi="宋体" w:cs="宋体"/>
                <w:color w:val="000000"/>
                <w:sz w:val="24"/>
                <w:lang w:eastAsia="zh-CN"/>
              </w:rPr>
              <w:t>，</w:t>
            </w:r>
            <w:r>
              <w:rPr>
                <w:rFonts w:hint="eastAsia" w:ascii="宋体" w:hAnsi="宋体" w:cs="宋体"/>
                <w:color w:val="000000"/>
                <w:sz w:val="24"/>
              </w:rPr>
              <w:t>基本实现全覆盖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全市2.2万名党员干部共走访城乡居民家庭15万余户，基本实现全覆盖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sz w:val="24"/>
                <w:lang w:val="en-US" w:eastAsia="zh-CN"/>
              </w:rPr>
              <w:t>宣传党的政策，收集群众问题诉求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下大力气解决一大批群众最关心最直接最现实的利益问题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共收集群众问题诉求18013个，解决9955个，帮助2000余名群众申请纾难解困资金</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计划3年内完成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按进度推进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按进度推进</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在融洽党群干群关系、解决群众难题、促进作风转变、净化政治生态、凝聚智慧力量等方面取得一定的成效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得到了干部群众的一致认可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得到了干部群众的一致认可</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val="en-US" w:eastAsia="zh-CN"/>
              </w:rPr>
              <w:t>把走进群众专项行动问题矛盾化解“五年计划”落到实处，不断赢得群众信任、争取群众支持，</w:t>
            </w:r>
            <w:r>
              <w:rPr>
                <w:rFonts w:hint="eastAsia" w:ascii="宋体" w:hAnsi="宋体" w:cs="宋体"/>
                <w:color w:val="000000"/>
                <w:sz w:val="24"/>
              </w:rPr>
              <w:t>以为民谋利、为民尽责的实际</w:t>
            </w:r>
            <w:r>
              <w:rPr>
                <w:rFonts w:hint="eastAsia" w:ascii="宋体" w:hAnsi="宋体" w:cs="宋体"/>
                <w:color w:val="000000"/>
                <w:sz w:val="24"/>
                <w:lang w:eastAsia="zh-CN"/>
              </w:rPr>
              <w:t>行动践行共产党人的初心和使命。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i w:val="0"/>
                <w:caps w:val="0"/>
                <w:color w:val="494949"/>
                <w:spacing w:val="0"/>
                <w:sz w:val="20"/>
                <w:szCs w:val="20"/>
                <w:shd w:val="clear" w:fill="FFFFFF"/>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i w:val="0"/>
                <w:caps w:val="0"/>
                <w:color w:val="494949"/>
                <w:spacing w:val="0"/>
                <w:sz w:val="20"/>
                <w:szCs w:val="20"/>
                <w:shd w:val="clear" w:fill="FFFFFF"/>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sz w:val="32"/>
                <w:szCs w:val="32"/>
              </w:rPr>
            </w:pPr>
          </w:p>
          <w:p>
            <w:pPr>
              <w:widowControl/>
              <w:ind w:firstLine="640" w:firstLineChars="200"/>
              <w:jc w:val="both"/>
              <w:textAlignment w:val="center"/>
              <w:rPr>
                <w:rFonts w:hint="eastAsia" w:ascii="宋体" w:hAnsi="宋体" w:cs="宋体"/>
                <w:b/>
                <w:bCs/>
                <w:color w:val="000000"/>
                <w:kern w:val="0"/>
                <w:sz w:val="36"/>
                <w:szCs w:val="36"/>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市委巡察工作经费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65.92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82.39</w:t>
            </w:r>
            <w:r>
              <w:rPr>
                <w:rFonts w:hint="eastAsia" w:ascii="仿宋_GB2312" w:hAnsi="仿宋_GB2312" w:eastAsia="仿宋_GB2312" w:cs="仿宋_GB2312"/>
                <w:sz w:val="32"/>
                <w:szCs w:val="32"/>
              </w:rPr>
              <w:t>%。通过项目实施，把“两个维护”作为巡察根本政治任务，聚焦“六个围绕、一个加强”，开展2轮常规巡察和教育系统专项巡察，切实做好巡察工作“后半篇文章”，持续加大中央和省委巡视反馈问题整改落实力度，组织2次“回头看”和成效评估，督促18个主责单位全面对标补短，确保整改到位。</w:t>
            </w: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市委巡察工作经费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中共峨眉山市纪委</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80</w:t>
            </w:r>
            <w:r>
              <w:rPr>
                <w:rFonts w:hint="eastAsia" w:ascii="宋体" w:hAnsi="宋体" w:cs="宋体"/>
                <w:color w:val="000000"/>
                <w:sz w:val="24"/>
              </w:rPr>
              <w:t>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65.92</w:t>
            </w:r>
            <w:r>
              <w:rPr>
                <w:rFonts w:hint="eastAsia" w:ascii="宋体" w:hAnsi="宋体" w:cs="宋体"/>
                <w:color w:val="000000"/>
                <w:sz w:val="24"/>
              </w:rPr>
              <w:t>万</w:t>
            </w:r>
          </w:p>
        </w:tc>
      </w:tr>
      <w:tr>
        <w:tblPrEx>
          <w:tblCellMar>
            <w:top w:w="0" w:type="dxa"/>
            <w:left w:w="0" w:type="dxa"/>
            <w:bottom w:w="0" w:type="dxa"/>
            <w:right w:w="0" w:type="dxa"/>
          </w:tblCellMar>
        </w:tblPrEx>
        <w:trPr>
          <w:trHeight w:val="27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80</w:t>
            </w:r>
            <w:r>
              <w:rPr>
                <w:rFonts w:hint="eastAsia" w:ascii="宋体" w:hAnsi="宋体" w:cs="宋体"/>
                <w:color w:val="000000"/>
                <w:sz w:val="24"/>
              </w:rPr>
              <w:t>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65.92</w:t>
            </w:r>
            <w:r>
              <w:rPr>
                <w:rFonts w:hint="eastAsia" w:ascii="宋体" w:hAnsi="宋体" w:cs="宋体"/>
                <w:color w:val="000000"/>
                <w:sz w:val="24"/>
              </w:rPr>
              <w:t>万</w:t>
            </w:r>
          </w:p>
        </w:tc>
      </w:tr>
      <w:tr>
        <w:tblPrEx>
          <w:tblCellMar>
            <w:top w:w="0" w:type="dxa"/>
            <w:left w:w="0" w:type="dxa"/>
            <w:bottom w:w="0" w:type="dxa"/>
            <w:right w:w="0" w:type="dxa"/>
          </w:tblCellMar>
        </w:tblPrEx>
        <w:trPr>
          <w:trHeight w:val="116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把“两个维护”作为巡察根本政治任务，聚焦“六个围绕、一个加强”，开展2轮常规巡察和教育系统专项巡察，切实做好巡察工作“后半篇文章”，持续加大中央和省委巡视反馈问题整改落实力度，组织2次“回头看”和成效评估，督促18个主责单位全面对标补短，确保整改到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把“两个维护”作为巡察根本政治任务，聚焦“六个围绕、一个加强”，开展2轮常规巡察和教育系统专项巡察，切实做好巡察工作“后半篇文章”，持续加大中央和省委巡视反馈问题整改落实力度，组织2次“回头看”和成效评估，督促18个主责单位全面对标补短，确保整改到位。</w:t>
            </w:r>
          </w:p>
        </w:tc>
      </w:tr>
      <w:tr>
        <w:tblPrEx>
          <w:tblCellMar>
            <w:top w:w="0" w:type="dxa"/>
            <w:left w:w="0" w:type="dxa"/>
            <w:bottom w:w="0" w:type="dxa"/>
            <w:right w:w="0" w:type="dxa"/>
          </w:tblCellMar>
        </w:tblPrEx>
        <w:trPr>
          <w:trHeight w:val="824" w:hRule="atLeast"/>
          <w:jc w:val="center"/>
        </w:trPr>
        <w:tc>
          <w:tcPr>
            <w:tcW w:w="6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巡察党组织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2个乡镇、7个市级部门、1个医院和10个学校、1个国企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2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aps w:val="0"/>
                <w:color w:val="000000"/>
                <w:spacing w:val="0"/>
                <w:sz w:val="20"/>
                <w:szCs w:val="20"/>
                <w:shd w:val="clear" w:fill="FFFFFF"/>
              </w:rPr>
              <w:t>发现问题率</w:t>
            </w:r>
            <w:r>
              <w:rPr>
                <w:rFonts w:hint="eastAsia" w:ascii="宋体" w:hAnsi="宋体" w:cs="宋体"/>
                <w:i w:val="0"/>
                <w:caps w:val="0"/>
                <w:color w:val="000000"/>
                <w:spacing w:val="0"/>
                <w:sz w:val="20"/>
                <w:szCs w:val="20"/>
                <w:shd w:val="clear" w:fill="FFFFFF"/>
                <w:lang w:val="en-US" w:eastAsia="zh-CN"/>
              </w:rPr>
              <w:t>和线索转化率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w:t>
            </w:r>
          </w:p>
        </w:tc>
      </w:tr>
      <w:tr>
        <w:tblPrEx>
          <w:tblCellMar>
            <w:top w:w="0" w:type="dxa"/>
            <w:left w:w="0" w:type="dxa"/>
            <w:bottom w:w="0" w:type="dxa"/>
            <w:right w:w="0" w:type="dxa"/>
          </w:tblCellMar>
        </w:tblPrEx>
        <w:trPr>
          <w:trHeight w:val="650"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按计划本年度完成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发现问题，形成震慑，推动改革，促进发展。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i w:val="0"/>
                <w:caps w:val="0"/>
                <w:color w:val="000000"/>
                <w:spacing w:val="0"/>
                <w:sz w:val="20"/>
                <w:szCs w:val="20"/>
                <w:shd w:val="clear" w:fill="FFFFFF"/>
              </w:rPr>
              <w:t>树牢“四个意识”，坚定四个自信</w:t>
            </w:r>
            <w:bookmarkStart w:id="73" w:name="_GoBack"/>
            <w:bookmarkEnd w:id="73"/>
            <w:r>
              <w:rPr>
                <w:rFonts w:hint="eastAsia" w:ascii="宋体" w:hAnsi="宋体" w:eastAsia="宋体" w:cs="宋体"/>
                <w:i w:val="0"/>
                <w:caps w:val="0"/>
                <w:color w:val="000000"/>
                <w:spacing w:val="0"/>
                <w:sz w:val="20"/>
                <w:szCs w:val="20"/>
                <w:shd w:val="clear" w:fill="FFFFFF"/>
              </w:rPr>
              <w:t>，坚决两个维护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50" w:hRule="atLeast"/>
          <w:jc w:val="center"/>
        </w:trPr>
        <w:tc>
          <w:tcPr>
            <w:tcW w:w="62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人民群众满意度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hint="eastAsia" w:ascii="宋体" w:hAnsi="宋体" w:eastAsia="仿宋_GB2312" w:cs="宋体"/>
                <w:b/>
                <w:bCs/>
                <w:color w:val="000000"/>
                <w:kern w:val="0"/>
                <w:sz w:val="36"/>
                <w:szCs w:val="36"/>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纪检监察干部培训费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7.94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79.43</w:t>
            </w:r>
            <w:r>
              <w:rPr>
                <w:rFonts w:hint="eastAsia" w:ascii="仿宋_GB2312" w:hAnsi="仿宋_GB2312" w:eastAsia="仿宋_GB2312" w:cs="仿宋_GB2312"/>
                <w:sz w:val="32"/>
                <w:szCs w:val="32"/>
              </w:rPr>
              <w:t>%。通过项目实施，</w:t>
            </w:r>
            <w:r>
              <w:rPr>
                <w:rFonts w:hint="eastAsia" w:ascii="仿宋_GB2312" w:hAnsi="仿宋" w:eastAsia="仿宋_GB2312"/>
                <w:color w:val="000000"/>
                <w:sz w:val="32"/>
                <w:szCs w:val="32"/>
              </w:rPr>
              <w:t>进一步加强我市纪检监察干部能力素质建设，推动全市纪检监察工作高质量发展</w:t>
            </w:r>
            <w:r>
              <w:rPr>
                <w:rFonts w:hint="eastAsia" w:ascii="仿宋_GB2312" w:hAnsi="仿宋" w:eastAsia="仿宋_GB2312"/>
                <w:color w:val="000000"/>
                <w:sz w:val="32"/>
                <w:szCs w:val="32"/>
                <w:lang w:eastAsia="zh-CN"/>
              </w:rPr>
              <w:t>。</w:t>
            </w:r>
          </w:p>
          <w:p>
            <w:pPr>
              <w:widowControl/>
              <w:jc w:val="both"/>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纪检监察干部培训费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中共峨眉山市纪委</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7.94</w:t>
            </w:r>
            <w:r>
              <w:rPr>
                <w:rFonts w:hint="eastAsia" w:ascii="宋体" w:hAnsi="宋体" w:cs="宋体"/>
                <w:color w:val="000000"/>
                <w:sz w:val="24"/>
              </w:rPr>
              <w:t>万</w:t>
            </w:r>
          </w:p>
        </w:tc>
      </w:tr>
      <w:tr>
        <w:tblPrEx>
          <w:tblCellMar>
            <w:top w:w="0" w:type="dxa"/>
            <w:left w:w="0" w:type="dxa"/>
            <w:bottom w:w="0" w:type="dxa"/>
            <w:right w:w="0" w:type="dxa"/>
          </w:tblCellMar>
        </w:tblPrEx>
        <w:trPr>
          <w:trHeight w:val="27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7.94</w:t>
            </w:r>
            <w:r>
              <w:rPr>
                <w:rFonts w:hint="eastAsia" w:ascii="宋体" w:hAnsi="宋体" w:cs="宋体"/>
                <w:color w:val="000000"/>
                <w:sz w:val="24"/>
              </w:rPr>
              <w:t>万</w:t>
            </w:r>
          </w:p>
        </w:tc>
      </w:tr>
      <w:tr>
        <w:tblPrEx>
          <w:tblCellMar>
            <w:top w:w="0" w:type="dxa"/>
            <w:left w:w="0" w:type="dxa"/>
            <w:bottom w:w="0" w:type="dxa"/>
            <w:right w:w="0" w:type="dxa"/>
          </w:tblCellMar>
        </w:tblPrEx>
        <w:trPr>
          <w:trHeight w:val="151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进一步加强我市纪检监察干部能力素质建设，推动全市纪检监察工作高质量发展</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进一步加强我市纪检监察干部能力素质建设，推动全市纪检监察工作高质量发展</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6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对全市纪检监察干部开展集中培训和实践培训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实施纪检监察系统“五大行动”，抓实本级纪检监察干部全员培训，组织开展“纪检监察青年干部业务知识讲座”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实施纪检监察系统“五大行动”，抓实本级纪检监察干部全员培训，组织开展“纪检监察青年干部业务知识讲座”6期，参训460余人次</w:t>
            </w:r>
          </w:p>
        </w:tc>
      </w:tr>
      <w:tr>
        <w:tblPrEx>
          <w:tblCellMar>
            <w:top w:w="0" w:type="dxa"/>
            <w:left w:w="0" w:type="dxa"/>
            <w:bottom w:w="0" w:type="dxa"/>
            <w:right w:w="0" w:type="dxa"/>
          </w:tblCellMar>
        </w:tblPrEx>
        <w:trPr>
          <w:trHeight w:val="1297"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强化业务能力提升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加强办案规范化培训，切实提高纪检监察干部监督执纪执法能力和水平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本年内完成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进一步加强我市纪检监察干部能力素质建设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推动全市纪检监察工作高质量发展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50" w:hRule="atLeast"/>
          <w:jc w:val="center"/>
        </w:trPr>
        <w:tc>
          <w:tcPr>
            <w:tcW w:w="62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全市纪检监察干部满意度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中共峨眉山市纪委 峨眉山市监委</w:t>
      </w:r>
      <w:r>
        <w:rPr>
          <w:rFonts w:hint="eastAsia" w:ascii="仿宋_GB2312" w:hAnsi="仿宋_GB2312" w:eastAsia="仿宋_GB2312" w:cs="仿宋_GB2312"/>
          <w:sz w:val="32"/>
          <w:szCs w:val="32"/>
        </w:rPr>
        <w:t>2019年部门整体支出绩效评价报告》见附件。</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val="en-US" w:eastAsia="zh-CN"/>
        </w:rPr>
        <w:t>扫黑除恶专项斗争工作经费</w:t>
      </w:r>
      <w:r>
        <w:rPr>
          <w:rFonts w:hint="eastAsia" w:ascii="仿宋_GB2312" w:eastAsia="仿宋_GB2312"/>
          <w:sz w:val="32"/>
          <w:szCs w:val="32"/>
        </w:rPr>
        <w:t>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5.一般公共服务（类）纪检监察事务（款）行政运行（项）: 指市纪委监委机关的基本支出。</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6.一般公共服务（类）纪检监察事务（款）一般行政管理事务（项）：指用于全市党风廉政建设和反腐败工作、市委巡察工作支出。</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7.一般公共服务（类）纪检监察事务（款）大案要案查处（项）：指用于违纪违法犯罪案件审查调查方面的工作支出。</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8.一般公共服务（类）纪检监察事务（款）其他纪检监察事务支出（项）： 指反映除上述项目以外的其他纪检监察事务支出。</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9.社会保障和就业（类）行政事业单位离退休（款）机关事业单位基本养老保险缴费支出（项）: 指市纪委监委机关人员由单位缴纳的养老保险缴费支出。</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10.社会保障和就业（类）行政事业单位离退休（款）机关事业单位职业年金缴费支出（项）: 指市纪委监委机关人员职业年金缴费支出。</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11.卫生健康（类）行政事业单位医疗（款）行政单位医疗（项）:市纪委监委机关人员由单位缴纳的医疗保险缴费支出。</w:t>
      </w:r>
    </w:p>
    <w:p>
      <w:pPr>
        <w:pStyle w:val="2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12.住房保障（类）住房改革支出（款）住房公积金（项）：市纪委监委机关按规定比例为职工缴纳的住房公积金。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sz w:val="32"/>
          <w:szCs w:val="32"/>
        </w:rPr>
      </w:pP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default" w:ascii="方正小标宋简体" w:hAnsi="宋体" w:eastAsia="方正小标宋简体"/>
          <w:color w:val="000000"/>
          <w:kern w:val="0"/>
          <w:sz w:val="40"/>
          <w:szCs w:val="44"/>
          <w:lang w:val="en-US" w:eastAsia="zh-CN"/>
        </w:rPr>
      </w:pPr>
      <w:r>
        <w:rPr>
          <w:rFonts w:hint="eastAsia" w:ascii="方正小标宋简体" w:hAnsi="宋体" w:eastAsia="方正小标宋简体"/>
          <w:color w:val="000000"/>
          <w:kern w:val="0"/>
          <w:sz w:val="40"/>
          <w:szCs w:val="44"/>
          <w:lang w:val="en-US" w:eastAsia="zh-CN"/>
        </w:rPr>
        <w:t>中共峨眉山市纪委  峨眉山市监委</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（一）机构组成。中共峨眉山市纪委、峨眉山市监委属一级预算单位合署办公，无下属单位。委局机关有12个职能室和3个农村片区纪工委（监察室）。 </w:t>
      </w:r>
    </w:p>
    <w:p>
      <w:pPr>
        <w:widowControl/>
        <w:adjustRightInd w:val="0"/>
        <w:snapToGrid w:val="0"/>
        <w:spacing w:line="580" w:lineRule="exact"/>
        <w:ind w:firstLine="640" w:firstLineChars="200"/>
        <w:contextualSpacing/>
        <w:jc w:val="left"/>
        <w:rPr>
          <w:rFonts w:ascii="仿宋_GB2312" w:hAnsi="宋体" w:eastAsia="仿宋_GB2312" w:cs="宋体"/>
          <w:color w:val="0000FF"/>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（二）机构职能。</w:t>
      </w:r>
      <w:r>
        <w:rPr>
          <w:rFonts w:hint="eastAsia" w:ascii="仿宋_GB2312" w:hAnsi="仿宋_GB2312" w:eastAsia="仿宋_GB2312" w:cs="仿宋_GB2312"/>
          <w:bCs/>
          <w:color w:val="000000"/>
          <w:sz w:val="32"/>
          <w:szCs w:val="32"/>
        </w:rPr>
        <w:t xml:space="preserve">负责全市党的纪律检查和监察工作。依照党的章程和其他党内法规履行监督、执纪、问责职责。负责经常对党员进行遵守纪律的教育，作出关于维护党纪的决定。依照法律规定履行监督、调查、处置职责。依法对市委管理的行使公权力的公职人员进行监察，调查职务违法和职务犯罪。组织协调全面从严治党、党风廉政建设和反腐败宣传教育工作。综合分析全面从严治党、党风廉政建设和反腐败工作情况。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（三）人员概况。201</w:t>
      </w:r>
      <w:r>
        <w:rPr>
          <w:rFonts w:hint="eastAsia" w:ascii="仿宋_GB2312" w:hAnsi="宋体" w:eastAsia="仿宋_GB2312" w:cs="宋体"/>
          <w:color w:val="000000"/>
          <w:kern w:val="0"/>
          <w:sz w:val="32"/>
          <w:szCs w:val="32"/>
          <w:shd w:val="clear" w:color="auto" w:fill="FFFFFF"/>
          <w:lang w:val="zh-CN" w:eastAsia="zh-CN"/>
        </w:rPr>
        <w:t>9</w:t>
      </w:r>
      <w:r>
        <w:rPr>
          <w:rFonts w:hint="eastAsia" w:ascii="仿宋_GB2312" w:hAnsi="宋体" w:eastAsia="仿宋_GB2312" w:cs="宋体"/>
          <w:color w:val="000000"/>
          <w:kern w:val="0"/>
          <w:sz w:val="32"/>
          <w:szCs w:val="32"/>
          <w:shd w:val="clear" w:color="auto" w:fill="FFFFFF"/>
          <w:lang w:val="zh-CN"/>
        </w:rPr>
        <w:t>年市纪委、监委共有行政编制4</w:t>
      </w:r>
      <w:r>
        <w:rPr>
          <w:rFonts w:hint="eastAsia" w:ascii="仿宋_GB2312" w:hAnsi="宋体" w:eastAsia="仿宋_GB2312" w:cs="宋体"/>
          <w:color w:val="000000"/>
          <w:kern w:val="0"/>
          <w:sz w:val="32"/>
          <w:szCs w:val="32"/>
          <w:shd w:val="clear" w:color="auto" w:fill="FFFFFF"/>
          <w:lang w:val="zh-CN" w:eastAsia="zh-CN"/>
        </w:rPr>
        <w:t>6</w:t>
      </w:r>
      <w:r>
        <w:rPr>
          <w:rFonts w:hint="eastAsia" w:ascii="仿宋_GB2312" w:hAnsi="宋体" w:eastAsia="仿宋_GB2312" w:cs="宋体"/>
          <w:color w:val="000000"/>
          <w:kern w:val="0"/>
          <w:sz w:val="32"/>
          <w:szCs w:val="32"/>
          <w:shd w:val="clear" w:color="auto" w:fill="FFFFFF"/>
          <w:lang w:val="zh-CN"/>
        </w:rPr>
        <w:t>个，工勤编制</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个，控制用工人数4个，实有</w:t>
      </w:r>
      <w:r>
        <w:rPr>
          <w:rFonts w:hint="eastAsia" w:ascii="仿宋_GB2312" w:hAnsi="宋体" w:eastAsia="仿宋_GB2312" w:cs="宋体"/>
          <w:color w:val="000000"/>
          <w:kern w:val="0"/>
          <w:sz w:val="32"/>
          <w:szCs w:val="32"/>
          <w:shd w:val="clear" w:color="auto" w:fill="FFFFFF"/>
          <w:lang w:val="en-US" w:eastAsia="zh-CN"/>
        </w:rPr>
        <w:t>公务员</w:t>
      </w:r>
      <w:r>
        <w:rPr>
          <w:rFonts w:hint="eastAsia" w:ascii="仿宋_GB2312" w:hAnsi="宋体" w:eastAsia="仿宋_GB2312" w:cs="宋体"/>
          <w:color w:val="000000"/>
          <w:kern w:val="0"/>
          <w:sz w:val="32"/>
          <w:szCs w:val="32"/>
          <w:shd w:val="clear" w:color="auto" w:fill="FFFFFF"/>
          <w:lang w:val="zh-CN" w:eastAsia="zh-CN"/>
        </w:rPr>
        <w:t>3</w:t>
      </w: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人，</w:t>
      </w:r>
      <w:r>
        <w:rPr>
          <w:rFonts w:hint="eastAsia" w:ascii="仿宋_GB2312" w:hAnsi="宋体" w:eastAsia="仿宋_GB2312" w:cs="宋体"/>
          <w:color w:val="000000"/>
          <w:kern w:val="0"/>
          <w:sz w:val="32"/>
          <w:szCs w:val="32"/>
          <w:shd w:val="clear" w:color="auto" w:fill="FFFFFF"/>
          <w:lang w:val="en-US" w:eastAsia="zh-CN"/>
        </w:rPr>
        <w:t>工勤人员1人</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临聘人员4人</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hint="eastAsia" w:ascii="仿宋_GB2312" w:eastAsia="仿宋_GB2312"/>
          <w:color w:val="FF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1308.42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1284.14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98.14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14.28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1.09</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0.76</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部门财政资金支出情况。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 xml:space="preserve">  </w:t>
      </w:r>
      <w:r>
        <w:rPr>
          <w:rFonts w:ascii="仿宋" w:hAnsi="仿宋" w:eastAsia="仿宋"/>
          <w:color w:val="auto"/>
          <w:sz w:val="32"/>
          <w:szCs w:val="32"/>
        </w:rPr>
        <w:t>201</w:t>
      </w:r>
      <w:r>
        <w:rPr>
          <w:rFonts w:hint="eastAsia" w:ascii="仿宋" w:hAnsi="仿宋" w:eastAsia="仿宋"/>
          <w:color w:val="auto"/>
          <w:sz w:val="32"/>
          <w:szCs w:val="32"/>
        </w:rPr>
        <w:t>9年本年支出合计</w:t>
      </w:r>
      <w:r>
        <w:rPr>
          <w:rFonts w:hint="eastAsia" w:ascii="仿宋" w:hAnsi="仿宋" w:eastAsia="仿宋"/>
          <w:color w:val="auto"/>
          <w:sz w:val="32"/>
          <w:szCs w:val="32"/>
          <w:lang w:val="en-US" w:eastAsia="zh-CN"/>
        </w:rPr>
        <w:t>1305.33</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981.50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75.19</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323.83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24.81</w:t>
      </w:r>
      <w:r>
        <w:rPr>
          <w:rFonts w:ascii="仿宋" w:hAnsi="仿宋" w:eastAsia="仿宋"/>
          <w:color w:val="auto"/>
          <w:sz w:val="32"/>
          <w:szCs w:val="32"/>
        </w:rPr>
        <w:t>%</w:t>
      </w:r>
      <w:r>
        <w:rPr>
          <w:rFonts w:hint="eastAsia" w:ascii="仿宋" w:hAnsi="仿宋" w:eastAsia="仿宋"/>
          <w:color w:val="auto"/>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600" w:lineRule="exact"/>
        <w:ind w:firstLine="640" w:firstLineChars="200"/>
        <w:outlineLvl w:val="1"/>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严格按照预算管理的相关规定和部门预算编制要求</w:t>
      </w:r>
      <w:r>
        <w:rPr>
          <w:rFonts w:hint="eastAsia" w:ascii="仿宋_GB2312" w:hAnsi="宋体" w:eastAsia="仿宋_GB2312" w:cs="仿宋_GB2312"/>
          <w:i w:val="0"/>
          <w:caps w:val="0"/>
          <w:color w:val="000000"/>
          <w:spacing w:val="0"/>
          <w:sz w:val="32"/>
          <w:szCs w:val="32"/>
          <w:shd w:val="clear" w:fill="FFFFFF"/>
        </w:rPr>
        <w:t>,科学合理编制预算,按时完成了201</w:t>
      </w:r>
      <w:r>
        <w:rPr>
          <w:rFonts w:hint="eastAsia" w:ascii="仿宋_GB2312" w:hAnsi="宋体" w:eastAsia="仿宋_GB2312" w:cs="仿宋_GB2312"/>
          <w:i w:val="0"/>
          <w:caps w:val="0"/>
          <w:color w:val="000000"/>
          <w:spacing w:val="0"/>
          <w:sz w:val="32"/>
          <w:szCs w:val="32"/>
          <w:shd w:val="clear" w:fill="FFFFFF"/>
          <w:lang w:val="en-US" w:eastAsia="zh-CN"/>
        </w:rPr>
        <w:t>9</w:t>
      </w:r>
      <w:r>
        <w:rPr>
          <w:rFonts w:hint="eastAsia" w:ascii="仿宋_GB2312" w:hAnsi="宋体" w:eastAsia="仿宋_GB2312" w:cs="仿宋_GB2312"/>
          <w:i w:val="0"/>
          <w:caps w:val="0"/>
          <w:color w:val="000000"/>
          <w:spacing w:val="0"/>
          <w:sz w:val="32"/>
          <w:szCs w:val="32"/>
          <w:shd w:val="clear" w:fill="FFFFFF"/>
        </w:rPr>
        <w:t>年预算编制工作。严格按照年初预算安排,严格执行中央八项规定和省、市十项规定,厉行节约规范使用预算资金。严格执行</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rPr>
        <w:t>收支两条线</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rPr>
        <w:t>管理制度，认真执行国库集中支付、政府采购、公务卡报销、重点工作和大额支付上会集体决策等相关财务管理制度</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同时</w:t>
      </w:r>
      <w:r>
        <w:rPr>
          <w:rFonts w:hint="eastAsia" w:ascii="仿宋_GB2312" w:hAnsi="宋体" w:eastAsia="仿宋_GB2312" w:cs="仿宋_GB2312"/>
          <w:i w:val="0"/>
          <w:caps w:val="0"/>
          <w:color w:val="000000"/>
          <w:spacing w:val="0"/>
          <w:sz w:val="32"/>
          <w:szCs w:val="32"/>
          <w:shd w:val="clear" w:fill="FFFFFF"/>
        </w:rPr>
        <w:t>加强动态监控，保障机关各项工作顺利开展。</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default" w:ascii="仿宋_GB2312" w:hAnsi="宋体" w:eastAsia="仿宋_GB2312" w:cs="仿宋_GB2312"/>
          <w:i w:val="0"/>
          <w:caps w:val="0"/>
          <w:color w:val="000000"/>
          <w:spacing w:val="0"/>
          <w:sz w:val="32"/>
          <w:szCs w:val="32"/>
          <w:shd w:val="clear" w:fill="FFFFFF"/>
          <w:lang w:val="en-US" w:eastAsia="zh-CN"/>
        </w:rPr>
      </w:pPr>
      <w:r>
        <w:rPr>
          <w:rFonts w:hint="eastAsia" w:ascii="仿宋_GB2312" w:hAnsi="宋体" w:eastAsia="仿宋_GB2312" w:cs="仿宋_GB2312"/>
          <w:i w:val="0"/>
          <w:caps w:val="0"/>
          <w:color w:val="000000"/>
          <w:spacing w:val="0"/>
          <w:sz w:val="32"/>
          <w:szCs w:val="32"/>
          <w:shd w:val="clear" w:fill="FFFFFF"/>
          <w:lang w:val="en-US" w:eastAsia="zh-CN"/>
        </w:rPr>
        <w:t>2019年，市纪委监委</w:t>
      </w:r>
      <w:r>
        <w:rPr>
          <w:rFonts w:hint="eastAsia" w:ascii="仿宋" w:hAnsi="仿宋" w:eastAsia="仿宋"/>
          <w:bCs/>
          <w:color w:val="000000"/>
          <w:sz w:val="32"/>
          <w:szCs w:val="32"/>
        </w:rPr>
        <w:t>围绕上级纪检监察机关和市委、市政府对党风廉政建设和反腐败工作做出的一系列重大决策部署，主动把握反腐倡廉新要求，狠抓任务落实，</w:t>
      </w:r>
      <w:r>
        <w:rPr>
          <w:rFonts w:hint="eastAsia" w:ascii="仿宋" w:hAnsi="仿宋" w:eastAsia="仿宋"/>
          <w:bCs/>
          <w:color w:val="000000"/>
          <w:sz w:val="32"/>
          <w:szCs w:val="32"/>
          <w:lang w:val="en-US" w:eastAsia="zh-CN"/>
        </w:rPr>
        <w:t>各项工作取得新进展新成效。</w:t>
      </w:r>
      <w:r>
        <w:rPr>
          <w:rFonts w:hint="eastAsia" w:ascii="仿宋_GB2312" w:hAnsi="宋体" w:eastAsia="仿宋_GB2312" w:cs="仿宋_GB2312"/>
          <w:i w:val="0"/>
          <w:caps w:val="0"/>
          <w:color w:val="000000"/>
          <w:spacing w:val="0"/>
          <w:sz w:val="32"/>
          <w:szCs w:val="32"/>
          <w:shd w:val="clear" w:fill="FFFFFF"/>
          <w:lang w:val="en-US" w:eastAsia="zh-CN"/>
        </w:rPr>
        <w:t>市纪委监委</w:t>
      </w:r>
      <w:r>
        <w:rPr>
          <w:rFonts w:hint="eastAsia" w:ascii="仿宋_GB2312" w:hAnsi="宋体" w:eastAsia="仿宋_GB2312" w:cs="仿宋_GB2312"/>
          <w:i w:val="0"/>
          <w:caps w:val="0"/>
          <w:color w:val="000000"/>
          <w:spacing w:val="0"/>
          <w:sz w:val="32"/>
          <w:szCs w:val="32"/>
          <w:shd w:val="clear" w:fill="FFFFFF"/>
        </w:rPr>
        <w:t>严格执行财务管理制度</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建立和完善内部控制制度，</w:t>
      </w:r>
      <w:r>
        <w:rPr>
          <w:rFonts w:hint="eastAsia" w:ascii="仿宋_GB2312" w:hAnsi="宋体" w:eastAsia="仿宋_GB2312" w:cs="仿宋_GB2312"/>
          <w:i w:val="0"/>
          <w:caps w:val="0"/>
          <w:color w:val="000000"/>
          <w:spacing w:val="0"/>
          <w:sz w:val="32"/>
          <w:szCs w:val="32"/>
          <w:shd w:val="clear" w:fill="FFFFFF"/>
          <w:lang w:val="zh-CN"/>
        </w:rPr>
        <w:t>实行财会分家，做到账账相符、账实相符，严格执行政府采购制度，</w:t>
      </w:r>
      <w:r>
        <w:rPr>
          <w:rFonts w:hint="eastAsia" w:ascii="仿宋_GB2312" w:hAnsi="宋体" w:eastAsia="仿宋_GB2312" w:cs="仿宋_GB2312"/>
          <w:i w:val="0"/>
          <w:caps w:val="0"/>
          <w:color w:val="000000"/>
          <w:spacing w:val="0"/>
          <w:sz w:val="32"/>
          <w:szCs w:val="32"/>
          <w:shd w:val="clear" w:fill="FFFFFF"/>
          <w:lang w:val="en-US" w:eastAsia="zh-CN"/>
        </w:rPr>
        <w:t>防范、化解各种财务风险。</w:t>
      </w:r>
      <w:r>
        <w:rPr>
          <w:rFonts w:hint="eastAsia" w:ascii="仿宋_GB2312" w:hAnsi="宋体" w:eastAsia="仿宋_GB2312" w:cs="仿宋_GB2312"/>
          <w:i w:val="0"/>
          <w:caps w:val="0"/>
          <w:color w:val="000000"/>
          <w:spacing w:val="0"/>
          <w:sz w:val="32"/>
          <w:szCs w:val="32"/>
          <w:shd w:val="clear" w:fill="FFFFFF"/>
          <w:lang w:val="zh-CN"/>
        </w:rPr>
        <w:t>按照财政要求安排</w:t>
      </w:r>
      <w:r>
        <w:rPr>
          <w:rFonts w:hint="eastAsia" w:ascii="仿宋_GB2312" w:hAnsi="宋体" w:eastAsia="仿宋_GB2312" w:cs="仿宋_GB2312"/>
          <w:i w:val="0"/>
          <w:caps w:val="0"/>
          <w:color w:val="000000"/>
          <w:spacing w:val="0"/>
          <w:sz w:val="32"/>
          <w:szCs w:val="32"/>
          <w:shd w:val="clear" w:fill="FFFFFF"/>
          <w:lang w:val="en-US" w:eastAsia="zh-CN"/>
        </w:rPr>
        <w:t>开展绩效</w:t>
      </w:r>
      <w:r>
        <w:rPr>
          <w:rFonts w:hint="eastAsia" w:ascii="仿宋_GB2312" w:hAnsi="宋体" w:eastAsia="仿宋_GB2312" w:cs="仿宋_GB2312"/>
          <w:i w:val="0"/>
          <w:caps w:val="0"/>
          <w:color w:val="000000"/>
          <w:spacing w:val="0"/>
          <w:sz w:val="32"/>
          <w:szCs w:val="32"/>
          <w:shd w:val="clear" w:fill="FFFFFF"/>
          <w:lang w:val="zh-CN"/>
        </w:rPr>
        <w:t>自评工作，严格</w:t>
      </w:r>
      <w:r>
        <w:rPr>
          <w:rFonts w:hint="eastAsia" w:ascii="仿宋_GB2312" w:hAnsi="宋体" w:eastAsia="仿宋_GB2312" w:cs="仿宋_GB2312"/>
          <w:i w:val="0"/>
          <w:caps w:val="0"/>
          <w:color w:val="000000"/>
          <w:spacing w:val="0"/>
          <w:sz w:val="32"/>
          <w:szCs w:val="32"/>
          <w:shd w:val="clear" w:fill="FFFFFF"/>
          <w:lang w:val="en-US" w:eastAsia="zh-CN"/>
        </w:rPr>
        <w:t>按照资金使用方向，严禁超范围使用资金，加强资金支付管控，确保资金使用效果全面达到绩效目标要求。</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Style w:val="12"/>
        <w:keepNext w:val="0"/>
        <w:keepLines w:val="0"/>
        <w:widowControl/>
        <w:suppressLineNumbers w:val="0"/>
        <w:shd w:val="clear" w:fill="FFFFFF"/>
        <w:spacing w:before="0" w:beforeAutospacing="0" w:after="0" w:afterAutospacing="0" w:line="576" w:lineRule="atLeast"/>
        <w:ind w:left="0" w:right="0" w:firstLine="640"/>
        <w:jc w:val="left"/>
        <w:rPr>
          <w:rFonts w:hint="default" w:ascii="Times New Roman" w:hAnsi="Times New Roman" w:cs="Times New Roman"/>
          <w:i w:val="0"/>
          <w:caps w:val="0"/>
          <w:color w:val="000000"/>
          <w:spacing w:val="0"/>
          <w:sz w:val="21"/>
          <w:szCs w:val="21"/>
        </w:rPr>
      </w:pPr>
      <w:r>
        <w:rPr>
          <w:rFonts w:ascii="仿宋_GB2312" w:hAnsi="Times New Roman" w:eastAsia="仿宋_GB2312" w:cs="仿宋_GB2312"/>
          <w:i w:val="0"/>
          <w:caps w:val="0"/>
          <w:color w:val="000000"/>
          <w:spacing w:val="0"/>
          <w:sz w:val="32"/>
          <w:szCs w:val="32"/>
          <w:shd w:val="clear" w:fill="FFFFFF"/>
        </w:rPr>
        <w:t>201</w:t>
      </w:r>
      <w:r>
        <w:rPr>
          <w:rFonts w:hint="eastAsia" w:ascii="仿宋_GB2312" w:eastAsia="仿宋_GB2312" w:cs="仿宋_GB2312"/>
          <w:i w:val="0"/>
          <w:caps w:val="0"/>
          <w:color w:val="000000"/>
          <w:spacing w:val="0"/>
          <w:sz w:val="32"/>
          <w:szCs w:val="32"/>
          <w:shd w:val="clear" w:fill="FFFFFF"/>
          <w:lang w:val="en-US" w:eastAsia="zh-CN"/>
        </w:rPr>
        <w:t>9</w:t>
      </w:r>
      <w:r>
        <w:rPr>
          <w:rFonts w:hint="eastAsia" w:ascii="仿宋_GB2312" w:hAnsi="Times New Roman" w:eastAsia="仿宋_GB2312" w:cs="仿宋_GB2312"/>
          <w:i w:val="0"/>
          <w:caps w:val="0"/>
          <w:color w:val="000000"/>
          <w:spacing w:val="0"/>
          <w:sz w:val="32"/>
          <w:szCs w:val="32"/>
          <w:shd w:val="clear" w:fill="FFFFFF"/>
        </w:rPr>
        <w:t>年，我</w:t>
      </w:r>
      <w:r>
        <w:rPr>
          <w:rFonts w:hint="eastAsia" w:ascii="仿宋_GB2312" w:eastAsia="仿宋_GB2312" w:cs="仿宋_GB2312"/>
          <w:i w:val="0"/>
          <w:caps w:val="0"/>
          <w:color w:val="000000"/>
          <w:spacing w:val="0"/>
          <w:sz w:val="32"/>
          <w:szCs w:val="32"/>
          <w:shd w:val="clear" w:fill="FFFFFF"/>
          <w:lang w:val="en-US" w:eastAsia="zh-CN"/>
        </w:rPr>
        <w:t>委</w:t>
      </w:r>
      <w:r>
        <w:rPr>
          <w:rFonts w:hint="eastAsia" w:ascii="仿宋_GB2312" w:hAnsi="Times New Roman" w:eastAsia="仿宋_GB2312" w:cs="仿宋_GB2312"/>
          <w:i w:val="0"/>
          <w:caps w:val="0"/>
          <w:color w:val="000000"/>
          <w:spacing w:val="0"/>
          <w:sz w:val="32"/>
          <w:szCs w:val="32"/>
          <w:shd w:val="clear" w:fill="FFFFFF"/>
        </w:rPr>
        <w:t>严格按照年初预算批复认真组织实施, 严格执行财经纪律相关管理规定，做到各项收支安排使用符合</w:t>
      </w:r>
      <w:r>
        <w:rPr>
          <w:rFonts w:hint="eastAsia" w:ascii="仿宋_GB2312" w:eastAsia="仿宋_GB2312" w:cs="仿宋_GB2312"/>
          <w:i w:val="0"/>
          <w:caps w:val="0"/>
          <w:color w:val="000000"/>
          <w:spacing w:val="0"/>
          <w:sz w:val="32"/>
          <w:szCs w:val="32"/>
          <w:shd w:val="clear" w:fill="FFFFFF"/>
          <w:lang w:val="en-US" w:eastAsia="zh-CN"/>
        </w:rPr>
        <w:t>工作</w:t>
      </w:r>
      <w:r>
        <w:rPr>
          <w:rFonts w:hint="eastAsia" w:ascii="仿宋_GB2312" w:hAnsi="Times New Roman" w:eastAsia="仿宋_GB2312" w:cs="仿宋_GB2312"/>
          <w:i w:val="0"/>
          <w:caps w:val="0"/>
          <w:color w:val="000000"/>
          <w:spacing w:val="0"/>
          <w:sz w:val="32"/>
          <w:szCs w:val="32"/>
          <w:shd w:val="clear" w:fill="FFFFFF"/>
        </w:rPr>
        <w:t>计划和财政政策的要求，确保了单位正常运行和重大项目的实施，较好地完成了201</w:t>
      </w:r>
      <w:r>
        <w:rPr>
          <w:rFonts w:hint="eastAsia" w:ascii="仿宋_GB2312" w:eastAsia="仿宋_GB2312" w:cs="仿宋_GB2312"/>
          <w:i w:val="0"/>
          <w:caps w:val="0"/>
          <w:color w:val="000000"/>
          <w:spacing w:val="0"/>
          <w:sz w:val="32"/>
          <w:szCs w:val="32"/>
          <w:shd w:val="clear" w:fill="FFFFFF"/>
          <w:lang w:val="en-US" w:eastAsia="zh-CN"/>
        </w:rPr>
        <w:t>9</w:t>
      </w:r>
      <w:r>
        <w:rPr>
          <w:rFonts w:hint="eastAsia" w:ascii="仿宋_GB2312" w:hAnsi="Times New Roman" w:eastAsia="仿宋_GB2312" w:cs="仿宋_GB2312"/>
          <w:i w:val="0"/>
          <w:caps w:val="0"/>
          <w:color w:val="000000"/>
          <w:spacing w:val="0"/>
          <w:sz w:val="32"/>
          <w:szCs w:val="32"/>
          <w:shd w:val="clear" w:fill="FFFFFF"/>
        </w:rPr>
        <w:t>年部门预算编制和决算汇总工作, 201</w:t>
      </w:r>
      <w:r>
        <w:rPr>
          <w:rFonts w:hint="eastAsia" w:ascii="仿宋_GB2312" w:eastAsia="仿宋_GB2312" w:cs="仿宋_GB2312"/>
          <w:i w:val="0"/>
          <w:caps w:val="0"/>
          <w:color w:val="000000"/>
          <w:spacing w:val="0"/>
          <w:sz w:val="32"/>
          <w:szCs w:val="32"/>
          <w:shd w:val="clear" w:fill="FFFFFF"/>
          <w:lang w:val="en-US" w:eastAsia="zh-CN"/>
        </w:rPr>
        <w:t>9</w:t>
      </w:r>
      <w:r>
        <w:rPr>
          <w:rFonts w:hint="eastAsia" w:ascii="仿宋_GB2312" w:hAnsi="Times New Roman" w:eastAsia="仿宋_GB2312" w:cs="仿宋_GB2312"/>
          <w:i w:val="0"/>
          <w:caps w:val="0"/>
          <w:color w:val="000000"/>
          <w:spacing w:val="0"/>
          <w:sz w:val="32"/>
          <w:szCs w:val="32"/>
          <w:shd w:val="clear" w:fill="FFFFFF"/>
        </w:rPr>
        <w:t>年目标任务基本完成，预算执行情况较好。但仍存在预算编制不够完善、绩效管理工作有待加强等问题。</w:t>
      </w:r>
    </w:p>
    <w:p>
      <w:pPr>
        <w:pStyle w:val="12"/>
        <w:keepNext w:val="0"/>
        <w:keepLines w:val="0"/>
        <w:widowControl/>
        <w:suppressLineNumbers w:val="0"/>
        <w:shd w:val="clear" w:fill="FFFFFF"/>
        <w:spacing w:before="0" w:beforeAutospacing="0" w:after="0" w:afterAutospacing="0" w:line="576"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Times New Roman" w:eastAsia="仿宋_GB2312" w:cs="仿宋_GB2312"/>
          <w:i w:val="0"/>
          <w:caps w:val="0"/>
          <w:color w:val="000000"/>
          <w:spacing w:val="0"/>
          <w:sz w:val="32"/>
          <w:szCs w:val="32"/>
          <w:shd w:val="clear" w:fill="FFFFFF"/>
        </w:rPr>
        <w:t>在今后的工作中,我</w:t>
      </w:r>
      <w:r>
        <w:rPr>
          <w:rFonts w:hint="eastAsia" w:ascii="仿宋_GB2312" w:eastAsia="仿宋_GB2312" w:cs="仿宋_GB2312"/>
          <w:i w:val="0"/>
          <w:caps w:val="0"/>
          <w:color w:val="000000"/>
          <w:spacing w:val="0"/>
          <w:sz w:val="32"/>
          <w:szCs w:val="32"/>
          <w:shd w:val="clear" w:fill="FFFFFF"/>
          <w:lang w:val="en-US" w:eastAsia="zh-CN"/>
        </w:rPr>
        <w:t>委</w:t>
      </w:r>
      <w:r>
        <w:rPr>
          <w:rFonts w:hint="eastAsia" w:ascii="仿宋_GB2312" w:hAnsi="Times New Roman" w:eastAsia="仿宋_GB2312" w:cs="仿宋_GB2312"/>
          <w:i w:val="0"/>
          <w:caps w:val="0"/>
          <w:color w:val="000000"/>
          <w:spacing w:val="0"/>
          <w:sz w:val="32"/>
          <w:szCs w:val="32"/>
          <w:shd w:val="clear" w:fill="FFFFFF"/>
        </w:rPr>
        <w:t>将严格按照要求，加强预算编制的科学性、合理性,让预算编制更贴合实际，使项目预算与工作结合更加紧密。严格按照批复预算执行</w:t>
      </w:r>
      <w:r>
        <w:rPr>
          <w:rFonts w:hint="eastAsia" w:ascii="仿宋_GB2312" w:eastAsia="仿宋_GB2312" w:cs="仿宋_GB2312"/>
          <w:i w:val="0"/>
          <w:caps w:val="0"/>
          <w:color w:val="000000"/>
          <w:spacing w:val="0"/>
          <w:sz w:val="32"/>
          <w:szCs w:val="32"/>
          <w:shd w:val="clear" w:fill="FFFFFF"/>
          <w:lang w:eastAsia="zh-CN"/>
        </w:rPr>
        <w:t>，</w:t>
      </w:r>
      <w:r>
        <w:rPr>
          <w:rFonts w:hint="eastAsia" w:ascii="仿宋_GB2312" w:hAnsi="Times New Roman" w:eastAsia="仿宋_GB2312" w:cs="仿宋_GB2312"/>
          <w:i w:val="0"/>
          <w:caps w:val="0"/>
          <w:color w:val="000000"/>
          <w:spacing w:val="0"/>
          <w:sz w:val="32"/>
          <w:szCs w:val="32"/>
          <w:shd w:val="clear" w:fill="FFFFFF"/>
        </w:rPr>
        <w:t>并按照项目开展进度有计划申请资金及时支付。加强预算绩效管理，增强预算约束力，做好预算项目支出绩效目标及各项绩效指标的细化、量化工作</w:t>
      </w:r>
      <w:r>
        <w:rPr>
          <w:rFonts w:hint="eastAsia" w:ascii="仿宋_GB2312" w:eastAsia="仿宋_GB2312" w:cs="仿宋_GB2312"/>
          <w:i w:val="0"/>
          <w:caps w:val="0"/>
          <w:color w:val="000000"/>
          <w:spacing w:val="0"/>
          <w:sz w:val="32"/>
          <w:szCs w:val="32"/>
          <w:shd w:val="clear" w:fill="FFFFFF"/>
          <w:lang w:eastAsia="zh-CN"/>
        </w:rPr>
        <w:t>，</w:t>
      </w:r>
      <w:r>
        <w:rPr>
          <w:rFonts w:hint="eastAsia" w:ascii="仿宋_GB2312" w:eastAsia="仿宋_GB2312" w:cs="仿宋_GB2312"/>
          <w:i w:val="0"/>
          <w:caps w:val="0"/>
          <w:color w:val="000000"/>
          <w:spacing w:val="0"/>
          <w:sz w:val="32"/>
          <w:szCs w:val="32"/>
          <w:shd w:val="clear" w:fill="FFFFFF"/>
          <w:lang w:val="en-US" w:eastAsia="zh-CN"/>
        </w:rPr>
        <w:t>进一步</w:t>
      </w:r>
      <w:r>
        <w:rPr>
          <w:rFonts w:hint="eastAsia" w:ascii="仿宋_GB2312" w:hAnsi="Times New Roman" w:eastAsia="仿宋_GB2312" w:cs="仿宋_GB2312"/>
          <w:i w:val="0"/>
          <w:caps w:val="0"/>
          <w:color w:val="000000"/>
          <w:spacing w:val="0"/>
          <w:sz w:val="32"/>
          <w:szCs w:val="32"/>
          <w:shd w:val="clear" w:fill="FFFFFF"/>
        </w:rPr>
        <w:t>提高财政资金的使用效益。</w:t>
      </w:r>
    </w:p>
    <w:p>
      <w:pPr>
        <w:pStyle w:val="12"/>
        <w:keepNext w:val="0"/>
        <w:keepLines w:val="0"/>
        <w:widowControl/>
        <w:suppressLineNumbers w:val="0"/>
        <w:shd w:val="clear" w:fill="FFFFFF"/>
        <w:spacing w:before="0" w:beforeAutospacing="0" w:after="0" w:afterAutospacing="0" w:line="576" w:lineRule="atLeast"/>
        <w:ind w:left="0" w:right="0" w:firstLine="640"/>
        <w:jc w:val="left"/>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shd w:val="clear" w:fill="FFFFFF"/>
        </w:rPr>
        <w:t>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468" w:bottom="1440" w:left="146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77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9631980"/>
    <w:multiLevelType w:val="singleLevel"/>
    <w:tmpl w:val="29631980"/>
    <w:lvl w:ilvl="0" w:tentative="0">
      <w:start w:val="1"/>
      <w:numFmt w:val="chineseCounting"/>
      <w:suff w:val="space"/>
      <w:lvlText w:val="第%1部分"/>
      <w:lvlJc w:val="left"/>
      <w:rPr>
        <w:rFonts w:hint="eastAsia"/>
      </w:rPr>
    </w:lvl>
  </w:abstractNum>
  <w:abstractNum w:abstractNumId="3">
    <w:nsid w:val="69C6DB0E"/>
    <w:multiLevelType w:val="singleLevel"/>
    <w:tmpl w:val="69C6DB0E"/>
    <w:lvl w:ilvl="0" w:tentative="0">
      <w:start w:val="2"/>
      <w:numFmt w:val="chineseCounting"/>
      <w:suff w:val="nothing"/>
      <w:lvlText w:val="（%1）"/>
      <w:lvlJc w:val="left"/>
      <w:rPr>
        <w:rFonts w:hint="eastAsia"/>
      </w:rPr>
    </w:lvl>
  </w:abstractNum>
  <w:abstractNum w:abstractNumId="4">
    <w:nsid w:val="7AABFB33"/>
    <w:multiLevelType w:val="singleLevel"/>
    <w:tmpl w:val="7AABFB33"/>
    <w:lvl w:ilvl="0" w:tentative="0">
      <w:start w:val="1"/>
      <w:numFmt w:val="decimal"/>
      <w:lvlText w:val="%1."/>
      <w:lvlJc w:val="left"/>
      <w:pPr>
        <w:tabs>
          <w:tab w:val="left" w:pos="312"/>
        </w:tabs>
      </w:pPr>
    </w:lvl>
  </w:abstractNum>
  <w:abstractNum w:abstractNumId="5">
    <w:nsid w:val="7F3998A1"/>
    <w:multiLevelType w:val="singleLevel"/>
    <w:tmpl w:val="7F3998A1"/>
    <w:lvl w:ilvl="0" w:tentative="0">
      <w:start w:val="2"/>
      <w:numFmt w:val="decimal"/>
      <w:suff w:val="nothing"/>
      <w:lvlText w:val="（%1）"/>
      <w:lvlJc w:val="left"/>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ODRiOWE2NzhmNzQ1OGZjM2U4ODY3ZmU4NDEzN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758C0"/>
    <w:rsid w:val="02AE7D93"/>
    <w:rsid w:val="03931EFD"/>
    <w:rsid w:val="04D11857"/>
    <w:rsid w:val="05050BB3"/>
    <w:rsid w:val="053858DF"/>
    <w:rsid w:val="05C54DF4"/>
    <w:rsid w:val="0798337D"/>
    <w:rsid w:val="087A314D"/>
    <w:rsid w:val="08A86BFF"/>
    <w:rsid w:val="08F65CE4"/>
    <w:rsid w:val="095D089F"/>
    <w:rsid w:val="09B76E2C"/>
    <w:rsid w:val="09B941DF"/>
    <w:rsid w:val="0A012C09"/>
    <w:rsid w:val="0AF37322"/>
    <w:rsid w:val="0B0D2E3F"/>
    <w:rsid w:val="0BE1630C"/>
    <w:rsid w:val="0E8A5189"/>
    <w:rsid w:val="0EA0174F"/>
    <w:rsid w:val="0EAD68F2"/>
    <w:rsid w:val="0FB13F27"/>
    <w:rsid w:val="10284C06"/>
    <w:rsid w:val="105075CE"/>
    <w:rsid w:val="109F53AE"/>
    <w:rsid w:val="10C055FF"/>
    <w:rsid w:val="12C27A26"/>
    <w:rsid w:val="15DB1E78"/>
    <w:rsid w:val="16246ADF"/>
    <w:rsid w:val="165B1230"/>
    <w:rsid w:val="16BB723D"/>
    <w:rsid w:val="175A2407"/>
    <w:rsid w:val="178C4883"/>
    <w:rsid w:val="17CE2212"/>
    <w:rsid w:val="1852011A"/>
    <w:rsid w:val="19182A5C"/>
    <w:rsid w:val="193773F8"/>
    <w:rsid w:val="19606248"/>
    <w:rsid w:val="19652A66"/>
    <w:rsid w:val="19A93E21"/>
    <w:rsid w:val="1AE37F01"/>
    <w:rsid w:val="1B746DF0"/>
    <w:rsid w:val="1D4F5869"/>
    <w:rsid w:val="1EEC368D"/>
    <w:rsid w:val="1F2C2C45"/>
    <w:rsid w:val="20CE1F17"/>
    <w:rsid w:val="20DE177D"/>
    <w:rsid w:val="210522E7"/>
    <w:rsid w:val="21265F30"/>
    <w:rsid w:val="2198587C"/>
    <w:rsid w:val="225062C3"/>
    <w:rsid w:val="22FE4A06"/>
    <w:rsid w:val="23F47968"/>
    <w:rsid w:val="240371BF"/>
    <w:rsid w:val="25512AB4"/>
    <w:rsid w:val="25822B50"/>
    <w:rsid w:val="25CE1C79"/>
    <w:rsid w:val="264264FB"/>
    <w:rsid w:val="27720C94"/>
    <w:rsid w:val="27EB3988"/>
    <w:rsid w:val="28C107C3"/>
    <w:rsid w:val="2932193D"/>
    <w:rsid w:val="29932A66"/>
    <w:rsid w:val="29F26406"/>
    <w:rsid w:val="29FD04D3"/>
    <w:rsid w:val="2F5D5943"/>
    <w:rsid w:val="2F626628"/>
    <w:rsid w:val="2F8B22CA"/>
    <w:rsid w:val="319F7F4E"/>
    <w:rsid w:val="31CC2A29"/>
    <w:rsid w:val="31F65AC2"/>
    <w:rsid w:val="32024EA3"/>
    <w:rsid w:val="324F7F9C"/>
    <w:rsid w:val="32CE1EC3"/>
    <w:rsid w:val="332A0847"/>
    <w:rsid w:val="343176E0"/>
    <w:rsid w:val="34CD6BFF"/>
    <w:rsid w:val="35226FEB"/>
    <w:rsid w:val="367D1CCB"/>
    <w:rsid w:val="36847F8F"/>
    <w:rsid w:val="36F572A0"/>
    <w:rsid w:val="375139AD"/>
    <w:rsid w:val="37793412"/>
    <w:rsid w:val="38BE3862"/>
    <w:rsid w:val="38FF49AE"/>
    <w:rsid w:val="395A0E3D"/>
    <w:rsid w:val="3BDD7623"/>
    <w:rsid w:val="3C797DB3"/>
    <w:rsid w:val="3CED2F9B"/>
    <w:rsid w:val="3DAE0219"/>
    <w:rsid w:val="3DC41148"/>
    <w:rsid w:val="3DFD7A94"/>
    <w:rsid w:val="3E142CA6"/>
    <w:rsid w:val="3EBD657E"/>
    <w:rsid w:val="3F484C8F"/>
    <w:rsid w:val="405D519C"/>
    <w:rsid w:val="40FA45C6"/>
    <w:rsid w:val="41BF38E6"/>
    <w:rsid w:val="41D860CC"/>
    <w:rsid w:val="432662A9"/>
    <w:rsid w:val="432D5D61"/>
    <w:rsid w:val="43A62955"/>
    <w:rsid w:val="43C65E5D"/>
    <w:rsid w:val="43FF73AB"/>
    <w:rsid w:val="44D01232"/>
    <w:rsid w:val="45083FA9"/>
    <w:rsid w:val="4519569D"/>
    <w:rsid w:val="456C61B2"/>
    <w:rsid w:val="46432E49"/>
    <w:rsid w:val="4858230A"/>
    <w:rsid w:val="49664298"/>
    <w:rsid w:val="4A957ACB"/>
    <w:rsid w:val="4B2F292D"/>
    <w:rsid w:val="4C553B5A"/>
    <w:rsid w:val="4C984783"/>
    <w:rsid w:val="4CEA50CD"/>
    <w:rsid w:val="4D88095B"/>
    <w:rsid w:val="4DED58D9"/>
    <w:rsid w:val="4ECE2238"/>
    <w:rsid w:val="4F1A46CB"/>
    <w:rsid w:val="4F5A7060"/>
    <w:rsid w:val="51060FE3"/>
    <w:rsid w:val="510A6927"/>
    <w:rsid w:val="51DE2FA8"/>
    <w:rsid w:val="51EF50AF"/>
    <w:rsid w:val="52176807"/>
    <w:rsid w:val="521D7D16"/>
    <w:rsid w:val="52BE38D7"/>
    <w:rsid w:val="539A1413"/>
    <w:rsid w:val="53EB68CB"/>
    <w:rsid w:val="548F5BED"/>
    <w:rsid w:val="554769B1"/>
    <w:rsid w:val="55E77963"/>
    <w:rsid w:val="562F4ADB"/>
    <w:rsid w:val="57265B67"/>
    <w:rsid w:val="589453D2"/>
    <w:rsid w:val="598454D3"/>
    <w:rsid w:val="59DD1B1C"/>
    <w:rsid w:val="59E049B2"/>
    <w:rsid w:val="5A42305C"/>
    <w:rsid w:val="5AB22669"/>
    <w:rsid w:val="5ADA1738"/>
    <w:rsid w:val="5AE11368"/>
    <w:rsid w:val="5AE44371"/>
    <w:rsid w:val="5B2265A3"/>
    <w:rsid w:val="5B71041E"/>
    <w:rsid w:val="5C7F36F8"/>
    <w:rsid w:val="5D3F3F3B"/>
    <w:rsid w:val="5DB2760A"/>
    <w:rsid w:val="5DED3F19"/>
    <w:rsid w:val="5DF410B5"/>
    <w:rsid w:val="5E422238"/>
    <w:rsid w:val="5EBB6945"/>
    <w:rsid w:val="5FEA3E0A"/>
    <w:rsid w:val="60D62941"/>
    <w:rsid w:val="61A3700F"/>
    <w:rsid w:val="631F6291"/>
    <w:rsid w:val="63922205"/>
    <w:rsid w:val="65656953"/>
    <w:rsid w:val="668632D6"/>
    <w:rsid w:val="67B07FF6"/>
    <w:rsid w:val="6814056B"/>
    <w:rsid w:val="68E42396"/>
    <w:rsid w:val="693418BC"/>
    <w:rsid w:val="69984474"/>
    <w:rsid w:val="69B66587"/>
    <w:rsid w:val="6A3A55BB"/>
    <w:rsid w:val="6A742929"/>
    <w:rsid w:val="6BB840F4"/>
    <w:rsid w:val="6C930956"/>
    <w:rsid w:val="6D9A2E27"/>
    <w:rsid w:val="6DDC4BEB"/>
    <w:rsid w:val="6F480DDD"/>
    <w:rsid w:val="6F762115"/>
    <w:rsid w:val="6FB50196"/>
    <w:rsid w:val="70F4041C"/>
    <w:rsid w:val="70FE5D44"/>
    <w:rsid w:val="710D61BB"/>
    <w:rsid w:val="7150069E"/>
    <w:rsid w:val="715E5804"/>
    <w:rsid w:val="71DF2AD2"/>
    <w:rsid w:val="7221149D"/>
    <w:rsid w:val="72310BA6"/>
    <w:rsid w:val="725A4AB2"/>
    <w:rsid w:val="72734D90"/>
    <w:rsid w:val="72794B60"/>
    <w:rsid w:val="72DD3AA1"/>
    <w:rsid w:val="73133303"/>
    <w:rsid w:val="747306CE"/>
    <w:rsid w:val="74B74BF4"/>
    <w:rsid w:val="765C1F6A"/>
    <w:rsid w:val="76696782"/>
    <w:rsid w:val="768E6B08"/>
    <w:rsid w:val="76B43674"/>
    <w:rsid w:val="76EC3309"/>
    <w:rsid w:val="7719579F"/>
    <w:rsid w:val="77E323DC"/>
    <w:rsid w:val="79D771A3"/>
    <w:rsid w:val="7A9031ED"/>
    <w:rsid w:val="7AC07625"/>
    <w:rsid w:val="7AC66D8E"/>
    <w:rsid w:val="7B8E676B"/>
    <w:rsid w:val="7BF3213C"/>
    <w:rsid w:val="7C1169F6"/>
    <w:rsid w:val="7C1E4668"/>
    <w:rsid w:val="7D68262D"/>
    <w:rsid w:val="7DDA23B0"/>
    <w:rsid w:val="7E14491C"/>
    <w:rsid w:val="7E6F50F8"/>
    <w:rsid w:val="7EC71FBF"/>
    <w:rsid w:val="7F0C41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autoRedefine/>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autoRedefine/>
    <w:semiHidden/>
    <w:unhideWhenUsed/>
    <w:qFormat/>
    <w:uiPriority w:val="99"/>
    <w:rPr>
      <w:sz w:val="18"/>
      <w:szCs w:val="18"/>
    </w:rPr>
  </w:style>
  <w:style w:type="paragraph" w:styleId="8">
    <w:name w:val="footer"/>
    <w:basedOn w:val="1"/>
    <w:link w:val="20"/>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autoRedefine/>
    <w:unhideWhenUsed/>
    <w:qFormat/>
    <w:uiPriority w:val="99"/>
    <w:rPr>
      <w:color w:val="0000FF" w:themeColor="hyperlink"/>
      <w:u w:val="single"/>
    </w:rPr>
  </w:style>
  <w:style w:type="character" w:customStyle="1" w:styleId="17">
    <w:name w:val="Header Char"/>
    <w:basedOn w:val="14"/>
    <w:autoRedefine/>
    <w:semiHidden/>
    <w:qFormat/>
    <w:uiPriority w:val="99"/>
    <w:rPr>
      <w:rFonts w:ascii="Times New Roman" w:hAnsi="Times New Roman"/>
      <w:sz w:val="18"/>
      <w:szCs w:val="18"/>
    </w:rPr>
  </w:style>
  <w:style w:type="character" w:customStyle="1" w:styleId="18">
    <w:name w:val="页眉 Char"/>
    <w:link w:val="9"/>
    <w:autoRedefine/>
    <w:semiHidden/>
    <w:qFormat/>
    <w:locked/>
    <w:uiPriority w:val="99"/>
    <w:rPr>
      <w:sz w:val="18"/>
    </w:rPr>
  </w:style>
  <w:style w:type="character" w:customStyle="1" w:styleId="19">
    <w:name w:val="Footer Char"/>
    <w:basedOn w:val="14"/>
    <w:autoRedefine/>
    <w:semiHidden/>
    <w:qFormat/>
    <w:uiPriority w:val="99"/>
    <w:rPr>
      <w:rFonts w:ascii="Times New Roman" w:hAnsi="Times New Roman"/>
      <w:sz w:val="18"/>
      <w:szCs w:val="18"/>
    </w:rPr>
  </w:style>
  <w:style w:type="character" w:customStyle="1" w:styleId="20">
    <w:name w:val="页脚 Char"/>
    <w:link w:val="8"/>
    <w:autoRedefine/>
    <w:qFormat/>
    <w:locked/>
    <w:uiPriority w:val="99"/>
    <w:rPr>
      <w:sz w:val="18"/>
    </w:rPr>
  </w:style>
  <w:style w:type="character" w:customStyle="1" w:styleId="21">
    <w:name w:val="Body Text Char"/>
    <w:basedOn w:val="14"/>
    <w:autoRedefine/>
    <w:semiHidden/>
    <w:qFormat/>
    <w:uiPriority w:val="99"/>
    <w:rPr>
      <w:rFonts w:ascii="Times New Roman" w:hAnsi="Times New Roman"/>
      <w:szCs w:val="24"/>
    </w:rPr>
  </w:style>
  <w:style w:type="character" w:customStyle="1" w:styleId="22">
    <w:name w:val="正文文本 Char"/>
    <w:link w:val="5"/>
    <w:autoRedefine/>
    <w:qFormat/>
    <w:locked/>
    <w:uiPriority w:val="99"/>
    <w:rPr>
      <w:rFonts w:ascii="仿宋_GB2312" w:hAnsi="Times New Roman" w:eastAsia="仿宋_GB2312"/>
      <w:sz w:val="24"/>
    </w:rPr>
  </w:style>
  <w:style w:type="paragraph" w:customStyle="1" w:styleId="23">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autoRedefine/>
    <w:qFormat/>
    <w:uiPriority w:val="34"/>
    <w:pPr>
      <w:ind w:firstLine="420" w:firstLineChars="200"/>
    </w:pPr>
  </w:style>
  <w:style w:type="character" w:customStyle="1" w:styleId="25">
    <w:name w:val="标题 1 Char"/>
    <w:basedOn w:val="14"/>
    <w:link w:val="2"/>
    <w:autoRedefine/>
    <w:qFormat/>
    <w:uiPriority w:val="9"/>
    <w:rPr>
      <w:rFonts w:ascii="Times New Roman" w:hAnsi="Times New Roman"/>
      <w:b/>
      <w:bCs/>
      <w:kern w:val="44"/>
      <w:sz w:val="44"/>
      <w:szCs w:val="44"/>
    </w:rPr>
  </w:style>
  <w:style w:type="character" w:customStyle="1" w:styleId="26">
    <w:name w:val="标题 2 Char"/>
    <w:basedOn w:val="14"/>
    <w:link w:val="3"/>
    <w:autoRedefine/>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autoRedefine/>
    <w:semiHidden/>
    <w:qFormat/>
    <w:uiPriority w:val="99"/>
    <w:rPr>
      <w:rFonts w:ascii="Times New Roman" w:hAnsi="Times New Roman"/>
      <w:kern w:val="2"/>
      <w:sz w:val="18"/>
      <w:szCs w:val="18"/>
    </w:rPr>
  </w:style>
  <w:style w:type="character" w:customStyle="1" w:styleId="29">
    <w:name w:val="标题 3 Char"/>
    <w:basedOn w:val="14"/>
    <w:link w:val="4"/>
    <w:autoRedefine/>
    <w:qFormat/>
    <w:uiPriority w:val="9"/>
    <w:rPr>
      <w:rFonts w:ascii="Times New Roman" w:hAnsi="Times New Roman"/>
      <w:b/>
      <w:bCs/>
      <w:kern w:val="2"/>
      <w:sz w:val="32"/>
      <w:szCs w:val="32"/>
    </w:rPr>
  </w:style>
  <w:style w:type="paragraph" w:customStyle="1" w:styleId="30">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p0"/>
    <w:basedOn w:val="1"/>
    <w:autoRedefine/>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3405"/>
          <c:y val="0.027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Sheet1!$B$2</c:f>
              <c:numCache>
                <c:formatCode>General</c:formatCode>
                <c:ptCount val="1"/>
                <c:pt idx="0">
                  <c:v>1009.21</c:v>
                </c:pt>
              </c:numCache>
            </c:numRef>
          </c:val>
        </c:ser>
        <c:ser>
          <c:idx val="1"/>
          <c:order val="1"/>
          <c:tx>
            <c:strRef>
              <c:f>Sheet1!$C$1</c:f>
              <c:strCache>
                <c:ptCount val="1"/>
                <c:pt idx="0">
                  <c:v>2019年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Sheet1!$C$2</c:f>
              <c:numCache>
                <c:formatCode>General</c:formatCode>
                <c:ptCount val="1"/>
                <c:pt idx="0">
                  <c:v>1323.54</c:v>
                </c:pt>
              </c:numCache>
            </c:numRef>
          </c:val>
        </c:ser>
        <c:dLbls>
          <c:showLegendKey val="0"/>
          <c:showVal val="1"/>
          <c:showCatName val="0"/>
          <c:showSerName val="0"/>
          <c:showPercent val="0"/>
          <c:showBubbleSize val="0"/>
        </c:dLbls>
        <c:gapWidth val="219"/>
        <c:overlap val="-27"/>
        <c:axId val="505102554"/>
        <c:axId val="66844690"/>
      </c:barChart>
      <c:catAx>
        <c:axId val="5051025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44690"/>
        <c:crosses val="autoZero"/>
        <c:auto val="1"/>
        <c:lblAlgn val="ctr"/>
        <c:lblOffset val="100"/>
        <c:noMultiLvlLbl val="0"/>
      </c:catAx>
      <c:valAx>
        <c:axId val="668446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1025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Sheet1!$B$2</c:f>
              <c:strCache>
                <c:ptCount val="1"/>
                <c:pt idx="0">
                  <c:v>收入决算结构图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一般公共预算财政拨款收入</c:v>
                </c:pt>
                <c:pt idx="1">
                  <c:v>政府性基金预算财政拨款收入</c:v>
                </c:pt>
                <c:pt idx="2">
                  <c:v>其他收入</c:v>
                </c:pt>
              </c:strCache>
            </c:strRef>
          </c:cat>
          <c:val>
            <c:numRef>
              <c:f>Sheet1!$B$3:$B$5</c:f>
              <c:numCache>
                <c:formatCode>General</c:formatCode>
                <c:ptCount val="3"/>
                <c:pt idx="0">
                  <c:v>1284.14</c:v>
                </c:pt>
                <c:pt idx="1">
                  <c:v>14.28</c:v>
                </c:pt>
                <c:pt idx="2">
                  <c:v>10</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0525373134328358"/>
          <c:y val="0.105790161079669"/>
          <c:w val="0.833074626865672"/>
          <c:h val="0.846321288637353"/>
        </c:manualLayout>
      </c:layout>
      <c:pie3DChart>
        <c:varyColors val="1"/>
        <c:ser>
          <c:idx val="0"/>
          <c:order val="0"/>
          <c:tx>
            <c:strRef>
              <c:f>Sheet1!$B$1</c:f>
              <c:strCache>
                <c:ptCount val="1"/>
                <c:pt idx="0">
                  <c:v>支出决算结构图</c:v>
                </c:pt>
              </c:strCache>
            </c:strRef>
          </c:tx>
          <c:spPr>
            <a:scene3d>
              <a:camera prst="orthographicFront"/>
              <a:lightRig rig="threePt" dir="t"/>
            </a:scene3d>
            <a:sp3d contourW="25400"/>
          </c:spPr>
          <c:explosion val="0"/>
          <c:dPt>
            <c:idx val="0"/>
            <c:bubble3D val="0"/>
            <c:explosion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981.5</c:v>
                </c:pt>
                <c:pt idx="1">
                  <c:v>323.83</c:v>
                </c:pt>
              </c:numCache>
            </c:numRef>
          </c:val>
        </c:ser>
        <c:dLbls>
          <c:showLegendKey val="0"/>
          <c:showVal val="0"/>
          <c:showCatName val="0"/>
          <c:showSerName val="0"/>
          <c:showPercent val="1"/>
          <c:showBubbleSize val="0"/>
        </c:dLbls>
      </c:pie3DChart>
      <c:spPr>
        <a:noFill/>
        <a:ln>
          <a:noFill/>
        </a:ln>
        <a:effectLst/>
      </c:spPr>
    </c:plotArea>
    <c:legend>
      <c:legendPos val="r"/>
      <c:layout>
        <c:manualLayout>
          <c:xMode val="edge"/>
          <c:yMode val="edge"/>
          <c:x val="0.871224879308409"/>
          <c:y val="0.474358974358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020825"/>
          <c:y val="0.2345"/>
          <c:w val="0.927925"/>
          <c:h val="0.716566666666667"/>
        </c:manualLayout>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c:v>
                </c:pt>
              </c:strCache>
            </c:strRef>
          </c:cat>
          <c:val>
            <c:numRef>
              <c:f>Sheet1!$B$2</c:f>
              <c:numCache>
                <c:formatCode>General</c:formatCode>
                <c:ptCount val="1"/>
                <c:pt idx="0">
                  <c:v>1009.2</c:v>
                </c:pt>
              </c:numCache>
            </c:numRef>
          </c:val>
        </c:ser>
        <c:ser>
          <c:idx val="1"/>
          <c:order val="1"/>
          <c:tx>
            <c:strRef>
              <c:f>Sheet1!$C$1</c:f>
              <c:strCache>
                <c:ptCount val="1"/>
                <c:pt idx="0">
                  <c:v>2019年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c:v>
                </c:pt>
              </c:strCache>
            </c:strRef>
          </c:cat>
          <c:val>
            <c:numRef>
              <c:f>Sheet1!$C$2</c:f>
              <c:numCache>
                <c:formatCode>General</c:formatCode>
                <c:ptCount val="1"/>
                <c:pt idx="0">
                  <c:v>1304.69</c:v>
                </c:pt>
              </c:numCache>
            </c:numRef>
          </c:val>
        </c:ser>
        <c:dLbls>
          <c:showLegendKey val="0"/>
          <c:showVal val="0"/>
          <c:showCatName val="0"/>
          <c:showSerName val="0"/>
          <c:showPercent val="0"/>
          <c:showBubbleSize val="0"/>
        </c:dLbls>
        <c:gapWidth val="219"/>
        <c:overlap val="-27"/>
        <c:axId val="660539671"/>
        <c:axId val="903977231"/>
      </c:barChart>
      <c:catAx>
        <c:axId val="6605396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3977231"/>
        <c:crosses val="autoZero"/>
        <c:auto val="1"/>
        <c:lblAlgn val="ctr"/>
        <c:lblOffset val="100"/>
        <c:noMultiLvlLbl val="0"/>
      </c:catAx>
      <c:valAx>
        <c:axId val="903977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539671"/>
        <c:crosses val="autoZero"/>
        <c:crossBetween val="between"/>
      </c:valAx>
      <c:spPr>
        <a:noFill/>
        <a:ln>
          <a:noFill/>
        </a:ln>
        <a:effectLst/>
      </c:spPr>
    </c:plotArea>
    <c:legend>
      <c:legendPos val="b"/>
      <c:layout>
        <c:manualLayout>
          <c:xMode val="edge"/>
          <c:yMode val="edge"/>
          <c:x val="0.6939375"/>
          <c:y val="0.9397321428571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a:t>
            </a:r>
          </a:p>
        </c:rich>
      </c:tx>
      <c:layout>
        <c:manualLayout>
          <c:xMode val="edge"/>
          <c:yMode val="edge"/>
          <c:x val="0.240625"/>
          <c:y val="0.015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991.22</c:v>
                </c:pt>
              </c:numCache>
            </c:numRef>
          </c:val>
        </c:ser>
        <c:ser>
          <c:idx val="1"/>
          <c:order val="1"/>
          <c:tx>
            <c:strRef>
              <c:f>Sheet1!$C$1</c:f>
              <c:strCache>
                <c:ptCount val="1"/>
                <c:pt idx="0">
                  <c:v>2019年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1289.17</c:v>
                </c:pt>
              </c:numCache>
            </c:numRef>
          </c:val>
        </c:ser>
        <c:dLbls>
          <c:showLegendKey val="0"/>
          <c:showVal val="1"/>
          <c:showCatName val="0"/>
          <c:showSerName val="0"/>
          <c:showPercent val="0"/>
          <c:showBubbleSize val="0"/>
        </c:dLbls>
        <c:gapWidth val="219"/>
        <c:overlap val="-27"/>
        <c:axId val="50397956"/>
        <c:axId val="91010202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03979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0102028"/>
        <c:crosses val="autoZero"/>
        <c:auto val="1"/>
        <c:lblAlgn val="ctr"/>
        <c:lblOffset val="100"/>
        <c:noMultiLvlLbl val="0"/>
      </c:catAx>
      <c:valAx>
        <c:axId val="9101020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979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1151.15</c:v>
                </c:pt>
                <c:pt idx="1">
                  <c:v>65.66</c:v>
                </c:pt>
                <c:pt idx="2">
                  <c:v>15.87</c:v>
                </c:pt>
                <c:pt idx="3">
                  <c:v>56.48</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5">
                  <a:lumMod val="75000"/>
                </a:schemeClr>
              </a:solidFill>
              <a:ln w="25400">
                <a:solidFill>
                  <a:schemeClr val="lt1"/>
                </a:solidFill>
              </a:ln>
              <a:effectLst/>
              <a:scene3d>
                <a:camera prst="orthographicFront"/>
                <a:lightRig rig="threePt" dir="t"/>
              </a:scene3d>
              <a:sp3d contourW="25400"/>
            </c:spPr>
          </c:dPt>
          <c:dPt>
            <c:idx val="2"/>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19.94</c:v>
                </c:pt>
                <c:pt idx="2">
                  <c:v>3.48</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18</TotalTime>
  <ScaleCrop>false</ScaleCrop>
  <LinksUpToDate>false</LinksUpToDate>
  <CharactersWithSpaces>8536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赵春生</cp:lastModifiedBy>
  <cp:lastPrinted>2020-10-14T09:34:00Z</cp:lastPrinted>
  <dcterms:modified xsi:type="dcterms:W3CDTF">2025-07-10T02:56:12Z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12A1A59EDFA643B1BE67FD6332E75F05_13</vt:lpwstr>
  </property>
</Properties>
</file>