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7425"/>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7426"/>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峨眉山市教育技术装备站</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jc w:val="both"/>
      </w:pPr>
      <w:r>
        <w:rPr>
          <w:rFonts w:hint="eastAsia"/>
        </w:rPr>
        <w:t>公开时间：2020年</w:t>
      </w:r>
      <w:r>
        <w:rPr>
          <w:rFonts w:hint="eastAsia"/>
          <w:lang w:val="en-US" w:eastAsia="zh-CN"/>
        </w:rPr>
        <w:t>10</w:t>
      </w:r>
      <w:r>
        <w:rPr>
          <w:rFonts w:hint="eastAsia"/>
        </w:rPr>
        <w:t>月</w:t>
      </w:r>
      <w:r>
        <w:rPr>
          <w:rFonts w:hint="eastAsia"/>
          <w:lang w:val="en-US" w:eastAsia="zh-CN"/>
        </w:rPr>
        <w:t>26</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distribute"/>
        <w:rPr>
          <w:rFonts w:hint="eastAsia" w:ascii="宋体" w:hAnsi="宋体" w:eastAsia="宋体" w:cs="宋体"/>
          <w:sz w:val="24"/>
          <w:lang w:val="en-US" w:eastAsia="zh-CN"/>
        </w:rPr>
      </w:pPr>
      <w:r>
        <w:rPr>
          <w:rFonts w:hint="eastAsia"/>
          <w:sz w:val="24"/>
        </w:rPr>
        <w:t>一、基本职能及主要工作</w:t>
      </w:r>
      <w:r>
        <w:rPr>
          <w:rFonts w:hint="eastAsia" w:ascii="宋体" w:hAnsi="宋体" w:eastAsia="宋体" w:cs="宋体"/>
          <w:sz w:val="24"/>
        </w:rPr>
        <w:t>………………………………………………………</w:t>
      </w:r>
      <w:r>
        <w:rPr>
          <w:rFonts w:hint="eastAsia" w:ascii="宋体" w:hAnsi="宋体" w:cs="宋体"/>
          <w:sz w:val="24"/>
          <w:lang w:val="en-US" w:eastAsia="zh-CN"/>
        </w:rPr>
        <w:t>4</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二、机构设置</w:t>
      </w:r>
      <w:r>
        <w:rPr>
          <w:rFonts w:hint="eastAsia" w:ascii="宋体" w:hAnsi="宋体" w:eastAsia="宋体" w:cs="宋体"/>
          <w:sz w:val="24"/>
        </w:rPr>
        <w:t>……………………………………………………………………</w:t>
      </w:r>
      <w:r>
        <w:rPr>
          <w:rFonts w:hint="eastAsia" w:ascii="宋体" w:hAnsi="宋体" w:cs="宋体"/>
          <w:sz w:val="24"/>
          <w:lang w:val="en-US" w:eastAsia="zh-CN"/>
        </w:rPr>
        <w:t>4</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一、收入支出决算总体情况说明</w:t>
      </w:r>
      <w:r>
        <w:rPr>
          <w:rFonts w:hint="eastAsia" w:ascii="宋体" w:hAnsi="宋体" w:eastAsia="宋体" w:cs="宋体"/>
          <w:sz w:val="24"/>
        </w:rPr>
        <w:t>……………………………………………</w:t>
      </w:r>
      <w:r>
        <w:rPr>
          <w:rFonts w:hint="eastAsia" w:ascii="宋体" w:hAnsi="宋体" w:cs="宋体"/>
          <w:sz w:val="24"/>
          <w:lang w:val="en-US" w:eastAsia="zh-CN"/>
        </w:rPr>
        <w:t>5</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二、收入决算情况说明</w:t>
      </w:r>
      <w:r>
        <w:rPr>
          <w:rFonts w:hint="eastAsia" w:ascii="宋体" w:hAnsi="宋体" w:eastAsia="宋体" w:cs="宋体"/>
          <w:sz w:val="24"/>
        </w:rPr>
        <w:t>…………………………………………………………</w:t>
      </w:r>
      <w:r>
        <w:rPr>
          <w:rFonts w:hint="eastAsia" w:ascii="宋体" w:hAnsi="宋体" w:cs="宋体"/>
          <w:sz w:val="24"/>
          <w:lang w:val="en-US" w:eastAsia="zh-CN"/>
        </w:rPr>
        <w:t>5</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三、支出决算情况说明</w:t>
      </w:r>
      <w:r>
        <w:rPr>
          <w:rFonts w:hint="eastAsia" w:ascii="宋体" w:hAnsi="宋体" w:eastAsia="宋体" w:cs="宋体"/>
          <w:sz w:val="24"/>
        </w:rPr>
        <w:t>…………………………………………………………</w:t>
      </w:r>
      <w:r>
        <w:rPr>
          <w:rFonts w:hint="eastAsia" w:ascii="宋体" w:hAnsi="宋体" w:cs="宋体"/>
          <w:sz w:val="24"/>
          <w:lang w:val="en-US" w:eastAsia="zh-CN"/>
        </w:rPr>
        <w:t>6</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四、财政拨款收入支出决算总体情况说明</w:t>
      </w:r>
      <w:r>
        <w:rPr>
          <w:rFonts w:hint="eastAsia" w:ascii="宋体" w:hAnsi="宋体" w:eastAsia="宋体" w:cs="宋体"/>
          <w:sz w:val="24"/>
        </w:rPr>
        <w:t>……………………………………</w:t>
      </w:r>
      <w:r>
        <w:rPr>
          <w:rFonts w:hint="eastAsia" w:ascii="宋体" w:hAnsi="宋体" w:cs="宋体"/>
          <w:sz w:val="24"/>
          <w:lang w:val="en-US" w:eastAsia="zh-CN"/>
        </w:rPr>
        <w:t>6</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五、一般公共预算财政拨款支出决算情况说明</w:t>
      </w:r>
      <w:r>
        <w:rPr>
          <w:rFonts w:hint="eastAsia" w:ascii="宋体" w:hAnsi="宋体" w:eastAsia="宋体" w:cs="宋体"/>
          <w:sz w:val="24"/>
        </w:rPr>
        <w:t>………………………………</w:t>
      </w:r>
      <w:r>
        <w:rPr>
          <w:rFonts w:hint="eastAsia" w:ascii="宋体" w:hAnsi="宋体" w:cs="宋体"/>
          <w:sz w:val="24"/>
          <w:lang w:val="en-US" w:eastAsia="zh-CN"/>
        </w:rPr>
        <w:t>7</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六、一般公共预算财政拨款基本支出决算情况说明</w:t>
      </w:r>
      <w:r>
        <w:rPr>
          <w:rFonts w:hint="eastAsia" w:ascii="宋体" w:hAnsi="宋体" w:eastAsia="宋体" w:cs="宋体"/>
          <w:sz w:val="24"/>
        </w:rPr>
        <w:t>…………………………</w:t>
      </w:r>
      <w:r>
        <w:rPr>
          <w:rFonts w:hint="eastAsia" w:ascii="宋体" w:hAnsi="宋体" w:cs="宋体"/>
          <w:sz w:val="24"/>
          <w:lang w:val="en-US" w:eastAsia="zh-CN"/>
        </w:rPr>
        <w:t>9</w:t>
      </w:r>
    </w:p>
    <w:p>
      <w:pPr>
        <w:pStyle w:val="11"/>
        <w:adjustRightInd w:val="0"/>
        <w:snapToGrid w:val="0"/>
        <w:spacing w:line="440" w:lineRule="exact"/>
        <w:jc w:val="distribute"/>
        <w:rPr>
          <w:rFonts w:hint="eastAsia"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ascii="宋体" w:hAnsi="宋体" w:eastAsia="宋体" w:cs="宋体"/>
          <w:sz w:val="24"/>
        </w:rPr>
        <w:t>…………………………………</w:t>
      </w:r>
      <w:r>
        <w:rPr>
          <w:rFonts w:hint="eastAsia" w:ascii="宋体" w:hAnsi="宋体" w:cs="宋体"/>
          <w:sz w:val="24"/>
          <w:lang w:val="en-US" w:eastAsia="zh-CN"/>
        </w:rPr>
        <w:t>9</w:t>
      </w:r>
    </w:p>
    <w:p>
      <w:pPr>
        <w:pStyle w:val="11"/>
        <w:adjustRightInd w:val="0"/>
        <w:snapToGrid w:val="0"/>
        <w:spacing w:line="440" w:lineRule="exact"/>
        <w:jc w:val="distribute"/>
        <w:rPr>
          <w:rFonts w:hint="default" w:ascii="仿宋" w:hAnsi="仿宋" w:eastAsia="宋体" w:cstheme="minorBidi"/>
          <w:sz w:val="24"/>
          <w:lang w:val="en-US" w:eastAsia="zh-CN"/>
        </w:rPr>
      </w:pPr>
      <w:r>
        <w:rPr>
          <w:rFonts w:hint="eastAsia"/>
          <w:sz w:val="24"/>
        </w:rPr>
        <w:t>八、政府性基金预算支出决算情况说明</w:t>
      </w:r>
      <w:r>
        <w:rPr>
          <w:rFonts w:hint="eastAsia" w:ascii="宋体" w:hAnsi="宋体" w:eastAsia="宋体" w:cs="宋体"/>
          <w:sz w:val="24"/>
        </w:rPr>
        <w:t>………………………………………</w:t>
      </w:r>
      <w:r>
        <w:rPr>
          <w:rFonts w:hint="eastAsia" w:ascii="宋体" w:hAnsi="宋体" w:cs="宋体"/>
          <w:sz w:val="24"/>
          <w:lang w:val="en-US" w:eastAsia="zh-CN"/>
        </w:rPr>
        <w:t>10</w:t>
      </w:r>
    </w:p>
    <w:p>
      <w:pPr>
        <w:pStyle w:val="11"/>
        <w:adjustRightInd w:val="0"/>
        <w:snapToGrid w:val="0"/>
        <w:spacing w:line="440" w:lineRule="exact"/>
        <w:ind w:leftChars="0"/>
        <w:jc w:val="distribute"/>
        <w:rPr>
          <w:rFonts w:hint="default" w:ascii="仿宋" w:hAnsi="仿宋" w:eastAsia="宋体"/>
          <w:sz w:val="24"/>
          <w:lang w:val="en-US" w:eastAsia="zh-CN"/>
        </w:rPr>
      </w:pPr>
      <w:r>
        <w:rPr>
          <w:rFonts w:hint="eastAsia"/>
          <w:sz w:val="24"/>
        </w:rPr>
        <w:t>九、国有资本经营预算支出决算情况说明</w:t>
      </w:r>
      <w:r>
        <w:rPr>
          <w:rFonts w:hint="eastAsia" w:ascii="宋体" w:hAnsi="宋体" w:eastAsia="宋体" w:cs="宋体"/>
          <w:sz w:val="24"/>
        </w:rPr>
        <w:t>…………………………………</w:t>
      </w:r>
      <w:r>
        <w:rPr>
          <w:rFonts w:hint="eastAsia" w:ascii="宋体" w:hAnsi="宋体" w:cs="宋体"/>
          <w:sz w:val="24"/>
          <w:lang w:val="en-US" w:eastAsia="zh-CN"/>
        </w:rPr>
        <w:t>11</w:t>
      </w:r>
    </w:p>
    <w:p>
      <w:pPr>
        <w:adjustRightInd w:val="0"/>
        <w:snapToGrid w:val="0"/>
        <w:spacing w:line="440" w:lineRule="exact"/>
        <w:jc w:val="distribute"/>
        <w:rPr>
          <w:rFonts w:ascii="仿宋" w:hAnsi="仿宋" w:eastAsia="仿宋" w:cstheme="minorBidi"/>
          <w:sz w:val="24"/>
        </w:rPr>
      </w:pPr>
      <w:r>
        <w:rPr>
          <w:rStyle w:val="15"/>
          <w:rFonts w:hint="eastAsia" w:ascii="仿宋" w:hAnsi="仿宋" w:eastAsia="仿宋"/>
          <w:color w:val="000000" w:themeColor="text1"/>
          <w:sz w:val="24"/>
          <w:u w:val="none"/>
          <w:lang w:val="en-US" w:eastAsia="zh-CN"/>
        </w:rPr>
        <w:t xml:space="preserve">   </w:t>
      </w:r>
      <w:r>
        <w:rPr>
          <w:rFonts w:hint="eastAsia" w:ascii="Times New Roman" w:hAnsi="Times New Roman" w:eastAsia="宋体" w:cs="Times New Roman"/>
          <w:kern w:val="2"/>
          <w:sz w:val="24"/>
          <w:szCs w:val="24"/>
          <w:lang w:val="en-US" w:eastAsia="zh-CN" w:bidi="ar-SA"/>
        </w:rPr>
        <w:t xml:space="preserve"> 十</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其他重</w:t>
      </w:r>
      <w:r>
        <w:rPr>
          <w:rFonts w:hint="eastAsia"/>
          <w:sz w:val="24"/>
        </w:rPr>
        <w:t>要事项的情况说明</w:t>
      </w:r>
      <w:r>
        <w:rPr>
          <w:rFonts w:hint="eastAsia" w:ascii="宋体" w:hAnsi="宋体" w:eastAsia="宋体" w:cs="宋体"/>
          <w:sz w:val="24"/>
        </w:rPr>
        <w:t>………………………………………………</w:t>
      </w:r>
      <w:r>
        <w:rPr>
          <w:rFonts w:hint="eastAsia" w:ascii="宋体" w:hAnsi="宋体" w:cs="宋体"/>
          <w:sz w:val="24"/>
          <w:lang w:val="en-US" w:eastAsia="zh-CN"/>
        </w:rPr>
        <w:t>11</w:t>
      </w:r>
    </w:p>
    <w:p>
      <w:pPr>
        <w:pStyle w:val="10"/>
        <w:adjustRightInd w:val="0"/>
        <w:snapToGrid w:val="0"/>
        <w:spacing w:before="0" w:line="440" w:lineRule="exact"/>
        <w:jc w:val="left"/>
        <w:rPr>
          <w:rFonts w:hint="default" w:eastAsia="宋体"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宋体" w:hAnsi="宋体" w:eastAsia="宋体" w:cs="宋体"/>
          <w:sz w:val="24"/>
        </w:rPr>
        <w:t>…………………………………………………………………</w:t>
      </w:r>
      <w:r>
        <w:rPr>
          <w:rFonts w:hint="eastAsia" w:ascii="宋体" w:hAnsi="宋体" w:eastAsia="宋体" w:cs="宋体"/>
          <w:sz w:val="24"/>
          <w:lang w:val="en-US" w:eastAsia="zh-CN"/>
        </w:rPr>
        <w:t>16</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distribute"/>
        <w:rPr>
          <w:rFonts w:hint="default" w:ascii="仿宋" w:hAnsi="仿宋" w:eastAsia="宋体" w:cstheme="minorBidi"/>
          <w:sz w:val="24"/>
          <w:lang w:val="en-US" w:eastAsia="zh-CN"/>
        </w:rPr>
      </w:pPr>
      <w:r>
        <w:rPr>
          <w:rFonts w:hint="eastAsia"/>
          <w:sz w:val="24"/>
        </w:rPr>
        <w:t>附件</w:t>
      </w:r>
      <w:r>
        <w:rPr>
          <w:sz w:val="24"/>
        </w:rPr>
        <w:t>1</w:t>
      </w:r>
      <w:r>
        <w:rPr>
          <w:rFonts w:hint="eastAsia" w:ascii="宋体" w:hAnsi="宋体" w:eastAsia="宋体" w:cs="宋体"/>
          <w:sz w:val="24"/>
        </w:rPr>
        <w:t>…………………………………………………………………………</w:t>
      </w:r>
      <w:r>
        <w:rPr>
          <w:rFonts w:hint="eastAsia" w:ascii="宋体" w:hAnsi="宋体" w:cs="宋体"/>
          <w:sz w:val="24"/>
          <w:lang w:val="en-US" w:eastAsia="zh-CN"/>
        </w:rPr>
        <w:t>22</w:t>
      </w:r>
    </w:p>
    <w:p>
      <w:pPr>
        <w:pStyle w:val="11"/>
        <w:adjustRightInd w:val="0"/>
        <w:snapToGrid w:val="0"/>
        <w:spacing w:line="440" w:lineRule="exact"/>
        <w:jc w:val="distribute"/>
        <w:rPr>
          <w:rFonts w:hint="default" w:ascii="宋体" w:hAnsi="宋体" w:eastAsia="宋体" w:cs="宋体"/>
          <w:sz w:val="24"/>
          <w:lang w:val="en-US" w:eastAsia="zh-CN"/>
        </w:rPr>
      </w:pPr>
      <w:r>
        <w:rPr>
          <w:rFonts w:hint="eastAsia"/>
          <w:sz w:val="24"/>
        </w:rPr>
        <w:t>附件</w:t>
      </w:r>
      <w:r>
        <w:rPr>
          <w:sz w:val="24"/>
        </w:rPr>
        <w:t>2</w:t>
      </w:r>
      <w:r>
        <w:rPr>
          <w:rFonts w:hint="eastAsia" w:ascii="宋体" w:hAnsi="宋体" w:eastAsia="宋体" w:cs="宋体"/>
          <w:sz w:val="24"/>
        </w:rPr>
        <w:t>…………………………………………………………………………</w:t>
      </w:r>
      <w:r>
        <w:rPr>
          <w:rFonts w:hint="eastAsia" w:ascii="宋体" w:hAnsi="宋体" w:cs="宋体"/>
          <w:sz w:val="24"/>
          <w:lang w:val="en-US" w:eastAsia="zh-CN"/>
        </w:rPr>
        <w:t>28</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hint="eastAsia"/>
          <w:sz w:val="24"/>
        </w:rPr>
      </w:pPr>
      <w:r>
        <w:rPr>
          <w:rFonts w:hint="eastAsia"/>
          <w:sz w:val="24"/>
        </w:rPr>
        <w:t>一、收入支出决算总表</w:t>
      </w:r>
    </w:p>
    <w:p>
      <w:pPr>
        <w:pStyle w:val="11"/>
        <w:adjustRightInd w:val="0"/>
        <w:snapToGrid w:val="0"/>
        <w:spacing w:line="440" w:lineRule="exact"/>
        <w:jc w:val="left"/>
        <w:rPr>
          <w:rFonts w:hint="eastAsia"/>
          <w:sz w:val="24"/>
        </w:rPr>
      </w:pPr>
      <w:r>
        <w:rPr>
          <w:rFonts w:hint="eastAsia"/>
          <w:sz w:val="24"/>
        </w:rPr>
        <w:t>二、收入决算表</w:t>
      </w:r>
    </w:p>
    <w:p>
      <w:pPr>
        <w:pStyle w:val="11"/>
        <w:adjustRightInd w:val="0"/>
        <w:snapToGrid w:val="0"/>
        <w:spacing w:line="440" w:lineRule="exact"/>
        <w:jc w:val="left"/>
        <w:rPr>
          <w:rFonts w:hint="eastAsia"/>
          <w:sz w:val="24"/>
        </w:rPr>
      </w:pPr>
      <w:r>
        <w:rPr>
          <w:rFonts w:hint="eastAsia"/>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四、财政拨款收入支出决算总表</w:t>
      </w:r>
    </w:p>
    <w:p>
      <w:pPr>
        <w:pStyle w:val="11"/>
        <w:adjustRightInd w:val="0"/>
        <w:snapToGrid w:val="0"/>
        <w:spacing w:line="440" w:lineRule="exact"/>
        <w:jc w:val="left"/>
        <w:rPr>
          <w:rFonts w:hint="eastAsia"/>
          <w:sz w:val="24"/>
        </w:rPr>
      </w:pPr>
      <w:r>
        <w:rPr>
          <w:rFonts w:hint="eastAsia"/>
          <w:sz w:val="24"/>
        </w:rPr>
        <w:t>五、财政拨款支出决算明细表</w:t>
      </w:r>
    </w:p>
    <w:p>
      <w:pPr>
        <w:pStyle w:val="11"/>
        <w:adjustRightInd w:val="0"/>
        <w:snapToGrid w:val="0"/>
        <w:spacing w:line="440" w:lineRule="exact"/>
        <w:jc w:val="left"/>
        <w:rPr>
          <w:rFonts w:hint="eastAsia"/>
          <w:sz w:val="24"/>
        </w:rPr>
      </w:pPr>
      <w:r>
        <w:rPr>
          <w:rFonts w:hint="eastAsia"/>
          <w:sz w:val="24"/>
        </w:rPr>
        <w:t>六、一般公共预算财政拨款支出决算表</w:t>
      </w:r>
    </w:p>
    <w:p>
      <w:pPr>
        <w:pStyle w:val="11"/>
        <w:adjustRightInd w:val="0"/>
        <w:snapToGrid w:val="0"/>
        <w:spacing w:line="440" w:lineRule="exact"/>
        <w:jc w:val="left"/>
        <w:rPr>
          <w:rFonts w:hint="eastAsia"/>
          <w:sz w:val="24"/>
        </w:rPr>
      </w:pPr>
      <w:r>
        <w:rPr>
          <w:rFonts w:hint="eastAsia"/>
          <w:sz w:val="24"/>
        </w:rPr>
        <w:t>七、一般公共预算财政拨款支出决算明细表</w:t>
      </w:r>
    </w:p>
    <w:p>
      <w:pPr>
        <w:pStyle w:val="11"/>
        <w:adjustRightInd w:val="0"/>
        <w:snapToGrid w:val="0"/>
        <w:spacing w:line="440" w:lineRule="exact"/>
        <w:jc w:val="left"/>
        <w:rPr>
          <w:rFonts w:hint="eastAsia"/>
          <w:sz w:val="24"/>
        </w:rPr>
      </w:pPr>
      <w:r>
        <w:rPr>
          <w:rFonts w:hint="eastAsia"/>
          <w:sz w:val="24"/>
        </w:rPr>
        <w:t>八、一般公共预算财政拨款基本支出决算表</w:t>
      </w:r>
    </w:p>
    <w:p>
      <w:pPr>
        <w:pStyle w:val="11"/>
        <w:adjustRightInd w:val="0"/>
        <w:snapToGrid w:val="0"/>
        <w:spacing w:line="440" w:lineRule="exact"/>
        <w:jc w:val="left"/>
        <w:rPr>
          <w:rFonts w:hint="eastAsia"/>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pStyle w:val="11"/>
        <w:adjustRightInd w:val="0"/>
        <w:snapToGrid w:val="0"/>
        <w:spacing w:line="440" w:lineRule="exact"/>
        <w:jc w:val="left"/>
        <w:rPr>
          <w:rFonts w:hint="eastAsia"/>
          <w:sz w:val="24"/>
        </w:rPr>
      </w:pPr>
      <w:r>
        <w:rPr>
          <w:rFonts w:hint="eastAsia"/>
          <w:sz w:val="24"/>
        </w:rPr>
        <w:t>十一、政府性基金预算财政拨款收入支出决算表</w:t>
      </w:r>
    </w:p>
    <w:p>
      <w:pPr>
        <w:pStyle w:val="11"/>
        <w:adjustRightInd w:val="0"/>
        <w:snapToGrid w:val="0"/>
        <w:spacing w:line="440" w:lineRule="exact"/>
        <w:jc w:val="left"/>
        <w:rPr>
          <w:rFonts w:hint="eastAsia"/>
          <w:sz w:val="24"/>
        </w:rPr>
      </w:pPr>
      <w:r>
        <w:rPr>
          <w:rFonts w:hint="eastAsia"/>
          <w:sz w:val="24"/>
        </w:rPr>
        <w:t>十二、政府性基金预算财政拨款“三公”经费支出决算表</w:t>
      </w:r>
    </w:p>
    <w:p>
      <w:pPr>
        <w:pStyle w:val="11"/>
        <w:adjustRightInd w:val="0"/>
        <w:snapToGrid w:val="0"/>
        <w:spacing w:line="440" w:lineRule="exact"/>
        <w:jc w:val="left"/>
        <w:rPr>
          <w:rFonts w:hint="eastAsia"/>
          <w:sz w:val="24"/>
        </w:rPr>
      </w:pPr>
      <w:r>
        <w:rPr>
          <w:rFonts w:hint="eastAsia"/>
          <w:sz w:val="24"/>
        </w:rPr>
        <w:t>十三、国有资本经营预算支出决算表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napToGrid w:val="0"/>
        <w:spacing w:line="588" w:lineRule="exact"/>
        <w:ind w:firstLine="640" w:firstLineChars="200"/>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_GB2312" w:hAnsi="仿宋" w:eastAsia="仿宋_GB2312"/>
          <w:sz w:val="32"/>
          <w:szCs w:val="32"/>
        </w:rPr>
        <w:t>负责全市教育实验室的仪器、电教、文体器材的装配，人员培训和管理。</w:t>
      </w:r>
    </w:p>
    <w:p>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_GB2312" w:eastAsia="仿宋_GB2312"/>
          <w:sz w:val="32"/>
          <w:szCs w:val="32"/>
        </w:rPr>
        <w:t>我站以党的十九届四中全会精神以及习近平总书记系列重要讲话精神为指导，紧紧围绕乐山市和峨眉山市“十三五”教育发展规划，立足教育装备标准化和教育信息化建设“两条路”， 以技术应用为核心，团结协作、开拓创新，圆满地完成了全年各项目标任务。</w:t>
      </w:r>
      <w:r>
        <w:rPr>
          <w:rFonts w:hint="eastAsia" w:ascii="仿宋_GB2312" w:hAnsi="仿宋" w:eastAsia="仿宋_GB2312"/>
          <w:sz w:val="32"/>
          <w:szCs w:val="32"/>
        </w:rPr>
        <w:t>峨眉</w:t>
      </w:r>
      <w:r>
        <w:rPr>
          <w:rFonts w:hint="eastAsia" w:ascii="仿宋_GB2312" w:hAnsi="仿宋" w:eastAsia="仿宋_GB2312"/>
          <w:sz w:val="32"/>
          <w:szCs w:val="32"/>
          <w:lang w:eastAsia="zh-CN"/>
        </w:rPr>
        <w:t>山市教育技术</w:t>
      </w:r>
      <w:r>
        <w:rPr>
          <w:rFonts w:hint="eastAsia" w:ascii="仿宋_GB2312" w:hAnsi="仿宋" w:eastAsia="仿宋_GB2312"/>
          <w:sz w:val="32"/>
          <w:szCs w:val="32"/>
        </w:rPr>
        <w:t>装备站被乐山市评为“2019年现代教育技术暨装备工作目标管理先进单位”称号。</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峨眉山市教育技术装备站</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ind w:right="440"/>
        <w:jc w:val="right"/>
        <w:rPr>
          <w:rFonts w:hint="eastAsia" w:ascii="黑体" w:hAnsi="黑体" w:eastAsia="黑体"/>
          <w:b w:val="0"/>
          <w:color w:val="000000"/>
        </w:rPr>
      </w:pPr>
      <w:bookmarkStart w:id="22" w:name="_Toc15377204"/>
      <w:bookmarkStart w:id="23" w:name="_Toc15396602"/>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68.09</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1.01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1.46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2018年用事业基金弥补。</w:t>
      </w:r>
    </w:p>
    <w:p>
      <w:pPr>
        <w:spacing w:line="600" w:lineRule="exact"/>
        <w:ind w:firstLine="420" w:firstLineChars="200"/>
        <w:rPr>
          <w:rFonts w:ascii="仿宋_GB2312" w:eastAsia="仿宋_GB2312"/>
          <w:color w:val="000000"/>
          <w:sz w:val="32"/>
          <w:szCs w:val="32"/>
        </w:rPr>
      </w:pPr>
      <w:r>
        <w:drawing>
          <wp:anchor distT="0" distB="0" distL="114300" distR="114300" simplePos="0" relativeHeight="251664384" behindDoc="0" locked="0" layoutInCell="1" allowOverlap="1">
            <wp:simplePos x="0" y="0"/>
            <wp:positionH relativeFrom="column">
              <wp:posOffset>394970</wp:posOffset>
            </wp:positionH>
            <wp:positionV relativeFrom="paragraph">
              <wp:posOffset>29845</wp:posOffset>
            </wp:positionV>
            <wp:extent cx="4008755" cy="2133600"/>
            <wp:effectExtent l="4445" t="4445" r="6350" b="14605"/>
            <wp:wrapTopAndBottom/>
            <wp:docPr id="15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68.09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67.91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99.74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0.26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1050" w:firstLineChars="500"/>
        <w:outlineLvl w:val="1"/>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490220</wp:posOffset>
            </wp:positionH>
            <wp:positionV relativeFrom="paragraph">
              <wp:posOffset>128905</wp:posOffset>
            </wp:positionV>
            <wp:extent cx="3962400" cy="2210435"/>
            <wp:effectExtent l="4445" t="4445" r="14605" b="13970"/>
            <wp:wrapTopAndBottom/>
            <wp:docPr id="140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rPr>
        <w:t>（图2：收入决算结构图）（饼状图）</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420" w:firstLineChars="200"/>
        <w:outlineLvl w:val="1"/>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547370</wp:posOffset>
            </wp:positionH>
            <wp:positionV relativeFrom="paragraph">
              <wp:posOffset>1690370</wp:posOffset>
            </wp:positionV>
            <wp:extent cx="3971925" cy="2286000"/>
            <wp:effectExtent l="4445" t="4445" r="5080" b="14605"/>
            <wp:wrapTopAndBottom/>
            <wp:docPr id="14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68.09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60.59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88.99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11.01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1280" w:firstLineChars="400"/>
        <w:rPr>
          <w:rFonts w:ascii="仿宋_GB2312" w:eastAsia="仿宋_GB2312"/>
          <w:color w:val="FF0000"/>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67.91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2.42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3.70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2020年</w:t>
      </w:r>
      <w:r>
        <w:rPr>
          <w:rFonts w:hint="eastAsia" w:ascii="仿宋" w:hAnsi="仿宋" w:eastAsia="仿宋"/>
          <w:color w:val="000000"/>
          <w:sz w:val="32"/>
          <w:szCs w:val="32"/>
          <w:lang w:eastAsia="zh-CN"/>
        </w:rPr>
        <w:t>增加教育信息化建设项目工作经费。</w:t>
      </w:r>
    </w:p>
    <w:p>
      <w:pPr>
        <w:spacing w:line="600" w:lineRule="exact"/>
        <w:ind w:left="0" w:leftChars="0" w:firstLine="0" w:firstLineChars="0"/>
        <w:rPr>
          <w:rFonts w:hint="eastAsia" w:ascii="仿宋" w:hAnsi="仿宋" w:eastAsia="仿宋"/>
          <w:color w:val="000000" w:themeColor="text1"/>
          <w:sz w:val="30"/>
          <w:szCs w:val="30"/>
        </w:rPr>
      </w:pPr>
      <w:r>
        <w:rPr>
          <w:rFonts w:hint="eastAsia" w:ascii="仿宋" w:hAnsi="仿宋" w:eastAsia="仿宋"/>
          <w:color w:val="000000" w:themeColor="text1"/>
          <w:sz w:val="30"/>
          <w:szCs w:val="30"/>
        </w:rPr>
        <w:drawing>
          <wp:anchor distT="0" distB="0" distL="114300" distR="114300" simplePos="0" relativeHeight="251665408" behindDoc="0" locked="0" layoutInCell="1" allowOverlap="1">
            <wp:simplePos x="0" y="0"/>
            <wp:positionH relativeFrom="column">
              <wp:posOffset>629920</wp:posOffset>
            </wp:positionH>
            <wp:positionV relativeFrom="paragraph">
              <wp:posOffset>109220</wp:posOffset>
            </wp:positionV>
            <wp:extent cx="3600450" cy="1990725"/>
            <wp:effectExtent l="4445" t="4445" r="14605" b="5080"/>
            <wp:wrapTopAndBottom/>
            <wp:docPr id="152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themeColor="text1"/>
          <w:sz w:val="30"/>
          <w:szCs w:val="30"/>
        </w:rPr>
        <w:t>（图4：财政拨款收、支决算总计变动情况）（柱状图）</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67.91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99.74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2.42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3.70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增加教育信息化建设项目工作经费。</w:t>
      </w:r>
    </w:p>
    <w:p>
      <w:pPr>
        <w:spacing w:line="600" w:lineRule="exact"/>
        <w:ind w:left="0" w:leftChars="0" w:firstLine="0" w:firstLineChars="0"/>
        <w:rPr>
          <w:rFonts w:ascii="仿宋" w:hAnsi="仿宋" w:eastAsia="仿宋"/>
          <w:color w:val="000000" w:themeColor="text1"/>
          <w:sz w:val="32"/>
          <w:szCs w:val="32"/>
        </w:rPr>
      </w:pPr>
      <w:r>
        <w:rPr>
          <w:sz w:val="30"/>
          <w:szCs w:val="30"/>
        </w:rPr>
        <w:drawing>
          <wp:anchor distT="0" distB="0" distL="114300" distR="114300" simplePos="0" relativeHeight="251661312" behindDoc="0" locked="0" layoutInCell="1" allowOverlap="1">
            <wp:simplePos x="0" y="0"/>
            <wp:positionH relativeFrom="column">
              <wp:posOffset>242570</wp:posOffset>
            </wp:positionH>
            <wp:positionV relativeFrom="paragraph">
              <wp:posOffset>80645</wp:posOffset>
            </wp:positionV>
            <wp:extent cx="4381500" cy="2114550"/>
            <wp:effectExtent l="4445" t="4445" r="1460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themeColor="text1"/>
          <w:sz w:val="30"/>
          <w:szCs w:val="30"/>
        </w:rPr>
        <w:t>（图5：一般公共预算财政拨款支出决算变动情况</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rPr>
        <w:t>（柱状图）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67.91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53.02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78.07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7.95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11.71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1.90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2.80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5.04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7.42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2336" behindDoc="0" locked="0" layoutInCell="1" allowOverlap="1">
            <wp:simplePos x="0" y="0"/>
            <wp:positionH relativeFrom="column">
              <wp:posOffset>706120</wp:posOffset>
            </wp:positionH>
            <wp:positionV relativeFrom="paragraph">
              <wp:posOffset>94615</wp:posOffset>
            </wp:positionV>
            <wp:extent cx="3743325" cy="1753870"/>
            <wp:effectExtent l="4445" t="5080" r="5080" b="12700"/>
            <wp:wrapTopAndBottom/>
            <wp:docPr id="140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67.91万元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教育（类）</w:t>
      </w:r>
      <w:r>
        <w:rPr>
          <w:rStyle w:val="14"/>
          <w:rFonts w:hint="eastAsia" w:ascii="仿宋" w:hAnsi="仿宋" w:eastAsia="仿宋"/>
          <w:bCs/>
          <w:color w:val="000000"/>
          <w:sz w:val="32"/>
          <w:szCs w:val="32"/>
          <w:lang w:val="en-US" w:eastAsia="zh-CN"/>
        </w:rPr>
        <w:t>08</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01</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53.02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按照预算控制支出</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05</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05、06</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7.95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按照预算控制支出</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val="en-US" w:eastAsia="zh-CN"/>
        </w:rPr>
        <w:t>11</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02</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按照预算控制支出</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4.住房保障（类）02（款）01（项）：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5.04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按照预算控制支出。</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60.41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55.69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4.74</w:t>
      </w:r>
      <w:r>
        <w:rPr>
          <w:rFonts w:hint="eastAsia" w:ascii="仿宋" w:hAnsi="仿宋" w:eastAsia="仿宋"/>
          <w:color w:val="000000"/>
          <w:sz w:val="32"/>
          <w:szCs w:val="32"/>
        </w:rPr>
        <w:t>万元，主要包括：办公费、印刷费、咨询费、手续费、水费、电费、邮电费、取暖费、差旅费、维修（护）费、租赁费、会议费、培训费、劳务费、委托业务费、工会经费、福利费、公务用车运行维护费、其他交通费、税金及附加费用、其他商品和服务支出、办公设备购置、专用设备购置、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2.64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88.00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Style w:val="14"/>
          <w:rFonts w:hint="eastAsia" w:ascii="仿宋" w:hAnsi="仿宋" w:eastAsia="仿宋"/>
          <w:b w:val="0"/>
          <w:bCs/>
          <w:color w:val="000000"/>
          <w:sz w:val="32"/>
          <w:szCs w:val="32"/>
          <w:lang w:eastAsia="zh-CN"/>
        </w:rPr>
        <w:t>按照预算控制支出</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30" w:firstLineChars="300"/>
        <w:rPr>
          <w:rFonts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525145</wp:posOffset>
            </wp:positionH>
            <wp:positionV relativeFrom="paragraph">
              <wp:posOffset>88900</wp:posOffset>
            </wp:positionV>
            <wp:extent cx="3392170" cy="1525270"/>
            <wp:effectExtent l="4445" t="4445" r="13335" b="13335"/>
            <wp:wrapTopAndBottom/>
            <wp:docPr id="140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2.64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2.02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326.59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教育信息化建设工作量增加，下乡使用公务车增加。</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其他公务用车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2.64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教育信息化、教育装备管理</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3" w:firstLineChars="200"/>
        <w:rPr>
          <w:rFonts w:hint="eastAsia" w:ascii="黑体"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w:t>
      </w:r>
      <w:bookmarkStart w:id="46" w:name="_Toc15396610"/>
      <w:bookmarkStart w:id="47" w:name="_Toc15377218"/>
      <w:r>
        <w:rPr>
          <w:rFonts w:hint="eastAsia" w:ascii="仿宋_GB2312" w:eastAsia="仿宋_GB2312"/>
          <w:color w:val="000000"/>
          <w:sz w:val="32"/>
          <w:szCs w:val="32"/>
          <w:lang w:eastAsia="zh-CN"/>
        </w:rPr>
        <w:t>元。</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 w:hAnsi="仿宋" w:eastAsia="仿宋_GB2312"/>
          <w:b/>
          <w:color w:val="FF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峨眉山市教育技术装备站</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峨眉山市教育技术装备站</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峨眉山市教育技术装备站</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1辆。</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教育信息化、教育装备管理，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初中毕业生升学实验操作考试考务费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以及教育信息化建设项目工作经费</w:t>
      </w:r>
      <w:r>
        <w:rPr>
          <w:rFonts w:hint="eastAsia" w:ascii="仿宋_GB2312" w:hAnsi="仿宋_GB2312" w:eastAsia="仿宋_GB2312" w:cs="仿宋_GB2312"/>
          <w:sz w:val="32"/>
          <w:szCs w:val="32"/>
          <w:lang w:val="en-US" w:eastAsia="zh-CN"/>
        </w:rPr>
        <w:t>2个项目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项目编制了绩效目标，预算执行过程中，选取</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eastAsia="zh-CN"/>
        </w:rPr>
        <w:t>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按照相关部门要求按时完成该项工作。</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数量指标、质量指标、社会效益指标、服务对象满意度指标均已完成。</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教育信息化建设工作经费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初中毕业生升学实验操作考试考务费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教育信息化建设工作经费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%。通过项目实施，2019年，峨眉山市通过峨眉山市16所学校一体机更换和峨眉二小智慧校园建设，保障教育信息化工作按照既定的要求顺利完成，促进了峨眉教育信息化建设。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初中毕业生升学实验操作考试考务费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2019年峨眉山市初中毕业生升学实验操作考试工作安全、有序、无差错的完成，师生满意度高。</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初中毕业生升学实验操作考试考务费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峨眉山市教育技术装备站</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0.8万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0.8万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0.8万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0.8万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安全有序无差错的完成</w:t>
            </w:r>
            <w:r>
              <w:rPr>
                <w:rFonts w:hint="eastAsia" w:ascii="宋体" w:hAnsi="宋体" w:cs="宋体"/>
                <w:color w:val="000000"/>
                <w:sz w:val="24"/>
                <w:lang w:val="en-US" w:eastAsia="zh-CN"/>
              </w:rPr>
              <w:t>2019年初中毕业生升学实验操作考试工作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中考报名人数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中考报名人数</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上报数据差错率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按照上级文件规定完成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按照上级文件规定完成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实验仪器器材损耗率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低于</w:t>
            </w:r>
            <w:r>
              <w:rPr>
                <w:rFonts w:hint="eastAsia" w:ascii="宋体" w:hAnsi="宋体" w:cs="宋体"/>
                <w:color w:val="000000"/>
                <w:sz w:val="24"/>
                <w:lang w:val="en-US" w:eastAsia="zh-CN"/>
              </w:rPr>
              <w:t>60%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低于</w:t>
            </w:r>
            <w:r>
              <w:rPr>
                <w:rFonts w:hint="eastAsia" w:ascii="宋体" w:hAnsi="宋体" w:cs="宋体"/>
                <w:color w:val="000000"/>
                <w:sz w:val="24"/>
                <w:lang w:val="en-US" w:eastAsia="zh-CN"/>
              </w:rPr>
              <w:t>60%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考试效率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考试效率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考试效率安全、有序、公平、公正</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无反应无投诉社会满意</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考试效果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考试效果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学生技能有所提高</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师生满意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没有纠纷师生满意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教育信息化建设项目工作费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峨眉山市教育技术装备站</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6.7万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6.7万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6.7万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6.7万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2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 xml:space="preserve">   </w:t>
            </w:r>
            <w:r>
              <w:rPr>
                <w:rFonts w:hint="eastAsia" w:ascii="宋体" w:hAnsi="宋体" w:cs="宋体"/>
                <w:color w:val="000000"/>
                <w:sz w:val="24"/>
                <w:lang w:eastAsia="zh-CN"/>
              </w:rPr>
              <w:t>安全有序的推进峨眉二小智慧校园建设及峨眉一小等</w:t>
            </w:r>
            <w:r>
              <w:rPr>
                <w:rFonts w:hint="eastAsia" w:ascii="宋体" w:hAnsi="宋体" w:cs="宋体"/>
                <w:color w:val="000000"/>
                <w:sz w:val="24"/>
                <w:lang w:val="en-US" w:eastAsia="zh-CN"/>
              </w:rPr>
              <w:t>16所学校液晶交互式一体机更换工作。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更换液晶交互式一体机</w:t>
            </w:r>
            <w:r>
              <w:rPr>
                <w:rFonts w:hint="eastAsia" w:ascii="宋体" w:hAnsi="宋体" w:cs="宋体"/>
                <w:color w:val="000000"/>
                <w:sz w:val="24"/>
                <w:lang w:val="en-US" w:eastAsia="zh-CN"/>
              </w:rPr>
              <w:t>212套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更换液晶交互式一体机</w:t>
            </w:r>
            <w:r>
              <w:rPr>
                <w:rFonts w:hint="eastAsia" w:ascii="宋体" w:hAnsi="宋体" w:cs="宋体"/>
                <w:color w:val="000000"/>
                <w:sz w:val="24"/>
                <w:lang w:val="en-US" w:eastAsia="zh-CN"/>
              </w:rPr>
              <w:t>212套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更换液晶交互式一体机</w:t>
            </w:r>
            <w:r>
              <w:rPr>
                <w:rFonts w:hint="eastAsia" w:ascii="宋体" w:hAnsi="宋体" w:cs="宋体"/>
                <w:color w:val="000000"/>
                <w:sz w:val="24"/>
                <w:lang w:val="en-US" w:eastAsia="zh-CN"/>
              </w:rPr>
              <w:t>212套</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峨眉二小智慧校园建设初步达到四川省智慧校园建设标准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eastAsia="zh-CN"/>
              </w:rPr>
              <w:t>峨眉二小智慧校园建设初步达到四川省智慧校园建设标准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峨眉二小智慧校园建设初步达到四川省智慧校园建设标准</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实效指标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2019年12月</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无反应无投诉社会满意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师生满意度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师生满意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没有纠纷师生满意</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峨眉山市教育技术装备站</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hint="default" w:ascii="仿宋_GB2312" w:eastAsia="仿宋_GB2312"/>
          <w:b/>
          <w:color w:val="000000"/>
          <w:sz w:val="32"/>
          <w:szCs w:val="32"/>
          <w:lang w:val="en-US" w:eastAsia="zh-CN"/>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初中毕业生升学实验操作考试考务费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初中毕业生升学实验操作考试考务费</w:t>
      </w:r>
      <w:r>
        <w:rPr>
          <w:rFonts w:hint="eastAsia" w:ascii="仿宋_GB2312" w:hAnsi="仿宋_GB2312" w:eastAsia="仿宋_GB2312" w:cs="仿宋_GB2312"/>
          <w:sz w:val="32"/>
          <w:szCs w:val="32"/>
        </w:rPr>
        <w:t>项目2019年绩效评价报告》见附件（附件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教育支出（类）教育管理事务（款）行政运行（项）:指反映行政单位（包括实行公务员管理的事业单位）的基本支出。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.社会保障和就业支出（类）抚恤（款）其他优抚支出（项）:指反映除上述项目以外其他用于优抚方面的支出。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 xml:space="preserve">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34</w:t>
      </w:r>
      <w:r>
        <w:rPr>
          <w:rFonts w:hint="eastAsia" w:ascii="仿宋_GB2312" w:eastAsia="仿宋_GB2312"/>
          <w:color w:val="000000"/>
          <w:sz w:val="32"/>
          <w:szCs w:val="32"/>
        </w:rPr>
        <w:t>.</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35</w:t>
      </w:r>
      <w:r>
        <w:rPr>
          <w:rFonts w:hint="eastAsia" w:ascii="仿宋_GB2312" w:eastAsia="仿宋_GB2312"/>
          <w:color w:val="000000"/>
          <w:sz w:val="32"/>
          <w:szCs w:val="32"/>
        </w:rPr>
        <w:t>.农林水支出（类）扶贫（款）其他扶贫支出（项）：指反映除上述项目以外其他用于扶贫方面的支出。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38</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 xml:space="preserve">.项目支出：指在基本支出之外为完成特定行政任务和事业发展目标所发生的支出。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41</w:t>
      </w:r>
      <w:r>
        <w:rPr>
          <w:rFonts w:hint="eastAsia" w:ascii="仿宋_GB2312" w:eastAsia="仿宋_GB2312"/>
          <w:color w:val="000000"/>
          <w:sz w:val="32"/>
          <w:szCs w:val="32"/>
        </w:rPr>
        <w:t>.经营支出：指事业单位在专业业务活动及其辅助活动之外开展非独立核算经营活动发生的支出。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spacing w:line="600" w:lineRule="exact"/>
        <w:jc w:val="left"/>
        <w:outlineLvl w:val="0"/>
        <w:rPr>
          <w:rFonts w:hint="eastAsia" w:ascii="黑体" w:hAnsi="黑体" w:eastAsia="黑体" w:cs="黑体"/>
          <w:sz w:val="32"/>
          <w:szCs w:val="32"/>
        </w:rPr>
      </w:pPr>
    </w:p>
    <w:p>
      <w:pPr>
        <w:spacing w:line="600" w:lineRule="exact"/>
        <w:jc w:val="center"/>
        <w:rPr>
          <w:rFonts w:ascii="宋体" w:hAnsi="宋体" w:cs="宋体"/>
          <w:b/>
          <w:kern w:val="0"/>
          <w:sz w:val="44"/>
          <w:szCs w:val="44"/>
        </w:rPr>
      </w:pPr>
      <w:r>
        <w:rPr>
          <w:rFonts w:hint="eastAsia" w:ascii="宋体" w:hAnsi="宋体" w:cs="宋体"/>
          <w:b/>
          <w:kern w:val="0"/>
          <w:sz w:val="44"/>
          <w:szCs w:val="44"/>
        </w:rPr>
        <w:t>峨眉山市教育技术装备站</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en-US" w:eastAsia="zh-CN"/>
        </w:rPr>
        <w:t xml:space="preserve"> </w:t>
      </w:r>
      <w:r>
        <w:rPr>
          <w:rFonts w:hint="eastAsia" w:ascii="方正小标宋简体" w:hAnsi="宋体" w:eastAsia="方正小标宋简体"/>
          <w:color w:val="000000"/>
          <w:kern w:val="0"/>
          <w:sz w:val="40"/>
          <w:szCs w:val="44"/>
          <w:lang w:val="zh-CN"/>
        </w:rPr>
        <w:t>整体支出绩效评价报告</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我单位根据《峨眉山财政局关于开展2020年财政支出绩效评价工作的通知》（峨财通[2020]36号）文件要求，结合实际，对我单位部门预算支出绩效组织实施了自评。现将我单位绩效自评结果报告如下：</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概况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（一）机构组成、人员概况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机构组成：我单位属于行政事业单位，没有下设机构。</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人员情况：核定事业编制6名。实际在岗4人，退休人员3人，借用人员1名。</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（二）单位主要职责</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负责全市教育实验室的教学仪器、文体器材的装备，人员培训和管理工作。</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（一）部门财政资金收入情况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本单位决算收入680941.93元，其中：一般公共预算财政拨款预算收入679141.93元。</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（二）部门财政资金支出情况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我单位2019年支出决算数为680941.93元，其中：基本支出605941.93元，项目支出75000元；预算数为680941.93元，其中：基本支出605941.93元，项目支出75000元。支出与预算一致。</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整体预算绩效管理情况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（一）预决算编制情况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严格按照财政部门的要求和实现编制预决算、填报绩效目标和专项项目进度表；2019年收入预算为680,941.93元，其中公共财政预算收入679,141.93元；支出预算数为680,941.93元，其中基本支出605941.93元，项目支出75000元。决算收入与决算支出为680,941.93元</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（二）执行管理情况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全年支出执行良好。</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（三）支出绩效情况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1.部门支出绩效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（1）行政运行保障</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我单位基本支出的范围包括人员经费和日常公用经费，2019年基本支出决算数605941.93元，其中:人员经费558541.93元，日常公用经费47400元。基本支出能够保障管理职责的履行和机构运转。</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（2）单位厉行节约</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2019年因公出国（境）费用、会议费、车辆购置及运行费用和公务接待经费等控制较好。2019年三公经费、会议费、培训费总额27851.47元，较2018年上升。2019年各项费用与2018年对比情况如下：因公出国出境费用无，与2018年相同；公务车运行维护费26431.47元，较2018年的减少20235.52元，上升326.59%；公务接待费0万元，较2018年相同;会议费0元，较2018年减少270元，培训费1420元，较2018年增加1420元.</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2.专项预算项目支出绩效</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（1）资金绩效分配情况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为了确保峨眉山市初中毕业生实验操作考试正常运行，2019年峨眉山市财政局，预算了初中毕业生实验操作考试考务费0.8万元；实际支出8000元。</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为了确保峨眉山市教育信息化发展，2019年峨眉山市财政局，预算了教育信息化建设项目工作经费6.7万元；实际支出67000元。</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（2）项目资金管理情况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所有项目资金的管理都按照相关规定执行，实行专款专用。</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（3）绩效目标完成情况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2019年5月，峨眉山市教育技术装备站按照相关的实施方案组织开展了考试工作。并按照乐山要求准确无误上报考试数据，整个工作做到有序、安全的完成。教育信息化工作按照既定的要求顺利完成。</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（4）财务管理情况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（5）绩效管理工作开展情况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根据《开展2020年财政支出绩效评价工作的通知》（峨财通[2020]36号）文件精神，我单位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通过绩效评价梳理出的问题，将通过座谈的形式传达给相关领导和股室负责人，以便完善。</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（一）评价结论。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我单位部门支出绩效评价得分95 ，具体情况见下表：</w:t>
      </w:r>
    </w:p>
    <w:p>
      <w:pPr>
        <w:widowControl/>
        <w:shd w:val="clear" w:color="auto" w:fill="FFFFFF"/>
        <w:adjustRightInd w:val="0"/>
        <w:snapToGrid w:val="0"/>
        <w:spacing w:line="540" w:lineRule="exact"/>
        <w:ind w:firstLine="555"/>
        <w:jc w:val="left"/>
        <w:outlineLvl w:val="0"/>
        <w:rPr>
          <w:rFonts w:cs="宋体" w:asciiTheme="minorEastAsia" w:hAnsiTheme="minorEastAsia" w:eastAsiaTheme="minorEastAsia"/>
          <w:kern w:val="0"/>
          <w:sz w:val="28"/>
          <w:szCs w:val="28"/>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一级指标</w:t>
            </w:r>
          </w:p>
        </w:tc>
        <w:tc>
          <w:tcPr>
            <w:tcW w:w="2551" w:type="dxa"/>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二级指标</w:t>
            </w:r>
          </w:p>
        </w:tc>
        <w:tc>
          <w:tcPr>
            <w:tcW w:w="2694" w:type="dxa"/>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三级指标</w:t>
            </w:r>
          </w:p>
        </w:tc>
        <w:tc>
          <w:tcPr>
            <w:tcW w:w="850" w:type="dxa"/>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总分</w:t>
            </w:r>
          </w:p>
        </w:tc>
        <w:tc>
          <w:tcPr>
            <w:tcW w:w="901" w:type="dxa"/>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预算编制</w:t>
            </w:r>
          </w:p>
        </w:tc>
        <w:tc>
          <w:tcPr>
            <w:tcW w:w="2551"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报送时效</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基础信息更新</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预算草案报送</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编制质量</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预算编制准确</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预算执行调整</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部门预算审查</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绩效目标</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绩效目标编制</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专项预算提前细化</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预控指标细化</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预算公开</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公开内容</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预算执行</w:t>
            </w: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绩效分配</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项目绩效分配</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执行进度</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6月执行进度</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9月执行进度</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执行进度</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12月执行进度</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预算调整</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执行中期评估</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行政成本</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节能降耗</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廉洁行政</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支出绩效</w:t>
            </w:r>
          </w:p>
        </w:tc>
        <w:tc>
          <w:tcPr>
            <w:tcW w:w="2551" w:type="dxa"/>
            <w:vMerge w:val="restart"/>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绩效评价</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部门预算绩效评价</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14</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专项预算项目绩效评价</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14</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决算审查</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部门决算差错率</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决算公开</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公开内容</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结余注销</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结余注销率</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255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绩效管理</w:t>
            </w:r>
          </w:p>
        </w:tc>
        <w:tc>
          <w:tcPr>
            <w:tcW w:w="2694"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工作开展</w:t>
            </w: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合计</w:t>
            </w:r>
          </w:p>
        </w:tc>
        <w:tc>
          <w:tcPr>
            <w:tcW w:w="5245" w:type="dxa"/>
            <w:gridSpan w:val="2"/>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p>
        </w:tc>
        <w:tc>
          <w:tcPr>
            <w:tcW w:w="850"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100</w:t>
            </w:r>
          </w:p>
        </w:tc>
        <w:tc>
          <w:tcPr>
            <w:tcW w:w="901" w:type="dxa"/>
            <w:vAlign w:val="center"/>
          </w:tcPr>
          <w:p>
            <w:pPr>
              <w:widowControl/>
              <w:adjustRightInd w:val="0"/>
              <w:snapToGrid w:val="0"/>
              <w:spacing w:line="540" w:lineRule="exact"/>
              <w:jc w:val="center"/>
              <w:outlineLvl w:val="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95</w:t>
            </w:r>
          </w:p>
        </w:tc>
      </w:tr>
    </w:tbl>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（二）存在问题</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1.预算编制工作有待细化。预算编制不够明确和细化，预算编制的合理性需要提高，预算执行力度还要进一步加强。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2.部门支出相关（基本支出方面）的规章制度还不够完善。</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（三）改进建议</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针对上述存在的问题及对外整体支出管理工作的需要，拟实施的改进措施如下：</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3.对相关人员加强培训，特别是针对《预算法》、《行政事业单位会计制度》等学习培训，规范部门预算收支核算，切实提高部门预算收支管理水平。</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pPr>
        <w:spacing w:line="580" w:lineRule="exact"/>
        <w:ind w:firstLine="2880" w:firstLineChars="900"/>
        <w:rPr>
          <w:rFonts w:hint="eastAsia" w:ascii="仿宋_GB2312" w:eastAsia="仿宋_GB2312"/>
          <w:color w:val="000000"/>
          <w:sz w:val="32"/>
          <w:szCs w:val="32"/>
        </w:rPr>
      </w:pPr>
      <w:r>
        <w:rPr>
          <w:rFonts w:hint="eastAsia" w:ascii="仿宋_GB2312" w:eastAsia="仿宋_GB2312"/>
          <w:color w:val="000000"/>
          <w:sz w:val="32"/>
          <w:szCs w:val="32"/>
        </w:rPr>
        <w:t>峨眉山市教育技术装备站</w:t>
      </w:r>
    </w:p>
    <w:p>
      <w:pPr>
        <w:spacing w:line="580" w:lineRule="exact"/>
        <w:ind w:firstLine="3200" w:firstLineChars="1000"/>
        <w:rPr>
          <w:rFonts w:hint="eastAsia" w:ascii="仿宋_GB2312" w:eastAsia="仿宋_GB2312"/>
          <w:color w:val="000000"/>
          <w:sz w:val="32"/>
          <w:szCs w:val="32"/>
        </w:rPr>
      </w:pPr>
      <w:r>
        <w:rPr>
          <w:rFonts w:hint="eastAsia" w:ascii="仿宋_GB2312" w:eastAsia="仿宋_GB2312"/>
          <w:color w:val="000000"/>
          <w:sz w:val="32"/>
          <w:szCs w:val="32"/>
        </w:rPr>
        <w:t>2020年</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日</w:t>
      </w: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00" w:lineRule="exact"/>
        <w:jc w:val="center"/>
        <w:rPr>
          <w:rFonts w:ascii="宋体" w:hAnsi="宋体"/>
          <w:sz w:val="32"/>
          <w:szCs w:val="32"/>
          <w:lang w:val="zh-CN"/>
        </w:rPr>
      </w:pPr>
      <w:r>
        <w:rPr>
          <w:rFonts w:hint="eastAsia" w:ascii="方正小标宋简体" w:hAnsi="宋体" w:eastAsia="方正小标宋简体"/>
          <w:color w:val="000000"/>
          <w:kern w:val="0"/>
          <w:sz w:val="44"/>
          <w:szCs w:val="44"/>
          <w:lang w:val="zh-CN" w:eastAsia="zh-CN"/>
        </w:rPr>
        <w:t>初中毕业生升学实验操作考试考务费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1．在峨眉山市教育局的领导下，开展初中毕业生升学实验操作考试。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2．该项目是中考的一个组成部分，每年开展一次，考试结果计入当年学生的中考成绩中。</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3．资金管理办法制定和资金分配的原则都为按照实际开展情况按实开支。</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1．项目主要内容。组织全市</w:t>
      </w:r>
      <w:r>
        <w:rPr>
          <w:rFonts w:hint="eastAsia" w:ascii="仿宋_GB2312" w:hAnsi="宋体" w:eastAsia="仿宋_GB2312"/>
          <w:sz w:val="32"/>
          <w:szCs w:val="32"/>
          <w:lang w:val="en-US" w:eastAsia="zh-CN"/>
        </w:rPr>
        <w:t>3000余学生在5至6月开展由一名监考教师只同时监考两名考试的现场操作当场计分的流水式实验操作技能考核，由于学生人数多，需要调动全市相应学科教师，在不影响正常教学的前提下，时间安排在周末，需要支付监考教师等考点工作人员的劳务费、各考点的仪器设备药品的购置费、考场工作人员的工作餐费等</w:t>
      </w:r>
      <w:r>
        <w:rPr>
          <w:rFonts w:hint="eastAsia" w:ascii="仿宋_GB2312" w:hAnsi="宋体" w:eastAsia="仿宋_GB2312"/>
          <w:sz w:val="32"/>
          <w:szCs w:val="32"/>
          <w:lang w:val="zh-CN"/>
        </w:rPr>
        <w:t>。</w:t>
      </w:r>
    </w:p>
    <w:p>
      <w:pPr>
        <w:numPr>
          <w:ilvl w:val="0"/>
          <w:numId w:val="4"/>
        </w:num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项目应实现的具体绩效目标。</w:t>
      </w:r>
      <w:r>
        <w:rPr>
          <w:rFonts w:hint="eastAsia" w:ascii="仿宋_GB2312" w:hAnsi="宋体" w:eastAsia="仿宋_GB2312"/>
          <w:sz w:val="32"/>
          <w:szCs w:val="32"/>
          <w:lang w:val="en-US" w:eastAsia="zh-CN"/>
        </w:rPr>
        <w:t>中考报名学生全部参加本次考试，考试时间和数据上报时间都按照乐山市教育局相关文件要求完成，组织考试过程安全、有序，考试结果公平、公正，社会满意，学生及相应的科任教师满意。</w:t>
      </w:r>
    </w:p>
    <w:p>
      <w:pPr>
        <w:numPr>
          <w:ilvl w:val="0"/>
          <w:numId w:val="4"/>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分析评价申报内容是与实际相符，申报目标是合理可行。该项目为政务专项类项目，对于提供社会对教育的公正、公开性有较好的保障作用。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该项目是常年性的政务专项类项目，进入每年年初预算中。</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1．资金计划和到位。该项目资金</w:t>
      </w:r>
      <w:r>
        <w:rPr>
          <w:rFonts w:hint="eastAsia" w:ascii="仿宋_GB2312" w:hAnsi="宋体" w:eastAsia="仿宋_GB2312"/>
          <w:sz w:val="32"/>
          <w:szCs w:val="32"/>
          <w:lang w:val="en-US" w:eastAsia="zh-CN"/>
        </w:rPr>
        <w:t>0.8万元，2019年4月，本单位指标下达0.8万元。</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2．资金使用。</w:t>
      </w:r>
      <w:r>
        <w:rPr>
          <w:rFonts w:hint="eastAsia" w:ascii="仿宋_GB2312" w:hAnsi="宋体" w:eastAsia="仿宋_GB2312"/>
          <w:sz w:val="32"/>
          <w:szCs w:val="32"/>
          <w:lang w:val="en-US" w:eastAsia="zh-CN"/>
        </w:rPr>
        <w:t>2019年。该项目实际使用资金0.8万元全额用于实验操作考试劳务费、考务需要的材料购置费等考务费中。</w:t>
      </w:r>
      <w:r>
        <w:rPr>
          <w:rFonts w:hint="eastAsia" w:ascii="仿宋_GB2312" w:hAnsi="宋体" w:eastAsia="仿宋_GB2312"/>
          <w:sz w:val="32"/>
          <w:szCs w:val="32"/>
          <w:lang w:val="zh-CN"/>
        </w:rPr>
        <w:t>资金支付范围、支付标准、支付进度、支付依据等是合规合法、与预算相符。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教育技术装备站财务账务体系统一管理和使用，收入支出严格按照《会计法》《行政事业单位计制度》《行政事业单位财务管理制度》《峨眉山市教育技术装备站财务内部控制制度》等财务管理制度执行。通过金算盘软件进行账务处理，支出票据统一由市教育局支付中心审核。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市教育局成立了2019年初中毕业生升学实验操作考试工作领导小组，制定了初中毕业生升学实验操作考试方案，由教育技术装备站负责该项目的实施，按照实施方案进度安排开展相应的工作，对于考务费的名单发放严格与安排表、考勤表一致的原则，发放标准统一，领取人现场签字领取。对于实考考务所需要的材料，采取按实按需购置，实考组购买货比3家选择物美价廉原则。</w:t>
      </w:r>
      <w:r>
        <w:rPr>
          <w:rFonts w:hint="eastAsia" w:ascii="仿宋_GB2312" w:hAnsi="宋体" w:eastAsia="仿宋_GB2312"/>
          <w:sz w:val="32"/>
          <w:szCs w:val="32"/>
          <w:lang w:val="zh-CN"/>
        </w:rPr>
        <w:t>支出票据统一由市教育局支付中心审核。</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 2019年，下达预算指标</w:t>
      </w:r>
      <w:r>
        <w:rPr>
          <w:rFonts w:hint="eastAsia" w:ascii="仿宋_GB2312" w:hAnsi="宋体" w:eastAsia="仿宋_GB2312"/>
          <w:sz w:val="32"/>
          <w:szCs w:val="32"/>
          <w:lang w:val="en-US" w:eastAsia="zh-CN"/>
        </w:rPr>
        <w:t>0.8</w:t>
      </w:r>
      <w:r>
        <w:rPr>
          <w:rFonts w:hint="eastAsia" w:ascii="仿宋_GB2312" w:hAnsi="宋体" w:eastAsia="仿宋_GB2312"/>
          <w:sz w:val="32"/>
          <w:szCs w:val="32"/>
          <w:lang w:val="zh-CN"/>
        </w:rPr>
        <w:t>万元</w:t>
      </w:r>
      <w:r>
        <w:rPr>
          <w:rFonts w:hint="eastAsia" w:ascii="仿宋_GB2312" w:eastAsia="仿宋_GB2312"/>
          <w:sz w:val="32"/>
          <w:szCs w:val="32"/>
        </w:rPr>
        <w:t>，</w:t>
      </w:r>
      <w:r>
        <w:rPr>
          <w:rFonts w:hint="eastAsia" w:ascii="仿宋_GB2312" w:eastAsia="仿宋_GB2312"/>
          <w:sz w:val="32"/>
          <w:szCs w:val="32"/>
          <w:lang w:val="en-US" w:eastAsia="zh-CN"/>
        </w:rPr>
        <w:t>2019年11月前</w:t>
      </w:r>
      <w:r>
        <w:rPr>
          <w:rFonts w:hint="eastAsia" w:ascii="仿宋_GB2312" w:eastAsia="仿宋_GB2312"/>
          <w:sz w:val="32"/>
          <w:szCs w:val="32"/>
        </w:rPr>
        <w:t>支付金额</w:t>
      </w:r>
      <w:r>
        <w:rPr>
          <w:rFonts w:hint="eastAsia" w:ascii="仿宋_GB2312" w:hAnsi="宋体" w:eastAsia="仿宋_GB2312"/>
          <w:sz w:val="32"/>
          <w:szCs w:val="32"/>
          <w:lang w:val="en-US" w:eastAsia="zh-CN"/>
        </w:rPr>
        <w:t>0.8</w:t>
      </w:r>
      <w:r>
        <w:rPr>
          <w:rFonts w:hint="eastAsia" w:ascii="仿宋_GB2312" w:hAnsi="宋体" w:eastAsia="仿宋_GB2312"/>
          <w:sz w:val="32"/>
          <w:szCs w:val="32"/>
          <w:lang w:val="zh-CN"/>
        </w:rPr>
        <w:t>万元。数量指标、质量指标、实效指标、成本指标均完成预期目标。预算指标和资金拨付均按计划实施。资金拨付进度、拨付总额达到预期安排，项目完成情况较好，完成率100%。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项目实施全面完成了</w:t>
      </w:r>
      <w:r>
        <w:rPr>
          <w:rFonts w:hint="eastAsia" w:ascii="仿宋_GB2312" w:hAnsi="宋体" w:eastAsia="仿宋_GB2312"/>
          <w:sz w:val="32"/>
          <w:szCs w:val="32"/>
          <w:lang w:val="zh-CN"/>
        </w:rPr>
        <w:t>我市</w:t>
      </w:r>
      <w:r>
        <w:rPr>
          <w:rFonts w:hint="eastAsia" w:ascii="仿宋_GB2312" w:hAnsi="宋体" w:eastAsia="仿宋_GB2312"/>
          <w:sz w:val="32"/>
          <w:szCs w:val="32"/>
          <w:lang w:val="en-US" w:eastAsia="zh-CN"/>
        </w:rPr>
        <w:t>初中毕业生升学实验操作考试工作，做到安全有序无差错，社会满意、师生满意。</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安全有序无差错的完成</w:t>
      </w:r>
      <w:r>
        <w:rPr>
          <w:rFonts w:hint="eastAsia" w:ascii="仿宋_GB2312" w:hAnsi="宋体" w:eastAsia="仿宋_GB2312"/>
          <w:sz w:val="32"/>
          <w:szCs w:val="32"/>
          <w:lang w:val="en-US" w:eastAsia="zh-CN"/>
        </w:rPr>
        <w:t>2019年初中毕业生升学实验操作考试工作。</w:t>
      </w:r>
      <w:r>
        <w:rPr>
          <w:rFonts w:hint="eastAsia" w:ascii="仿宋_GB2312" w:hAnsi="宋体" w:eastAsia="仿宋_GB2312"/>
          <w:sz w:val="32"/>
          <w:szCs w:val="32"/>
          <w:lang w:val="zh-CN"/>
        </w:rPr>
        <w:t>这是一个历年开展的项目，工作程序比较成熟，在逐年的工作中不断的改进。</w:t>
      </w:r>
      <w:r>
        <w:rPr>
          <w:rFonts w:hint="eastAsia" w:ascii="仿宋_GB2312" w:hAnsi="宋体" w:eastAsia="仿宋_GB2312"/>
          <w:sz w:val="32"/>
          <w:szCs w:val="32"/>
          <w:lang w:val="zh-CN"/>
        </w:rPr>
        <w:tab/>
      </w:r>
    </w:p>
    <w:p>
      <w:pPr>
        <w:spacing w:line="600" w:lineRule="exact"/>
        <w:ind w:firstLine="2560" w:firstLineChars="800"/>
        <w:rPr>
          <w:rFonts w:hint="eastAsia" w:ascii="仿宋_GB2312" w:hAnsi="宋体" w:eastAsia="仿宋_GB2312"/>
          <w:sz w:val="32"/>
          <w:szCs w:val="32"/>
          <w:lang w:val="zh-CN"/>
        </w:rPr>
      </w:pPr>
      <w:r>
        <w:rPr>
          <w:rFonts w:hint="eastAsia" w:ascii="仿宋_GB2312" w:hAnsi="宋体" w:eastAsia="仿宋_GB2312"/>
          <w:sz w:val="32"/>
          <w:szCs w:val="32"/>
          <w:lang w:val="zh-CN"/>
        </w:rPr>
        <w:t>峨眉山市教育技术装备站</w:t>
      </w:r>
    </w:p>
    <w:p>
      <w:pPr>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2020年10月23日</w:t>
      </w: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bookmarkEnd w:id="73"/>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DD0010"/>
    <w:multiLevelType w:val="singleLevel"/>
    <w:tmpl w:val="2DDD0010"/>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5765"/>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7E1E63"/>
    <w:rsid w:val="0A6F79F9"/>
    <w:rsid w:val="0FBC3F74"/>
    <w:rsid w:val="10C055FF"/>
    <w:rsid w:val="128D54D9"/>
    <w:rsid w:val="1290241F"/>
    <w:rsid w:val="12CE1890"/>
    <w:rsid w:val="130F3023"/>
    <w:rsid w:val="1410537C"/>
    <w:rsid w:val="16BB723D"/>
    <w:rsid w:val="1B012CEF"/>
    <w:rsid w:val="1D292B30"/>
    <w:rsid w:val="231C31A7"/>
    <w:rsid w:val="240371BF"/>
    <w:rsid w:val="259E1B19"/>
    <w:rsid w:val="25D11A2D"/>
    <w:rsid w:val="26F70FA7"/>
    <w:rsid w:val="290B3F6E"/>
    <w:rsid w:val="29FD04D3"/>
    <w:rsid w:val="319F7F4E"/>
    <w:rsid w:val="368E637F"/>
    <w:rsid w:val="3CB54FF5"/>
    <w:rsid w:val="3F795E0E"/>
    <w:rsid w:val="40C91BA8"/>
    <w:rsid w:val="42EC67D1"/>
    <w:rsid w:val="48B15535"/>
    <w:rsid w:val="4AC1353D"/>
    <w:rsid w:val="4ECE2238"/>
    <w:rsid w:val="50D76F1C"/>
    <w:rsid w:val="50ED240B"/>
    <w:rsid w:val="51D90F9B"/>
    <w:rsid w:val="57D73776"/>
    <w:rsid w:val="5E8C2FC9"/>
    <w:rsid w:val="62000A52"/>
    <w:rsid w:val="62B30F59"/>
    <w:rsid w:val="651B317A"/>
    <w:rsid w:val="6930703B"/>
    <w:rsid w:val="6C244198"/>
    <w:rsid w:val="70A476FD"/>
    <w:rsid w:val="72734D90"/>
    <w:rsid w:val="767C768D"/>
    <w:rsid w:val="7A2439BE"/>
    <w:rsid w:val="7AA67685"/>
    <w:rsid w:val="7AF80047"/>
    <w:rsid w:val="7C904B09"/>
    <w:rsid w:val="7E9E027B"/>
    <w:rsid w:val="7F6870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5745;&#36130;\2020\&#20915;&#31639;&#20844;&#24320;\&#35013;&#22791;&#31449;2019&#24180;&#20915;&#31639;&#20844;&#24320;&#36164;&#26009;\&#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5745;&#36130;\2020\&#20915;&#31639;&#20844;&#24320;\2019&#24180;&#25945;&#32946;&#31995;&#32479;&#20915;&#31639;&#20844;&#24320;&#36164;&#26009;\&#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5745;&#36130;\2020\&#20915;&#31639;&#20844;&#24320;\2019&#24180;&#25945;&#32946;&#31995;&#32479;&#20915;&#31639;&#20844;&#24320;&#36164;&#26009;\&#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5745;&#36130;\2020\&#20915;&#31639;&#20844;&#24320;\&#35013;&#22791;&#31449;2019&#24180;&#20915;&#31639;&#20844;&#24320;&#36164;&#26009;\&#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5745;&#36130;\2020\&#20915;&#31639;&#20844;&#24320;\2019&#24180;&#25945;&#32946;&#31995;&#32479;&#20915;&#31639;&#20844;&#24320;&#36164;&#26009;\&#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5745;&#36130;\2020\&#20915;&#31639;&#20844;&#24320;\2019&#24180;&#25945;&#32946;&#31995;&#32479;&#20915;&#31639;&#20844;&#24320;&#36164;&#26009;\&#26032;&#24314;%20Microsoft%20Excel%20&#24037;&#20316;&#34920;(&#20915;&#31639;&#20844;&#24320;&#29992;&#22270;&#6528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5745;&#36130;\2020\&#20915;&#31639;&#20844;&#24320;\2019&#24180;&#25945;&#32946;&#31995;&#32479;&#20915;&#31639;&#20844;&#24320;&#36164;&#26009;\&#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97523416415"/>
          <c:y val="0.0949074074074074"/>
          <c:w val="0.756691538339419"/>
          <c:h val="0.83712962962963"/>
        </c:manualLayout>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工作表(决算公开用图）.xls]Sheet1'!$A$128:$A$131</c:f>
              <c:strCache>
                <c:ptCount val="4"/>
                <c:pt idx="0">
                  <c:v>2018年收、支</c:v>
                </c:pt>
                <c:pt idx="1">
                  <c:v>2019年收、支</c:v>
                </c:pt>
              </c:strCache>
            </c:strRef>
          </c:cat>
          <c:val>
            <c:numRef>
              <c:f>'[新建 Microsoft Excel 工作表(决算公开用图）.xls]Sheet1'!$B$128:$B$131</c:f>
              <c:numCache>
                <c:formatCode>General</c:formatCode>
                <c:ptCount val="4"/>
                <c:pt idx="0">
                  <c:v>69.1</c:v>
                </c:pt>
                <c:pt idx="1">
                  <c:v>68.09</c:v>
                </c:pt>
              </c:numCache>
            </c:numRef>
          </c:val>
        </c:ser>
        <c:dLbls>
          <c:showLegendKey val="0"/>
          <c:showVal val="0"/>
          <c:showCatName val="0"/>
          <c:showSerName val="0"/>
          <c:showPercent val="0"/>
          <c:showBubbleSize val="0"/>
        </c:dLbls>
        <c:gapWidth val="150"/>
        <c:overlap val="100"/>
        <c:axId val="308870045"/>
        <c:axId val="36650529"/>
      </c:barChart>
      <c:catAx>
        <c:axId val="30887004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50529"/>
        <c:crosses val="autoZero"/>
        <c:auto val="1"/>
        <c:lblAlgn val="ctr"/>
        <c:lblOffset val="100"/>
        <c:noMultiLvlLbl val="0"/>
      </c:catAx>
      <c:valAx>
        <c:axId val="366505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887004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'[新建 Microsoft Excel 工作表(决算公开用图）.xls]Sheet1'!$B$2:$B$8</c:f>
              <c:numCache>
                <c:formatCode>General</c:formatCode>
                <c:ptCount val="7"/>
                <c:pt idx="0">
                  <c:v>67.91</c:v>
                </c:pt>
                <c:pt idx="1">
                  <c:v>0</c:v>
                </c:pt>
                <c:pt idx="2">
                  <c:v>0</c:v>
                </c:pt>
                <c:pt idx="3">
                  <c:v>0</c:v>
                </c:pt>
                <c:pt idx="4">
                  <c:v>0</c:v>
                </c:pt>
                <c:pt idx="5">
                  <c:v>0</c:v>
                </c:pt>
                <c:pt idx="6">
                  <c:v>0.18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工作表(决算公开用图）.xls]Sheet1'!$A$18:$A$22</c:f>
              <c:strCache>
                <c:ptCount val="5"/>
                <c:pt idx="0">
                  <c:v>基本支出</c:v>
                </c:pt>
                <c:pt idx="1">
                  <c:v>项目支出</c:v>
                </c:pt>
                <c:pt idx="2">
                  <c:v>上缴上级支出</c:v>
                </c:pt>
                <c:pt idx="3">
                  <c:v>经营支出</c:v>
                </c:pt>
                <c:pt idx="4">
                  <c:v>对附属单位补助支出</c:v>
                </c:pt>
              </c:strCache>
            </c:strRef>
          </c:cat>
          <c:val>
            <c:numRef>
              <c:f>'[新建 Microsoft Excel 工作表(决算公开用图）.xls]Sheet1'!$B$18:$B$22</c:f>
              <c:numCache>
                <c:formatCode>General</c:formatCode>
                <c:ptCount val="5"/>
                <c:pt idx="0">
                  <c:v>60.59</c:v>
                </c:pt>
                <c:pt idx="1">
                  <c:v>7.5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elete val="1"/>
          </c:dLbls>
          <c:cat>
            <c:strRef>
              <c:f>'[新建 Microsoft Excel 工作表(决算公开用图）.xls]Sheet1'!$A$38:$A$39</c:f>
              <c:strCache>
                <c:ptCount val="2"/>
                <c:pt idx="0">
                  <c:v>2019年财政拨款收支</c:v>
                </c:pt>
                <c:pt idx="1">
                  <c:v>2018年财政拨款收支</c:v>
                </c:pt>
              </c:strCache>
            </c:strRef>
          </c:cat>
          <c:val>
            <c:numRef>
              <c:f>'[新建 Microsoft Excel 工作表(决算公开用图）.xls]Sheet1'!$B$38:$B$39</c:f>
              <c:numCache>
                <c:formatCode>General</c:formatCode>
                <c:ptCount val="2"/>
                <c:pt idx="0">
                  <c:v>67.91</c:v>
                </c:pt>
                <c:pt idx="1">
                  <c:v>65.49</c:v>
                </c:pt>
              </c:numCache>
            </c:numRef>
          </c:val>
        </c:ser>
        <c:dLbls>
          <c:showLegendKey val="0"/>
          <c:showVal val="0"/>
          <c:showCatName val="0"/>
          <c:showSerName val="0"/>
          <c:showPercent val="0"/>
          <c:showBubbleSize val="0"/>
        </c:dLbls>
        <c:gapWidth val="150"/>
        <c:overlap val="0"/>
        <c:axId val="157971611"/>
        <c:axId val="731754366"/>
      </c:barChart>
      <c:catAx>
        <c:axId val="157971611"/>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31754366"/>
        <c:crosses val="autoZero"/>
        <c:auto val="1"/>
        <c:lblAlgn val="ctr"/>
        <c:lblOffset val="100"/>
        <c:noMultiLvlLbl val="0"/>
      </c:catAx>
      <c:valAx>
        <c:axId val="73175436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57971611"/>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0458937198066"/>
          <c:y val="0.0417417417417417"/>
          <c:w val="0.888388888888889"/>
          <c:h val="0.837091919425793"/>
        </c:manualLayout>
      </c:layout>
      <c:barChart>
        <c:barDir val="col"/>
        <c:grouping val="stacked"/>
        <c:varyColors val="0"/>
        <c:ser>
          <c:idx val="0"/>
          <c:order val="0"/>
          <c:spPr>
            <a:solidFill>
              <a:schemeClr val="accent1"/>
            </a:solidFill>
            <a:ln>
              <a:noFill/>
            </a:ln>
            <a:effectLst/>
          </c:spPr>
          <c:invertIfNegative val="0"/>
          <c:dLbls>
            <c:delete val="1"/>
          </c:dLbls>
          <c:cat>
            <c:strRef>
              <c:f>'[新建 Microsoft Excel 工作表(决算公开用图）.xls]Sheet1'!$A$59:$A$60</c:f>
              <c:strCache>
                <c:ptCount val="2"/>
                <c:pt idx="0">
                  <c:v>2019年度一般公共预算财政拨款支出</c:v>
                </c:pt>
                <c:pt idx="1">
                  <c:v>2018年度一般公共预算财政拨款支出</c:v>
                </c:pt>
              </c:strCache>
            </c:strRef>
          </c:cat>
          <c:val>
            <c:numRef>
              <c:f>'[新建 Microsoft Excel 工作表(决算公开用图）.xls]Sheet1'!$B$59:$B$60</c:f>
              <c:numCache>
                <c:formatCode>General</c:formatCode>
                <c:ptCount val="2"/>
                <c:pt idx="0">
                  <c:v>67.91</c:v>
                </c:pt>
                <c:pt idx="1" c:formatCode="0.00_ ">
                  <c:v>65.49</c:v>
                </c:pt>
              </c:numCache>
            </c:numRef>
          </c:val>
        </c:ser>
        <c:dLbls>
          <c:showLegendKey val="0"/>
          <c:showVal val="0"/>
          <c:showCatName val="0"/>
          <c:showSerName val="0"/>
          <c:showPercent val="0"/>
          <c:showBubbleSize val="0"/>
        </c:dLbls>
        <c:gapWidth val="150"/>
        <c:overlap val="100"/>
        <c:axId val="616267711"/>
        <c:axId val="365243210"/>
      </c:barChart>
      <c:catAx>
        <c:axId val="6162677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243210"/>
        <c:crosses val="autoZero"/>
        <c:auto val="1"/>
        <c:lblAlgn val="ctr"/>
        <c:lblOffset val="100"/>
        <c:noMultiLvlLbl val="0"/>
      </c:catAx>
      <c:valAx>
        <c:axId val="365243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62677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40751240642955"/>
          <c:y val="0.154020979020978"/>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'[新建 Microsoft Excel 工作表(决算公开用图）.xls]Sheet1'!$B$79:$B$85</c:f>
              <c:numCache>
                <c:formatCode>General</c:formatCode>
                <c:ptCount val="7"/>
                <c:pt idx="0">
                  <c:v>0</c:v>
                </c:pt>
                <c:pt idx="1">
                  <c:v>0</c:v>
                </c:pt>
                <c:pt idx="2">
                  <c:v>53.02</c:v>
                </c:pt>
                <c:pt idx="3">
                  <c:v>7.95</c:v>
                </c:pt>
                <c:pt idx="4">
                  <c:v>1.9</c:v>
                </c:pt>
                <c:pt idx="5">
                  <c:v>0</c:v>
                </c:pt>
                <c:pt idx="6">
                  <c:v>5.04</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25"/>
          <c:y val="0.164"/>
          <c:w val="0.2555"/>
          <c:h val="0.63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Microsoft Excel 工作表(决算公开用图）.xls]Sheet1'!$A$106:$A$108</c:f>
              <c:strCache>
                <c:ptCount val="3"/>
                <c:pt idx="0">
                  <c:v>因公出国（境）费支出决算</c:v>
                </c:pt>
                <c:pt idx="1">
                  <c:v>公务用车购置及运行维护费支出决算</c:v>
                </c:pt>
                <c:pt idx="2">
                  <c:v>公务接待费支出决算</c:v>
                </c:pt>
              </c:strCache>
            </c:strRef>
          </c:cat>
          <c:val>
            <c:numRef>
              <c:f>'[新建 Microsoft Excel 工作表(决算公开用图）.xls]Sheet1'!$B$106:$B$108</c:f>
              <c:numCache>
                <c:formatCode>General</c:formatCode>
                <c:ptCount val="3"/>
                <c:pt idx="0">
                  <c:v>0</c:v>
                </c:pt>
                <c:pt idx="1">
                  <c:v>2.64</c:v>
                </c:pt>
                <c:pt idx="2">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867530597552"/>
          <c:y val="0.285532407407407"/>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30</TotalTime>
  <ScaleCrop>false</ScaleCrop>
  <LinksUpToDate>false</LinksUpToDate>
  <CharactersWithSpaces>8536</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2020-10-21T08:48:00Z</cp:lastPrinted>
  <dcterms:modified xsi:type="dcterms:W3CDTF">2020-10-26T09:17:06Z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