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193"/>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96598"/>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乐山市峨眉山市统计局部门决算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6</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rPr>
          <w:sz w:val="24"/>
        </w:rPr>
        <w:t>………………………………………………………………</w:t>
      </w:r>
      <w:r>
        <w:rPr>
          <w:rFonts w:hint="eastAsia"/>
          <w:sz w:val="24"/>
        </w:rPr>
        <w:t>4</w:t>
      </w:r>
    </w:p>
    <w:p>
      <w:pPr>
        <w:pStyle w:val="11"/>
        <w:adjustRightInd w:val="0"/>
        <w:snapToGrid w:val="0"/>
        <w:spacing w:line="440" w:lineRule="exact"/>
        <w:jc w:val="left"/>
        <w:rPr>
          <w:rFonts w:hint="eastAsia"/>
          <w:sz w:val="24"/>
        </w:rPr>
      </w:pPr>
      <w:r>
        <w:rPr>
          <w:rFonts w:hint="eastAsia"/>
          <w:sz w:val="24"/>
        </w:rPr>
        <w:t>一、基本职能及主要工作…………………………………………………</w:t>
      </w:r>
      <w:r>
        <w:rPr>
          <w:rFonts w:hint="eastAsia"/>
          <w:sz w:val="24"/>
          <w:lang w:val="en-US" w:eastAsia="zh-CN"/>
        </w:rPr>
        <w:t>..</w:t>
      </w:r>
      <w:r>
        <w:rPr>
          <w:rFonts w:hint="eastAsia"/>
          <w:sz w:val="24"/>
        </w:rPr>
        <w:t>4</w:t>
      </w:r>
    </w:p>
    <w:p>
      <w:pPr>
        <w:pStyle w:val="11"/>
        <w:adjustRightInd w:val="0"/>
        <w:snapToGrid w:val="0"/>
        <w:spacing w:line="440" w:lineRule="exact"/>
        <w:jc w:val="left"/>
        <w:rPr>
          <w:rFonts w:hint="eastAsia"/>
          <w:sz w:val="24"/>
        </w:rPr>
      </w:pPr>
      <w:r>
        <w:rPr>
          <w:rFonts w:hint="eastAsia"/>
          <w:sz w:val="24"/>
        </w:rPr>
        <w:t>二、机构设置………………………………………………………………</w:t>
      </w:r>
      <w:r>
        <w:rPr>
          <w:rFonts w:hint="eastAsia"/>
          <w:sz w:val="24"/>
          <w:lang w:val="en-US" w:eastAsia="zh-CN"/>
        </w:rPr>
        <w:t>.</w:t>
      </w:r>
      <w:r>
        <w:rPr>
          <w:rFonts w:hint="eastAsia"/>
          <w:sz w:val="24"/>
        </w:rPr>
        <w:t>10</w:t>
      </w:r>
    </w:p>
    <w:p>
      <w:pPr>
        <w:pStyle w:val="10"/>
        <w:adjustRightInd w:val="0"/>
        <w:snapToGrid w:val="0"/>
        <w:spacing w:before="0" w:line="440" w:lineRule="exact"/>
        <w:jc w:val="left"/>
        <w:rPr>
          <w:sz w:val="24"/>
          <w:szCs w:val="24"/>
        </w:rPr>
      </w:pPr>
      <w:r>
        <w:rPr>
          <w:rFonts w:hint="eastAsia"/>
          <w:sz w:val="24"/>
        </w:rPr>
        <w:t>第二部分度部门决算情况说明</w:t>
      </w:r>
      <w:r>
        <w:rPr>
          <w:sz w:val="24"/>
        </w:rPr>
        <w:t>…………………………………………………</w:t>
      </w:r>
      <w:r>
        <w:rPr>
          <w:rFonts w:hint="eastAsia" w:ascii="Times New Roman" w:hAnsi="Times New Roman" w:eastAsia="宋体"/>
          <w:sz w:val="24"/>
          <w:szCs w:val="24"/>
        </w:rPr>
        <w:t>11</w:t>
      </w:r>
    </w:p>
    <w:p>
      <w:pPr>
        <w:pStyle w:val="11"/>
        <w:adjustRightInd w:val="0"/>
        <w:snapToGrid w:val="0"/>
        <w:spacing w:line="440" w:lineRule="exact"/>
        <w:jc w:val="left"/>
        <w:rPr>
          <w:rFonts w:hint="eastAsia"/>
          <w:sz w:val="24"/>
        </w:rPr>
      </w:pPr>
      <w:r>
        <w:rPr>
          <w:rFonts w:hint="eastAsia"/>
          <w:sz w:val="24"/>
        </w:rPr>
        <w:t>一、收入支出决算总体情况说明…………………………………………11</w:t>
      </w:r>
    </w:p>
    <w:p>
      <w:pPr>
        <w:pStyle w:val="11"/>
        <w:adjustRightInd w:val="0"/>
        <w:snapToGrid w:val="0"/>
        <w:spacing w:line="440" w:lineRule="exact"/>
        <w:jc w:val="left"/>
        <w:rPr>
          <w:rFonts w:hint="eastAsia"/>
          <w:sz w:val="24"/>
        </w:rPr>
      </w:pPr>
      <w:r>
        <w:rPr>
          <w:rFonts w:hint="eastAsia"/>
          <w:sz w:val="24"/>
        </w:rPr>
        <w:t>二、收入决算情况说明……………………………………………………11</w:t>
      </w:r>
    </w:p>
    <w:p>
      <w:pPr>
        <w:pStyle w:val="11"/>
        <w:adjustRightInd w:val="0"/>
        <w:snapToGrid w:val="0"/>
        <w:spacing w:line="440" w:lineRule="exact"/>
        <w:jc w:val="left"/>
        <w:rPr>
          <w:rFonts w:hint="eastAsia"/>
          <w:sz w:val="24"/>
        </w:rPr>
      </w:pPr>
      <w:r>
        <w:rPr>
          <w:rFonts w:hint="eastAsia"/>
          <w:sz w:val="24"/>
        </w:rPr>
        <w:t>三、支出决算情况说明……………………………………………………12</w:t>
      </w:r>
    </w:p>
    <w:p>
      <w:pPr>
        <w:pStyle w:val="11"/>
        <w:adjustRightInd w:val="0"/>
        <w:snapToGrid w:val="0"/>
        <w:spacing w:line="440" w:lineRule="exact"/>
        <w:jc w:val="left"/>
        <w:rPr>
          <w:rFonts w:hint="eastAsia"/>
          <w:sz w:val="24"/>
        </w:rPr>
      </w:pPr>
      <w:r>
        <w:rPr>
          <w:rFonts w:hint="eastAsia"/>
          <w:sz w:val="24"/>
        </w:rPr>
        <w:t>四、财政拨款收入支出决算总体情况说明………………………………12</w:t>
      </w:r>
    </w:p>
    <w:p>
      <w:pPr>
        <w:pStyle w:val="11"/>
        <w:adjustRightInd w:val="0"/>
        <w:snapToGrid w:val="0"/>
        <w:spacing w:line="440" w:lineRule="exact"/>
        <w:jc w:val="left"/>
        <w:rPr>
          <w:rFonts w:hint="eastAsia"/>
          <w:sz w:val="24"/>
        </w:rPr>
      </w:pPr>
      <w:r>
        <w:rPr>
          <w:rFonts w:hint="eastAsia"/>
          <w:sz w:val="24"/>
        </w:rPr>
        <w:t>五、一般公共预算财政拨款支出决算情况说明…………………………13</w:t>
      </w:r>
    </w:p>
    <w:p>
      <w:pPr>
        <w:pStyle w:val="11"/>
        <w:adjustRightInd w:val="0"/>
        <w:snapToGrid w:val="0"/>
        <w:spacing w:line="440" w:lineRule="exact"/>
        <w:jc w:val="left"/>
        <w:rPr>
          <w:rFonts w:hint="eastAsia"/>
          <w:sz w:val="24"/>
        </w:rPr>
      </w:pPr>
      <w:r>
        <w:rPr>
          <w:rFonts w:hint="eastAsia"/>
          <w:sz w:val="24"/>
        </w:rPr>
        <w:t>六、一般公共预算财政拨款基本支出决算情况说明……………………16</w:t>
      </w:r>
    </w:p>
    <w:p>
      <w:pPr>
        <w:pStyle w:val="11"/>
        <w:adjustRightInd w:val="0"/>
        <w:snapToGrid w:val="0"/>
        <w:spacing w:line="440" w:lineRule="exact"/>
        <w:jc w:val="left"/>
        <w:rPr>
          <w:rFonts w:hint="eastAsia"/>
          <w:sz w:val="24"/>
        </w:rPr>
      </w:pPr>
      <w:r>
        <w:rPr>
          <w:rFonts w:hint="eastAsia"/>
          <w:sz w:val="24"/>
        </w:rPr>
        <w:t>七、“三公”经费财政拨款支出决算情况说明……………………………17</w:t>
      </w:r>
    </w:p>
    <w:p>
      <w:pPr>
        <w:pStyle w:val="11"/>
        <w:adjustRightInd w:val="0"/>
        <w:snapToGrid w:val="0"/>
        <w:spacing w:line="440" w:lineRule="exact"/>
        <w:jc w:val="left"/>
        <w:rPr>
          <w:rFonts w:hint="eastAsia"/>
          <w:sz w:val="24"/>
        </w:rPr>
      </w:pPr>
      <w:r>
        <w:rPr>
          <w:rFonts w:hint="eastAsia"/>
          <w:sz w:val="24"/>
        </w:rPr>
        <w:t>八、政府性基金预算支出决算情况说明…………………………………18</w:t>
      </w:r>
    </w:p>
    <w:p>
      <w:pPr>
        <w:pStyle w:val="11"/>
        <w:adjustRightInd w:val="0"/>
        <w:snapToGrid w:val="0"/>
        <w:spacing w:line="440" w:lineRule="exact"/>
        <w:jc w:val="left"/>
        <w:rPr>
          <w:rFonts w:hint="eastAsia"/>
          <w:sz w:val="24"/>
        </w:rPr>
      </w:pPr>
      <w:r>
        <w:rPr>
          <w:rFonts w:hint="eastAsia"/>
          <w:sz w:val="24"/>
        </w:rPr>
        <w:t>九、 国有资本经营预算支出决算情况说明………………………………19</w:t>
      </w:r>
    </w:p>
    <w:p>
      <w:pPr>
        <w:pStyle w:val="11"/>
        <w:adjustRightInd w:val="0"/>
        <w:snapToGrid w:val="0"/>
        <w:spacing w:line="440" w:lineRule="exact"/>
        <w:jc w:val="left"/>
        <w:rPr>
          <w:rFonts w:hint="eastAsia"/>
          <w:sz w:val="24"/>
        </w:rPr>
      </w:pPr>
      <w:r>
        <w:rPr>
          <w:rFonts w:hint="eastAsia"/>
          <w:sz w:val="24"/>
        </w:rPr>
        <w:t>十、其他重要事项的情况说明……………………………………………19</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sz w:val="24"/>
        </w:rPr>
        <w:t>……………………………………………………………</w:t>
      </w:r>
      <w:r>
        <w:rPr>
          <w:rFonts w:hint="eastAsia" w:ascii="Times New Roman" w:hAnsi="Times New Roman" w:eastAsia="宋体"/>
          <w:sz w:val="24"/>
          <w:szCs w:val="24"/>
        </w:rPr>
        <w:t>28</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sz w:val="24"/>
        </w:rPr>
        <w:t>…………………………………………………………………</w:t>
      </w:r>
      <w:r>
        <w:rPr>
          <w:rFonts w:hint="eastAsia" w:ascii="Times New Roman" w:hAnsi="Times New Roman" w:eastAsia="宋体"/>
          <w:sz w:val="24"/>
          <w:szCs w:val="24"/>
        </w:rPr>
        <w:t>32</w:t>
      </w:r>
    </w:p>
    <w:p>
      <w:pPr>
        <w:pStyle w:val="11"/>
        <w:adjustRightInd w:val="0"/>
        <w:snapToGrid w:val="0"/>
        <w:spacing w:line="440" w:lineRule="exact"/>
        <w:jc w:val="left"/>
        <w:rPr>
          <w:rFonts w:hint="eastAsia"/>
          <w:sz w:val="24"/>
        </w:rPr>
      </w:pPr>
      <w:r>
        <w:rPr>
          <w:rFonts w:hint="eastAsia"/>
          <w:sz w:val="24"/>
        </w:rPr>
        <w:t>附件1………………………………………………………………………32</w:t>
      </w:r>
    </w:p>
    <w:p>
      <w:pPr>
        <w:pStyle w:val="11"/>
        <w:adjustRightInd w:val="0"/>
        <w:snapToGrid w:val="0"/>
        <w:spacing w:line="440" w:lineRule="exact"/>
        <w:jc w:val="left"/>
        <w:rPr>
          <w:rFonts w:hint="eastAsia"/>
          <w:sz w:val="24"/>
        </w:rPr>
      </w:pPr>
      <w:r>
        <w:rPr>
          <w:rFonts w:hint="eastAsia"/>
          <w:sz w:val="24"/>
        </w:rPr>
        <w:t>附件2………………………………………………………………………38</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sz w:val="24"/>
        </w:rPr>
        <w:t>…………………………………………………………………</w:t>
      </w:r>
      <w:r>
        <w:rPr>
          <w:rFonts w:hint="eastAsia"/>
          <w:sz w:val="24"/>
          <w:lang w:val="en-US" w:eastAsia="zh-CN"/>
        </w:rPr>
        <w:t>44</w:t>
      </w:r>
    </w:p>
    <w:p>
      <w:pPr>
        <w:pStyle w:val="11"/>
        <w:adjustRightInd w:val="0"/>
        <w:snapToGrid w:val="0"/>
        <w:spacing w:line="440" w:lineRule="exact"/>
        <w:jc w:val="left"/>
        <w:rPr>
          <w:rFonts w:hint="eastAsia"/>
          <w:sz w:val="24"/>
        </w:rPr>
      </w:pPr>
      <w:r>
        <w:rPr>
          <w:rFonts w:hint="eastAsia"/>
          <w:sz w:val="24"/>
        </w:rPr>
        <w:t>一、收入支出决算总表</w:t>
      </w:r>
    </w:p>
    <w:p>
      <w:pPr>
        <w:pStyle w:val="11"/>
        <w:adjustRightInd w:val="0"/>
        <w:snapToGrid w:val="0"/>
        <w:spacing w:line="440" w:lineRule="exact"/>
        <w:jc w:val="left"/>
        <w:rPr>
          <w:rFonts w:hint="eastAsia"/>
          <w:sz w:val="24"/>
        </w:rPr>
      </w:pPr>
      <w:r>
        <w:rPr>
          <w:rFonts w:hint="eastAsia"/>
          <w:sz w:val="24"/>
        </w:rPr>
        <w:t>二、收入决算表</w:t>
      </w:r>
    </w:p>
    <w:p>
      <w:pPr>
        <w:pStyle w:val="11"/>
        <w:adjustRightInd w:val="0"/>
        <w:snapToGrid w:val="0"/>
        <w:spacing w:line="440" w:lineRule="exact"/>
        <w:jc w:val="left"/>
        <w:rPr>
          <w:rFonts w:hint="eastAsia"/>
          <w:sz w:val="24"/>
        </w:rPr>
      </w:pPr>
      <w:r>
        <w:rPr>
          <w:rFonts w:hint="eastAsia"/>
          <w:sz w:val="24"/>
        </w:rPr>
        <w:t>三、支出决算表</w:t>
      </w:r>
    </w:p>
    <w:p>
      <w:pPr>
        <w:pStyle w:val="11"/>
        <w:adjustRightInd w:val="0"/>
        <w:snapToGrid w:val="0"/>
        <w:spacing w:line="440" w:lineRule="exact"/>
        <w:jc w:val="left"/>
        <w:rPr>
          <w:rFonts w:hint="eastAsia"/>
          <w:sz w:val="24"/>
        </w:rPr>
      </w:pPr>
      <w:r>
        <w:rPr>
          <w:rFonts w:hint="eastAsia"/>
          <w:sz w:val="24"/>
        </w:rPr>
        <w:t>四、财政拨款收入支出决算总表</w:t>
      </w:r>
    </w:p>
    <w:p>
      <w:pPr>
        <w:pStyle w:val="11"/>
        <w:adjustRightInd w:val="0"/>
        <w:snapToGrid w:val="0"/>
        <w:spacing w:line="440" w:lineRule="exact"/>
        <w:jc w:val="left"/>
        <w:rPr>
          <w:rFonts w:hint="eastAsia"/>
          <w:sz w:val="24"/>
        </w:rPr>
      </w:pPr>
      <w:r>
        <w:rPr>
          <w:rFonts w:hint="eastAsia"/>
          <w:sz w:val="24"/>
        </w:rPr>
        <w:t>五、财政拨款支出决算明细表</w:t>
      </w:r>
    </w:p>
    <w:p>
      <w:pPr>
        <w:pStyle w:val="11"/>
        <w:adjustRightInd w:val="0"/>
        <w:snapToGrid w:val="0"/>
        <w:spacing w:line="440" w:lineRule="exact"/>
        <w:jc w:val="left"/>
        <w:rPr>
          <w:rFonts w:hint="eastAsia"/>
          <w:sz w:val="24"/>
        </w:rPr>
      </w:pPr>
      <w:r>
        <w:rPr>
          <w:rFonts w:hint="eastAsia"/>
          <w:sz w:val="24"/>
        </w:rPr>
        <w:t>六、一般公共预算财政拨款支出决算表</w:t>
      </w:r>
    </w:p>
    <w:p>
      <w:pPr>
        <w:pStyle w:val="11"/>
        <w:adjustRightInd w:val="0"/>
        <w:snapToGrid w:val="0"/>
        <w:spacing w:line="440" w:lineRule="exact"/>
        <w:jc w:val="left"/>
        <w:rPr>
          <w:rFonts w:hint="eastAsia"/>
          <w:sz w:val="24"/>
        </w:rPr>
      </w:pPr>
      <w:r>
        <w:rPr>
          <w:rFonts w:hint="eastAsia"/>
          <w:sz w:val="24"/>
        </w:rPr>
        <w:t>七、一般公共预算财政拨款支出决算明细表</w:t>
      </w:r>
    </w:p>
    <w:p>
      <w:pPr>
        <w:pStyle w:val="11"/>
        <w:adjustRightInd w:val="0"/>
        <w:snapToGrid w:val="0"/>
        <w:spacing w:line="440" w:lineRule="exact"/>
        <w:jc w:val="left"/>
        <w:rPr>
          <w:rFonts w:hint="eastAsia"/>
          <w:sz w:val="24"/>
        </w:rPr>
      </w:pPr>
      <w:r>
        <w:rPr>
          <w:rFonts w:hint="eastAsia"/>
          <w:sz w:val="24"/>
        </w:rPr>
        <w:t>八、一般公共预算财政拨款基本支出决算表</w:t>
      </w:r>
    </w:p>
    <w:p>
      <w:pPr>
        <w:pStyle w:val="11"/>
        <w:adjustRightInd w:val="0"/>
        <w:snapToGrid w:val="0"/>
        <w:spacing w:line="440" w:lineRule="exact"/>
        <w:jc w:val="left"/>
        <w:rPr>
          <w:rFonts w:hint="eastAsia"/>
          <w:sz w:val="24"/>
        </w:rPr>
      </w:pPr>
      <w:r>
        <w:rPr>
          <w:rFonts w:hint="eastAsia"/>
          <w:sz w:val="24"/>
        </w:rPr>
        <w:t>九、一般公共预算财政拨款项目支出决算表</w:t>
      </w:r>
    </w:p>
    <w:p>
      <w:pPr>
        <w:pStyle w:val="11"/>
        <w:adjustRightInd w:val="0"/>
        <w:snapToGrid w:val="0"/>
        <w:spacing w:line="440" w:lineRule="exact"/>
        <w:jc w:val="left"/>
        <w:rPr>
          <w:rFonts w:hint="eastAsia"/>
          <w:sz w:val="24"/>
        </w:rPr>
      </w:pPr>
      <w:r>
        <w:rPr>
          <w:rFonts w:hint="eastAsia"/>
          <w:sz w:val="24"/>
        </w:rPr>
        <w:t>十、一般公共预算财政拨款“三公”经费支出决算表</w:t>
      </w:r>
    </w:p>
    <w:p>
      <w:pPr>
        <w:pStyle w:val="11"/>
        <w:adjustRightInd w:val="0"/>
        <w:snapToGrid w:val="0"/>
        <w:spacing w:line="440" w:lineRule="exact"/>
        <w:jc w:val="left"/>
        <w:rPr>
          <w:rFonts w:hint="eastAsia"/>
          <w:sz w:val="24"/>
        </w:rPr>
      </w:pPr>
      <w:r>
        <w:rPr>
          <w:rFonts w:hint="eastAsia"/>
          <w:sz w:val="24"/>
        </w:rPr>
        <w:t>十一、政府性基金预算财政拨款收入支出决算表</w:t>
      </w:r>
    </w:p>
    <w:p>
      <w:pPr>
        <w:pStyle w:val="11"/>
        <w:adjustRightInd w:val="0"/>
        <w:snapToGrid w:val="0"/>
        <w:spacing w:line="440" w:lineRule="exact"/>
        <w:jc w:val="left"/>
        <w:rPr>
          <w:rFonts w:hint="eastAsia"/>
          <w:sz w:val="24"/>
        </w:rPr>
      </w:pPr>
      <w:r>
        <w:rPr>
          <w:rFonts w:hint="eastAsia"/>
          <w:sz w:val="24"/>
        </w:rPr>
        <w:t>十二、政府性基金预算财政拨款“三公”经费支出决算表</w:t>
      </w:r>
    </w:p>
    <w:p>
      <w:pPr>
        <w:pStyle w:val="11"/>
        <w:adjustRightInd w:val="0"/>
        <w:snapToGrid w:val="0"/>
        <w:spacing w:line="440" w:lineRule="exact"/>
        <w:jc w:val="left"/>
        <w:rPr>
          <w:rFonts w:hint="eastAsia"/>
          <w:sz w:val="24"/>
        </w:rPr>
      </w:pPr>
      <w:r>
        <w:rPr>
          <w:rFonts w:hint="eastAsia"/>
          <w:sz w:val="24"/>
        </w:rPr>
        <w:t>十三、国有资本经营预算支出决算表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贯彻执行国家统计工作的方针、政策和法律、法规以及统计制度、统计标准；建立健全统计信用体系，组织开展统计执法检查，查处统计违法行为；草拟全市统计规范性文件和统计调查计划；组织领导和协调全市统计工作，负责各乡镇、各部门统计工作目标考核和全社会统计管理。</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2、建立健全全市国民经济核算体系，组织实施全市国民经济核算制度，核算全市地区生产总值，整理提供国民经济核算资料，指导乡镇国民经济核算工作。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组织实施全市农林牧渔业、工业、建筑业、批发和零售业、住宿和餐饮业、房地产业等国民经济行业以及能源、投资、人口、收入、科技、社会发展基本情况、环境基本状况、扩权强县等领域的统计调查，建立全市经济社会发展监测评价制度及指标体系，对重点区域和重要领域实施监测评价，牵头整理和提供全市基本统计资料。</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4、组织实施全市人口、经济、农业普查、重大国情国力专项调查、投入产出调查以及社情民意调查。</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5、建立健全全市统计数据质量审核、监控和评估制度，依法对各乡镇、市级各部门重要统计数据进行审核、监控和评估，组织指导基层统计基础建设。</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6、对全市国民经济、社会发展、科技进步和资源环境等情况进行统计分析和预测，定期发布全市经济社会发展情况的统计信息，提供统计咨询建议和统计信息服务。</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7、负责全市统计信息化管理，建立和管理全市基本单位名录库，管理和维护本级统计数据库系统、统计信息化自动化系统，推进市级部门统计信息共享，指导乡镇统计信息化工作。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8、组织全市统计系统业务培训、统计专业资格考试；指导全市统计专业人才队伍建设，开展统计交流与合作。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9、承办市政府交办的其他事项。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1、抓常规统计监测。狠抓统计数据质量和审核评估，认真组织实施20个专业（专项工作）的各项常规统计调查，及时、准确全面地反映了全市经济社会发展情况。</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抓统计服务。撰写了专题分析和进度分析，向乐山市统计局、两办信调股等上报统计信息，提供数据信息咨询服务，为两办撰写市领导讲话稿等提供写作素材，并编印《统计月报》、《乐山市各市区县及峨眉山市各镇乡主要经济指标》卡片、《峨眉山市2018年国民经济和社会发展统计公报》等</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抓统计联网直报工作。加强对全市一套表联网直报企业的网报监测，严守统计“四条红线”，对每月乐山市统计局通报的企业代报、数据修改、数据异动、工业总产值增长与能耗不匹配等情况高度重视，深入企业查实统计数据、查实问题原因，逐一说明上报。</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抓基本单位名录库建设工作。按月对调查单位信息情况进行变更，严格按照联网直报单位审批入库流程开展月度审批入库工作，加强基本单位名录库的日常维护工作，全面完成第四次全国经济普查信息更新基本单位名录库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普查调查工作。一是组织开展第四次全国经济普查工作，圆满完成了普查各项工作任务。二是组织开展2019人口变动情况抽样调查工作。三是先后组织开展了峨眉山市出租车状况调查、城市卫生状况满意度调查、2019年年度党风廉政建设社会评价和政风行风测评工作。四是全面完成涉及企业的各项调查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统计基础建设工作。一是通过各种方式对各调查单位统计人员进行业务指导，督促指导镇乡、企业切实加强统计工作制度、原始记录、台账和资料管理。二是市政府常务会审议通过并印发了《峨眉山市“四上”企业及投资项目统计规范化建设方案》，组织召开统计调查对象和部门专题培训会进行安排部署。三是为4个新建社区和3个村联通了统计内网，并配置了电脑，现全市联通统计内网的村社达26个，全面实现国家、省、市、县、乡镇、村社六级联网。</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深化统计体制改革工作。启动乡镇统计规范化建设试点，以市政府办下发了《关于印发〈峨眉山市乡镇统计规范化建设改革试点实施方案〉的通知》（峨府办函〔2019〕17号），在符溪镇径山社区试点建立了“统计员之家”，现有统计员30人。</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统计法治工作。一是认真落实会前法制度。市委、市政府通过市委常委会、市政府常务会4次专题学习统计法律法规、中央有关统计文件和各级统计法治会议精神。二是积极推进“法律七进”工作，在中青年干部培训班、“四上”企业和乡镇统计培训会及机关干部会上组织学习统计相关法律规范及文件。三是多形式开展统计法治宣传，利用宣传广告牌、横幅标语、编制和发放统计法律法规宣传资料对统计常识、统计热点问题等进行宣传；四是组织开展统计造假专项整治工作，对全市311个联网直报企业和89个抽样单位开展了实地核实工作，确保统计工作依法依规开展;五是对2家基础工作较薄弱或者数据有差异的企业进行提醒、约谈。</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9、党建工作。一是基层党建工作。认真落实党组主体责任、主要领导“第一责任人”责任和班子成员“一岗双责”，拟定了2019年党建工作要点，常态化制度化开展“两学一</w:t>
      </w:r>
      <w:bookmarkStart w:id="73" w:name="_GoBack"/>
      <w:r>
        <w:rPr>
          <w:rFonts w:hint="eastAsia" w:ascii="仿宋" w:hAnsi="仿宋" w:eastAsia="仿宋"/>
          <w:bCs/>
          <w:color w:val="000000"/>
          <w:sz w:val="32"/>
          <w:szCs w:val="32"/>
        </w:rPr>
        <w:t>做”学习教育，扎实开展“不忘初心、牢记使命”主题教育</w:t>
      </w:r>
      <w:bookmarkEnd w:id="73"/>
      <w:r>
        <w:rPr>
          <w:rFonts w:hint="eastAsia" w:ascii="仿宋" w:hAnsi="仿宋" w:eastAsia="仿宋"/>
          <w:bCs/>
          <w:color w:val="000000"/>
          <w:sz w:val="32"/>
          <w:szCs w:val="32"/>
        </w:rPr>
        <w:t>工作；利用各种方式开展学习教育；圆满完成了支部提前换届工作；全体党员主动按月</w:t>
      </w:r>
      <w:r>
        <w:rPr>
          <w:rFonts w:hint="eastAsia" w:ascii="仿宋" w:hAnsi="仿宋" w:eastAsia="仿宋"/>
          <w:bCs/>
          <w:color w:val="000000"/>
          <w:sz w:val="32"/>
          <w:szCs w:val="32"/>
          <w:lang w:eastAsia="zh-CN"/>
        </w:rPr>
        <w:t>交</w:t>
      </w:r>
      <w:r>
        <w:rPr>
          <w:rFonts w:hint="eastAsia" w:ascii="仿宋" w:hAnsi="仿宋" w:eastAsia="仿宋"/>
          <w:bCs/>
          <w:color w:val="000000"/>
          <w:sz w:val="32"/>
          <w:szCs w:val="32"/>
        </w:rPr>
        <w:t>纳了党费。二是干部队伍建设工作。严格按照“三定”规定和机关事业单位中层干部选拔任用管理工作指导意见配备中层干部，于8月对中层干部进行了调整选任。</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10、党风廉政建设。拟定了《2019年全面从严治党、党风廉政建设和反腐败工作要点》，层层签订《2019年度落实党风廉政建设“一岗双责”主体责任目标责任书》，；开展了专项整治工作，同时签订了相关承诺书；强化监督检查，局党组不定期以各种方式做好廉政警示提醒，严肃开展“赌博敛财”专题整治活动。截至目前，没有发现违反中央八项规定和省市十项规定现象。</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11、脱贫攻坚工作。定期召开党组会研究脱贫攻坚工作中存在的问题，落实工作责任，制定具体措施，积极支持结对帮扶工作，为结对帮扶责任人落实帮扶责任、“第一书记”工作开展提供保障，解决困难和问题；结对干部每月深入到各自结对的贫困户家中走访；抽调专人参与“两不愁、三保障”大排查工作；安排专业人员在全市结对帮扶干部示范培训会上开展收入测算业务培训；组织开展“扶贫日”捐款活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12、大走访大服务”走进群众工作。一是开展“大走访大服务”邀请群众进机关活动；二是开展入户大服务工作，分别于4月底、11月底完成了第一轮和第二轮大走访。</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13、“双创”工作。一是新增公益广告，覆盖整个责任片区；二是开展片区卫生整治，治理小区脏乱差，清理楼道杂物、“牛皮癣”，清理小区绿化带种菜，为小区选址划停车位；三是开展农贸市场专项整治，绿化美化农贸市场的周边环境；四是开展峨眉山市创建四川省文明城市问卷调查入户工作，采取设置宣传点、入户宣传方式进行宣传。</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14、河（湖）长制工作。按河(湖)长制工作要求, 每月至少一次对所负责的河(湖)进行巡查,主动对接责任河（湖）所在的大为镇、峨山镇，做好管理保护工作，通过了河(湖)长办的半年、全年督查，未发现污染等问题。</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15、护山治违工作。组织党员干部学习市委关于护山治违相关文件精神和纪律规定，所有党员签订了书面承诺书。抽调了1名领导（重点人员分流组）和1名干部（茶地村）参加峨眉山景区房屋违建整治工作，圆满完成指挥部交办的各项工作任务。</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16、乡村振兴工作。积极参与四川省实施乡村振兴战略工作先进县创建工作，做好相关数据的统计调查工作。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17、综治、信访、维稳、保密、安全和档案管理等工作。将综治、信访、维稳工作列入重要议事日程，落实了分管领导和责任人，结合“大走访”、结对帮扶工作的开展，对全市扫黑除恶和平安建设满意度测评工作进行宣传；落实专人做好原我单位职工法轮功习练者王萍在重大节日、重大活动期间的稳控工作；会同市交通局妥善处理出租车驾驶员上访事宜。全面完成了2018年本单位档案立卷归档工作，完成了2001年－2010年档案数字化和移交工作。</w:t>
      </w: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960" w:firstLineChars="300"/>
        <w:rPr>
          <w:rFonts w:ascii="仿宋" w:hAnsi="仿宋" w:eastAsia="仿宋"/>
          <w:sz w:val="32"/>
          <w:szCs w:val="32"/>
        </w:rPr>
      </w:pPr>
      <w:r>
        <w:rPr>
          <w:rFonts w:hint="eastAsia" w:ascii="仿宋" w:hAnsi="仿宋" w:eastAsia="仿宋"/>
          <w:sz w:val="32"/>
          <w:szCs w:val="32"/>
        </w:rPr>
        <w:t>峨眉山市统计局属一级预算单位，为行政单位，下属事业单位2个（峨眉山市普查中心、峨眉山市社情民意调查中心），其中参照公务员法管理的事业单位1个，其他事业单位1个，但预算编制未单列。</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无纳入统计局2019年度部门决算编制范围的二级预算单位。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2019年度收、支总计各678.75万元、679.09万元。与2018年相比，收、支总计各增加126.03万元、125.78万元，增长22.80</w:t>
      </w:r>
      <w:r>
        <w:rPr>
          <w:rFonts w:ascii="仿宋" w:hAnsi="仿宋" w:eastAsia="仿宋"/>
          <w:color w:val="000000"/>
          <w:sz w:val="32"/>
          <w:szCs w:val="32"/>
        </w:rPr>
        <w:t>%</w:t>
      </w:r>
      <w:r>
        <w:rPr>
          <w:rFonts w:hint="eastAsia" w:ascii="仿宋" w:hAnsi="仿宋" w:eastAsia="仿宋"/>
          <w:color w:val="000000"/>
          <w:sz w:val="32"/>
          <w:szCs w:val="32"/>
        </w:rPr>
        <w:t>、22.73</w:t>
      </w:r>
      <w:r>
        <w:rPr>
          <w:rFonts w:ascii="仿宋" w:hAnsi="仿宋" w:eastAsia="仿宋"/>
          <w:color w:val="000000"/>
          <w:sz w:val="32"/>
          <w:szCs w:val="32"/>
        </w:rPr>
        <w:t>%</w:t>
      </w:r>
      <w:r>
        <w:rPr>
          <w:rFonts w:hint="eastAsia" w:ascii="仿宋" w:hAnsi="仿宋" w:eastAsia="仿宋"/>
          <w:color w:val="000000"/>
          <w:sz w:val="32"/>
          <w:szCs w:val="32"/>
        </w:rPr>
        <w:t>。主要变动原因是开展第四次全国经济普查，工作经费增加。</w:t>
      </w:r>
    </w:p>
    <w:p>
      <w:pPr>
        <w:spacing w:line="600" w:lineRule="exact"/>
        <w:ind w:firstLine="640" w:firstLineChars="200"/>
        <w:rPr>
          <w:rFonts w:ascii="仿宋" w:hAnsi="仿宋" w:eastAsia="仿宋"/>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drawing>
          <wp:anchor distT="0" distB="0" distL="114300" distR="114300" simplePos="0" relativeHeight="251659264" behindDoc="0" locked="0" layoutInCell="1" allowOverlap="1">
            <wp:simplePos x="0" y="0"/>
            <wp:positionH relativeFrom="margin">
              <wp:align>center</wp:align>
            </wp:positionH>
            <wp:positionV relativeFrom="margin">
              <wp:posOffset>2901950</wp:posOffset>
            </wp:positionV>
            <wp:extent cx="4846955" cy="2329180"/>
            <wp:effectExtent l="19050" t="0" r="0"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
                    <a:srcRect/>
                    <a:stretch>
                      <a:fillRect/>
                    </a:stretch>
                  </pic:blipFill>
                  <pic:spPr>
                    <a:xfrm>
                      <a:off x="0" y="0"/>
                      <a:ext cx="4846955" cy="2329180"/>
                    </a:xfrm>
                    <a:prstGeom prst="rect">
                      <a:avLst/>
                    </a:prstGeom>
                    <a:noFill/>
                    <a:ln w="9525">
                      <a:noFill/>
                      <a:miter lim="800000"/>
                      <a:headEnd/>
                      <a:tailEnd/>
                    </a:ln>
                  </pic:spPr>
                </pic:pic>
              </a:graphicData>
            </a:graphic>
          </wp:anchor>
        </w:drawing>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9年本年收入合计678.75万元，其中：一般公共预算财政拨款收入673.75万元，占99.26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；政府性基金预算财政拨款收入5.00万元，占0.74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0288" behindDoc="0" locked="0" layoutInCell="1" allowOverlap="1">
            <wp:simplePos x="0" y="0"/>
            <wp:positionH relativeFrom="margin">
              <wp:posOffset>172085</wp:posOffset>
            </wp:positionH>
            <wp:positionV relativeFrom="margin">
              <wp:posOffset>-16510</wp:posOffset>
            </wp:positionV>
            <wp:extent cx="4822825" cy="2170430"/>
            <wp:effectExtent l="19050" t="0" r="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7"/>
                    <a:srcRect/>
                    <a:stretch>
                      <a:fillRect/>
                    </a:stretch>
                  </pic:blipFill>
                  <pic:spPr>
                    <a:xfrm>
                      <a:off x="0" y="0"/>
                      <a:ext cx="4822825" cy="2170430"/>
                    </a:xfrm>
                    <a:prstGeom prst="rect">
                      <a:avLst/>
                    </a:prstGeom>
                    <a:noFill/>
                    <a:ln w="9525">
                      <a:noFill/>
                      <a:miter lim="800000"/>
                      <a:headEnd/>
                      <a:tailEnd/>
                    </a:ln>
                  </pic:spPr>
                </pic:pic>
              </a:graphicData>
            </a:graphic>
          </wp:anchor>
        </w:drawing>
      </w: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1312" behindDoc="0" locked="0" layoutInCell="1" allowOverlap="1">
            <wp:simplePos x="0" y="0"/>
            <wp:positionH relativeFrom="margin">
              <wp:posOffset>290830</wp:posOffset>
            </wp:positionH>
            <wp:positionV relativeFrom="margin">
              <wp:posOffset>4531995</wp:posOffset>
            </wp:positionV>
            <wp:extent cx="4846955" cy="2019300"/>
            <wp:effectExtent l="19050" t="0" r="0" b="0"/>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8"/>
                    <a:srcRect/>
                    <a:stretch>
                      <a:fillRect/>
                    </a:stretch>
                  </pic:blipFill>
                  <pic:spPr>
                    <a:xfrm>
                      <a:off x="0" y="0"/>
                      <a:ext cx="4846955" cy="2019300"/>
                    </a:xfrm>
                    <a:prstGeom prst="rect">
                      <a:avLst/>
                    </a:prstGeom>
                    <a:noFill/>
                    <a:ln w="9525">
                      <a:noFill/>
                      <a:miter lim="800000"/>
                      <a:headEnd/>
                      <a:tailEnd/>
                    </a:ln>
                  </pic:spPr>
                </pic:pic>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9年本年支出合计679.09万元，其中：基本支出272.08万元，占40.07</w:t>
      </w:r>
      <w:r>
        <w:rPr>
          <w:rFonts w:ascii="仿宋" w:hAnsi="仿宋" w:eastAsia="仿宋"/>
          <w:color w:val="000000"/>
          <w:sz w:val="32"/>
          <w:szCs w:val="32"/>
        </w:rPr>
        <w:t>%</w:t>
      </w:r>
      <w:r>
        <w:rPr>
          <w:rFonts w:hint="eastAsia" w:ascii="仿宋" w:hAnsi="仿宋" w:eastAsia="仿宋"/>
          <w:color w:val="000000"/>
          <w:sz w:val="32"/>
          <w:szCs w:val="32"/>
        </w:rPr>
        <w:t>；项目支出407.01万元，占59.93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9年财政拨款收、支总计678.75万元。与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8年相比，财政拨款收、支总计各增加126.03万元，增长22.80</w:t>
      </w:r>
      <w:r>
        <w:rPr>
          <w:rFonts w:ascii="仿宋" w:hAnsi="仿宋" w:eastAsia="仿宋"/>
          <w:color w:val="000000"/>
          <w:sz w:val="32"/>
          <w:szCs w:val="32"/>
        </w:rPr>
        <w:t>%</w:t>
      </w:r>
      <w:r>
        <w:rPr>
          <w:rFonts w:hint="eastAsia" w:ascii="仿宋" w:hAnsi="仿宋" w:eastAsia="仿宋"/>
          <w:color w:val="000000"/>
          <w:sz w:val="32"/>
          <w:szCs w:val="32"/>
        </w:rPr>
        <w:t>。主要变动原因是开展第四次全国经济普查，工作经费增加。</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margin">
              <wp:align>center</wp:align>
            </wp:positionH>
            <wp:positionV relativeFrom="margin">
              <wp:align>top</wp:align>
            </wp:positionV>
            <wp:extent cx="4767580" cy="2329815"/>
            <wp:effectExtent l="19050" t="0" r="0" b="0"/>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a:srcRect/>
                    <a:stretch>
                      <a:fillRect/>
                    </a:stretch>
                  </pic:blipFill>
                  <pic:spPr>
                    <a:xfrm>
                      <a:off x="0" y="0"/>
                      <a:ext cx="4767636" cy="2329733"/>
                    </a:xfrm>
                    <a:prstGeom prst="rect">
                      <a:avLst/>
                    </a:prstGeom>
                    <a:noFill/>
                    <a:ln w="9525">
                      <a:noFill/>
                      <a:miter lim="800000"/>
                      <a:headEnd/>
                      <a:tailEnd/>
                    </a:ln>
                  </pic:spPr>
                </pic:pic>
              </a:graphicData>
            </a:graphic>
          </wp:anchor>
        </w:drawing>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3360" behindDoc="0" locked="0" layoutInCell="1" allowOverlap="1">
            <wp:simplePos x="0" y="0"/>
            <wp:positionH relativeFrom="margin">
              <wp:posOffset>187960</wp:posOffset>
            </wp:positionH>
            <wp:positionV relativeFrom="margin">
              <wp:posOffset>5120640</wp:posOffset>
            </wp:positionV>
            <wp:extent cx="4846955" cy="2345055"/>
            <wp:effectExtent l="19050" t="0" r="0" b="0"/>
            <wp:wrapSquare wrapText="bothSides"/>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0"/>
                    <a:srcRect/>
                    <a:stretch>
                      <a:fillRect/>
                    </a:stretch>
                  </pic:blipFill>
                  <pic:spPr>
                    <a:xfrm>
                      <a:off x="0" y="0"/>
                      <a:ext cx="4846955" cy="2345055"/>
                    </a:xfrm>
                    <a:prstGeom prst="rect">
                      <a:avLst/>
                    </a:prstGeom>
                    <a:noFill/>
                    <a:ln w="9525">
                      <a:noFill/>
                      <a:miter lim="800000"/>
                      <a:headEnd/>
                      <a:tailEnd/>
                    </a:ln>
                  </pic:spPr>
                </pic:pic>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9年一般公共预算财政拨款支出673.75万元，占本年支出合计的99.21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8年相比，一般公共预算财政拨款增加238.74万元，增长54.88</w:t>
      </w:r>
      <w:r>
        <w:rPr>
          <w:rFonts w:ascii="仿宋" w:hAnsi="仿宋" w:eastAsia="仿宋"/>
          <w:color w:val="000000"/>
          <w:sz w:val="32"/>
          <w:szCs w:val="32"/>
        </w:rPr>
        <w:t>%</w:t>
      </w:r>
      <w:r>
        <w:rPr>
          <w:rFonts w:hint="eastAsia" w:ascii="仿宋" w:hAnsi="仿宋" w:eastAsia="仿宋"/>
          <w:color w:val="000000"/>
          <w:sz w:val="32"/>
          <w:szCs w:val="32"/>
        </w:rPr>
        <w:t>。主要变动原因是开展第四次全国经济普查，工作经费增加。</w:t>
      </w:r>
    </w:p>
    <w:p>
      <w:pPr>
        <w:spacing w:line="600" w:lineRule="exact"/>
        <w:ind w:firstLine="640" w:firstLineChars="200"/>
        <w:rPr>
          <w:rFonts w:ascii="仿宋" w:hAnsi="仿宋" w:eastAsia="仿宋"/>
          <w:color w:val="000000" w:themeColor="text1"/>
          <w:sz w:val="32"/>
          <w:szCs w:val="32"/>
        </w:rPr>
      </w:pPr>
    </w:p>
    <w:p>
      <w:pPr>
        <w:spacing w:line="600"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政拨款支出673.75万元，主要用于以下方面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支出623.89万元，占92.60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w:t>
      </w:r>
      <w:r>
        <w:rPr>
          <w:rFonts w:hint="eastAsia" w:ascii="仿宋" w:hAnsi="仿宋" w:eastAsia="仿宋"/>
          <w:color w:val="000000" w:themeColor="text1"/>
          <w:sz w:val="32"/>
          <w:szCs w:val="32"/>
        </w:rPr>
        <w:t>支出0万元，占0%；</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支出23.63万元，占3.51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支出5.45万元，占0.81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支出20.78万</w:t>
      </w:r>
      <w:r>
        <w:rPr>
          <w:rFonts w:hint="eastAsia" w:ascii="仿宋" w:hAnsi="仿宋" w:eastAsia="仿宋"/>
          <w:color w:val="000000" w:themeColor="text1"/>
          <w:sz w:val="32"/>
          <w:szCs w:val="32"/>
        </w:rPr>
        <w:drawing>
          <wp:anchor distT="0" distB="0" distL="114300" distR="114300" simplePos="0" relativeHeight="251664384" behindDoc="0" locked="0" layoutInCell="1" allowOverlap="1">
            <wp:simplePos x="0" y="0"/>
            <wp:positionH relativeFrom="margin">
              <wp:posOffset>339090</wp:posOffset>
            </wp:positionH>
            <wp:positionV relativeFrom="margin">
              <wp:posOffset>2520315</wp:posOffset>
            </wp:positionV>
            <wp:extent cx="4697095" cy="2194560"/>
            <wp:effectExtent l="19050" t="0" r="8255" b="0"/>
            <wp:wrapSquare wrapText="bothSides"/>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1"/>
                    <a:srcRect/>
                    <a:stretch>
                      <a:fillRect/>
                    </a:stretch>
                  </pic:blipFill>
                  <pic:spPr>
                    <a:xfrm>
                      <a:off x="0" y="0"/>
                      <a:ext cx="4697095" cy="2194560"/>
                    </a:xfrm>
                    <a:prstGeom prst="rect">
                      <a:avLst/>
                    </a:prstGeom>
                    <a:noFill/>
                    <a:ln w="9525">
                      <a:noFill/>
                      <a:miter lim="800000"/>
                      <a:headEnd/>
                      <a:tailEnd/>
                    </a:ln>
                  </pic:spPr>
                </pic:pic>
              </a:graphicData>
            </a:graphic>
          </wp:anchor>
        </w:drawing>
      </w:r>
      <w:r>
        <w:rPr>
          <w:rFonts w:hint="eastAsia" w:ascii="仿宋" w:hAnsi="仿宋" w:eastAsia="仿宋"/>
          <w:color w:val="000000" w:themeColor="text1"/>
          <w:sz w:val="32"/>
          <w:szCs w:val="32"/>
        </w:rPr>
        <w:t>元，占3.08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2019年一般公共预算支出决算数为673.75</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2"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一般公共服务（类）统计信息事务（款）行政运行（项）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支出决算为202.24万元，完成预算100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一般公共服务（类）统计信息事务（款）信息事务（项）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支出决算为5.00万元，完成预算100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一般公共服务（类）统计信息事务（款）专项统计业务（项）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支出决算为61.17万元，完成预算100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一般公共服务（类）统计信息事务（款）统计管理（项）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支出决算为5.00万元，完成预算100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一般公共服务（类）统计信息事务（款）专项普查活动（项）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支出决算为255.35万元，完成预算100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一般公共服务（类）统计信息事务（款）统计抽样调查（项）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支出决算为56.29万元，完成预算100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一般公共服务（类）统计信息事务（款）事业运行（项）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支出决算为19.64万元，完成预算100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一般公共服务（类）统计信息事务（款）其他统计信息事务支出（项）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支出决算为19.20万元，完成预算100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Fonts w:ascii="仿宋" w:hAnsi="仿宋" w:eastAsia="仿宋"/>
          <w:b/>
          <w:color w:val="000000"/>
          <w:sz w:val="32"/>
          <w:szCs w:val="32"/>
        </w:rPr>
      </w:pPr>
      <w:r>
        <w:rPr>
          <w:rStyle w:val="15"/>
          <w:rFonts w:hint="eastAsia" w:ascii="仿宋" w:hAnsi="仿宋" w:eastAsia="仿宋"/>
          <w:bCs/>
          <w:color w:val="000000"/>
          <w:sz w:val="32"/>
          <w:szCs w:val="32"/>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社会保障和就业（类）行政事业单位离退休（款）机关事业单位基本养老保险缴费支出（项）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支出决算为16.40万元，完成预算100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Fonts w:ascii="仿宋" w:hAnsi="仿宋" w:eastAsia="仿宋"/>
          <w:b/>
          <w:color w:val="000000"/>
          <w:sz w:val="32"/>
          <w:szCs w:val="32"/>
        </w:rPr>
      </w:pPr>
      <w:r>
        <w:rPr>
          <w:rStyle w:val="15"/>
          <w:rFonts w:hint="eastAsia" w:ascii="仿宋" w:hAnsi="仿宋" w:eastAsia="仿宋"/>
          <w:bCs/>
          <w:color w:val="000000"/>
          <w:sz w:val="32"/>
          <w:szCs w:val="32"/>
        </w:rPr>
        <w:t>10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社会保障和就业（类）行政事业单位离退休（款）机关事业单位职业年金缴费支出（项）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支出决算为7.23万元，完成预算100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Fonts w:ascii="仿宋" w:hAnsi="仿宋" w:eastAsia="仿宋"/>
          <w:b/>
          <w:color w:val="000000"/>
          <w:sz w:val="32"/>
          <w:szCs w:val="32"/>
        </w:rPr>
      </w:pPr>
      <w:r>
        <w:rPr>
          <w:rStyle w:val="15"/>
          <w:rFonts w:hint="eastAsia" w:ascii="仿宋" w:hAnsi="仿宋" w:eastAsia="仿宋"/>
          <w:bCs/>
          <w:color w:val="000000"/>
          <w:sz w:val="32"/>
          <w:szCs w:val="32"/>
        </w:rPr>
        <w:t>11</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支出决算为5.45万元，完成预算100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2" w:firstLineChars="200"/>
        <w:rPr>
          <w:rFonts w:ascii="仿宋" w:hAnsi="仿宋" w:eastAsia="仿宋"/>
          <w:b/>
          <w:color w:val="000000"/>
          <w:sz w:val="32"/>
          <w:szCs w:val="32"/>
        </w:rPr>
      </w:pPr>
      <w:r>
        <w:rPr>
          <w:rStyle w:val="15"/>
          <w:rFonts w:hint="eastAsia" w:ascii="仿宋" w:hAnsi="仿宋" w:eastAsia="仿宋"/>
          <w:bCs/>
          <w:color w:val="000000"/>
          <w:sz w:val="32"/>
          <w:szCs w:val="32"/>
        </w:rPr>
        <w:t>12</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5"/>
          <w:rFonts w:hint="eastAsia" w:ascii="仿宋" w:hAnsi="仿宋" w:eastAsia="仿宋"/>
          <w:bCs/>
          <w:color w:val="000000"/>
          <w:sz w:val="32"/>
          <w:szCs w:val="32"/>
        </w:rPr>
        <w:t>（类）住房改革支出（款）住房公积金（项）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支出决算为20.78万元，完成预算100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9年一般公共预算财政拨款基本支出271.74万元，其中：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251.21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20.53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9年“三公”经费财政拨款支出决算为0.66万元，完成预算100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margin">
              <wp:align>center</wp:align>
            </wp:positionH>
            <wp:positionV relativeFrom="margin">
              <wp:posOffset>3554095</wp:posOffset>
            </wp:positionV>
            <wp:extent cx="4711700" cy="193167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srcRect/>
                    <a:stretch>
                      <a:fillRect/>
                    </a:stretch>
                  </pic:blipFill>
                  <pic:spPr>
                    <a:xfrm>
                      <a:off x="0" y="0"/>
                      <a:ext cx="4711700" cy="1931670"/>
                    </a:xfrm>
                    <a:prstGeom prst="rect">
                      <a:avLst/>
                    </a:prstGeom>
                    <a:noFill/>
                    <a:ln w="9525">
                      <a:noFill/>
                      <a:miter lim="800000"/>
                      <a:headEnd/>
                      <a:tailEnd/>
                    </a:ln>
                  </pic:spPr>
                </pic:pic>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；公务用车购置及运行维护费支出决算0.66万元，占100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w:t>
      </w:r>
      <w:r>
        <w:rPr>
          <w:rFonts w:hint="eastAsia" w:ascii="仿宋_GB2312" w:eastAsia="仿宋_GB2312"/>
          <w:color w:val="000000"/>
          <w:sz w:val="32"/>
          <w:szCs w:val="32"/>
        </w:rPr>
        <w:t>8年持平。</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开支内容包括：无。</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0.66万元,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8年减少3.72万元，下降84.93</w:t>
      </w:r>
      <w:r>
        <w:rPr>
          <w:rFonts w:ascii="仿宋_GB2312" w:eastAsia="仿宋_GB2312"/>
          <w:color w:val="000000"/>
          <w:sz w:val="32"/>
          <w:szCs w:val="32"/>
        </w:rPr>
        <w:t>%</w:t>
      </w:r>
      <w:r>
        <w:rPr>
          <w:rFonts w:hint="eastAsia" w:ascii="仿宋_GB2312" w:eastAsia="仿宋_GB2312"/>
          <w:color w:val="000000"/>
          <w:sz w:val="32"/>
          <w:szCs w:val="32"/>
        </w:rPr>
        <w:t>。主要原因是公务车移交市政府办统一管理并报账。</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月底，单位共有公务用车1辆，其中：主要领导干部用车0辆、机要通信用车0辆、应急保障用车0辆、 执法执勤用车0辆、其他用车1辆。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0.66万元。主要用于到上级部门汇报工作、到同级部门衔接工作、到乡镇和企业检查工作等所需的公务用车燃料费、维修费、过路过桥费、保险费等支出。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8年减少2.33万元，下降100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 w:eastAsia="仿宋_GB2312"/>
          <w:sz w:val="32"/>
          <w:szCs w:val="32"/>
        </w:rPr>
        <w:t>厉行节约，减少公务接待支出，</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万元，主要用于执行公务、开展业务活动开支的交通费、住宿费、用餐费等。国内公务接待0批次，0人次（不包括陪同人员），共计支出0万元，具体内容包括：无。</w:t>
      </w:r>
    </w:p>
    <w:p>
      <w:pPr>
        <w:spacing w:line="600" w:lineRule="exact"/>
        <w:ind w:firstLine="642"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9年政府性基金预算拨款支出5.00万元。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9年，统计局机关运行经费支出20.53万元，比</w:t>
      </w:r>
      <w:r>
        <w:rPr>
          <w:rFonts w:ascii="仿宋_GB2312" w:eastAsia="仿宋_GB2312"/>
          <w:color w:val="000000"/>
          <w:sz w:val="32"/>
          <w:szCs w:val="32"/>
        </w:rPr>
        <w:t>201</w:t>
      </w:r>
      <w:r>
        <w:rPr>
          <w:rFonts w:hint="eastAsia" w:ascii="仿宋_GB2312" w:eastAsia="仿宋_GB2312"/>
          <w:color w:val="000000"/>
          <w:sz w:val="32"/>
          <w:szCs w:val="32"/>
        </w:rPr>
        <w:t>8年减少27.88万元，下降57.59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主要原因是坚持厉行节约、反对浪费，减压相关费用。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统计局政府采购支出总额17.00万元，其中：政府采购货物支出0万元、政府采购工程支出0万元、政府采购服务支出17.00万元。主要用于开展党风廉政建设社会评价及走进群众工作社会调查。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，其中：授予小微企业合同金额17.00万元，占政府采购支出总额的100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 统计局共有车辆1辆，其中：主要领导干部用车0辆、机要通信用车0辆、应急保障用车0辆、其他用车1辆，</w:t>
      </w:r>
      <w:r>
        <w:rPr>
          <w:rFonts w:hint="eastAsia" w:ascii="仿宋_GB2312" w:eastAsia="仿宋_GB2312"/>
          <w:color w:val="000000" w:themeColor="text1"/>
          <w:sz w:val="32"/>
          <w:szCs w:val="32"/>
        </w:rPr>
        <w:t>主要是用于</w:t>
      </w:r>
      <w:r>
        <w:rPr>
          <w:rFonts w:hint="eastAsia" w:ascii="仿宋_GB2312" w:eastAsia="仿宋_GB2312"/>
          <w:color w:val="000000"/>
          <w:sz w:val="32"/>
          <w:szCs w:val="32"/>
        </w:rPr>
        <w:t>到上级部门汇报工作、到同级部门衔接工作、到乡镇和企业检查工作</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社情民意调查中心工作、景区三产入库工作、第三产业（服务业）统计工作、农村住户和综合调查、名录库体系建设工作、统计年报会及业务培训、全国</w:t>
      </w:r>
      <w:r>
        <w:rPr>
          <w:rFonts w:hint="eastAsia" w:ascii="仿宋_GB2312" w:hAnsi="仿宋_GB2312" w:eastAsia="仿宋_GB2312" w:cs="仿宋_GB2312"/>
          <w:sz w:val="32"/>
          <w:szCs w:val="32"/>
          <w:lang w:val="en-US" w:eastAsia="zh-CN"/>
        </w:rPr>
        <w:t>5</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人口抽样调查、“四上”企业统计人员补助、“四下”企业统计人员补助、“双创”工作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第四次经济普查项目（项目名称）开展了预算事前绩效评估，对11个项目编制了绩效目标，预算执行过程中，选取11个项目开展绩效监控，年终执行完毕后，对1个项目开展了绩效目标完成情况自评。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本单位按照部门预算编制通知和有关要求，按时完成基础工作，并提交部门预算；在财政部门批复日内向社会公开本部门的“三公”经费、机关运行经费的安排、使用情况；预算执行都达到了执行进度；财务制度健全，制度执行严格，会计核算符合财政局的相关规定，开支标准合理、合法。本部门还自行组织了1个项目支出绩效评价，从评价情况来看，本单位严格执行国家经济普查方案，全面完成普查数据采集上报、数据审核验收和数据质量检查验收等工作，全面摸清了全市第二、三产业家底，客观真实反映全市经济社会发展状况，达到了预期目标。</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本部门在2019年度部门决算中反映“第四次经济普查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“统计年报会及业务培训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“双创工作” “‘四上’企业统计人员补助” “名录库体系建设工作”等5个项目绩效目标实际完成情况。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（1）第四次经济普查项目绩效目标完成情况综述。项目全年</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247.74</w:t>
      </w:r>
      <w:r>
        <w:rPr>
          <w:rFonts w:hint="eastAsia" w:ascii="仿宋_GB2312" w:hAnsi="仿宋_GB2312" w:eastAsia="仿宋_GB2312" w:cs="仿宋_GB2312"/>
          <w:sz w:val="32"/>
          <w:szCs w:val="32"/>
        </w:rPr>
        <w:t>万元，执行数为247.74万元，完成预算的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全市第二三产业全部法人单位、产业活动单位和个体经营户的普查数据收集、录入、审核、上报、评估等工作的完成，发现的主要问题：普查对象支持配合程度不高，普查数据取数难，普查指导员和普查员选聘难，普查顶层设计审核公式不够完善。下一步改进措施：提高两员待遇，确保两员队伍稳定，强化两员培训与管理；强化部门沟通协作，充分发挥行业主管部门作用，强化对行业调查对象的管理督促；完善普查员使用软件的逻辑关系审核。</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第四经济普查</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峨眉山市统计局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247.74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247.74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247.74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247.74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完成全市第二三产业全部法人单位、产业活动单位和个体经营户的普查数据收集、录入、审核、上报、评估等工作。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全</w:t>
            </w:r>
            <w:r>
              <w:rPr>
                <w:rFonts w:ascii="宋体" w:hAnsi="宋体" w:cs="宋体"/>
                <w:color w:val="000000"/>
                <w:sz w:val="24"/>
              </w:rPr>
              <w:t>面完成普查</w:t>
            </w:r>
            <w:r>
              <w:rPr>
                <w:rFonts w:hint="eastAsia" w:ascii="宋体" w:hAnsi="宋体" w:cs="宋体"/>
                <w:color w:val="000000"/>
                <w:sz w:val="24"/>
              </w:rPr>
              <w:t>数据</w:t>
            </w:r>
            <w:r>
              <w:rPr>
                <w:rFonts w:ascii="宋体" w:hAnsi="宋体" w:cs="宋体"/>
                <w:color w:val="000000"/>
                <w:sz w:val="24"/>
              </w:rPr>
              <w:t>采集上报</w:t>
            </w:r>
            <w:r>
              <w:rPr>
                <w:rFonts w:hint="eastAsia" w:ascii="宋体" w:hAnsi="宋体" w:cs="宋体"/>
                <w:color w:val="000000"/>
                <w:sz w:val="24"/>
              </w:rPr>
              <w:t>、数据</w:t>
            </w:r>
            <w:r>
              <w:rPr>
                <w:rFonts w:ascii="宋体" w:hAnsi="宋体" w:cs="宋体"/>
                <w:color w:val="000000"/>
                <w:sz w:val="24"/>
              </w:rPr>
              <w:t>审核验收和数据质量检查验收</w:t>
            </w:r>
            <w:r>
              <w:rPr>
                <w:rFonts w:hint="eastAsia" w:ascii="宋体" w:hAnsi="宋体" w:cs="宋体"/>
                <w:color w:val="000000"/>
                <w:sz w:val="24"/>
              </w:rPr>
              <w:t>等</w:t>
            </w:r>
            <w:r>
              <w:rPr>
                <w:rFonts w:ascii="宋体" w:hAnsi="宋体" w:cs="宋体"/>
                <w:color w:val="000000"/>
                <w:sz w:val="24"/>
              </w:rPr>
              <w:t>工作</w:t>
            </w:r>
            <w:r>
              <w:rPr>
                <w:rFonts w:hint="eastAsia" w:ascii="宋体" w:hAnsi="宋体" w:cs="宋体"/>
                <w:color w:val="000000"/>
                <w:sz w:val="24"/>
              </w:rPr>
              <w:t>。</w:t>
            </w:r>
          </w:p>
        </w:tc>
      </w:tr>
      <w:tr>
        <w:tblPrEx>
          <w:tblCellMar>
            <w:top w:w="0" w:type="dxa"/>
            <w:left w:w="0" w:type="dxa"/>
            <w:bottom w:w="0" w:type="dxa"/>
            <w:right w:w="0" w:type="dxa"/>
          </w:tblCellMar>
        </w:tblPrEx>
        <w:trPr>
          <w:trHeight w:val="794" w:hRule="exac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94" w:hRule="exac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原始数据采集完成预定要求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完成经济普查数据采集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全面完成经济普查数据采集</w:t>
            </w:r>
          </w:p>
        </w:tc>
      </w:tr>
      <w:tr>
        <w:tblPrEx>
          <w:tblCellMar>
            <w:top w:w="0" w:type="dxa"/>
            <w:left w:w="0" w:type="dxa"/>
            <w:bottom w:w="0" w:type="dxa"/>
            <w:right w:w="0" w:type="dxa"/>
          </w:tblCellMar>
        </w:tblPrEx>
        <w:trPr>
          <w:trHeight w:val="794" w:hRule="exac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原始数据采集是否按期完成并报告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按期完成并报告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2019年按期完成经济普查并上报</w:t>
            </w:r>
          </w:p>
        </w:tc>
      </w:tr>
      <w:tr>
        <w:tblPrEx>
          <w:tblCellMar>
            <w:top w:w="0" w:type="dxa"/>
            <w:left w:w="0" w:type="dxa"/>
            <w:bottom w:w="0" w:type="dxa"/>
            <w:right w:w="0" w:type="dxa"/>
          </w:tblCellMar>
        </w:tblPrEx>
        <w:trPr>
          <w:trHeight w:val="794" w:hRule="exac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年内全面完成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年内前面完成原始数据采集并上报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年内前面完成原始数据采集并上报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为科学制定中长期发展规划、推进国家治理体系和治理能力现代化提供科学准确的统计支持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摸清了我市第二、三产业的发展规模、布局和效益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既摸清了我市第二、三产业的发展规模、布局和效益，了解了我市产业组织、产业结构、产业技术、产业形态的现状以及各生产要素的构成，也掌握了全部法人单位资产负债状况和新兴产业发展情况</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通过普查，完善基本单位名录库及部门共建共享、持续维护更新的机制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更新完善名录库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更新完善名录库，2018年末，全市共有从事第二、三产业活动的法人单位3078个，从业人员80357人；产业活动单位3917个；个体经营户23185个</w:t>
            </w:r>
          </w:p>
        </w:tc>
      </w:tr>
    </w:tbl>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计年报会及业务培训项目绩效目标完成情况综述。项目全年预算数5.00万元，执行数为5.00万元，完成预算的100%。通过项目实施，提高了统计人员的业务水平，规范了企业统计工作，确保了统计的数据质量，发现的主要问题：企业统计人员更换频繁，无法确保统计报表数据质量。下一步改进措施：加强统计人员的培训，提高统计数据质量。</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统计年报会及业务培训</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峨眉山市统计局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完成年报会培训任务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召开了统计人员的半年会、年报会，对统计人员进行培训及布置报表任务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半年会和年报会≥1次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半年会和年报会各1次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各专业召开了半年会和年报会各1次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全面提升统计人员业务水平和工作积极性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加强统计人员业务培训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各专业召开统计人员业务培训会，提高统计人员业务水平</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项目是否有益于提高统计数据质量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提高统计数据质量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规范了企业统计工作、确保统计的数据质量</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项目是否有益于统计数据生产环境、传播环境的营造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营造统计数据生产环境、传播环境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讲解了各类统计报表，营造了统计数据的生产环境、传播环境</w:t>
            </w:r>
          </w:p>
        </w:tc>
      </w:tr>
    </w:tbl>
    <w:p>
      <w:pPr>
        <w:spacing w:line="580" w:lineRule="exact"/>
        <w:ind w:left="63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双创工作项目绩效目标完成情况综述。项目全年预算数5.00万元，执行数为5.00万元，完成预算的100%。通过项目实施，提高了市民的文明卫生素质，营造一个管理规范、干净卫生、整洁有序、优美文明的城市环境，发现的主要问题：文明卫生意识不够强。下一步改进措施：进一步加强双创的宣传，开展卫生整治、新增公益广告。</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双创工作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峨眉山市统计局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完成创建四川省文明城市和国家卫生城市工作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开展片区卫生整治、新增公益广告等工作，完成了双创工作</w:t>
            </w:r>
          </w:p>
        </w:tc>
      </w:tr>
      <w:tr>
        <w:tblPrEx>
          <w:tblCellMar>
            <w:top w:w="0" w:type="dxa"/>
            <w:left w:w="0" w:type="dxa"/>
            <w:bottom w:w="0" w:type="dxa"/>
            <w:right w:w="0" w:type="dxa"/>
          </w:tblCellMar>
        </w:tblPrEx>
        <w:trPr>
          <w:trHeight w:val="794"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公益广告制作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新增30余幅公益广告，覆盖整个责任片区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双创效果达到预期目标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开展卫生整治及创建卫生城市宣传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整治了片区卫生，特别是农贸市场；开展了创建卫生城市的设点、入户宣传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群众对城市卫生状况满意率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群众对城市卫生状况满意率达92.34%</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完成群众对城市卫生状况满意度调查工作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开展群众对城市卫生状况满意度调查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2019年9月开展了群众对城市卫生状况满意度的调查</w:t>
            </w:r>
          </w:p>
        </w:tc>
      </w:tr>
    </w:tbl>
    <w:p>
      <w:pPr>
        <w:spacing w:line="580" w:lineRule="exact"/>
        <w:ind w:left="63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（4）“四上”企业统计人员补助项目绩效目标完成情况综述。项目全年</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预算数53.6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万元，执行数为53.63万元，完成预算的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%。通过项目实施，提高了统计人员的工作积极性，发现的主要问题：企业统计人员更换频繁，无法保证统计数据质量。下一步改进措施：加强对统计人员的培训，提高统计数据质量。</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“四上”企业统计人员补助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峨眉山市统计局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53.6</w:t>
            </w:r>
            <w:r>
              <w:rPr>
                <w:rFonts w:hint="eastAsia" w:ascii="宋体" w:hAnsi="宋体" w:cs="宋体"/>
                <w:color w:val="000000"/>
                <w:sz w:val="24"/>
                <w:lang w:val="en-US" w:eastAsia="zh-CN"/>
              </w:rPr>
              <w:t>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53.63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53.6</w:t>
            </w:r>
            <w:r>
              <w:rPr>
                <w:rFonts w:hint="eastAsia" w:ascii="宋体" w:hAnsi="宋体" w:cs="宋体"/>
                <w:color w:val="000000"/>
                <w:sz w:val="24"/>
                <w:lang w:val="en-US" w:eastAsia="zh-CN"/>
              </w:rPr>
              <w:t>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53.63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“四上”企业统计人员补助发放到位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“四上”企业统计人员补助已发放到位</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联网直报率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联网直报率达100%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联网直报率达100%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项目是否有益于提高统计能力建设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提高统计能力建设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提高了统计人员工作积极性和统计能力建设</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项目是否有益于统计数据生产环、传播环境的营造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营造统计数据生产环、传播环境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提高了统计人员工作积极性，营造了统计数据生产环、传播环境</w:t>
            </w:r>
          </w:p>
        </w:tc>
      </w:tr>
    </w:tbl>
    <w:p>
      <w:pPr>
        <w:spacing w:line="580" w:lineRule="exact"/>
        <w:ind w:left="63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（5）名录库体系建设工作项目绩效目标完成情况综述。项目全年</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7.69</w:t>
      </w:r>
      <w:r>
        <w:rPr>
          <w:rFonts w:hint="eastAsia" w:ascii="仿宋_GB2312" w:hAnsi="仿宋_GB2312" w:eastAsia="仿宋_GB2312" w:cs="仿宋_GB2312"/>
          <w:sz w:val="32"/>
          <w:szCs w:val="32"/>
        </w:rPr>
        <w:t>万元，执行数为7.69万元，完成预算的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基本单位名录库的日常维护工作，按月下划调查任务，及时组织人员开展实地入户调查，及时维护更新单位名录信息，发现的主要问题：名录库信息不够准确。下一步改进措施：加强调查人员的培训，及时准确更新单位名录库信息。</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名录库体系建设工作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峨眉山市统计局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7.69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7.69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7.69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7.69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完成名录库入库预定目标任务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完成更新基本单位名录库工作，截至2019年12月31日，全市名录库基本单位4705个，其中：法人单位3667个、产业活动单位1038个；本年新增单位617个。</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原始数据采集完成预定要求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名录库数据采集完成预定要求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企业直报率达100%，数据验收通过率达100%</w:t>
            </w:r>
            <w:r>
              <w:rPr>
                <w:rFonts w:ascii="宋体" w:hAnsi="宋体" w:cs="宋体"/>
                <w:color w:val="000000"/>
                <w:sz w:val="24"/>
              </w:rPr>
              <w:t xml:space="preserve"> </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原始数据采集是否按期完成并报告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名录库数据采集按期完成并报告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按月对调查单位信息情况进行变更；月度和第一批年度入库联网直报单位30个</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数据产品是否按期生成并报告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更新基本名录库信息工作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全面完成第四次全国经济普查信息更新基本单位名录库工作</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本部门按要求对2019年部门整体支出绩效评价情况开展自评，《峨眉山市统计局2019年部门整体支出绩效评价报告》见附件（附件1）。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本部门自行组织对第四次经济普查项目开展了绩效评价，《第四次经济普查项目2019年绩效评价报告》见附件（附件2）。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一般公共服务（类）统计信息事务（款）行政运行（项）：指反映行政单位（包括实行公务员管理的事业单位）的基本支出。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 xml:space="preserve"> 一般公共服务（类）统计信息事务（款）信息事务（项）：指反映国家信息中心和地方各级政府信息中心的支出。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 xml:space="preserve"> 一般公共服务（类）统计信息事务（款）专项统计业务（项）：指反映各级统计机关在日常业务之外开展专项统计工作的支出。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 xml:space="preserve"> 一般公共服务（类）统计信息事务（款）统计管理（项）：指反映统计信息化建设、统计执法、统计人员上岗资格认定、职称考试等方面支出。</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 xml:space="preserve"> 一般公共服务（类）统计信息事务（款）专项普查活动（项）：指反映统计部门开展人口普查、经济普查、农业普查、投入产出调查等周期性普查工作的支出。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 xml:space="preserve"> 一般公共服务（类）统计信息事务（款）统计抽样调查（项）：指反映统计抽样调查队开展各类统计调查工作的支出。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 xml:space="preserve"> 一般公共服务（类）统计信息事务（款）事业运行（项）：指反映事业单位的基本支出，不包括行政单位（包括实行公务员管理的事业单位）后勤服务中心、医务室等附属事业单位。</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 xml:space="preserve"> 一般公共服务（类）统计信息事务（款）其他统计信息事务（项）：指</w:t>
      </w:r>
      <w:r>
        <w:rPr>
          <w:rFonts w:hint="eastAsia" w:ascii="仿宋_GB2312" w:eastAsia="仿宋_GB2312"/>
          <w:sz w:val="32"/>
          <w:szCs w:val="32"/>
        </w:rPr>
        <w:t>反映除上述项目以外的其他统计信息事务支出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17.社会保障和就业（类）行政事业单位离退休（款）机关事业单位基本养老保险缴费支出（项）：指反映机关事业单位实施养老保险制度由单位缴纳的基本养老保险费支出。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18.社会保障和就业（类）行政事业单位离退休（款）机关事业单位职业年金缴费支出（项）：指反映机关事业单位实施养老保险制度由单位实际缴纳的职业年金支出。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行政单位医疗（项）：指反映财政部门集中安排的行政单位基本医疗保险缴费经费，未参加医疗保险的行政单位的公费医疗经费，按国家规定享受离休人员、红军老战士待遇人员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城乡社区（类）国有土地使用权出让收入及对应专项债务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峨眉山市统计局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峨眉山市统计局为市政府工作部门之一，下设办公室（峨眉山市统计执法大队）、综合核算股、工业投资能源股等3个内设股（室）及峨眉山市普查中心、峨眉山市社情民意调查中心等2个下属事业单位。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是贯彻执行国家统计工作的方针、政策和法律、法规以及统计制度、统计标准；建立健全统计信用体系，组织开展统计执法检查，查处统计违法行为；草拟全市统计规范性文件和统计调查计划；组织领导和协调全市统计工作，负责各乡镇、各部门统计工作目标考核和全社会统计管理。二是建立健全全市国民经济核算体系，组织实施全市国民经济核算制度，核算全市地区生产总值，整理提供国民经济核算资料，指导乡镇国民经济核算工作。三是组织实施全市农林牧渔业、工业、建筑业、批发和零售业、住宿和餐饮业、房地产业等国民经济行业以及能源、投资、人口、收入、科技、社会发展基本情况、环境基本状况、扩权强县等领域的统计调查，建立全市经济社会发展监测评价制度及指标体系，对重点区域和重要领域实施监测评价，牵头整理和提供全市基本统计资料。四是组织实施全市人口、经济、农业普查、重大国情国力专项调查、投入产出调查以及社情民意调查。五是建立健全全市统计数据质量审核、监控和评估制度，依法对各乡镇、市级各部门重要统计数据进行审核、监控和评估，组织指导基层统计基础建设。六是对全市国民经济、社会发展、科技进步和资源环境等情况进行统计分析和预测，定期发布全市经济社会发展情况的统计信息，提供统计咨询建议和统计信息服务。七是负责全市统计信息化管理，建立和管理全市基本单位名录库，管理和维护本级统计数据库系统、统计信息化自动化系统，推进市级部门统计信息共享，指导乡镇统计信息化工作。八是组织全市统计系统业务培训、统计专业资格考试；指导全市统计专业人才队伍建设，开展统计交流与合作。九是承办市政府交办的其他事项。</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截止2019年12月31日，我局在岗职工15人，比2018年减少1人，因工作原因调出行政人员3人、调入行政人员2人 。</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2019年，我单位共收入678.75万元，其中财政拨款收入678.75万元，无其他收入。</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2019年，我单位共支出679.08万元，其中:财政拨款支出678.75万元（基本支出271.75万元，项目支出407.00万元），其他支出0.33万元。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1、预决算编制情况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2019年预算于2018年10月着手编制，在充分考虑年度工作计划和相应支出需求、以前年度预算执行情况、以前年度结转和结余情况、资产占有和使用情况等因素的基础上，做到预算编制科学化、精细化。经财政审核、市政府同意，报峨眉山市第十七届人民代表大会第四次会议批准。2019年市财政局下发关于批复2019年部门预算的通知（峨财行函[2019]19号），2019年2月1日我单位在峨眉山市人民政府政务公开网上将2019年预算和三公经费预算进行公开。2019年决算于2020年1月认真按时按要求完成。年末项目支出无结转结余。</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2、执行管理情况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我单位年初预算数684.29万元，调整预算数678.75万元，实际共收入678.75万元，其中财政拨款收入678.75万元，无其他收入。1-6月我单位财政拨款支出399.81万元，预算执行进度为58.43%；1-9月我单位财政拨款支出499.12万元，预算执行进度为72.94%；1-11月我单位财政拨款支出为598.57万元，预算执行进度为87.47%；预算执行进度均达到本单位应达到的执行进度。我单位严格执行《党政机关厉行节约反对浪费条例》，厉行节约，压缩行政成本性支出、严控一般性支出，做到“先有预算、后有支出”，无违规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3.部门支出绩效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报账制度，严格控制一般性行政支出，保障了机关正常运转、正确履行峨眉山市统计局的职能职责，保障了市委、市政府交办任务的顺利及时完成；严格执行《党政机关厉行节约反对浪费条例》，严格派车制度，加强车辆管理，严禁公车私用，严格控制接待陪同人数和接待标准，并节约用水、用电，节能减排。</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4、项目资金管理情况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项目资金的使用符合会计核算的相关规定，资金支付依据和开支标准合规合法，项目实施完成后达到预期的经济和社会效益。</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5、绩效目标完成情况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首先组织开展第四次全国经济普查工作，圆满完成了普查各项工作任务。二是组织开展2019人口变动情况抽样调查、峨眉山市出租车状况调查、城市卫生状况满意度调查、2019年年度党风廉政建设社会评价和政风行风测评，并且全面完成涉及企业的各项调查工作。三是认真组织实施20个专业（专项工作）的各项常规统计调查，及时、准确全面地反映了全市经济社会发展情况。四是抓统计服务，撰写了专题分析和进度分析，向乐山市统计局、两办信调股等上报统计信息，提供数据信息咨询服务。五是加强对企业的网报监测，对乐山市统计局通报情况高度重视，深入企业查实统计数据、查实问题原因，逐一说明上报。六是抓基本单位名录库建设工作，按月进行维护更新、审批入库，全面完成第四次全国经济普查信息更新基本单位名录库工作。七是做好统计基础建设工作，加强对各调查单位统计人员的培训指导，做好统计基础资料；为7个村社联通了统计内网，并配置电脑，现全市联通统计内网的村社达26个，全面实现国家、省、市、县、乡镇、村社六级联网。八是开展统计法治工作，认真落实了会前学法制度，积极推进“法律七进”工作，多形式开展统计法治宣传；组织开展统计造假专项整治工作，对全市311个联网直报企业和89个抽样单位开展了实地核实工作。九是开展脱贫攻坚和大走访大服务”走进群众工作。积极支持结对帮扶工作，为结对帮扶责任人落实帮扶责任、“第一书记”工作开展提供保障，解决困难和问题；开展“大走访大服务”邀请群众进机关活动，并分别于4月底、11月底完成了第一轮和第二轮大走访大服务入户工作。十是开展“双创工作”，营造“双创”氛围，整治片区环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高度重视部门预算支出绩效评价工作，按照峨眉山市财政局《关于开展2020年财政支出绩效评价工作的通知》（峨财通〔2020〕35号）要求，严格对照绩效评价指标体系，认真开展自查，实事求是编写了2020年部门预算支出绩效报告，整体支出绩效评价自评得分为92分。本单位绩效目标已按要求随同2019年部门预算向社会进行了公开，部门支出绩效报告也按要求随同2018年部门决算向社会进行了公开。</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按照部门预算编制通知和有关要求，按时完成基础工作，并提交部门预算；在财政部门批复日内向社会公开本部门的“三公”经费、机关运行经费的安排、使用情况；预算执行都达到了执行进度；财务制度健全，制度执行严格，会计核算符合财政局的相关规定，开支标准合理、合法。</w:t>
      </w:r>
    </w:p>
    <w:p>
      <w:pPr>
        <w:widowControl/>
        <w:adjustRightInd w:val="0"/>
        <w:snapToGrid w:val="0"/>
        <w:spacing w:line="560" w:lineRule="exact"/>
        <w:contextualSpacing/>
        <w:jc w:val="center"/>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lang w:val="zh-CN"/>
        </w:rPr>
        <w:t>部门整体支出绩效评价指标体系自评表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3"/>
        <w:gridCol w:w="2725"/>
        <w:gridCol w:w="1203"/>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Align w:val="center"/>
          </w:tcPr>
          <w:p>
            <w:pPr>
              <w:widowControl/>
              <w:adjustRightInd w:val="0"/>
              <w:snapToGrid w:val="0"/>
              <w:spacing w:line="300" w:lineRule="exact"/>
              <w:contextualSpacing/>
              <w:jc w:val="center"/>
              <w:rPr>
                <w:rFonts w:ascii="仿宋_GB2312" w:hAnsi="宋体" w:cs="宋体"/>
                <w:b/>
                <w:color w:val="000000"/>
                <w:kern w:val="0"/>
                <w:sz w:val="18"/>
                <w:szCs w:val="18"/>
                <w:shd w:val="clear" w:color="auto" w:fill="FFFFFF"/>
                <w:lang w:val="zh-CN"/>
              </w:rPr>
            </w:pPr>
            <w:r>
              <w:rPr>
                <w:rFonts w:hint="eastAsia" w:ascii="仿宋_GB2312" w:hAnsi="宋体" w:cs="宋体"/>
                <w:b/>
                <w:color w:val="000000"/>
                <w:kern w:val="0"/>
                <w:sz w:val="18"/>
                <w:szCs w:val="18"/>
                <w:shd w:val="clear" w:color="auto" w:fill="FFFFFF"/>
                <w:lang w:val="zh-CN"/>
              </w:rPr>
              <w:t>一级指标</w:t>
            </w:r>
          </w:p>
        </w:tc>
        <w:tc>
          <w:tcPr>
            <w:tcW w:w="1835" w:type="dxa"/>
            <w:vAlign w:val="center"/>
          </w:tcPr>
          <w:p>
            <w:pPr>
              <w:widowControl/>
              <w:adjustRightInd w:val="0"/>
              <w:snapToGrid w:val="0"/>
              <w:spacing w:line="300" w:lineRule="exact"/>
              <w:contextualSpacing/>
              <w:jc w:val="center"/>
              <w:rPr>
                <w:rFonts w:ascii="仿宋_GB2312" w:hAnsi="宋体" w:cs="宋体"/>
                <w:b/>
                <w:color w:val="000000"/>
                <w:kern w:val="0"/>
                <w:sz w:val="18"/>
                <w:szCs w:val="18"/>
                <w:shd w:val="clear" w:color="auto" w:fill="FFFFFF"/>
                <w:lang w:val="zh-CN"/>
              </w:rPr>
            </w:pPr>
            <w:r>
              <w:rPr>
                <w:rFonts w:hint="eastAsia" w:ascii="仿宋_GB2312" w:hAnsi="宋体" w:cs="宋体"/>
                <w:b/>
                <w:color w:val="000000"/>
                <w:kern w:val="0"/>
                <w:sz w:val="18"/>
                <w:szCs w:val="18"/>
                <w:shd w:val="clear" w:color="auto" w:fill="FFFFFF"/>
                <w:lang w:val="zh-CN"/>
              </w:rPr>
              <w:t>二级指标</w:t>
            </w:r>
          </w:p>
        </w:tc>
        <w:tc>
          <w:tcPr>
            <w:tcW w:w="2960" w:type="dxa"/>
            <w:vAlign w:val="center"/>
          </w:tcPr>
          <w:p>
            <w:pPr>
              <w:widowControl/>
              <w:adjustRightInd w:val="0"/>
              <w:snapToGrid w:val="0"/>
              <w:spacing w:line="300" w:lineRule="exact"/>
              <w:contextualSpacing/>
              <w:jc w:val="center"/>
              <w:rPr>
                <w:rFonts w:ascii="仿宋_GB2312" w:hAnsi="宋体" w:cs="宋体"/>
                <w:b/>
                <w:color w:val="000000"/>
                <w:kern w:val="0"/>
                <w:sz w:val="18"/>
                <w:szCs w:val="18"/>
                <w:shd w:val="clear" w:color="auto" w:fill="FFFFFF"/>
                <w:lang w:val="zh-CN"/>
              </w:rPr>
            </w:pPr>
            <w:r>
              <w:rPr>
                <w:rFonts w:hint="eastAsia" w:ascii="仿宋_GB2312" w:hAnsi="宋体" w:cs="宋体"/>
                <w:b/>
                <w:color w:val="000000"/>
                <w:kern w:val="0"/>
                <w:sz w:val="18"/>
                <w:szCs w:val="18"/>
                <w:shd w:val="clear" w:color="auto" w:fill="FFFFFF"/>
                <w:lang w:val="zh-CN"/>
              </w:rPr>
              <w:t>三级指标</w:t>
            </w:r>
          </w:p>
        </w:tc>
        <w:tc>
          <w:tcPr>
            <w:tcW w:w="1276" w:type="dxa"/>
            <w:vAlign w:val="center"/>
          </w:tcPr>
          <w:p>
            <w:pPr>
              <w:widowControl/>
              <w:adjustRightInd w:val="0"/>
              <w:snapToGrid w:val="0"/>
              <w:spacing w:line="300" w:lineRule="exact"/>
              <w:contextualSpacing/>
              <w:jc w:val="center"/>
              <w:rPr>
                <w:rFonts w:ascii="仿宋_GB2312" w:hAnsi="宋体" w:cs="宋体"/>
                <w:b/>
                <w:color w:val="000000"/>
                <w:kern w:val="0"/>
                <w:sz w:val="18"/>
                <w:szCs w:val="18"/>
                <w:shd w:val="clear" w:color="auto" w:fill="FFFFFF"/>
                <w:lang w:val="zh-CN"/>
              </w:rPr>
            </w:pPr>
            <w:r>
              <w:rPr>
                <w:rFonts w:hint="eastAsia" w:ascii="仿宋_GB2312" w:hAnsi="宋体" w:cs="宋体"/>
                <w:b/>
                <w:color w:val="000000"/>
                <w:kern w:val="0"/>
                <w:sz w:val="18"/>
                <w:szCs w:val="18"/>
                <w:shd w:val="clear" w:color="auto" w:fill="FFFFFF"/>
                <w:lang w:val="zh-CN"/>
              </w:rPr>
              <w:t>指标</w:t>
            </w:r>
          </w:p>
          <w:p>
            <w:pPr>
              <w:widowControl/>
              <w:adjustRightInd w:val="0"/>
              <w:snapToGrid w:val="0"/>
              <w:spacing w:line="300" w:lineRule="exact"/>
              <w:contextualSpacing/>
              <w:jc w:val="center"/>
              <w:rPr>
                <w:rFonts w:ascii="仿宋_GB2312" w:hAnsi="宋体" w:cs="宋体"/>
                <w:b/>
                <w:color w:val="000000"/>
                <w:kern w:val="0"/>
                <w:sz w:val="18"/>
                <w:szCs w:val="18"/>
                <w:shd w:val="clear" w:color="auto" w:fill="FFFFFF"/>
                <w:lang w:val="zh-CN"/>
              </w:rPr>
            </w:pPr>
            <w:r>
              <w:rPr>
                <w:rFonts w:hint="eastAsia" w:ascii="仿宋_GB2312" w:hAnsi="宋体" w:cs="宋体"/>
                <w:b/>
                <w:color w:val="000000"/>
                <w:kern w:val="0"/>
                <w:sz w:val="18"/>
                <w:szCs w:val="18"/>
                <w:shd w:val="clear" w:color="auto" w:fill="FFFFFF"/>
                <w:lang w:val="zh-CN"/>
              </w:rPr>
              <w:t>分值</w:t>
            </w:r>
          </w:p>
        </w:tc>
        <w:tc>
          <w:tcPr>
            <w:tcW w:w="1269" w:type="dxa"/>
            <w:vAlign w:val="center"/>
          </w:tcPr>
          <w:p>
            <w:pPr>
              <w:widowControl/>
              <w:adjustRightInd w:val="0"/>
              <w:snapToGrid w:val="0"/>
              <w:spacing w:line="300" w:lineRule="exact"/>
              <w:contextualSpacing/>
              <w:jc w:val="center"/>
              <w:rPr>
                <w:rFonts w:ascii="仿宋_GB2312" w:hAnsi="宋体" w:cs="宋体"/>
                <w:b/>
                <w:color w:val="000000"/>
                <w:kern w:val="0"/>
                <w:sz w:val="18"/>
                <w:szCs w:val="18"/>
                <w:shd w:val="clear" w:color="auto" w:fill="FFFFFF"/>
                <w:lang w:val="zh-CN"/>
              </w:rPr>
            </w:pPr>
            <w:r>
              <w:rPr>
                <w:rFonts w:hint="eastAsia" w:ascii="仿宋_GB2312" w:hAnsi="宋体" w:cs="宋体"/>
                <w:b/>
                <w:color w:val="000000"/>
                <w:kern w:val="0"/>
                <w:sz w:val="18"/>
                <w:szCs w:val="18"/>
                <w:shd w:val="clear" w:color="auto" w:fill="FFFFFF"/>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部门预算管理</w:t>
            </w:r>
          </w:p>
        </w:tc>
        <w:tc>
          <w:tcPr>
            <w:tcW w:w="1835"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预算编制</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目标制定</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目标完成</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编制准确</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预算执行</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支出控制</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动态调整</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6</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执行进度</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6</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完成结果</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预算完成</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违规记录</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专项预算管理</w:t>
            </w:r>
          </w:p>
        </w:tc>
        <w:tc>
          <w:tcPr>
            <w:tcW w:w="1835"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项目决策</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程序严密</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3</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规划合理</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3</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结果符合</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2</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项目实施</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分配科学</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2</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分配及时</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2</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完成结果</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预算完成</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3</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实施绩效</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3</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违规记录</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2</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绩效结果应用</w:t>
            </w:r>
          </w:p>
        </w:tc>
        <w:tc>
          <w:tcPr>
            <w:tcW w:w="1835"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自评质量</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自评准确</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信息公开</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目标公开</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自评公开</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restart"/>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整改反馈</w:t>
            </w: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结果整改</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835" w:type="dxa"/>
            <w:vMerge w:val="continue"/>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应用反馈</w:t>
            </w: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总分</w:t>
            </w:r>
          </w:p>
        </w:tc>
        <w:tc>
          <w:tcPr>
            <w:tcW w:w="1835"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2960"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p>
        </w:tc>
        <w:tc>
          <w:tcPr>
            <w:tcW w:w="1276"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100</w:t>
            </w:r>
          </w:p>
        </w:tc>
        <w:tc>
          <w:tcPr>
            <w:tcW w:w="1269" w:type="dxa"/>
            <w:vAlign w:val="center"/>
          </w:tcPr>
          <w:p>
            <w:pPr>
              <w:widowControl/>
              <w:adjustRightInd w:val="0"/>
              <w:snapToGrid w:val="0"/>
              <w:spacing w:line="300" w:lineRule="exact"/>
              <w:contextualSpacing/>
              <w:jc w:val="center"/>
              <w:rPr>
                <w:rFonts w:ascii="仿宋_GB2312" w:hAnsi="宋体" w:cs="宋体"/>
                <w:color w:val="000000"/>
                <w:kern w:val="0"/>
                <w:sz w:val="18"/>
                <w:szCs w:val="18"/>
                <w:shd w:val="clear" w:color="auto" w:fill="FFFFFF"/>
                <w:lang w:val="zh-CN"/>
              </w:rPr>
            </w:pPr>
            <w:r>
              <w:rPr>
                <w:rFonts w:hint="eastAsia" w:ascii="仿宋_GB2312" w:hAnsi="宋体" w:cs="宋体"/>
                <w:color w:val="000000"/>
                <w:kern w:val="0"/>
                <w:sz w:val="18"/>
                <w:szCs w:val="18"/>
                <w:shd w:val="clear" w:color="auto" w:fill="FFFFFF"/>
                <w:lang w:val="zh-CN"/>
              </w:rPr>
              <w:t>92</w:t>
            </w:r>
          </w:p>
        </w:tc>
      </w:tr>
    </w:tbl>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第四次经济普查</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峨眉山市统计局牵头组织开展第四次全国经济普查工作，完成普查数据采集、审核、验收、评估等各项工作任务。2018年2月，本单位以正式文件《峨眉山市统计局关于解决第四次全国经济普查工作经费的请示》（峨统〔2018〕2号）申请第四次全国经济普查工作经费。3月，经市委常委会议研究决定同意该请示，经费总金额控制在500万元以内，并分三个年度纳入财政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本单位严格执行国家经济普查方案，全面完成普查数据采集上报、数据审核验收和数据质量检查验收等工作。并且严格按照《峨眉山市财政局关于批复2019年部门预算的通知》（峨财行函〔2019〕19号）使用此项目经费，全面完成了第四次全国经济普查工作任务，按时足额兑现乡镇工作经费和“两员”劳务费。</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本单位项目自评人员按照项目绩效目标对项目进行审核，项目资金是否按规定支付、乡镇工作经费和“两员”劳务费是否足额及时发放、项目完成情况等，最后形成绩效报告。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2018年2月，本单位以正式文件《峨眉山市统计局关于解决第四次全国经济普查工作经费的请示》（峨统〔2018〕2号）申请第四次全国经济普查工作经费。3月，经市委常委会议研究决定同意该请示，经费总金额控制在500万元以内，并分三个年度纳入财政预算。2019年，此项目财政预算金额3500000.00元，本单位共支出经费2477382.20元，其中财政直接支付各乡镇经费1739650.00元，剩余预算经费1022617.80元由财政收回。</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1．资金计划。</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2019年，第四次经济普查资金计划用于各项普查工作开展的支出及乡镇工作经费和“两员”劳务费等。</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2．资金到位。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2019年，第四次经济普查工作经费及时到位，本单位共支出2477382.20元，其中财政直接支付各乡镇经费1739650.00元。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第四次经济普查工作支出2477382.20元，其中办公费168200.00元、印刷费23234.96元、邮电费9600.00元、差旅费52870.00元、会议费10875.00元、劳务费2079657.40元、税金及附加费用2329.64元、其他商品和服务支出103315.20元。主要用于各乡镇工作经费和两员经费、购买办公用品、资料打印费、电话费、经济普查会议费、下镇乡检查指导工作租车费和差旅费、劳务外包费、加班误餐费等，现已全额支付，支付依据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此项目是我局下属事业单位峨眉山市普查中心实施完成，经费使用严格按照统计局财务管理制度执行，由我局统一核算，及时进行财务处理，按规范进行会计核算。</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按照国务院、四川省、乐山市人民政府《关于开展第四次全国经济普查的通知》精神，峨眉山市印发了《峨眉山市人民政府关于开展第四次全国经济普查的通知》（峨府发〔2018〕1号），峨眉山市经普办印发了《关于成立峨眉山市第四次全国经济普查领导小组办公室内设工作机构的通知》（峨府经普办字〔2018〕1号），明确了部门和乡镇工作职责，明确了市经普办和经普办内设机构人员及其工作职责，市经普办严格按照国家方案牵头全流程督促指导全市第四次经济普查工作。</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单位严格按照国家方案牵头全流程督促指导全市第四次经济普查工作，普查主要内容包括单位基本情况、组织结构、人员工资、财务状况、能源生产与消费情况、生产能力、生产经营和服务活动、固定资产投资、研发活动、信息化和电子商务交易情况等。项目资金严格按照财经法律法规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第四次全国经济普查充分运用现代信息技术手段，普查全过程公开透明；完成经济普查对象的入户调查、数据采集上报和审核验收工作后，进行了普查数据质量检查验收工作。全面摸清了全市第二、三产业家底，客观真实反映全市经济社会发展状况，达到了预期目标。</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此次经济普查严格执行国家方案规定的时点（2018年12月31日）、时期（2018年度）和普查对象范围，普查采取“地毯式”清查的方法，对辖区内全部法人单位、产业活动单位和从事第二、三产业的个体经营户进行全面清查。全面清查后，对从事第二、三产业的法人单位、产业活动单位在其主要经营活动所在地进行全面普查登记，对建筑业法人单位在其注册地进行全面普查登记，对数量众多的个体经营户采取抽样调查方法在其主要经营活动所在地进行样本登记。全市第四次全国经济普查充分运用现代信息技术手段，普查全过程公开透明，全面摸清了全市第二、三产业家底，客观真实反映全市经济社会发展状况，达到了预期目标。普查结果显示，2018年末，全市共有从事第二、三产业活动的法人单位3078个，从业人员80357人；产业活动单位3917个；个体经营户23185个。</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这次普查，既摸清了我市第二、三产业的发展规模、布局和效益，了解了我市产业组织、产业结构、产业技术、产业形态的现状以及各生产要素的构成，也掌握了全部法人单位资产负债状况和新兴产业发展情况，进一步查实了各类单位的基本情况和主要产品产量、服务活动，全面准确反映了供给侧结构性改革、新动能培育壮大、经济结构优化升级等方面的新进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第四次全国经济普查对我市辖区内从事第二、三产业的法人单位、产业活动单位和个体经营户进行了全面清查和普查，摸清了各类单位的基本情况和主要产品产量、服务活动。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rPr>
          <w:rFonts w:ascii="仿宋_GB2312" w:hAnsi="宋体" w:eastAsia="仿宋_GB2312"/>
          <w:sz w:val="32"/>
          <w:szCs w:val="32"/>
          <w:lang w:val="zh-CN"/>
        </w:rPr>
      </w:pPr>
      <w:r>
        <w:rPr>
          <w:rFonts w:hint="eastAsia" w:ascii="仿宋_GB2312" w:hAnsi="宋体" w:eastAsia="仿宋_GB2312"/>
          <w:sz w:val="32"/>
          <w:szCs w:val="32"/>
          <w:lang w:val="zh-CN"/>
        </w:rPr>
        <w:t xml:space="preserve">    一是普查对象支持配合程度不高。普查现场登记难度大，尤其是非一套表单位、个体生产经营户不愿意配合普查人员进行登记工作。二是普查数据取数难。调查对象心存顾虑，对普查工作不积极配合。特别是对单位收入、营业利润等重要指标，不愿或无法真实填报。特别是私营企业没有健全的会计、统计核算和统计台账等基础工作和资料，无法满足普查所需的经济指标数据。三是两员选聘难。经济普查要求两员既懂会计、经济、统计，又熟悉计算机、网络、地图绘制，还要熟悉普查业务和入户技巧，而符合两员条件但又愿意担任普查两员的人员明显不足，高素质的两员选聘难。四是顶层设计审核公式不够完善，不能让普查员和调查对象第一时间发现指标审核逻辑异常，造成基层普查员多次上门入户调查，引起调查对象反感。</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是提高两员待遇，确保两员队伍稳定；二是强化两员培训与管理；三是强化部门沟通协作，充分发挥行业主管部门作用，强化对行业调查对象的管理督促；四是完善普查员使用软件的逻辑关系审核，第一时间发现数据异常，与调查对象共同核查原因，减轻基层负担，避免多次入户上门调查。</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3594E"/>
    <w:rsid w:val="000468DB"/>
    <w:rsid w:val="0006487A"/>
    <w:rsid w:val="00065F8F"/>
    <w:rsid w:val="00067BAF"/>
    <w:rsid w:val="00070A43"/>
    <w:rsid w:val="000768F2"/>
    <w:rsid w:val="0008084A"/>
    <w:rsid w:val="0009135C"/>
    <w:rsid w:val="0009184B"/>
    <w:rsid w:val="00094236"/>
    <w:rsid w:val="0009593C"/>
    <w:rsid w:val="00097322"/>
    <w:rsid w:val="000A047F"/>
    <w:rsid w:val="000A6A92"/>
    <w:rsid w:val="000B047F"/>
    <w:rsid w:val="000B5923"/>
    <w:rsid w:val="000B5A48"/>
    <w:rsid w:val="000B6FF3"/>
    <w:rsid w:val="000C32F1"/>
    <w:rsid w:val="000C3467"/>
    <w:rsid w:val="000C3CA6"/>
    <w:rsid w:val="000D1267"/>
    <w:rsid w:val="000D1809"/>
    <w:rsid w:val="000D1D50"/>
    <w:rsid w:val="000D5782"/>
    <w:rsid w:val="000E6613"/>
    <w:rsid w:val="000E7119"/>
    <w:rsid w:val="00114E9B"/>
    <w:rsid w:val="00117560"/>
    <w:rsid w:val="00122998"/>
    <w:rsid w:val="00142216"/>
    <w:rsid w:val="001430A4"/>
    <w:rsid w:val="00144D6A"/>
    <w:rsid w:val="0014729F"/>
    <w:rsid w:val="00157BAB"/>
    <w:rsid w:val="001654D1"/>
    <w:rsid w:val="00165BCA"/>
    <w:rsid w:val="00170F4D"/>
    <w:rsid w:val="00174518"/>
    <w:rsid w:val="0018106D"/>
    <w:rsid w:val="00181962"/>
    <w:rsid w:val="001877A7"/>
    <w:rsid w:val="00191536"/>
    <w:rsid w:val="00193593"/>
    <w:rsid w:val="00196687"/>
    <w:rsid w:val="0019751E"/>
    <w:rsid w:val="001C0962"/>
    <w:rsid w:val="001D00EA"/>
    <w:rsid w:val="001D7531"/>
    <w:rsid w:val="001E737D"/>
    <w:rsid w:val="001F0592"/>
    <w:rsid w:val="001F7506"/>
    <w:rsid w:val="002006CD"/>
    <w:rsid w:val="00202B36"/>
    <w:rsid w:val="00204B7A"/>
    <w:rsid w:val="00204CDE"/>
    <w:rsid w:val="0021101A"/>
    <w:rsid w:val="00220536"/>
    <w:rsid w:val="002218CA"/>
    <w:rsid w:val="00235629"/>
    <w:rsid w:val="00252EF1"/>
    <w:rsid w:val="00260C38"/>
    <w:rsid w:val="002616C0"/>
    <w:rsid w:val="00261E1F"/>
    <w:rsid w:val="00265372"/>
    <w:rsid w:val="002662AA"/>
    <w:rsid w:val="00280496"/>
    <w:rsid w:val="00294DC9"/>
    <w:rsid w:val="00295495"/>
    <w:rsid w:val="002A31DE"/>
    <w:rsid w:val="002B2613"/>
    <w:rsid w:val="002D19B0"/>
    <w:rsid w:val="002D590F"/>
    <w:rsid w:val="002D6D05"/>
    <w:rsid w:val="002F1818"/>
    <w:rsid w:val="002F567B"/>
    <w:rsid w:val="003066CB"/>
    <w:rsid w:val="003216A9"/>
    <w:rsid w:val="003320C7"/>
    <w:rsid w:val="00335A74"/>
    <w:rsid w:val="00341908"/>
    <w:rsid w:val="0034254D"/>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74B8"/>
    <w:rsid w:val="003F7195"/>
    <w:rsid w:val="00405091"/>
    <w:rsid w:val="00406254"/>
    <w:rsid w:val="00410B86"/>
    <w:rsid w:val="00416CD4"/>
    <w:rsid w:val="004223DE"/>
    <w:rsid w:val="0043228D"/>
    <w:rsid w:val="00434489"/>
    <w:rsid w:val="00437085"/>
    <w:rsid w:val="00441B06"/>
    <w:rsid w:val="00443880"/>
    <w:rsid w:val="004464F4"/>
    <w:rsid w:val="00471401"/>
    <w:rsid w:val="00473F31"/>
    <w:rsid w:val="0048263A"/>
    <w:rsid w:val="00484D9A"/>
    <w:rsid w:val="00487E5D"/>
    <w:rsid w:val="004A711F"/>
    <w:rsid w:val="004B199D"/>
    <w:rsid w:val="004B4690"/>
    <w:rsid w:val="004E0A2D"/>
    <w:rsid w:val="004E206B"/>
    <w:rsid w:val="004E6DF7"/>
    <w:rsid w:val="004F0FBD"/>
    <w:rsid w:val="004F403E"/>
    <w:rsid w:val="00505A47"/>
    <w:rsid w:val="00512FDA"/>
    <w:rsid w:val="00520DA0"/>
    <w:rsid w:val="005233D7"/>
    <w:rsid w:val="005274B4"/>
    <w:rsid w:val="00533E94"/>
    <w:rsid w:val="00556F5E"/>
    <w:rsid w:val="005664BB"/>
    <w:rsid w:val="00566FFA"/>
    <w:rsid w:val="0057481D"/>
    <w:rsid w:val="0057567E"/>
    <w:rsid w:val="00575F0B"/>
    <w:rsid w:val="0058486E"/>
    <w:rsid w:val="00585B33"/>
    <w:rsid w:val="0059014D"/>
    <w:rsid w:val="005B5C64"/>
    <w:rsid w:val="005C04D7"/>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2581C"/>
    <w:rsid w:val="00630AEF"/>
    <w:rsid w:val="006325F8"/>
    <w:rsid w:val="00633463"/>
    <w:rsid w:val="00634C9A"/>
    <w:rsid w:val="006440E4"/>
    <w:rsid w:val="0066343B"/>
    <w:rsid w:val="00664777"/>
    <w:rsid w:val="006748A4"/>
    <w:rsid w:val="00681A31"/>
    <w:rsid w:val="00683E73"/>
    <w:rsid w:val="00687DE9"/>
    <w:rsid w:val="006A3141"/>
    <w:rsid w:val="006A5E34"/>
    <w:rsid w:val="006B2422"/>
    <w:rsid w:val="006B2B9A"/>
    <w:rsid w:val="006C1937"/>
    <w:rsid w:val="006F020C"/>
    <w:rsid w:val="007127B7"/>
    <w:rsid w:val="0071798E"/>
    <w:rsid w:val="00726DCC"/>
    <w:rsid w:val="00727533"/>
    <w:rsid w:val="007416B6"/>
    <w:rsid w:val="00746F48"/>
    <w:rsid w:val="0075404D"/>
    <w:rsid w:val="00756430"/>
    <w:rsid w:val="00760582"/>
    <w:rsid w:val="0076182A"/>
    <w:rsid w:val="00767B7E"/>
    <w:rsid w:val="00767E96"/>
    <w:rsid w:val="007770C3"/>
    <w:rsid w:val="00784D24"/>
    <w:rsid w:val="00785FBA"/>
    <w:rsid w:val="00786E4A"/>
    <w:rsid w:val="007875EB"/>
    <w:rsid w:val="0079426B"/>
    <w:rsid w:val="007D1682"/>
    <w:rsid w:val="007D312A"/>
    <w:rsid w:val="007D3F19"/>
    <w:rsid w:val="007D5A5C"/>
    <w:rsid w:val="007D7394"/>
    <w:rsid w:val="007E23B0"/>
    <w:rsid w:val="007F1991"/>
    <w:rsid w:val="007F2C2F"/>
    <w:rsid w:val="007F55FC"/>
    <w:rsid w:val="007F5665"/>
    <w:rsid w:val="00800112"/>
    <w:rsid w:val="008112FD"/>
    <w:rsid w:val="00813348"/>
    <w:rsid w:val="0082529C"/>
    <w:rsid w:val="008253BB"/>
    <w:rsid w:val="0083215C"/>
    <w:rsid w:val="00833962"/>
    <w:rsid w:val="0083706E"/>
    <w:rsid w:val="008408F6"/>
    <w:rsid w:val="008423A5"/>
    <w:rsid w:val="00850625"/>
    <w:rsid w:val="00853718"/>
    <w:rsid w:val="0085395A"/>
    <w:rsid w:val="00855221"/>
    <w:rsid w:val="00860645"/>
    <w:rsid w:val="00871F71"/>
    <w:rsid w:val="00872FD8"/>
    <w:rsid w:val="00873A8C"/>
    <w:rsid w:val="00883637"/>
    <w:rsid w:val="0088469E"/>
    <w:rsid w:val="00885AF4"/>
    <w:rsid w:val="00891CEA"/>
    <w:rsid w:val="008939CD"/>
    <w:rsid w:val="008A7BC5"/>
    <w:rsid w:val="008B768C"/>
    <w:rsid w:val="008C4DB1"/>
    <w:rsid w:val="008C4EAF"/>
    <w:rsid w:val="008C5176"/>
    <w:rsid w:val="008C7FD0"/>
    <w:rsid w:val="008E044A"/>
    <w:rsid w:val="008E1DE7"/>
    <w:rsid w:val="008E707C"/>
    <w:rsid w:val="008F13E9"/>
    <w:rsid w:val="00900B08"/>
    <w:rsid w:val="00902155"/>
    <w:rsid w:val="00902FA3"/>
    <w:rsid w:val="00923564"/>
    <w:rsid w:val="0092392E"/>
    <w:rsid w:val="009315F9"/>
    <w:rsid w:val="00933499"/>
    <w:rsid w:val="00935C98"/>
    <w:rsid w:val="00946945"/>
    <w:rsid w:val="00951248"/>
    <w:rsid w:val="0095152F"/>
    <w:rsid w:val="00952B81"/>
    <w:rsid w:val="00954C49"/>
    <w:rsid w:val="00955E37"/>
    <w:rsid w:val="00960D67"/>
    <w:rsid w:val="0097099F"/>
    <w:rsid w:val="00971997"/>
    <w:rsid w:val="00971FFC"/>
    <w:rsid w:val="0098660A"/>
    <w:rsid w:val="009931C3"/>
    <w:rsid w:val="009B2C43"/>
    <w:rsid w:val="009B4EAE"/>
    <w:rsid w:val="009B7573"/>
    <w:rsid w:val="009C22F4"/>
    <w:rsid w:val="009C2E98"/>
    <w:rsid w:val="009C37FB"/>
    <w:rsid w:val="009D3447"/>
    <w:rsid w:val="009D4711"/>
    <w:rsid w:val="009F0988"/>
    <w:rsid w:val="009F1185"/>
    <w:rsid w:val="009F18CD"/>
    <w:rsid w:val="009F2A13"/>
    <w:rsid w:val="009F7527"/>
    <w:rsid w:val="00A01C81"/>
    <w:rsid w:val="00A02168"/>
    <w:rsid w:val="00A039ED"/>
    <w:rsid w:val="00A04EB0"/>
    <w:rsid w:val="00A06864"/>
    <w:rsid w:val="00A13CC1"/>
    <w:rsid w:val="00A16847"/>
    <w:rsid w:val="00A237D8"/>
    <w:rsid w:val="00A268C4"/>
    <w:rsid w:val="00A307CD"/>
    <w:rsid w:val="00A331C8"/>
    <w:rsid w:val="00A35117"/>
    <w:rsid w:val="00A40A00"/>
    <w:rsid w:val="00A4142F"/>
    <w:rsid w:val="00A422EB"/>
    <w:rsid w:val="00A45872"/>
    <w:rsid w:val="00A45BB7"/>
    <w:rsid w:val="00A56DF2"/>
    <w:rsid w:val="00A56E6E"/>
    <w:rsid w:val="00A67AB5"/>
    <w:rsid w:val="00A733B2"/>
    <w:rsid w:val="00A741C2"/>
    <w:rsid w:val="00A91760"/>
    <w:rsid w:val="00A93B00"/>
    <w:rsid w:val="00A93C21"/>
    <w:rsid w:val="00AB64C9"/>
    <w:rsid w:val="00AC3C6A"/>
    <w:rsid w:val="00AC6C4F"/>
    <w:rsid w:val="00AD0F83"/>
    <w:rsid w:val="00AD1A5F"/>
    <w:rsid w:val="00AD5620"/>
    <w:rsid w:val="00AD656B"/>
    <w:rsid w:val="00AD7C1B"/>
    <w:rsid w:val="00AE16BA"/>
    <w:rsid w:val="00AE1EBE"/>
    <w:rsid w:val="00AF4E21"/>
    <w:rsid w:val="00B0308F"/>
    <w:rsid w:val="00B03C9D"/>
    <w:rsid w:val="00B060AE"/>
    <w:rsid w:val="00B10517"/>
    <w:rsid w:val="00B14E76"/>
    <w:rsid w:val="00B161B8"/>
    <w:rsid w:val="00B2048C"/>
    <w:rsid w:val="00B26ED9"/>
    <w:rsid w:val="00B310B9"/>
    <w:rsid w:val="00B35F3F"/>
    <w:rsid w:val="00B36CBB"/>
    <w:rsid w:val="00B40FE1"/>
    <w:rsid w:val="00B425E0"/>
    <w:rsid w:val="00B440AA"/>
    <w:rsid w:val="00B44B70"/>
    <w:rsid w:val="00B53C56"/>
    <w:rsid w:val="00B57DAF"/>
    <w:rsid w:val="00B77EA6"/>
    <w:rsid w:val="00B81598"/>
    <w:rsid w:val="00B841F1"/>
    <w:rsid w:val="00B944D6"/>
    <w:rsid w:val="00BA1D45"/>
    <w:rsid w:val="00BB4DF0"/>
    <w:rsid w:val="00BC0864"/>
    <w:rsid w:val="00BC289F"/>
    <w:rsid w:val="00BC2D50"/>
    <w:rsid w:val="00BC5361"/>
    <w:rsid w:val="00BC5460"/>
    <w:rsid w:val="00BC6B50"/>
    <w:rsid w:val="00BD0E25"/>
    <w:rsid w:val="00BE56A9"/>
    <w:rsid w:val="00BF5BD6"/>
    <w:rsid w:val="00C00000"/>
    <w:rsid w:val="00C03E31"/>
    <w:rsid w:val="00C246E4"/>
    <w:rsid w:val="00C30E69"/>
    <w:rsid w:val="00C33E72"/>
    <w:rsid w:val="00C354B2"/>
    <w:rsid w:val="00C35554"/>
    <w:rsid w:val="00C35EFC"/>
    <w:rsid w:val="00C42709"/>
    <w:rsid w:val="00C533CC"/>
    <w:rsid w:val="00C5751C"/>
    <w:rsid w:val="00C61BFC"/>
    <w:rsid w:val="00C62B85"/>
    <w:rsid w:val="00C65438"/>
    <w:rsid w:val="00C67C08"/>
    <w:rsid w:val="00C75862"/>
    <w:rsid w:val="00C91CBB"/>
    <w:rsid w:val="00CB3172"/>
    <w:rsid w:val="00CB4E70"/>
    <w:rsid w:val="00CC09B6"/>
    <w:rsid w:val="00CC421A"/>
    <w:rsid w:val="00CC666F"/>
    <w:rsid w:val="00CD1E3F"/>
    <w:rsid w:val="00CD2134"/>
    <w:rsid w:val="00CE44F6"/>
    <w:rsid w:val="00CE49DA"/>
    <w:rsid w:val="00CE7B61"/>
    <w:rsid w:val="00CF5B65"/>
    <w:rsid w:val="00D00095"/>
    <w:rsid w:val="00D114F0"/>
    <w:rsid w:val="00D20620"/>
    <w:rsid w:val="00D254F7"/>
    <w:rsid w:val="00D26091"/>
    <w:rsid w:val="00D2685C"/>
    <w:rsid w:val="00D34E7C"/>
    <w:rsid w:val="00D35489"/>
    <w:rsid w:val="00D36AFE"/>
    <w:rsid w:val="00D51276"/>
    <w:rsid w:val="00D670A5"/>
    <w:rsid w:val="00D7035F"/>
    <w:rsid w:val="00D85262"/>
    <w:rsid w:val="00DA634F"/>
    <w:rsid w:val="00DA65AC"/>
    <w:rsid w:val="00DB1913"/>
    <w:rsid w:val="00DB2FD6"/>
    <w:rsid w:val="00DC410D"/>
    <w:rsid w:val="00DC5A81"/>
    <w:rsid w:val="00DC68CA"/>
    <w:rsid w:val="00DC7CBA"/>
    <w:rsid w:val="00DD5533"/>
    <w:rsid w:val="00DD73B7"/>
    <w:rsid w:val="00DF28BC"/>
    <w:rsid w:val="00DF34B9"/>
    <w:rsid w:val="00E01053"/>
    <w:rsid w:val="00E07ACF"/>
    <w:rsid w:val="00E11C58"/>
    <w:rsid w:val="00E25B30"/>
    <w:rsid w:val="00E331A1"/>
    <w:rsid w:val="00E33202"/>
    <w:rsid w:val="00E336A9"/>
    <w:rsid w:val="00E45931"/>
    <w:rsid w:val="00E472B1"/>
    <w:rsid w:val="00E50624"/>
    <w:rsid w:val="00E568DF"/>
    <w:rsid w:val="00E64269"/>
    <w:rsid w:val="00E66797"/>
    <w:rsid w:val="00E76E8D"/>
    <w:rsid w:val="00E82267"/>
    <w:rsid w:val="00E8496E"/>
    <w:rsid w:val="00E853CE"/>
    <w:rsid w:val="00E867B6"/>
    <w:rsid w:val="00E87F08"/>
    <w:rsid w:val="00EA010F"/>
    <w:rsid w:val="00EB01AA"/>
    <w:rsid w:val="00ED1B63"/>
    <w:rsid w:val="00ED3C1F"/>
    <w:rsid w:val="00ED4085"/>
    <w:rsid w:val="00ED420E"/>
    <w:rsid w:val="00ED6FBE"/>
    <w:rsid w:val="00EE2F57"/>
    <w:rsid w:val="00EE591C"/>
    <w:rsid w:val="00EF358A"/>
    <w:rsid w:val="00EF4C34"/>
    <w:rsid w:val="00EF77C6"/>
    <w:rsid w:val="00F05438"/>
    <w:rsid w:val="00F1361C"/>
    <w:rsid w:val="00F156F0"/>
    <w:rsid w:val="00F160C7"/>
    <w:rsid w:val="00F2408F"/>
    <w:rsid w:val="00F240E9"/>
    <w:rsid w:val="00F36D8F"/>
    <w:rsid w:val="00F417B1"/>
    <w:rsid w:val="00F45853"/>
    <w:rsid w:val="00F51A5F"/>
    <w:rsid w:val="00F602DF"/>
    <w:rsid w:val="00F754A1"/>
    <w:rsid w:val="00F81FD9"/>
    <w:rsid w:val="00F841AA"/>
    <w:rsid w:val="00F84A94"/>
    <w:rsid w:val="00F87E96"/>
    <w:rsid w:val="00FA23E8"/>
    <w:rsid w:val="00FD3CC1"/>
    <w:rsid w:val="00FF1E02"/>
    <w:rsid w:val="00FF30B4"/>
    <w:rsid w:val="10C055FF"/>
    <w:rsid w:val="16BB723D"/>
    <w:rsid w:val="1E1F46EB"/>
    <w:rsid w:val="240371BF"/>
    <w:rsid w:val="29FD04D3"/>
    <w:rsid w:val="319F7F4E"/>
    <w:rsid w:val="333E4232"/>
    <w:rsid w:val="356D2F89"/>
    <w:rsid w:val="3A262009"/>
    <w:rsid w:val="4ECE2238"/>
    <w:rsid w:val="540B6523"/>
    <w:rsid w:val="5C8D4689"/>
    <w:rsid w:val="72734D90"/>
    <w:rsid w:val="BDFFA6DB"/>
    <w:rsid w:val="F4FC5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table" w:styleId="13">
    <w:name w:val="Table Grid"/>
    <w:basedOn w:val="1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49</Pages>
  <Words>3003</Words>
  <Characters>17123</Characters>
  <Lines>142</Lines>
  <Paragraphs>40</Paragraphs>
  <TotalTime>8</TotalTime>
  <ScaleCrop>false</ScaleCrop>
  <LinksUpToDate>false</LinksUpToDate>
  <CharactersWithSpaces>20086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LYP</cp:lastModifiedBy>
  <cp:lastPrinted>2020-10-26T17:44:00Z</cp:lastPrinted>
  <dcterms:modified xsi:type="dcterms:W3CDTF">2025-07-10T10:58:15Z</dcterms:modified>
  <dc:title>四川省***</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52584D4379D83DAA9A2A6F683C578315_42</vt:lpwstr>
  </property>
</Properties>
</file>