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hint="eastAsia" w:ascii="仿宋" w:hAnsi="仿宋" w:eastAsia="仿宋" w:cs="仿宋"/>
          <w:color w:val="000000"/>
          <w:sz w:val="72"/>
          <w:szCs w:val="72"/>
        </w:rPr>
      </w:pPr>
    </w:p>
    <w:p>
      <w:pPr>
        <w:spacing w:line="600" w:lineRule="exact"/>
        <w:jc w:val="center"/>
        <w:outlineLvl w:val="0"/>
        <w:rPr>
          <w:rFonts w:hint="eastAsia" w:ascii="仿宋" w:hAnsi="仿宋" w:eastAsia="仿宋" w:cs="仿宋"/>
          <w:color w:val="000000"/>
          <w:sz w:val="72"/>
          <w:szCs w:val="72"/>
        </w:rPr>
      </w:pPr>
    </w:p>
    <w:p>
      <w:pPr>
        <w:adjustRightInd w:val="0"/>
        <w:snapToGrid w:val="0"/>
        <w:spacing w:line="360" w:lineRule="auto"/>
        <w:jc w:val="center"/>
        <w:outlineLvl w:val="0"/>
        <w:rPr>
          <w:rFonts w:hint="eastAsia" w:ascii="仿宋" w:hAnsi="仿宋" w:eastAsia="仿宋" w:cs="仿宋"/>
          <w:color w:val="000000"/>
          <w:sz w:val="72"/>
          <w:szCs w:val="72"/>
        </w:rPr>
      </w:pPr>
      <w:bookmarkStart w:id="1" w:name="_Toc15377425"/>
      <w:bookmarkStart w:id="2" w:name="_Toc15378441"/>
      <w:bookmarkStart w:id="3" w:name="_Toc15377193"/>
      <w:bookmarkStart w:id="4" w:name="_Toc15396597"/>
      <w:bookmarkStart w:id="5" w:name="_Toc15396475"/>
      <w:r>
        <w:rPr>
          <w:rFonts w:hint="eastAsia" w:ascii="仿宋" w:hAnsi="仿宋" w:eastAsia="仿宋" w:cs="仿宋"/>
          <w:color w:val="000000"/>
          <w:sz w:val="72"/>
          <w:szCs w:val="72"/>
        </w:rPr>
        <w:t>2019年度</w:t>
      </w:r>
      <w:bookmarkEnd w:id="1"/>
      <w:bookmarkEnd w:id="2"/>
      <w:bookmarkEnd w:id="3"/>
      <w:bookmarkEnd w:id="4"/>
      <w:bookmarkEnd w:id="5"/>
    </w:p>
    <w:p>
      <w:pPr>
        <w:adjustRightInd w:val="0"/>
        <w:snapToGrid w:val="0"/>
        <w:spacing w:line="360" w:lineRule="auto"/>
        <w:jc w:val="center"/>
        <w:outlineLvl w:val="0"/>
        <w:rPr>
          <w:rFonts w:hint="eastAsia" w:ascii="仿宋" w:hAnsi="仿宋" w:eastAsia="仿宋" w:cs="仿宋"/>
          <w:color w:val="000000"/>
          <w:sz w:val="72"/>
          <w:szCs w:val="72"/>
        </w:rPr>
      </w:pPr>
      <w:bookmarkStart w:id="6" w:name="_Toc15377194"/>
      <w:bookmarkStart w:id="7" w:name="_Toc15396476"/>
      <w:bookmarkStart w:id="8" w:name="_Toc15378442"/>
      <w:bookmarkStart w:id="9" w:name="_Toc15396598"/>
      <w:bookmarkStart w:id="10" w:name="_Toc15377426"/>
      <w:r>
        <w:rPr>
          <w:rFonts w:hint="eastAsia" w:ascii="仿宋" w:hAnsi="仿宋" w:eastAsia="仿宋" w:cs="仿宋"/>
          <w:color w:val="000000"/>
          <w:sz w:val="72"/>
          <w:szCs w:val="72"/>
        </w:rPr>
        <w:t>四川省</w:t>
      </w:r>
      <w:bookmarkEnd w:id="0"/>
      <w:bookmarkStart w:id="11" w:name="_Toc15306268"/>
      <w:r>
        <w:rPr>
          <w:rFonts w:hint="eastAsia" w:ascii="仿宋" w:hAnsi="仿宋" w:eastAsia="仿宋" w:cs="仿宋"/>
          <w:color w:val="000000"/>
          <w:sz w:val="72"/>
          <w:szCs w:val="72"/>
          <w:lang w:val="en-US" w:eastAsia="zh-CN"/>
        </w:rPr>
        <w:t>乐山市峨眉山市峨山街道办事处</w:t>
      </w:r>
      <w:r>
        <w:rPr>
          <w:rFonts w:hint="eastAsia" w:ascii="仿宋" w:hAnsi="仿宋" w:eastAsia="仿宋" w:cs="仿宋"/>
          <w:color w:val="000000"/>
          <w:sz w:val="72"/>
          <w:szCs w:val="72"/>
        </w:rPr>
        <w:t>部门决算</w:t>
      </w:r>
      <w:bookmarkEnd w:id="6"/>
      <w:bookmarkEnd w:id="7"/>
      <w:bookmarkEnd w:id="8"/>
      <w:bookmarkEnd w:id="9"/>
      <w:bookmarkEnd w:id="10"/>
      <w:bookmarkEnd w:id="11"/>
    </w:p>
    <w:p>
      <w:pPr>
        <w:widowControl/>
        <w:jc w:val="center"/>
        <w:rPr>
          <w:rFonts w:hint="eastAsia" w:ascii="仿宋" w:hAnsi="仿宋" w:eastAsia="仿宋" w:cs="仿宋"/>
          <w:color w:val="000000"/>
          <w:sz w:val="48"/>
          <w:szCs w:val="48"/>
        </w:rPr>
      </w:pPr>
      <w:r>
        <w:rPr>
          <w:rFonts w:hint="eastAsia" w:ascii="仿宋" w:hAnsi="仿宋" w:eastAsia="仿宋" w:cs="仿宋"/>
          <w:color w:val="000000"/>
          <w:sz w:val="36"/>
          <w:szCs w:val="36"/>
        </w:rPr>
        <w:br w:type="page"/>
      </w:r>
      <w:r>
        <w:rPr>
          <w:rFonts w:hint="eastAsia" w:ascii="仿宋" w:hAnsi="仿宋" w:eastAsia="仿宋" w:cs="仿宋"/>
          <w:color w:val="000000"/>
          <w:sz w:val="48"/>
          <w:szCs w:val="48"/>
        </w:rPr>
        <w:t>目录</w:t>
      </w:r>
    </w:p>
    <w:p>
      <w:pPr>
        <w:widowControl/>
        <w:jc w:val="center"/>
        <w:rPr>
          <w:rFonts w:hint="eastAsia" w:ascii="仿宋" w:hAnsi="仿宋" w:eastAsia="仿宋" w:cs="仿宋"/>
          <w:sz w:val="28"/>
          <w:szCs w:val="28"/>
        </w:rPr>
      </w:pPr>
    </w:p>
    <w:p>
      <w:pPr>
        <w:pStyle w:val="10"/>
        <w:rPr>
          <w:rFonts w:hint="eastAsia" w:ascii="仿宋" w:hAnsi="仿宋" w:eastAsia="仿宋" w:cs="仿宋"/>
        </w:rPr>
      </w:pPr>
      <w:r>
        <w:rPr>
          <w:rFonts w:hint="eastAsia" w:ascii="仿宋" w:hAnsi="仿宋" w:eastAsia="仿宋" w:cs="仿宋"/>
        </w:rPr>
        <w:t>公开时间：2020年</w:t>
      </w:r>
      <w:r>
        <w:rPr>
          <w:rFonts w:hint="eastAsia" w:ascii="仿宋" w:hAnsi="仿宋" w:eastAsia="仿宋" w:cs="仿宋"/>
          <w:lang w:val="en-US" w:eastAsia="zh-CN"/>
        </w:rPr>
        <w:t>10</w:t>
      </w:r>
      <w:r>
        <w:rPr>
          <w:rFonts w:hint="eastAsia" w:ascii="仿宋" w:hAnsi="仿宋" w:eastAsia="仿宋" w:cs="仿宋"/>
        </w:rPr>
        <w:t>月</w:t>
      </w:r>
      <w:r>
        <w:rPr>
          <w:rFonts w:hint="eastAsia" w:ascii="仿宋" w:hAnsi="仿宋" w:eastAsia="仿宋" w:cs="仿宋"/>
          <w:lang w:val="en-US" w:eastAsia="zh-CN"/>
        </w:rPr>
        <w:t>19</w:t>
      </w:r>
      <w:r>
        <w:rPr>
          <w:rFonts w:hint="eastAsia" w:ascii="仿宋" w:hAnsi="仿宋" w:eastAsia="仿宋" w:cs="仿宋"/>
        </w:rPr>
        <w:t>日</w:t>
      </w:r>
    </w:p>
    <w:p>
      <w:pPr>
        <w:rPr>
          <w:rFonts w:hint="eastAsia" w:ascii="仿宋" w:hAnsi="仿宋" w:eastAsia="仿宋" w:cs="仿宋"/>
        </w:rPr>
      </w:pPr>
    </w:p>
    <w:p>
      <w:pPr>
        <w:pStyle w:val="10"/>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第一部分 部门概况</w:t>
      </w:r>
      <w:r>
        <w:rPr>
          <w:rFonts w:hint="eastAsia" w:cs="仿宋"/>
          <w:sz w:val="24"/>
          <w:lang w:eastAsia="zh-CN"/>
        </w:rPr>
        <w:t>（</w:t>
      </w:r>
      <w:r>
        <w:rPr>
          <w:rFonts w:hint="eastAsia" w:cs="仿宋"/>
          <w:sz w:val="24"/>
          <w:lang w:val="en-US" w:eastAsia="zh-CN"/>
        </w:rPr>
        <w:t>3-8页）</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一、基本职能及主要工作</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二、机构设置</w:t>
      </w:r>
    </w:p>
    <w:p>
      <w:pPr>
        <w:pStyle w:val="10"/>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第二部分</w:t>
      </w:r>
      <w:r>
        <w:rPr>
          <w:rFonts w:hint="eastAsia" w:cs="仿宋"/>
          <w:sz w:val="24"/>
          <w:lang w:val="en-US" w:eastAsia="zh-CN"/>
        </w:rPr>
        <w:t xml:space="preserve"> </w:t>
      </w:r>
      <w:r>
        <w:rPr>
          <w:rFonts w:hint="eastAsia" w:ascii="仿宋" w:hAnsi="仿宋" w:eastAsia="仿宋" w:cs="仿宋"/>
          <w:sz w:val="24"/>
        </w:rPr>
        <w:t>部门决算情况说明</w:t>
      </w:r>
      <w:r>
        <w:rPr>
          <w:rFonts w:hint="eastAsia" w:cs="仿宋"/>
          <w:sz w:val="24"/>
          <w:lang w:eastAsia="zh-CN"/>
        </w:rPr>
        <w:t>（</w:t>
      </w:r>
      <w:r>
        <w:rPr>
          <w:rFonts w:hint="eastAsia" w:cs="仿宋"/>
          <w:sz w:val="24"/>
          <w:lang w:val="en-US" w:eastAsia="zh-CN"/>
        </w:rPr>
        <w:t>9-22页）</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一、收入支出决算总体情况说明</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二、收入决算情况说明</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三、支出决算情况说明</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四、财政拨款收入支出决算总体情况说明</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五、一般公共预算财政拨款支出决算情况说明</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六、一般公共预算财政拨款基本支出决算情况说明</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七、“三公”经费财政拨款支出决算情况说明</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八、政府性基金预算支出决算情况说明</w:t>
      </w:r>
    </w:p>
    <w:p>
      <w:pPr>
        <w:pStyle w:val="11"/>
        <w:adjustRightInd w:val="0"/>
        <w:snapToGrid w:val="0"/>
        <w:spacing w:line="440" w:lineRule="exact"/>
        <w:ind w:leftChars="0"/>
        <w:jc w:val="left"/>
        <w:rPr>
          <w:rFonts w:hint="eastAsia" w:ascii="仿宋" w:hAnsi="仿宋" w:eastAsia="仿宋" w:cs="仿宋"/>
          <w:sz w:val="24"/>
        </w:rPr>
      </w:pPr>
      <w:r>
        <w:rPr>
          <w:rFonts w:hint="eastAsia" w:ascii="仿宋" w:hAnsi="仿宋" w:eastAsia="仿宋" w:cs="仿宋"/>
          <w:sz w:val="24"/>
        </w:rPr>
        <w:t>九、 国有资本经营预算支出决算情况说明</w:t>
      </w:r>
    </w:p>
    <w:p>
      <w:pPr>
        <w:adjustRightInd w:val="0"/>
        <w:snapToGrid w:val="0"/>
        <w:spacing w:line="440" w:lineRule="exact"/>
        <w:ind w:firstLine="480" w:firstLineChars="200"/>
        <w:jc w:val="left"/>
        <w:rPr>
          <w:rFonts w:hint="eastAsia" w:ascii="仿宋" w:hAnsi="仿宋" w:eastAsia="仿宋" w:cs="仿宋"/>
          <w:sz w:val="24"/>
        </w:rPr>
      </w:pPr>
      <w:r>
        <w:rPr>
          <w:rStyle w:val="15"/>
          <w:rFonts w:hint="eastAsia" w:ascii="仿宋" w:hAnsi="仿宋" w:eastAsia="仿宋" w:cs="仿宋"/>
          <w:color w:val="000000" w:themeColor="text1"/>
          <w:sz w:val="24"/>
          <w:u w:val="none"/>
        </w:rPr>
        <w:t>十、</w:t>
      </w:r>
      <w:r>
        <w:rPr>
          <w:rFonts w:hint="eastAsia" w:ascii="仿宋" w:hAnsi="仿宋" w:eastAsia="仿宋" w:cs="仿宋"/>
          <w:sz w:val="24"/>
        </w:rPr>
        <w:t>其他重要事项的情况说明</w:t>
      </w:r>
      <w:r>
        <w:rPr>
          <w:rFonts w:hint="eastAsia" w:ascii="仿宋" w:hAnsi="仿宋" w:eastAsia="仿宋" w:cs="仿宋"/>
          <w:sz w:val="24"/>
        </w:rPr>
        <w:tab/>
      </w:r>
    </w:p>
    <w:p>
      <w:pPr>
        <w:pStyle w:val="10"/>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第三部分 名词解释</w:t>
      </w:r>
      <w:r>
        <w:rPr>
          <w:rFonts w:hint="eastAsia" w:cs="仿宋"/>
          <w:sz w:val="24"/>
          <w:lang w:eastAsia="zh-CN"/>
        </w:rPr>
        <w:t>（</w:t>
      </w:r>
      <w:r>
        <w:rPr>
          <w:rFonts w:hint="eastAsia" w:cs="仿宋"/>
          <w:sz w:val="24"/>
          <w:lang w:val="en-US" w:eastAsia="zh-CN"/>
        </w:rPr>
        <w:t>23-27页）</w:t>
      </w:r>
    </w:p>
    <w:p>
      <w:pPr>
        <w:pStyle w:val="10"/>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第四部分 附件</w:t>
      </w:r>
      <w:r>
        <w:rPr>
          <w:rFonts w:hint="eastAsia" w:cs="仿宋"/>
          <w:sz w:val="24"/>
          <w:lang w:eastAsia="zh-CN"/>
        </w:rPr>
        <w:t>（</w:t>
      </w:r>
      <w:r>
        <w:rPr>
          <w:rFonts w:hint="eastAsia" w:cs="仿宋"/>
          <w:sz w:val="24"/>
          <w:lang w:val="en-US" w:eastAsia="zh-CN"/>
        </w:rPr>
        <w:t>28-33页）</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附件1</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附件2</w:t>
      </w:r>
    </w:p>
    <w:p>
      <w:pPr>
        <w:pStyle w:val="10"/>
        <w:adjustRightInd w:val="0"/>
        <w:snapToGrid w:val="0"/>
        <w:spacing w:before="0" w:line="440" w:lineRule="exact"/>
        <w:jc w:val="left"/>
        <w:rPr>
          <w:rFonts w:hint="eastAsia" w:ascii="仿宋" w:hAnsi="仿宋" w:eastAsia="仿宋" w:cs="仿宋"/>
          <w:sz w:val="24"/>
          <w:szCs w:val="24"/>
        </w:rPr>
      </w:pPr>
      <w:r>
        <w:rPr>
          <w:rFonts w:hint="eastAsia" w:ascii="仿宋" w:hAnsi="仿宋" w:eastAsia="仿宋" w:cs="仿宋"/>
          <w:sz w:val="24"/>
        </w:rPr>
        <w:t>第五部分 附表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一、收入支出决算总表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二、收入决算表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三、支出决算表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四、财政拨款收入支出决算总表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五、财政拨款支出决算明细表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六、一般公共预算财政拨款支出决算表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七、一般公共预算财政拨款支出决算明细表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八、一般公共预算财政拨款基本支出决算表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九、一般公共预算财政拨款项目支出决算表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十、一般公共预算财政拨款“三公”经费支出决算表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十一、政府性基金预算财政拨款收入支出决算表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十二、政府性基金预算财政拨款“三公”经费支出决算表</w:t>
      </w:r>
    </w:p>
    <w:p>
      <w:pPr>
        <w:pStyle w:val="11"/>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十三、国有资本经营预算支出决算表</w:t>
      </w:r>
    </w:p>
    <w:p>
      <w:pPr>
        <w:pStyle w:val="2"/>
        <w:jc w:val="center"/>
        <w:rPr>
          <w:rStyle w:val="24"/>
          <w:rFonts w:hint="eastAsia" w:ascii="仿宋" w:hAnsi="仿宋" w:eastAsia="仿宋" w:cs="仿宋"/>
          <w:b/>
          <w:bCs w:val="0"/>
        </w:rPr>
      </w:pPr>
      <w:bookmarkStart w:id="12" w:name="_Toc15396599"/>
      <w:bookmarkStart w:id="13" w:name="_Toc15377196"/>
      <w:r>
        <w:rPr>
          <w:rFonts w:hint="eastAsia" w:ascii="仿宋" w:hAnsi="仿宋" w:eastAsia="仿宋" w:cs="仿宋"/>
          <w:b w:val="0"/>
        </w:rPr>
        <w:t xml:space="preserve">第一部分 </w:t>
      </w:r>
      <w:r>
        <w:rPr>
          <w:rStyle w:val="24"/>
          <w:rFonts w:hint="eastAsia" w:ascii="仿宋" w:hAnsi="仿宋" w:eastAsia="仿宋" w:cs="仿宋"/>
          <w:b w:val="0"/>
          <w:bCs w:val="0"/>
        </w:rPr>
        <w:t>部门概况</w:t>
      </w:r>
      <w:bookmarkEnd w:id="12"/>
      <w:bookmarkEnd w:id="13"/>
    </w:p>
    <w:p>
      <w:pPr>
        <w:widowControl/>
        <w:jc w:val="left"/>
        <w:rPr>
          <w:rFonts w:hint="eastAsia" w:ascii="仿宋" w:hAnsi="仿宋" w:eastAsia="仿宋" w:cs="仿宋"/>
          <w:color w:val="000000"/>
          <w:sz w:val="32"/>
          <w:szCs w:val="32"/>
        </w:rPr>
      </w:pPr>
    </w:p>
    <w:p>
      <w:pPr>
        <w:pStyle w:val="3"/>
        <w:rPr>
          <w:rStyle w:val="25"/>
          <w:rFonts w:hint="eastAsia" w:ascii="仿宋" w:hAnsi="仿宋" w:eastAsia="仿宋" w:cs="仿宋"/>
          <w:b w:val="0"/>
          <w:bCs w:val="0"/>
          <w:sz w:val="32"/>
          <w:szCs w:val="32"/>
        </w:rPr>
      </w:pPr>
      <w:bookmarkStart w:id="14" w:name="_Toc15396600"/>
      <w:bookmarkStart w:id="15" w:name="_Toc15377197"/>
      <w:r>
        <w:rPr>
          <w:rFonts w:hint="eastAsia" w:ascii="仿宋" w:hAnsi="仿宋" w:eastAsia="仿宋" w:cs="仿宋"/>
          <w:b w:val="0"/>
          <w:color w:val="000000"/>
          <w:sz w:val="32"/>
          <w:szCs w:val="32"/>
        </w:rPr>
        <w:t>一、基</w:t>
      </w:r>
      <w:r>
        <w:rPr>
          <w:rStyle w:val="25"/>
          <w:rFonts w:hint="eastAsia" w:ascii="仿宋" w:hAnsi="仿宋" w:eastAsia="仿宋" w:cs="仿宋"/>
          <w:b w:val="0"/>
          <w:bCs w:val="0"/>
          <w:sz w:val="32"/>
          <w:szCs w:val="32"/>
        </w:rPr>
        <w:t>本职能及主要工作</w:t>
      </w:r>
      <w:bookmarkEnd w:id="14"/>
      <w:bookmarkEnd w:id="15"/>
    </w:p>
    <w:p>
      <w:pPr>
        <w:pStyle w:val="30"/>
        <w:ind w:firstLine="640" w:firstLineChars="200"/>
        <w:rPr>
          <w:rFonts w:hint="eastAsia" w:ascii="仿宋" w:hAnsi="仿宋" w:eastAsia="仿宋" w:cs="仿宋"/>
          <w:bCs/>
          <w:color w:val="000000"/>
          <w:sz w:val="32"/>
          <w:szCs w:val="32"/>
        </w:rPr>
      </w:pPr>
      <w:bookmarkStart w:id="16" w:name="_Toc15377198"/>
      <w:bookmarkStart w:id="17" w:name="_Toc15378445"/>
      <w:r>
        <w:rPr>
          <w:rFonts w:hint="eastAsia" w:ascii="仿宋" w:hAnsi="仿宋" w:eastAsia="仿宋" w:cs="仿宋"/>
          <w:bCs/>
          <w:color w:val="000000"/>
          <w:sz w:val="32"/>
          <w:szCs w:val="32"/>
        </w:rPr>
        <w:t>（一）主要职能</w:t>
      </w:r>
      <w:bookmarkEnd w:id="16"/>
      <w:bookmarkEnd w:id="17"/>
      <w:bookmarkStart w:id="18" w:name="_Toc15378446"/>
      <w:bookmarkStart w:id="19" w:name="_Toc15377199"/>
    </w:p>
    <w:p>
      <w:pPr>
        <w:pStyle w:val="30"/>
        <w:ind w:firstLine="640" w:firstLineChars="200"/>
        <w:rPr>
          <w:rFonts w:hint="eastAsia" w:ascii="仿宋" w:hAnsi="仿宋" w:eastAsia="仿宋" w:cs="仿宋"/>
          <w:sz w:val="32"/>
          <w:szCs w:val="32"/>
        </w:rPr>
      </w:pPr>
      <w:r>
        <w:rPr>
          <w:rFonts w:hint="eastAsia" w:ascii="仿宋" w:hAnsi="仿宋" w:eastAsia="仿宋" w:cs="仿宋"/>
          <w:sz w:val="32"/>
          <w:szCs w:val="32"/>
        </w:rPr>
        <w:t>峨山镇行政机构设置3个综合性办公室：党政综合办公室，职责是负责党务、安全生产、文书档案、人事、机关后勤、社会治安综合治理和对突发事件的预警和管理、民事纠纷调解、化解农村社会矛盾等工作。 社会事务办公室，职责是负责教科文卫管理、民政、法律服务、农村劳动力技能培训、转移就业、计划生育工作。财政所办公室，职责是负责编报乡镇年度财政收支预算、决算并组织预算执行，负责各项强农惠农补贴资金的审核发放和项目建设资金的监督管理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镇事业单位机构设置2个：农业技术服务中心，职责：农林牧业生产中关键技术和新品种、新农具的引进、试验、示范；农作物和林木病虫害、及农业灾害的监测、预报防治和处置；乡村机耕道的规划、建设；农村集体资产财务管理等工作。社会事业服务中心， 职责：城镇失业人员登记和农村劳动力转移</w:t>
      </w:r>
      <w:r>
        <w:rPr>
          <w:rFonts w:hint="eastAsia" w:ascii="仿宋" w:hAnsi="仿宋" w:eastAsia="仿宋" w:cs="仿宋"/>
          <w:sz w:val="32"/>
          <w:szCs w:val="32"/>
          <w:lang w:eastAsia="zh-CN"/>
        </w:rPr>
        <w:t>、</w:t>
      </w:r>
      <w:r>
        <w:rPr>
          <w:rFonts w:hint="eastAsia" w:ascii="仿宋" w:hAnsi="仿宋" w:eastAsia="仿宋" w:cs="仿宋"/>
          <w:sz w:val="32"/>
          <w:szCs w:val="32"/>
        </w:rPr>
        <w:t>就业人员的职业培训、劳务输出和就业管理服务；广播电视“村村通”工程的建设、运行、维护和节目的安全播出；开展多种形式的文娱体育活动和宣传教育活动。</w:t>
      </w:r>
    </w:p>
    <w:p>
      <w:pPr>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（二）2019年重点工作完成情况</w:t>
      </w:r>
      <w:bookmarkEnd w:id="18"/>
      <w:bookmarkEnd w:id="19"/>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１、</w:t>
      </w:r>
      <w:r>
        <w:rPr>
          <w:rFonts w:hint="eastAsia" w:ascii="仿宋" w:hAnsi="仿宋" w:eastAsia="仿宋" w:cs="仿宋"/>
          <w:sz w:val="32"/>
          <w:szCs w:val="32"/>
        </w:rPr>
        <w:t>从严从实抓好党的建设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（１）</w:t>
      </w:r>
      <w:r>
        <w:rPr>
          <w:rFonts w:hint="eastAsia" w:ascii="仿宋" w:hAnsi="仿宋" w:eastAsia="仿宋" w:cs="仿宋"/>
          <w:sz w:val="32"/>
          <w:szCs w:val="32"/>
        </w:rPr>
        <w:t>抓牢基层党建。严格落实党建“四张责任清单”，镇党委专题研究党建工作19次，到后进党支部具体指导工作15次，到各支部讲党课32次。严肃党内政治生活，严格落实“两学一做”常态化制度化；选优配强村（社）班子，调整年龄偏大、能力不胜任村干部7人，“一肩挑”比例达到 75%；扎实做好农民工回引，发展农民工党员7人，回引优秀农民工5人，其中2人进入村“两委”班子；持续推进村（社区）党群服务中心标准化、规范化建设，新建马路桥社区、中王村党建墙；全面完成中王村党支部的软弱涣散整顿提升；严把党员发展关，培育入党积极分子11名；积极推行党员“心”行动，助力“双创”、贫困帮扶等志愿服务活动60余次，参与党员1200余人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（２）</w:t>
      </w:r>
      <w:r>
        <w:rPr>
          <w:rFonts w:hint="eastAsia" w:ascii="仿宋" w:hAnsi="仿宋" w:eastAsia="仿宋" w:cs="仿宋"/>
          <w:sz w:val="32"/>
          <w:szCs w:val="32"/>
        </w:rPr>
        <w:t>抓实主题教育。领导班子围绕“四项教育”内容开展集中学习5.5天，到下属党支部辅导学习32次，讲授专题党课8次，通过到“乐山心连心服务中心”学习先进，进一步增强“党心连民心”“件件有落实，事事有回音”的为民服务理念与责任担当；领导班子结合群众期盼、发展需要确立8个调研课题，通过实地走访、座谈问卷等形式开展深入调查研究，召开专题研讨，交流调研成果，为全镇各项事业更好更快发展提供有力保障。按照“四个对照”“四个找一找”，确定集中整治问题2个，领导班子查找个人问题70个，建立“当下改”和“长久立”的问题整改机制；在全镇开展“走访服务周”活动，全镇、村（社区）64名干部，走访群众867户，召开座谈会、坝坝会10场次，解释拆迁安置等政策问题186个，解决老旧小区无物业、停车难等问题23个。</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（３）</w:t>
      </w:r>
      <w:r>
        <w:rPr>
          <w:rFonts w:hint="eastAsia" w:ascii="仿宋" w:hAnsi="仿宋" w:eastAsia="仿宋" w:cs="仿宋"/>
          <w:sz w:val="32"/>
          <w:szCs w:val="32"/>
        </w:rPr>
        <w:t>深化党风廉政建设。签订《党风廉政建设工作目标责任书》12份，发放告知书8份，召开党风廉政建设工作会、社会评价专题会23次。召开学习会30余次，观看警示教育片20余次，发放宣传资料1万余份，镇村组联动，开展“两个建设”满意度测评全覆盖入户宣传，建立交叉抽查“知晓率”制度，倒逼各村（社区）责任落实；建立短信平台，覆盖全镇每家每户，进一步提升群众知晓率、满意度。开展农村“三资”管理等专项检查4次，约谈5人，完成独立办案1件，督查镇村干部坐班、值班40余次，督促整改问题70余个。</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２、</w:t>
      </w:r>
      <w:r>
        <w:rPr>
          <w:rFonts w:hint="eastAsia" w:ascii="仿宋" w:hAnsi="仿宋" w:eastAsia="仿宋" w:cs="仿宋"/>
          <w:sz w:val="32"/>
          <w:szCs w:val="32"/>
        </w:rPr>
        <w:t>稳步有序推进各项工作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（１）</w:t>
      </w:r>
      <w:r>
        <w:rPr>
          <w:rFonts w:hint="eastAsia" w:ascii="仿宋" w:hAnsi="仿宋" w:eastAsia="仿宋" w:cs="仿宋"/>
          <w:sz w:val="32"/>
          <w:szCs w:val="32"/>
        </w:rPr>
        <w:t>全力做好“双创”“天府旅游名县”及国家全域旅游示范区创建工作。实行包片巡查机制，划分24个网格，常态化开展巡查；开展各类宣传活动300余次，发放宣传资料6000余份，氛围营造500余处；清理乱种乱养面积1.2万余平方米、垃圾70余吨；联合市场监管等部门开展占道经营等综合整治100余次。常态化开展旅游市场秩序整治，对镇域内旅游从业人员、商户、居民进行全覆盖宣传教育，规范从业行为。全力保障了全市创建“天府旅游名县”“国家全域旅游示范区”“全国卫生城市”“四川省文明城市”的迎检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２</w:t>
      </w:r>
      <w:r>
        <w:rPr>
          <w:rFonts w:hint="eastAsia" w:ascii="仿宋" w:hAnsi="仿宋" w:eastAsia="仿宋" w:cs="仿宋"/>
          <w:sz w:val="32"/>
          <w:szCs w:val="32"/>
        </w:rPr>
        <w:t>）积极参与支持景区违建专项整治。按照市上统一部署，抽调3名镇干部（其中1名科级领导干部）参与景区违建整治工作组，抽调精干力量共400余人次，参与景区违建整治秩序维护工作。经多方做工作、讲政策，我镇涉及景区垫资建房的1名退休职工，按期签订放弃承诺书，主动腾房并完成移交处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３</w:t>
      </w:r>
      <w:r>
        <w:rPr>
          <w:rFonts w:hint="eastAsia" w:ascii="仿宋" w:hAnsi="仿宋" w:eastAsia="仿宋" w:cs="仿宋"/>
          <w:sz w:val="32"/>
          <w:szCs w:val="32"/>
        </w:rPr>
        <w:t>）高标准开展“两不愁三保障”回头看大排查工作。扎实开展全镇111户贫困户“两不愁、三保障”回头看大排查工作，及时有效解决排查出的113个问题，有力的巩固了脱贫成效。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４</w:t>
      </w:r>
      <w:r>
        <w:rPr>
          <w:rFonts w:hint="eastAsia" w:ascii="仿宋" w:hAnsi="仿宋" w:eastAsia="仿宋" w:cs="仿宋"/>
          <w:sz w:val="32"/>
          <w:szCs w:val="32"/>
        </w:rPr>
        <w:t>）深入开展“大走访大服务”工作。全面完成第一轮和第二轮走访，镇村（社区）干部142人走访3115户，走访率100%，两轮共收集问题395个（含重复问题），已解决393个，剩余2个问题按照市上要求做好解释，帮助90户困难群众申请纾难解困资金 56800元，使用率37%。</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５</w:t>
      </w:r>
      <w:r>
        <w:rPr>
          <w:rFonts w:hint="eastAsia" w:ascii="仿宋" w:hAnsi="仿宋" w:eastAsia="仿宋" w:cs="仿宋"/>
          <w:sz w:val="32"/>
          <w:szCs w:val="32"/>
        </w:rPr>
        <w:t>）有序推进限价商品房安置工作。严格把关政策、程序，平稳完成全市首批自愿选择限价商品房安置工作，安置溪月湾商品住房62套112人。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６</w:t>
      </w:r>
      <w:r>
        <w:rPr>
          <w:rFonts w:hint="eastAsia" w:ascii="仿宋" w:hAnsi="仿宋" w:eastAsia="仿宋" w:cs="仿宋"/>
          <w:sz w:val="32"/>
          <w:szCs w:val="32"/>
        </w:rPr>
        <w:t>）严格进行“大棚房”及违建整治。完成3处“大棚房”和1个卫片整治，拆除违章建筑2000余平方，增加复耕覆土15余亩，通过验收并完成备案200余亩，无另案处理类。平稳拆除名山南路283号、秀湖街144号、秀湖街159号3个开放式小区，31处1588平方米历史违建。全年开展巡查200余次，及时制止违建苗头4起。</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７</w:t>
      </w:r>
      <w:r>
        <w:rPr>
          <w:rFonts w:hint="eastAsia" w:ascii="仿宋" w:hAnsi="仿宋" w:eastAsia="仿宋" w:cs="仿宋"/>
          <w:sz w:val="32"/>
          <w:szCs w:val="32"/>
        </w:rPr>
        <w:t>）积极打造峨眉酒家风味街。通过召集商家召开座谈会、发放征询意见表，充分听取各方意见，邀请峨眉山市规划设计院专业人员到现场勘测制订酒家风味街设计方案，采取先行试点，依次全面铺开打造，分三批完成了43户商家的全面改造提升，峨眉酒家风味街已成为一张亮丽的餐</w:t>
      </w:r>
      <w:r>
        <w:rPr>
          <w:rFonts w:hint="eastAsia" w:ascii="仿宋" w:hAnsi="仿宋" w:eastAsia="仿宋" w:cs="仿宋"/>
          <w:sz w:val="32"/>
          <w:szCs w:val="32"/>
          <w:lang w:val="en-US" w:eastAsia="zh-CN"/>
        </w:rPr>
        <w:t>饮名片。</w:t>
      </w:r>
    </w:p>
    <w:p>
      <w:pPr>
        <w:pStyle w:val="3"/>
        <w:ind w:firstLine="1280" w:firstLineChars="400"/>
        <w:rPr>
          <w:rStyle w:val="25"/>
          <w:rFonts w:hint="eastAsia" w:ascii="仿宋" w:hAnsi="仿宋" w:eastAsia="仿宋" w:cs="仿宋"/>
          <w:b w:val="0"/>
          <w:bCs w:val="0"/>
          <w:sz w:val="32"/>
          <w:szCs w:val="32"/>
        </w:rPr>
      </w:pPr>
      <w:bookmarkStart w:id="20" w:name="_Toc15396601"/>
      <w:bookmarkStart w:id="21" w:name="_Toc15377200"/>
      <w:r>
        <w:rPr>
          <w:rFonts w:hint="eastAsia" w:ascii="仿宋" w:hAnsi="仿宋" w:eastAsia="仿宋" w:cs="仿宋"/>
          <w:b w:val="0"/>
          <w:color w:val="000000"/>
          <w:sz w:val="32"/>
          <w:szCs w:val="32"/>
        </w:rPr>
        <w:t>二、机</w:t>
      </w:r>
      <w:r>
        <w:rPr>
          <w:rStyle w:val="25"/>
          <w:rFonts w:hint="eastAsia" w:ascii="仿宋" w:hAnsi="仿宋" w:eastAsia="仿宋" w:cs="仿宋"/>
          <w:b w:val="0"/>
          <w:bCs w:val="0"/>
          <w:sz w:val="32"/>
          <w:szCs w:val="32"/>
        </w:rPr>
        <w:t>构设置</w:t>
      </w:r>
      <w:bookmarkEnd w:id="20"/>
      <w:bookmarkEnd w:id="21"/>
    </w:p>
    <w:p>
      <w:pPr>
        <w:ind w:firstLine="800" w:firstLineChars="250"/>
        <w:rPr>
          <w:rFonts w:hint="eastAsia" w:ascii="仿宋" w:hAnsi="仿宋" w:eastAsia="仿宋" w:cs="仿宋"/>
          <w:sz w:val="32"/>
          <w:szCs w:val="32"/>
        </w:rPr>
      </w:pPr>
      <w:r>
        <w:rPr>
          <w:rFonts w:hint="eastAsia" w:ascii="仿宋" w:hAnsi="仿宋" w:eastAsia="仿宋" w:cs="仿宋"/>
          <w:sz w:val="32"/>
          <w:szCs w:val="32"/>
          <w:lang w:val="en-US" w:eastAsia="zh-CN"/>
        </w:rPr>
        <w:t>峨山镇人民政府</w:t>
      </w:r>
      <w:r>
        <w:rPr>
          <w:rFonts w:hint="eastAsia" w:ascii="仿宋" w:hAnsi="仿宋" w:eastAsia="仿宋" w:cs="仿宋"/>
          <w:sz w:val="32"/>
          <w:szCs w:val="32"/>
        </w:rPr>
        <w:t>下属二级单位</w:t>
      </w:r>
      <w:r>
        <w:rPr>
          <w:rFonts w:hint="eastAsia" w:ascii="仿宋" w:hAnsi="仿宋" w:eastAsia="仿宋" w:cs="仿宋"/>
          <w:sz w:val="32"/>
          <w:szCs w:val="32"/>
          <w:lang w:eastAsia="zh-CN"/>
        </w:rPr>
        <w:t>２</w:t>
      </w:r>
      <w:r>
        <w:rPr>
          <w:rFonts w:hint="eastAsia" w:ascii="仿宋" w:hAnsi="仿宋" w:eastAsia="仿宋" w:cs="仿宋"/>
          <w:sz w:val="32"/>
          <w:szCs w:val="32"/>
        </w:rPr>
        <w:t>个，其中行政单位</w:t>
      </w:r>
      <w:r>
        <w:rPr>
          <w:rFonts w:hint="eastAsia" w:ascii="仿宋" w:hAnsi="仿宋" w:eastAsia="仿宋" w:cs="仿宋"/>
          <w:sz w:val="32"/>
          <w:szCs w:val="32"/>
          <w:lang w:eastAsia="zh-CN"/>
        </w:rPr>
        <w:t>０</w:t>
      </w:r>
      <w:r>
        <w:rPr>
          <w:rFonts w:hint="eastAsia" w:ascii="仿宋" w:hAnsi="仿宋" w:eastAsia="仿宋" w:cs="仿宋"/>
          <w:sz w:val="32"/>
          <w:szCs w:val="32"/>
        </w:rPr>
        <w:t>个，参照公务员法管理的事业单位</w:t>
      </w:r>
      <w:r>
        <w:rPr>
          <w:rFonts w:hint="eastAsia" w:ascii="仿宋" w:hAnsi="仿宋" w:eastAsia="仿宋" w:cs="仿宋"/>
          <w:bCs/>
          <w:sz w:val="32"/>
          <w:szCs w:val="32"/>
          <w:lang w:eastAsia="zh-CN"/>
        </w:rPr>
        <w:t>０</w:t>
      </w:r>
      <w:r>
        <w:rPr>
          <w:rFonts w:hint="eastAsia" w:ascii="仿宋" w:hAnsi="仿宋" w:eastAsia="仿宋" w:cs="仿宋"/>
          <w:sz w:val="32"/>
          <w:szCs w:val="32"/>
        </w:rPr>
        <w:t>个，其他事业单位</w:t>
      </w:r>
      <w:r>
        <w:rPr>
          <w:rFonts w:hint="eastAsia" w:ascii="仿宋" w:hAnsi="仿宋" w:eastAsia="仿宋" w:cs="仿宋"/>
          <w:sz w:val="32"/>
          <w:szCs w:val="32"/>
          <w:lang w:eastAsia="zh-CN"/>
        </w:rPr>
        <w:t>２</w:t>
      </w:r>
      <w:r>
        <w:rPr>
          <w:rFonts w:hint="eastAsia" w:ascii="仿宋" w:hAnsi="仿宋" w:eastAsia="仿宋" w:cs="仿宋"/>
          <w:sz w:val="32"/>
          <w:szCs w:val="32"/>
        </w:rPr>
        <w:t>个。</w:t>
      </w:r>
    </w:p>
    <w:p>
      <w:pPr>
        <w:pStyle w:val="5"/>
        <w:adjustRightInd w:val="0"/>
        <w:snapToGrid w:val="0"/>
        <w:spacing w:before="93"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z w:val="32"/>
          <w:szCs w:val="32"/>
        </w:rPr>
        <w:t>纳入</w:t>
      </w:r>
      <w:r>
        <w:rPr>
          <w:rFonts w:hint="eastAsia" w:ascii="仿宋" w:hAnsi="仿宋" w:eastAsia="仿宋" w:cs="仿宋"/>
          <w:color w:val="000000"/>
          <w:sz w:val="32"/>
          <w:szCs w:val="32"/>
          <w:lang w:val="en-US" w:eastAsia="zh-CN"/>
        </w:rPr>
        <w:t>峨山镇人民政府</w:t>
      </w:r>
      <w:r>
        <w:rPr>
          <w:rFonts w:hint="eastAsia" w:ascii="仿宋" w:hAnsi="仿宋" w:eastAsia="仿宋" w:cs="仿宋"/>
          <w:color w:val="000000"/>
          <w:sz w:val="32"/>
          <w:szCs w:val="32"/>
        </w:rPr>
        <w:t>2019年度部门决算编制范围的二级预算单位包括：</w:t>
      </w:r>
    </w:p>
    <w:p>
      <w:pPr>
        <w:pStyle w:val="5"/>
        <w:numPr>
          <w:ilvl w:val="0"/>
          <w:numId w:val="0"/>
        </w:numPr>
        <w:adjustRightInd w:val="0"/>
        <w:snapToGrid w:val="0"/>
        <w:spacing w:before="93" w:line="600" w:lineRule="exact"/>
        <w:ind w:left="672" w:leftChars="0"/>
        <w:outlineLvl w:val="2"/>
        <w:rPr>
          <w:rFonts w:hint="eastAsia" w:ascii="仿宋" w:hAnsi="仿宋" w:eastAsia="仿宋" w:cs="仿宋"/>
          <w:color w:val="000000"/>
          <w:sz w:val="32"/>
          <w:szCs w:val="32"/>
        </w:rPr>
      </w:pPr>
      <w:bookmarkStart w:id="22" w:name="_Toc15377433"/>
      <w:bookmarkStart w:id="23" w:name="_Toc15378449"/>
      <w:bookmarkStart w:id="24" w:name="_Toc15377202"/>
      <w:bookmarkStart w:id="25" w:name="_Toc15306276"/>
      <w:r>
        <w:rPr>
          <w:rFonts w:hint="eastAsia" w:ascii="仿宋" w:hAnsi="仿宋" w:eastAsia="仿宋" w:cs="仿宋"/>
          <w:color w:val="000000"/>
          <w:sz w:val="32"/>
          <w:szCs w:val="32"/>
          <w:lang w:val="en-US" w:eastAsia="zh-CN"/>
        </w:rPr>
        <w:t>1、峨山镇社会事业服务中心</w:t>
      </w:r>
      <w:bookmarkEnd w:id="22"/>
      <w:bookmarkEnd w:id="23"/>
      <w:bookmarkEnd w:id="24"/>
      <w:bookmarkEnd w:id="25"/>
    </w:p>
    <w:p>
      <w:pPr>
        <w:pStyle w:val="5"/>
        <w:adjustRightInd w:val="0"/>
        <w:snapToGrid w:val="0"/>
        <w:spacing w:before="93"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２、峨山镇农业技术服务中心</w:t>
      </w:r>
    </w:p>
    <w:p>
      <w:pPr>
        <w:widowControl/>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br w:type="page"/>
      </w:r>
    </w:p>
    <w:p>
      <w:pPr>
        <w:pStyle w:val="2"/>
        <w:ind w:right="440"/>
        <w:jc w:val="right"/>
        <w:rPr>
          <w:rStyle w:val="24"/>
          <w:rFonts w:hint="eastAsia" w:ascii="仿宋" w:hAnsi="仿宋" w:eastAsia="仿宋" w:cs="仿宋"/>
          <w:b w:val="0"/>
          <w:bCs w:val="0"/>
        </w:rPr>
      </w:pPr>
      <w:bookmarkStart w:id="26" w:name="_Toc15396602"/>
      <w:bookmarkStart w:id="27" w:name="_Toc15377204"/>
      <w:r>
        <w:rPr>
          <w:rFonts w:hint="eastAsia" w:ascii="仿宋" w:hAnsi="仿宋" w:eastAsia="仿宋" w:cs="仿宋"/>
          <w:b w:val="0"/>
          <w:color w:val="000000"/>
        </w:rPr>
        <w:t>第二部分</w:t>
      </w:r>
      <w:r>
        <w:rPr>
          <w:rFonts w:hint="eastAsia" w:ascii="仿宋" w:hAnsi="仿宋" w:eastAsia="仿宋" w:cs="仿宋"/>
          <w:color w:val="000000"/>
        </w:rPr>
        <w:t xml:space="preserve"> </w:t>
      </w:r>
      <w:r>
        <w:rPr>
          <w:rStyle w:val="24"/>
          <w:rFonts w:hint="eastAsia" w:ascii="仿宋" w:hAnsi="仿宋" w:eastAsia="仿宋" w:cs="仿宋"/>
          <w:b w:val="0"/>
          <w:bCs w:val="0"/>
        </w:rPr>
        <w:t>2019年度部门决算情况说明</w:t>
      </w:r>
      <w:bookmarkEnd w:id="26"/>
      <w:bookmarkEnd w:id="27"/>
    </w:p>
    <w:p>
      <w:pPr>
        <w:rPr>
          <w:rFonts w:hint="eastAsia" w:ascii="仿宋" w:hAnsi="仿宋" w:eastAsia="仿宋" w:cs="仿宋"/>
        </w:rPr>
      </w:pPr>
    </w:p>
    <w:p>
      <w:pPr>
        <w:pStyle w:val="23"/>
        <w:numPr>
          <w:ilvl w:val="0"/>
          <w:numId w:val="1"/>
        </w:numPr>
        <w:spacing w:line="600" w:lineRule="exact"/>
        <w:ind w:firstLineChars="0"/>
        <w:outlineLvl w:val="1"/>
        <w:rPr>
          <w:rStyle w:val="25"/>
          <w:rFonts w:hint="eastAsia" w:ascii="仿宋" w:hAnsi="仿宋" w:eastAsia="仿宋" w:cs="仿宋"/>
          <w:b w:val="0"/>
        </w:rPr>
      </w:pPr>
      <w:bookmarkStart w:id="28" w:name="_Toc15377205"/>
      <w:bookmarkStart w:id="29" w:name="_Toc15396603"/>
      <w:r>
        <w:rPr>
          <w:rFonts w:hint="eastAsia" w:ascii="仿宋" w:hAnsi="仿宋" w:eastAsia="仿宋" w:cs="仿宋"/>
          <w:color w:val="000000"/>
          <w:sz w:val="32"/>
          <w:szCs w:val="32"/>
        </w:rPr>
        <w:t>收</w:t>
      </w:r>
      <w:r>
        <w:rPr>
          <w:rStyle w:val="25"/>
          <w:rFonts w:hint="eastAsia" w:ascii="仿宋" w:hAnsi="仿宋" w:eastAsia="仿宋" w:cs="仿宋"/>
          <w:b w:val="0"/>
        </w:rPr>
        <w:t>入支出决算总体情况说明</w:t>
      </w:r>
      <w:bookmarkEnd w:id="28"/>
      <w:bookmarkEnd w:id="29"/>
    </w:p>
    <w:p>
      <w:pPr>
        <w:spacing w:line="60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2019年度收</w:t>
      </w:r>
      <w:r>
        <w:rPr>
          <w:rFonts w:hint="eastAsia" w:ascii="仿宋" w:hAnsi="仿宋" w:eastAsia="仿宋" w:cs="仿宋"/>
          <w:color w:val="000000"/>
          <w:sz w:val="32"/>
          <w:szCs w:val="32"/>
          <w:lang w:val="en-US" w:eastAsia="zh-CN"/>
        </w:rPr>
        <w:t>入总计1141.6万元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出总计1254.94</w:t>
      </w:r>
      <w:r>
        <w:rPr>
          <w:rFonts w:hint="eastAsia" w:ascii="仿宋" w:hAnsi="仿宋" w:eastAsia="仿宋" w:cs="仿宋"/>
          <w:color w:val="000000"/>
          <w:sz w:val="32"/>
          <w:szCs w:val="32"/>
        </w:rPr>
        <w:t>万元。与2018年相比，收</w:t>
      </w:r>
      <w:r>
        <w:rPr>
          <w:rFonts w:hint="eastAsia" w:ascii="仿宋" w:hAnsi="仿宋" w:eastAsia="仿宋" w:cs="仿宋"/>
          <w:color w:val="000000"/>
          <w:sz w:val="32"/>
          <w:szCs w:val="32"/>
          <w:lang w:val="en-US" w:eastAsia="zh-CN"/>
        </w:rPr>
        <w:t>入总计减少116.34万元，下降9.2%；</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w:t>
      </w:r>
      <w:r>
        <w:rPr>
          <w:rFonts w:hint="eastAsia" w:ascii="仿宋" w:hAnsi="仿宋" w:eastAsia="仿宋" w:cs="仿宋"/>
          <w:color w:val="000000"/>
          <w:sz w:val="32"/>
          <w:szCs w:val="32"/>
        </w:rPr>
        <w:t>总计增加</w:t>
      </w:r>
      <w:r>
        <w:rPr>
          <w:rFonts w:hint="eastAsia" w:ascii="仿宋" w:hAnsi="仿宋" w:eastAsia="仿宋" w:cs="仿宋"/>
          <w:color w:val="000000"/>
          <w:sz w:val="32"/>
          <w:szCs w:val="32"/>
          <w:lang w:val="en-US" w:eastAsia="zh-CN"/>
        </w:rPr>
        <w:t>10.29</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0.8</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rPr>
      </w:pPr>
      <w:r>
        <w:drawing>
          <wp:inline distT="0" distB="0" distL="114300" distR="114300">
            <wp:extent cx="5181600" cy="3419475"/>
            <wp:effectExtent l="4445" t="4445" r="14605" b="5080"/>
            <wp:docPr id="128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hint="eastAsia" w:ascii="仿宋" w:hAnsi="仿宋" w:eastAsia="仿宋" w:cs="仿宋"/>
          <w:b w:val="0"/>
        </w:rPr>
      </w:pPr>
      <w:bookmarkStart w:id="30" w:name="_Toc15396604"/>
      <w:bookmarkStart w:id="31" w:name="_Toc15377206"/>
      <w:r>
        <w:rPr>
          <w:rFonts w:hint="eastAsia" w:ascii="仿宋" w:hAnsi="仿宋" w:eastAsia="仿宋" w:cs="仿宋"/>
          <w:color w:val="000000"/>
          <w:sz w:val="32"/>
          <w:szCs w:val="32"/>
        </w:rPr>
        <w:t>收</w:t>
      </w:r>
      <w:r>
        <w:rPr>
          <w:rStyle w:val="25"/>
          <w:rFonts w:hint="eastAsia" w:ascii="仿宋" w:hAnsi="仿宋" w:eastAsia="仿宋" w:cs="仿宋"/>
          <w:b w:val="0"/>
        </w:rPr>
        <w:t>入决算情况说明</w:t>
      </w:r>
      <w:bookmarkEnd w:id="30"/>
      <w:bookmarkEnd w:id="31"/>
    </w:p>
    <w:p>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2019年本年收入合计</w:t>
      </w:r>
      <w:r>
        <w:rPr>
          <w:rFonts w:hint="eastAsia" w:ascii="仿宋" w:hAnsi="仿宋" w:eastAsia="仿宋" w:cs="仿宋"/>
          <w:color w:val="000000"/>
          <w:sz w:val="32"/>
          <w:szCs w:val="32"/>
          <w:lang w:val="en-US" w:eastAsia="zh-CN"/>
        </w:rPr>
        <w:t>1141.6</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909.59</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79.7</w:t>
      </w:r>
      <w:r>
        <w:rPr>
          <w:rFonts w:hint="eastAsia" w:ascii="仿宋" w:hAnsi="仿宋" w:eastAsia="仿宋" w:cs="仿宋"/>
          <w:color w:val="000000"/>
          <w:sz w:val="32"/>
          <w:szCs w:val="32"/>
        </w:rPr>
        <w:t>%；政府性基金预算财政拨款收入</w:t>
      </w:r>
      <w:r>
        <w:rPr>
          <w:rFonts w:hint="eastAsia" w:ascii="仿宋" w:hAnsi="仿宋" w:eastAsia="仿宋" w:cs="仿宋"/>
          <w:color w:val="000000"/>
          <w:sz w:val="32"/>
          <w:szCs w:val="32"/>
          <w:lang w:val="en-US" w:eastAsia="zh-CN"/>
        </w:rPr>
        <w:t>232.01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20.3</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rPr>
        <w:t>上级补助收入</w:t>
      </w:r>
      <w:r>
        <w:rPr>
          <w:rFonts w:hint="eastAsia" w:ascii="仿宋" w:hAnsi="仿宋" w:eastAsia="仿宋" w:cs="仿宋"/>
          <w:color w:val="000000" w:themeColor="text1"/>
          <w:sz w:val="32"/>
          <w:szCs w:val="32"/>
          <w:lang w:val="en-US" w:eastAsia="zh-CN"/>
        </w:rPr>
        <w:t>0</w:t>
      </w:r>
      <w:r>
        <w:rPr>
          <w:rFonts w:hint="eastAsia" w:ascii="仿宋" w:hAnsi="仿宋" w:eastAsia="仿宋" w:cs="仿宋"/>
          <w:color w:val="000000"/>
          <w:sz w:val="32"/>
          <w:szCs w:val="32"/>
        </w:rPr>
        <w:t>万元；事业收入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万元；经营收入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万元；附属单位上缴收入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万元；其他收入</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spacing w:line="600" w:lineRule="exact"/>
        <w:ind w:firstLine="640" w:firstLineChars="200"/>
        <w:outlineLvl w:val="1"/>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FF0000"/>
          <w:sz w:val="32"/>
          <w:szCs w:val="32"/>
        </w:rPr>
      </w:pPr>
      <w:r>
        <w:drawing>
          <wp:inline distT="0" distB="0" distL="114300" distR="114300">
            <wp:extent cx="4848225" cy="3038475"/>
            <wp:effectExtent l="4445" t="4445" r="5080" b="5080"/>
            <wp:docPr id="127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hint="eastAsia" w:ascii="仿宋" w:hAnsi="仿宋" w:eastAsia="仿宋" w:cs="仿宋"/>
          <w:b w:val="0"/>
        </w:rPr>
      </w:pPr>
      <w:bookmarkStart w:id="32" w:name="_Toc15377207"/>
      <w:bookmarkStart w:id="33" w:name="_Toc15396605"/>
      <w:r>
        <w:rPr>
          <w:rFonts w:hint="eastAsia" w:ascii="仿宋" w:hAnsi="仿宋" w:eastAsia="仿宋" w:cs="仿宋"/>
          <w:color w:val="000000"/>
          <w:sz w:val="32"/>
          <w:szCs w:val="32"/>
        </w:rPr>
        <w:t>支</w:t>
      </w:r>
      <w:r>
        <w:rPr>
          <w:rStyle w:val="25"/>
          <w:rFonts w:hint="eastAsia" w:ascii="仿宋" w:hAnsi="仿宋" w:eastAsia="仿宋" w:cs="仿宋"/>
          <w:b w:val="0"/>
        </w:rPr>
        <w:t>出决算情况说明</w:t>
      </w:r>
      <w:bookmarkEnd w:id="32"/>
      <w:bookmarkEnd w:id="33"/>
    </w:p>
    <w:p>
      <w:pPr>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2019年本年支出合计</w:t>
      </w:r>
      <w:r>
        <w:rPr>
          <w:rFonts w:hint="eastAsia" w:ascii="仿宋" w:hAnsi="仿宋" w:eastAsia="仿宋" w:cs="仿宋"/>
          <w:color w:val="000000"/>
          <w:sz w:val="32"/>
          <w:szCs w:val="32"/>
          <w:lang w:val="en-US" w:eastAsia="zh-CN"/>
        </w:rPr>
        <w:t>1254.94</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618.78</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49.3</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636.16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50.7</w:t>
      </w:r>
      <w:r>
        <w:rPr>
          <w:rFonts w:hint="eastAsia" w:ascii="仿宋" w:hAnsi="仿宋" w:eastAsia="仿宋" w:cs="仿宋"/>
          <w:color w:val="000000"/>
          <w:sz w:val="32"/>
          <w:szCs w:val="32"/>
        </w:rPr>
        <w:t>%；上缴上级支出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万元；经营支出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万元；对附属单位补助支出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FF0000"/>
          <w:sz w:val="32"/>
          <w:szCs w:val="32"/>
        </w:rPr>
      </w:pPr>
      <w:r>
        <w:drawing>
          <wp:inline distT="0" distB="0" distL="114300" distR="114300">
            <wp:extent cx="5191125" cy="3105150"/>
            <wp:effectExtent l="4445" t="4445" r="5080" b="14605"/>
            <wp:docPr id="127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hint="eastAsia" w:ascii="仿宋" w:hAnsi="仿宋" w:eastAsia="仿宋" w:cs="仿宋"/>
          <w:b w:val="0"/>
        </w:rPr>
      </w:pPr>
      <w:bookmarkStart w:id="34" w:name="_Toc15377208"/>
      <w:bookmarkStart w:id="35" w:name="_Toc15396606"/>
      <w:r>
        <w:rPr>
          <w:rFonts w:hint="eastAsia" w:ascii="仿宋" w:hAnsi="仿宋" w:eastAsia="仿宋" w:cs="仿宋"/>
          <w:color w:val="000000"/>
          <w:sz w:val="32"/>
          <w:szCs w:val="32"/>
        </w:rPr>
        <w:t>四、财</w:t>
      </w:r>
      <w:r>
        <w:rPr>
          <w:rStyle w:val="25"/>
          <w:rFonts w:hint="eastAsia" w:ascii="仿宋" w:hAnsi="仿宋" w:eastAsia="仿宋" w:cs="仿宋"/>
          <w:b w:val="0"/>
        </w:rPr>
        <w:t>政拨款收入支出决算总体情况说明</w:t>
      </w:r>
      <w:bookmarkEnd w:id="34"/>
      <w:bookmarkEnd w:id="35"/>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2019年财政拨款收</w:t>
      </w:r>
      <w:r>
        <w:rPr>
          <w:rFonts w:hint="eastAsia" w:ascii="仿宋" w:hAnsi="仿宋" w:eastAsia="仿宋" w:cs="仿宋"/>
          <w:color w:val="000000"/>
          <w:sz w:val="32"/>
          <w:szCs w:val="32"/>
          <w:lang w:val="en-US" w:eastAsia="zh-CN"/>
        </w:rPr>
        <w:t>入总计1141.6</w:t>
      </w:r>
      <w:r>
        <w:rPr>
          <w:rFonts w:hint="eastAsia" w:ascii="仿宋" w:hAnsi="仿宋" w:eastAsia="仿宋" w:cs="仿宋"/>
          <w:color w:val="000000"/>
          <w:sz w:val="32"/>
          <w:szCs w:val="32"/>
        </w:rPr>
        <w:t>、支</w:t>
      </w:r>
      <w:r>
        <w:rPr>
          <w:rFonts w:hint="eastAsia" w:ascii="仿宋" w:hAnsi="仿宋" w:eastAsia="仿宋" w:cs="仿宋"/>
          <w:color w:val="000000"/>
          <w:sz w:val="32"/>
          <w:szCs w:val="32"/>
          <w:lang w:val="en-US" w:eastAsia="zh-CN"/>
        </w:rPr>
        <w:t>出总计1254.94</w:t>
      </w:r>
      <w:r>
        <w:rPr>
          <w:rFonts w:hint="eastAsia" w:ascii="仿宋" w:hAnsi="仿宋" w:eastAsia="仿宋" w:cs="仿宋"/>
          <w:color w:val="000000"/>
          <w:sz w:val="32"/>
          <w:szCs w:val="32"/>
        </w:rPr>
        <w:t>万元。与2018年相比，财政拨款收</w:t>
      </w:r>
      <w:r>
        <w:rPr>
          <w:rFonts w:hint="eastAsia" w:ascii="仿宋" w:hAnsi="仿宋" w:eastAsia="仿宋" w:cs="仿宋"/>
          <w:color w:val="000000"/>
          <w:sz w:val="32"/>
          <w:szCs w:val="32"/>
          <w:lang w:val="en-US" w:eastAsia="zh-CN"/>
        </w:rPr>
        <w:t>入</w:t>
      </w:r>
      <w:r>
        <w:rPr>
          <w:rFonts w:hint="eastAsia" w:ascii="仿宋" w:hAnsi="仿宋" w:eastAsia="仿宋" w:cs="仿宋"/>
          <w:color w:val="000000"/>
          <w:sz w:val="32"/>
          <w:szCs w:val="32"/>
        </w:rPr>
        <w:t>总计减少</w:t>
      </w:r>
      <w:r>
        <w:rPr>
          <w:rFonts w:hint="eastAsia" w:ascii="仿宋" w:hAnsi="仿宋" w:eastAsia="仿宋" w:cs="仿宋"/>
          <w:color w:val="000000"/>
          <w:sz w:val="32"/>
          <w:szCs w:val="32"/>
          <w:lang w:val="en-US" w:eastAsia="zh-CN"/>
        </w:rPr>
        <w:t>116.34</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9.2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；支出部计增加10.29万元，增长0.8</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s="仿宋"/>
          <w:b/>
          <w:color w:val="00B050"/>
          <w:sz w:val="32"/>
          <w:szCs w:val="32"/>
        </w:rPr>
      </w:pPr>
      <w:r>
        <w:drawing>
          <wp:inline distT="0" distB="0" distL="114300" distR="114300">
            <wp:extent cx="5181600" cy="3419475"/>
            <wp:effectExtent l="4445" t="4445" r="1460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hint="eastAsia" w:ascii="仿宋" w:hAnsi="仿宋" w:eastAsia="仿宋" w:cs="仿宋"/>
          <w:b w:val="0"/>
        </w:rPr>
      </w:pPr>
      <w:bookmarkStart w:id="36" w:name="_Toc15377209"/>
      <w:bookmarkStart w:id="37" w:name="_Toc15396607"/>
      <w:r>
        <w:rPr>
          <w:rFonts w:hint="eastAsia" w:ascii="仿宋" w:hAnsi="仿宋" w:eastAsia="仿宋" w:cs="仿宋"/>
          <w:color w:val="000000"/>
          <w:sz w:val="32"/>
          <w:szCs w:val="32"/>
        </w:rPr>
        <w:t>五、</w:t>
      </w:r>
      <w:r>
        <w:rPr>
          <w:rFonts w:hint="eastAsia" w:ascii="仿宋" w:hAnsi="仿宋" w:eastAsia="仿宋" w:cs="仿宋"/>
          <w:b/>
          <w:color w:val="000000"/>
          <w:sz w:val="32"/>
          <w:szCs w:val="32"/>
        </w:rPr>
        <w:t>一</w:t>
      </w:r>
      <w:r>
        <w:rPr>
          <w:rStyle w:val="25"/>
          <w:rFonts w:hint="eastAsia" w:ascii="仿宋" w:hAnsi="仿宋" w:eastAsia="仿宋" w:cs="仿宋"/>
          <w:b w:val="0"/>
        </w:rPr>
        <w:t>般公共预算财政拨款支出决算情况说明</w:t>
      </w:r>
      <w:bookmarkEnd w:id="36"/>
      <w:bookmarkEnd w:id="37"/>
    </w:p>
    <w:p>
      <w:pPr>
        <w:spacing w:line="600" w:lineRule="exact"/>
        <w:ind w:firstLine="643" w:firstLineChars="200"/>
        <w:outlineLvl w:val="2"/>
        <w:rPr>
          <w:rFonts w:hint="eastAsia" w:ascii="仿宋" w:hAnsi="仿宋" w:eastAsia="仿宋" w:cs="仿宋"/>
          <w:b/>
          <w:color w:val="000000"/>
          <w:sz w:val="32"/>
          <w:szCs w:val="32"/>
        </w:rPr>
      </w:pPr>
      <w:bookmarkStart w:id="38" w:name="_Toc15377210"/>
      <w:r>
        <w:rPr>
          <w:rFonts w:hint="eastAsia" w:ascii="仿宋" w:hAnsi="仿宋" w:eastAsia="仿宋" w:cs="仿宋"/>
          <w:b/>
          <w:color w:val="000000"/>
          <w:sz w:val="32"/>
          <w:szCs w:val="32"/>
        </w:rPr>
        <w:t>（一）一般公共预算财政拨款支出决算总体情况</w:t>
      </w:r>
      <w:bookmarkEnd w:id="38"/>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2019年一般公共预算财政拨款支出</w:t>
      </w:r>
      <w:r>
        <w:rPr>
          <w:rFonts w:hint="eastAsia" w:ascii="仿宋" w:hAnsi="仿宋" w:eastAsia="仿宋" w:cs="仿宋"/>
          <w:color w:val="000000"/>
          <w:sz w:val="32"/>
          <w:szCs w:val="32"/>
          <w:lang w:val="en-US" w:eastAsia="zh-CN"/>
        </w:rPr>
        <w:t>1019.52</w:t>
      </w:r>
      <w:r>
        <w:rPr>
          <w:rFonts w:hint="eastAsia" w:ascii="仿宋" w:hAnsi="仿宋" w:eastAsia="仿宋" w:cs="仿宋"/>
          <w:color w:val="000000"/>
          <w:sz w:val="32"/>
          <w:szCs w:val="32"/>
        </w:rPr>
        <w:t>万元，占本年支出合计的</w:t>
      </w:r>
      <w:r>
        <w:rPr>
          <w:rFonts w:hint="eastAsia" w:ascii="仿宋" w:hAnsi="仿宋" w:eastAsia="仿宋" w:cs="仿宋"/>
          <w:color w:val="000000"/>
          <w:sz w:val="32"/>
          <w:szCs w:val="32"/>
          <w:lang w:val="en-US" w:eastAsia="zh-CN"/>
        </w:rPr>
        <w:t>81.2</w:t>
      </w:r>
      <w:r>
        <w:rPr>
          <w:rFonts w:hint="eastAsia" w:ascii="仿宋" w:hAnsi="仿宋" w:eastAsia="仿宋" w:cs="仿宋"/>
          <w:color w:val="000000"/>
          <w:sz w:val="32"/>
          <w:szCs w:val="32"/>
        </w:rPr>
        <w:t>%。与2018年相比，一般公共预算财政拨款增加</w:t>
      </w:r>
      <w:r>
        <w:rPr>
          <w:rFonts w:hint="eastAsia" w:ascii="仿宋" w:hAnsi="仿宋" w:eastAsia="仿宋" w:cs="仿宋"/>
          <w:color w:val="000000"/>
          <w:sz w:val="32"/>
          <w:szCs w:val="32"/>
          <w:lang w:val="en-US" w:eastAsia="zh-CN"/>
        </w:rPr>
        <w:t>48.63</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 w:hAnsi="仿宋" w:eastAsia="仿宋" w:cs="仿宋"/>
          <w:color w:val="000000" w:themeColor="text1"/>
          <w:sz w:val="32"/>
          <w:szCs w:val="32"/>
        </w:rPr>
      </w:pPr>
      <w:r>
        <w:drawing>
          <wp:inline distT="0" distB="0" distL="114300" distR="114300">
            <wp:extent cx="4438650" cy="2943225"/>
            <wp:effectExtent l="4445" t="4445" r="14605" b="5080"/>
            <wp:docPr id="128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hint="eastAsia" w:ascii="仿宋" w:hAnsi="仿宋" w:eastAsia="仿宋" w:cs="仿宋"/>
          <w:b/>
          <w:color w:val="000000"/>
          <w:sz w:val="32"/>
          <w:szCs w:val="32"/>
        </w:rPr>
      </w:pPr>
      <w:bookmarkStart w:id="39" w:name="_Toc15377211"/>
      <w:r>
        <w:rPr>
          <w:rFonts w:hint="eastAsia" w:ascii="仿宋" w:hAnsi="仿宋" w:eastAsia="仿宋" w:cs="仿宋"/>
          <w:b/>
          <w:color w:val="000000"/>
          <w:sz w:val="32"/>
          <w:szCs w:val="32"/>
        </w:rPr>
        <w:t>（二）一般公共预算财政拨款支出决算结构情况</w:t>
      </w:r>
      <w:bookmarkEnd w:id="39"/>
    </w:p>
    <w:p>
      <w:pPr>
        <w:spacing w:line="240" w:lineRule="auto"/>
        <w:ind w:firstLine="640"/>
        <w:rPr>
          <w:rFonts w:hint="eastAsia" w:ascii="仿宋" w:hAnsi="仿宋" w:eastAsia="仿宋" w:cs="仿宋"/>
          <w:b/>
          <w:color w:val="000000" w:themeColor="text1"/>
          <w:sz w:val="32"/>
          <w:szCs w:val="32"/>
          <w:lang w:eastAsia="zh-CN"/>
        </w:rPr>
      </w:pPr>
      <w:r>
        <w:rPr>
          <w:rFonts w:hint="eastAsia" w:ascii="仿宋" w:hAnsi="仿宋" w:eastAsia="仿宋" w:cs="仿宋"/>
          <w:color w:val="000000"/>
          <w:sz w:val="32"/>
          <w:szCs w:val="32"/>
        </w:rPr>
        <w:t>2019年一般公共预算财</w:t>
      </w:r>
      <w:r>
        <w:rPr>
          <w:rFonts w:hint="eastAsia" w:ascii="仿宋" w:hAnsi="仿宋" w:eastAsia="仿宋" w:cs="仿宋"/>
          <w:color w:val="000000" w:themeColor="text1"/>
          <w:sz w:val="32"/>
          <w:szCs w:val="32"/>
        </w:rPr>
        <w:t>政拨款支出</w:t>
      </w:r>
      <w:r>
        <w:rPr>
          <w:rFonts w:hint="eastAsia" w:ascii="仿宋" w:hAnsi="仿宋" w:eastAsia="仿宋" w:cs="仿宋"/>
          <w:color w:val="000000" w:themeColor="text1"/>
          <w:sz w:val="32"/>
          <w:szCs w:val="32"/>
          <w:lang w:val="en-US" w:eastAsia="zh-CN"/>
        </w:rPr>
        <w:t>1019.52</w:t>
      </w:r>
      <w:r>
        <w:rPr>
          <w:rFonts w:hint="eastAsia" w:ascii="仿宋" w:hAnsi="仿宋" w:eastAsia="仿宋" w:cs="仿宋"/>
          <w:color w:val="000000" w:themeColor="text1"/>
          <w:sz w:val="32"/>
          <w:szCs w:val="32"/>
        </w:rPr>
        <w:t>万元，主要用于以下方面:</w:t>
      </w:r>
      <w:r>
        <w:rPr>
          <w:rFonts w:hint="eastAsia" w:ascii="仿宋" w:hAnsi="仿宋" w:eastAsia="仿宋" w:cs="仿宋"/>
          <w:b/>
          <w:color w:val="000000" w:themeColor="text1"/>
          <w:sz w:val="32"/>
          <w:szCs w:val="32"/>
        </w:rPr>
        <w:t>一般公共服务（类）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501.85</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49.3</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lang w:val="en-US" w:eastAsia="zh-CN"/>
        </w:rPr>
        <w:t>国防（类）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2.5万元，占0.2；</w:t>
      </w:r>
      <w:r>
        <w:rPr>
          <w:rFonts w:hint="eastAsia" w:ascii="仿宋" w:hAnsi="仿宋" w:eastAsia="仿宋" w:cs="仿宋"/>
          <w:b/>
          <w:color w:val="000000" w:themeColor="text1"/>
          <w:sz w:val="32"/>
          <w:szCs w:val="32"/>
          <w:lang w:val="en-US" w:eastAsia="zh-CN"/>
        </w:rPr>
        <w:t>文化旅游体育与传媒</w:t>
      </w:r>
      <w:r>
        <w:rPr>
          <w:rFonts w:hint="eastAsia" w:ascii="仿宋" w:hAnsi="仿宋" w:eastAsia="仿宋" w:cs="仿宋"/>
          <w:b/>
          <w:color w:val="000000" w:themeColor="text1"/>
          <w:sz w:val="32"/>
          <w:szCs w:val="32"/>
        </w:rPr>
        <w:t>（类）</w:t>
      </w:r>
      <w:r>
        <w:rPr>
          <w:rFonts w:hint="eastAsia" w:ascii="仿宋" w:hAnsi="仿宋" w:eastAsia="仿宋" w:cs="仿宋"/>
          <w:b w:val="0"/>
          <w:bCs/>
          <w:color w:val="000000" w:themeColor="text1"/>
          <w:sz w:val="32"/>
          <w:szCs w:val="32"/>
        </w:rPr>
        <w:t>支出</w:t>
      </w:r>
      <w:r>
        <w:rPr>
          <w:rFonts w:hint="eastAsia" w:ascii="仿宋" w:hAnsi="仿宋" w:eastAsia="仿宋" w:cs="仿宋"/>
          <w:color w:val="000000" w:themeColor="text1"/>
          <w:sz w:val="32"/>
          <w:szCs w:val="32"/>
          <w:lang w:val="en-US" w:eastAsia="zh-CN"/>
        </w:rPr>
        <w:t>3.3</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0.3</w:t>
      </w:r>
      <w:r>
        <w:rPr>
          <w:rFonts w:hint="eastAsia" w:ascii="仿宋" w:hAnsi="仿宋" w:eastAsia="仿宋" w:cs="仿宋"/>
          <w:color w:val="000000" w:themeColor="text1"/>
          <w:sz w:val="32"/>
          <w:szCs w:val="32"/>
        </w:rPr>
        <w:t>%；</w:t>
      </w:r>
      <w:r>
        <w:rPr>
          <w:rFonts w:hint="eastAsia" w:ascii="仿宋" w:hAnsi="仿宋" w:eastAsia="仿宋" w:cs="仿宋"/>
          <w:b/>
          <w:color w:val="000000" w:themeColor="text1"/>
          <w:sz w:val="32"/>
          <w:szCs w:val="32"/>
        </w:rPr>
        <w:t>社会保障和就业（类）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205.25</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20.1</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rPr>
        <w:t>卫生健康</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b w:val="0"/>
          <w:bCs w:val="0"/>
          <w:color w:val="000000" w:themeColor="text1"/>
          <w:sz w:val="32"/>
          <w:szCs w:val="32"/>
        </w:rPr>
        <w:t>支出</w:t>
      </w:r>
      <w:r>
        <w:rPr>
          <w:rFonts w:hint="eastAsia" w:ascii="仿宋" w:hAnsi="仿宋" w:eastAsia="仿宋" w:cs="仿宋"/>
          <w:color w:val="000000" w:themeColor="text1"/>
          <w:sz w:val="32"/>
          <w:szCs w:val="32"/>
          <w:lang w:val="en-US" w:eastAsia="zh-CN"/>
        </w:rPr>
        <w:t>13.4</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1.3</w:t>
      </w:r>
      <w:r>
        <w:rPr>
          <w:rFonts w:hint="eastAsia" w:ascii="仿宋" w:hAnsi="仿宋" w:eastAsia="仿宋" w:cs="仿宋"/>
          <w:color w:val="000000" w:themeColor="text1"/>
          <w:sz w:val="32"/>
          <w:szCs w:val="32"/>
        </w:rPr>
        <w:t>%；</w:t>
      </w:r>
      <w:r>
        <w:rPr>
          <w:rFonts w:hint="eastAsia" w:ascii="仿宋" w:hAnsi="仿宋" w:eastAsia="仿宋" w:cs="仿宋"/>
          <w:b/>
          <w:bCs/>
          <w:color w:val="000000" w:themeColor="text1"/>
          <w:sz w:val="32"/>
          <w:szCs w:val="32"/>
          <w:lang w:val="en-US" w:eastAsia="zh-CN"/>
        </w:rPr>
        <w:t>城乡社区（类）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23万元，占2.3%；</w:t>
      </w:r>
      <w:r>
        <w:rPr>
          <w:rFonts w:hint="eastAsia" w:ascii="仿宋" w:hAnsi="仿宋" w:eastAsia="仿宋" w:cs="仿宋"/>
          <w:b/>
          <w:bCs/>
          <w:color w:val="000000" w:themeColor="text1"/>
          <w:sz w:val="32"/>
          <w:szCs w:val="32"/>
          <w:lang w:val="en-US" w:eastAsia="zh-CN"/>
        </w:rPr>
        <w:t>农林水（类）</w:t>
      </w:r>
      <w:r>
        <w:rPr>
          <w:rFonts w:hint="eastAsia" w:ascii="仿宋" w:hAnsi="仿宋" w:eastAsia="仿宋" w:cs="仿宋"/>
          <w:b w:val="0"/>
          <w:bCs w:val="0"/>
          <w:color w:val="000000" w:themeColor="text1"/>
          <w:sz w:val="32"/>
          <w:szCs w:val="32"/>
          <w:lang w:val="en-US" w:eastAsia="zh-CN"/>
        </w:rPr>
        <w:t>支出</w:t>
      </w:r>
      <w:r>
        <w:rPr>
          <w:rFonts w:hint="eastAsia" w:ascii="仿宋" w:hAnsi="仿宋" w:eastAsia="仿宋" w:cs="仿宋"/>
          <w:color w:val="000000" w:themeColor="text1"/>
          <w:sz w:val="32"/>
          <w:szCs w:val="32"/>
          <w:lang w:val="en-US" w:eastAsia="zh-CN"/>
        </w:rPr>
        <w:t>220.58万元，占21.6%；</w:t>
      </w:r>
      <w:r>
        <w:rPr>
          <w:rFonts w:hint="eastAsia" w:ascii="仿宋" w:hAnsi="仿宋" w:eastAsia="仿宋" w:cs="仿宋"/>
          <w:b/>
          <w:bCs/>
          <w:color w:val="000000" w:themeColor="text1"/>
          <w:sz w:val="32"/>
          <w:szCs w:val="32"/>
        </w:rPr>
        <w:t>住房保障</w:t>
      </w:r>
      <w:r>
        <w:rPr>
          <w:rFonts w:hint="eastAsia" w:ascii="仿宋" w:hAnsi="仿宋" w:eastAsia="仿宋" w:cs="仿宋"/>
          <w:b/>
          <w:bCs/>
          <w:color w:val="000000" w:themeColor="text1"/>
          <w:sz w:val="32"/>
          <w:szCs w:val="32"/>
          <w:lang w:eastAsia="zh-CN"/>
        </w:rPr>
        <w:t>（</w:t>
      </w:r>
      <w:r>
        <w:rPr>
          <w:rFonts w:hint="eastAsia" w:ascii="仿宋" w:hAnsi="仿宋" w:eastAsia="仿宋" w:cs="仿宋"/>
          <w:b/>
          <w:bCs/>
          <w:color w:val="000000" w:themeColor="text1"/>
          <w:sz w:val="32"/>
          <w:szCs w:val="32"/>
          <w:lang w:val="en-US" w:eastAsia="zh-CN"/>
        </w:rPr>
        <w:t>类）</w:t>
      </w:r>
      <w:r>
        <w:rPr>
          <w:rFonts w:hint="eastAsia" w:ascii="仿宋" w:hAnsi="仿宋" w:eastAsia="仿宋" w:cs="仿宋"/>
          <w:color w:val="000000" w:themeColor="text1"/>
          <w:sz w:val="32"/>
          <w:szCs w:val="32"/>
        </w:rPr>
        <w:t>支出</w:t>
      </w:r>
      <w:r>
        <w:rPr>
          <w:rFonts w:hint="eastAsia" w:ascii="仿宋" w:hAnsi="仿宋" w:eastAsia="仿宋" w:cs="仿宋"/>
          <w:color w:val="000000" w:themeColor="text1"/>
          <w:sz w:val="32"/>
          <w:szCs w:val="32"/>
          <w:lang w:val="en-US" w:eastAsia="zh-CN"/>
        </w:rPr>
        <w:t>46.64</w:t>
      </w:r>
      <w:r>
        <w:rPr>
          <w:rFonts w:hint="eastAsia" w:ascii="仿宋" w:hAnsi="仿宋" w:eastAsia="仿宋" w:cs="仿宋"/>
          <w:color w:val="000000" w:themeColor="text1"/>
          <w:sz w:val="32"/>
          <w:szCs w:val="32"/>
        </w:rPr>
        <w:t>万元，占</w:t>
      </w:r>
      <w:r>
        <w:rPr>
          <w:rFonts w:hint="eastAsia" w:ascii="仿宋" w:hAnsi="仿宋" w:eastAsia="仿宋" w:cs="仿宋"/>
          <w:color w:val="000000" w:themeColor="text1"/>
          <w:sz w:val="32"/>
          <w:szCs w:val="32"/>
          <w:lang w:val="en-US" w:eastAsia="zh-CN"/>
        </w:rPr>
        <w:t>4.6</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lang w:val="en-US" w:eastAsia="zh-CN"/>
        </w:rPr>
        <w:t>；</w:t>
      </w:r>
      <w:r>
        <w:rPr>
          <w:rFonts w:hint="eastAsia" w:ascii="仿宋" w:hAnsi="仿宋" w:eastAsia="仿宋" w:cs="仿宋"/>
          <w:b/>
          <w:bCs/>
          <w:color w:val="000000" w:themeColor="text1"/>
          <w:sz w:val="32"/>
          <w:szCs w:val="32"/>
          <w:lang w:val="en-US" w:eastAsia="zh-CN"/>
        </w:rPr>
        <w:t>灾害防治及应急管理（类）</w:t>
      </w:r>
      <w:r>
        <w:rPr>
          <w:rFonts w:hint="eastAsia" w:ascii="仿宋" w:hAnsi="仿宋" w:eastAsia="仿宋" w:cs="仿宋"/>
          <w:color w:val="000000" w:themeColor="text1"/>
          <w:sz w:val="32"/>
          <w:szCs w:val="32"/>
          <w:lang w:val="en-US" w:eastAsia="zh-CN"/>
        </w:rPr>
        <w:t>支出3万元，占0.3%</w:t>
      </w:r>
      <w:r>
        <w:rPr>
          <w:rFonts w:hint="eastAsia" w:ascii="仿宋" w:hAnsi="仿宋" w:eastAsia="仿宋" w:cs="仿宋"/>
          <w:color w:val="000000" w:themeColor="text1"/>
          <w:sz w:val="32"/>
          <w:szCs w:val="32"/>
          <w:lang w:eastAsia="zh-CN"/>
        </w:rPr>
        <w:t>。</w:t>
      </w:r>
    </w:p>
    <w:p>
      <w:pPr>
        <w:spacing w:line="600" w:lineRule="exact"/>
        <w:ind w:firstLine="640"/>
        <w:rPr>
          <w:rFonts w:hint="eastAsia" w:ascii="仿宋" w:hAnsi="仿宋" w:eastAsia="仿宋" w:cs="仿宋"/>
          <w:color w:val="000000" w:themeColor="text1"/>
          <w:sz w:val="32"/>
          <w:szCs w:val="32"/>
        </w:rPr>
      </w:pPr>
    </w:p>
    <w:p>
      <w:pPr>
        <w:spacing w:line="600" w:lineRule="exact"/>
        <w:ind w:firstLine="640"/>
        <w:rPr>
          <w:rFonts w:hint="eastAsia" w:ascii="仿宋" w:hAnsi="仿宋" w:eastAsia="仿宋" w:cs="仿宋"/>
          <w:color w:val="000000" w:themeColor="text1"/>
          <w:sz w:val="32"/>
          <w:szCs w:val="32"/>
        </w:rPr>
      </w:pPr>
    </w:p>
    <w:p>
      <w:pPr>
        <w:spacing w:line="600" w:lineRule="exact"/>
        <w:ind w:firstLine="640"/>
        <w:rPr>
          <w:rFonts w:hint="eastAsia" w:ascii="仿宋" w:hAnsi="仿宋" w:eastAsia="仿宋" w:cs="仿宋"/>
          <w:color w:val="000000" w:themeColor="text1"/>
          <w:sz w:val="32"/>
          <w:szCs w:val="32"/>
        </w:rPr>
      </w:pPr>
    </w:p>
    <w:p>
      <w:pPr>
        <w:spacing w:line="600" w:lineRule="exact"/>
        <w:ind w:firstLine="640"/>
        <w:rPr>
          <w:rFonts w:hint="eastAsia" w:ascii="仿宋" w:hAnsi="仿宋" w:eastAsia="仿宋" w:cs="仿宋"/>
          <w:color w:val="000000" w:themeColor="text1"/>
          <w:sz w:val="32"/>
          <w:szCs w:val="32"/>
        </w:rPr>
      </w:pPr>
    </w:p>
    <w:p>
      <w:pPr>
        <w:spacing w:line="600" w:lineRule="exact"/>
        <w:ind w:firstLine="640"/>
        <w:rPr>
          <w:rFonts w:hint="eastAsia" w:ascii="仿宋" w:hAnsi="仿宋" w:eastAsia="仿宋" w:cs="仿宋"/>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 w:hAnsi="仿宋" w:eastAsia="仿宋" w:cs="仿宋"/>
          <w:color w:val="000000" w:themeColor="text1"/>
          <w:sz w:val="32"/>
          <w:szCs w:val="32"/>
        </w:rPr>
      </w:pPr>
      <w:r>
        <w:drawing>
          <wp:inline distT="0" distB="0" distL="114300" distR="114300">
            <wp:extent cx="5181600" cy="3467100"/>
            <wp:effectExtent l="5080" t="4445" r="13970" b="14605"/>
            <wp:docPr id="129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sz w:val="32"/>
          <w:szCs w:val="32"/>
        </w:rPr>
      </w:pPr>
    </w:p>
    <w:p>
      <w:pPr>
        <w:spacing w:line="600" w:lineRule="exact"/>
        <w:ind w:firstLine="643" w:firstLineChars="200"/>
        <w:outlineLvl w:val="2"/>
        <w:rPr>
          <w:rFonts w:hint="eastAsia" w:ascii="仿宋" w:hAnsi="仿宋" w:eastAsia="仿宋" w:cs="仿宋"/>
          <w:b/>
          <w:color w:val="000000"/>
          <w:sz w:val="32"/>
          <w:szCs w:val="32"/>
        </w:rPr>
      </w:pPr>
      <w:bookmarkStart w:id="40" w:name="_Toc15377212"/>
      <w:r>
        <w:rPr>
          <w:rFonts w:hint="eastAsia" w:ascii="仿宋" w:hAnsi="仿宋" w:eastAsia="仿宋" w:cs="仿宋"/>
          <w:b/>
          <w:color w:val="000000"/>
          <w:sz w:val="32"/>
          <w:szCs w:val="32"/>
        </w:rPr>
        <w:t>（三）一般公共预算财政拨款支出决算具体情况</w:t>
      </w:r>
      <w:bookmarkEnd w:id="40"/>
    </w:p>
    <w:p>
      <w:pPr>
        <w:spacing w:line="600" w:lineRule="exact"/>
        <w:ind w:firstLine="643" w:firstLineChars="200"/>
        <w:outlineLvl w:val="2"/>
        <w:rPr>
          <w:rFonts w:hint="eastAsia" w:ascii="仿宋" w:hAnsi="仿宋" w:eastAsia="仿宋" w:cs="仿宋"/>
          <w:color w:val="FF0000"/>
          <w:sz w:val="32"/>
          <w:szCs w:val="32"/>
        </w:rPr>
      </w:pPr>
      <w:bookmarkStart w:id="41" w:name="_Toc15378460"/>
      <w:bookmarkStart w:id="42" w:name="_Toc15377444"/>
      <w:bookmarkStart w:id="43" w:name="_Toc15377213"/>
      <w:r>
        <w:rPr>
          <w:rFonts w:hint="eastAsia" w:ascii="仿宋" w:hAnsi="仿宋" w:eastAsia="仿宋" w:cs="仿宋"/>
          <w:b/>
          <w:color w:val="000000" w:themeColor="text1"/>
          <w:sz w:val="32"/>
          <w:szCs w:val="32"/>
        </w:rPr>
        <w:t>2019年般公共预算支出决算数为</w:t>
      </w:r>
      <w:r>
        <w:rPr>
          <w:rFonts w:hint="eastAsia" w:ascii="仿宋" w:hAnsi="仿宋" w:eastAsia="仿宋" w:cs="仿宋"/>
          <w:b/>
          <w:color w:val="000000" w:themeColor="text1"/>
          <w:sz w:val="32"/>
          <w:szCs w:val="32"/>
          <w:lang w:val="en-US" w:eastAsia="zh-CN"/>
        </w:rPr>
        <w:t>1019.52万元</w:t>
      </w:r>
      <w:r>
        <w:rPr>
          <w:rFonts w:hint="eastAsia" w:ascii="仿宋" w:hAnsi="仿宋" w:eastAsia="仿宋" w:cs="仿宋"/>
          <w:color w:val="000000" w:themeColor="text1"/>
          <w:sz w:val="32"/>
          <w:szCs w:val="32"/>
        </w:rPr>
        <w:t>，</w:t>
      </w:r>
      <w:r>
        <w:rPr>
          <w:rStyle w:val="14"/>
          <w:rFonts w:hint="eastAsia" w:ascii="仿宋" w:hAnsi="仿宋" w:eastAsia="仿宋" w:cs="仿宋"/>
          <w:bCs/>
          <w:color w:val="000000" w:themeColor="text1"/>
          <w:sz w:val="32"/>
          <w:szCs w:val="32"/>
        </w:rPr>
        <w:t>完成</w:t>
      </w:r>
      <w:r>
        <w:rPr>
          <w:rStyle w:val="14"/>
          <w:rFonts w:hint="eastAsia" w:ascii="仿宋" w:hAnsi="仿宋" w:eastAsia="仿宋" w:cs="仿宋"/>
          <w:bCs/>
          <w:color w:val="000000"/>
          <w:sz w:val="32"/>
          <w:szCs w:val="32"/>
        </w:rPr>
        <w:t>预算</w:t>
      </w:r>
      <w:r>
        <w:rPr>
          <w:rStyle w:val="14"/>
          <w:rFonts w:hint="eastAsia" w:ascii="仿宋" w:hAnsi="仿宋" w:eastAsia="仿宋" w:cs="仿宋"/>
          <w:bCs/>
          <w:color w:val="000000"/>
          <w:sz w:val="32"/>
          <w:szCs w:val="32"/>
          <w:lang w:val="en-US" w:eastAsia="zh-CN"/>
        </w:rPr>
        <w:t>100</w:t>
      </w:r>
      <w:r>
        <w:rPr>
          <w:rStyle w:val="14"/>
          <w:rFonts w:hint="eastAsia" w:ascii="仿宋" w:hAnsi="仿宋" w:eastAsia="仿宋" w:cs="仿宋"/>
          <w:bCs/>
          <w:color w:val="000000"/>
          <w:sz w:val="32"/>
          <w:szCs w:val="32"/>
        </w:rPr>
        <w:t>%。其中：</w:t>
      </w:r>
      <w:bookmarkEnd w:id="41"/>
      <w:bookmarkEnd w:id="42"/>
      <w:bookmarkEnd w:id="43"/>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1、一般公共服务支出（类）政府办公厅及相关机构事务（款）行政运行（项）: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368.12</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2、一般公共服务支出（类）政府办公厅及相关机构事务（款）一般行政管理事务（项）: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20.57</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Style w:val="14"/>
          <w:rFonts w:hint="eastAsia" w:ascii="仿宋" w:hAnsi="仿宋" w:eastAsia="仿宋" w:cs="仿宋"/>
          <w:b w:val="0"/>
          <w:color w:val="000000"/>
          <w:sz w:val="32"/>
          <w:szCs w:val="32"/>
        </w:rPr>
        <w:t>一般公共服务支出（类）政府办公厅及相关机构事务（款）</w:t>
      </w:r>
      <w:r>
        <w:rPr>
          <w:rStyle w:val="14"/>
          <w:rFonts w:hint="eastAsia" w:ascii="仿宋" w:hAnsi="仿宋" w:eastAsia="仿宋" w:cs="仿宋"/>
          <w:b w:val="0"/>
          <w:color w:val="000000"/>
          <w:sz w:val="32"/>
          <w:szCs w:val="32"/>
          <w:lang w:val="en-US" w:eastAsia="zh-CN"/>
        </w:rPr>
        <w:t>其他政府办公厅（室）及相关机构事务支出</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107.86</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4</w:t>
      </w:r>
      <w:r>
        <w:rPr>
          <w:rStyle w:val="14"/>
          <w:rFonts w:hint="eastAsia" w:ascii="仿宋" w:hAnsi="仿宋" w:eastAsia="仿宋" w:cs="仿宋"/>
          <w:b w:val="0"/>
          <w:color w:val="000000"/>
          <w:sz w:val="32"/>
          <w:szCs w:val="32"/>
        </w:rPr>
        <w:t>、一般公共服务支出（类）人力资源事务（款）其他人力资源事务支出（项）: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5.3</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5</w:t>
      </w:r>
      <w:r>
        <w:rPr>
          <w:rStyle w:val="14"/>
          <w:rFonts w:hint="eastAsia" w:ascii="仿宋" w:hAnsi="仿宋" w:eastAsia="仿宋" w:cs="仿宋"/>
          <w:b w:val="0"/>
          <w:color w:val="000000"/>
          <w:sz w:val="32"/>
          <w:szCs w:val="32"/>
        </w:rPr>
        <w:t>、一般公共服务支出（类）国防支出（款）</w:t>
      </w:r>
      <w:r>
        <w:rPr>
          <w:rStyle w:val="14"/>
          <w:rFonts w:hint="eastAsia" w:ascii="仿宋" w:hAnsi="仿宋" w:eastAsia="仿宋" w:cs="仿宋"/>
          <w:b w:val="0"/>
          <w:color w:val="000000"/>
          <w:sz w:val="32"/>
          <w:szCs w:val="32"/>
          <w:lang w:val="en-US" w:eastAsia="zh-CN"/>
        </w:rPr>
        <w:t>民兵</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0.4</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6</w:t>
      </w:r>
      <w:r>
        <w:rPr>
          <w:rStyle w:val="14"/>
          <w:rFonts w:hint="eastAsia" w:ascii="仿宋" w:hAnsi="仿宋" w:eastAsia="仿宋" w:cs="仿宋"/>
          <w:b w:val="0"/>
          <w:color w:val="000000"/>
          <w:sz w:val="32"/>
          <w:szCs w:val="32"/>
        </w:rPr>
        <w:t>、一般公共服务支出（类）国防支出（款）其他国防动员支出（项）: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7</w:t>
      </w:r>
      <w:r>
        <w:rPr>
          <w:rStyle w:val="14"/>
          <w:rFonts w:hint="eastAsia" w:ascii="仿宋" w:hAnsi="仿宋" w:eastAsia="仿宋" w:cs="仿宋"/>
          <w:b w:val="0"/>
          <w:color w:val="000000"/>
          <w:sz w:val="32"/>
          <w:szCs w:val="32"/>
        </w:rPr>
        <w:t>、文化体育与传媒支出（类）文化（款）其他文化支出（项）: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3.3</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8</w:t>
      </w:r>
      <w:r>
        <w:rPr>
          <w:rStyle w:val="14"/>
          <w:rFonts w:hint="eastAsia" w:ascii="仿宋" w:hAnsi="仿宋" w:eastAsia="仿宋" w:cs="仿宋"/>
          <w:b w:val="0"/>
          <w:color w:val="000000"/>
          <w:sz w:val="32"/>
          <w:szCs w:val="32"/>
        </w:rPr>
        <w:t>、社会保障和就业支出（类）人力资源与社会保障管理事务（款）劳动保障监察（项）: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79.15</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9</w:t>
      </w:r>
      <w:r>
        <w:rPr>
          <w:rStyle w:val="14"/>
          <w:rFonts w:hint="eastAsia" w:ascii="仿宋" w:hAnsi="仿宋" w:eastAsia="仿宋" w:cs="仿宋"/>
          <w:b w:val="0"/>
          <w:color w:val="000000"/>
          <w:sz w:val="32"/>
          <w:szCs w:val="32"/>
        </w:rPr>
        <w:t>、社会保障和就业支出（类）民政管理事务（款）基层政权和社区建设（项）: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70.42</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10</w:t>
      </w:r>
      <w:r>
        <w:rPr>
          <w:rStyle w:val="14"/>
          <w:rFonts w:hint="eastAsia" w:ascii="仿宋" w:hAnsi="仿宋" w:eastAsia="仿宋" w:cs="仿宋"/>
          <w:b w:val="0"/>
          <w:color w:val="000000"/>
          <w:sz w:val="32"/>
          <w:szCs w:val="32"/>
        </w:rPr>
        <w:t>、社会保障和就业支出（类）行政事业单位离退休（款）机关事业单位基本养老保险缴费支出（项）: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36.78</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11</w:t>
      </w:r>
      <w:r>
        <w:rPr>
          <w:rStyle w:val="14"/>
          <w:rFonts w:hint="eastAsia" w:ascii="仿宋" w:hAnsi="仿宋" w:eastAsia="仿宋" w:cs="仿宋"/>
          <w:b w:val="0"/>
          <w:color w:val="000000"/>
          <w:sz w:val="32"/>
          <w:szCs w:val="32"/>
        </w:rPr>
        <w:t>、社会保障和就业支出（类）行政事业单位离退休（款）机关事业单位职业年金缴费支出（项）: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18.42</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社会保障和就业支出（类）抚恤（款）其他优抚支出（项）: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0.48</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Style w:val="14"/>
          <w:rFonts w:hint="eastAsia" w:ascii="仿宋" w:hAnsi="仿宋" w:eastAsia="仿宋" w:cs="仿宋"/>
          <w:b w:val="0"/>
          <w:color w:val="000000"/>
          <w:sz w:val="32"/>
          <w:szCs w:val="32"/>
        </w:rPr>
        <w:t xml:space="preserve">   </w:t>
      </w:r>
      <w:r>
        <w:rPr>
          <w:rStyle w:val="14"/>
          <w:rFonts w:hint="eastAsia" w:ascii="仿宋" w:hAnsi="仿宋" w:eastAsia="仿宋" w:cs="仿宋"/>
          <w:b w:val="0"/>
          <w:color w:val="000000"/>
          <w:sz w:val="32"/>
          <w:szCs w:val="32"/>
          <w:lang w:val="en-US" w:eastAsia="zh-CN"/>
        </w:rPr>
        <w:t xml:space="preserve"> </w:t>
      </w: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3</w:t>
      </w:r>
      <w:r>
        <w:rPr>
          <w:rStyle w:val="14"/>
          <w:rFonts w:hint="eastAsia" w:ascii="仿宋" w:hAnsi="仿宋" w:eastAsia="仿宋" w:cs="仿宋"/>
          <w:b w:val="0"/>
          <w:color w:val="000000"/>
          <w:sz w:val="32"/>
          <w:szCs w:val="32"/>
        </w:rPr>
        <w:t>、</w:t>
      </w:r>
      <w:r>
        <w:rPr>
          <w:rStyle w:val="14"/>
          <w:rFonts w:hint="eastAsia" w:ascii="仿宋" w:hAnsi="仿宋" w:eastAsia="仿宋" w:cs="仿宋"/>
          <w:b w:val="0"/>
          <w:color w:val="000000"/>
          <w:sz w:val="32"/>
          <w:szCs w:val="32"/>
          <w:lang w:val="en-US" w:eastAsia="zh-CN"/>
        </w:rPr>
        <w:t>卫生健康支出</w:t>
      </w:r>
      <w:r>
        <w:rPr>
          <w:rStyle w:val="14"/>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13.4</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4</w:t>
      </w:r>
      <w:r>
        <w:rPr>
          <w:rStyle w:val="14"/>
          <w:rFonts w:hint="eastAsia" w:ascii="仿宋" w:hAnsi="仿宋" w:eastAsia="仿宋" w:cs="仿宋"/>
          <w:b w:val="0"/>
          <w:color w:val="000000"/>
          <w:sz w:val="32"/>
          <w:szCs w:val="32"/>
        </w:rPr>
        <w:t>、城乡社区支出（类）城乡社区环境卫生（款）城乡社区环境卫生（项）: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23.01</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15</w:t>
      </w:r>
      <w:r>
        <w:rPr>
          <w:rStyle w:val="14"/>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52.47</w:t>
      </w:r>
      <w:r>
        <w:rPr>
          <w:rFonts w:hint="eastAsia" w:ascii="仿宋" w:hAnsi="仿宋" w:eastAsia="仿宋" w:cs="仿宋"/>
          <w:color w:val="000000"/>
          <w:sz w:val="32"/>
          <w:szCs w:val="32"/>
        </w:rPr>
        <w:t>万元，完成预算100%。</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农林水支出（类）农业（款）农村道路建设（项）: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年决算数为3万元，完成预算100%。</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农林水支出（类）农业（款）其他农业支出（项）: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0.78</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w:t>
      </w:r>
      <w:r>
        <w:rPr>
          <w:rStyle w:val="14"/>
          <w:rFonts w:hint="eastAsia" w:ascii="仿宋" w:hAnsi="仿宋" w:eastAsia="仿宋" w:cs="仿宋"/>
          <w:b w:val="0"/>
          <w:color w:val="000000"/>
          <w:sz w:val="32"/>
          <w:szCs w:val="32"/>
          <w:lang w:val="en-US" w:eastAsia="zh-CN"/>
        </w:rPr>
        <w:t>扶贫</w:t>
      </w:r>
      <w:r>
        <w:rPr>
          <w:rStyle w:val="14"/>
          <w:rFonts w:hint="eastAsia" w:ascii="仿宋" w:hAnsi="仿宋" w:eastAsia="仿宋" w:cs="仿宋"/>
          <w:b w:val="0"/>
          <w:color w:val="000000"/>
          <w:sz w:val="32"/>
          <w:szCs w:val="32"/>
        </w:rPr>
        <w:t>（款）其他</w:t>
      </w:r>
      <w:r>
        <w:rPr>
          <w:rStyle w:val="14"/>
          <w:rFonts w:hint="eastAsia" w:ascii="仿宋" w:hAnsi="仿宋" w:eastAsia="仿宋" w:cs="仿宋"/>
          <w:b w:val="0"/>
          <w:color w:val="000000"/>
          <w:sz w:val="32"/>
          <w:szCs w:val="32"/>
          <w:lang w:val="en-US" w:eastAsia="zh-CN"/>
        </w:rPr>
        <w:t>扶贫</w:t>
      </w:r>
      <w:r>
        <w:rPr>
          <w:rStyle w:val="14"/>
          <w:rFonts w:hint="eastAsia" w:ascii="仿宋" w:hAnsi="仿宋" w:eastAsia="仿宋" w:cs="仿宋"/>
          <w:b w:val="0"/>
          <w:color w:val="000000"/>
          <w:sz w:val="32"/>
          <w:szCs w:val="32"/>
        </w:rPr>
        <w:t>支出（项）: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33.69</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19</w:t>
      </w:r>
      <w:r>
        <w:rPr>
          <w:rStyle w:val="14"/>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130.63</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20</w:t>
      </w:r>
      <w:r>
        <w:rPr>
          <w:rStyle w:val="14"/>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46.64</w:t>
      </w:r>
      <w:r>
        <w:rPr>
          <w:rFonts w:hint="eastAsia" w:ascii="仿宋" w:hAnsi="仿宋" w:eastAsia="仿宋" w:cs="仿宋"/>
          <w:color w:val="000000"/>
          <w:sz w:val="32"/>
          <w:szCs w:val="32"/>
        </w:rPr>
        <w:t>万元，完成预算100%。</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21</w:t>
      </w:r>
      <w:r>
        <w:rPr>
          <w:rStyle w:val="14"/>
          <w:rFonts w:hint="eastAsia" w:ascii="仿宋" w:hAnsi="仿宋" w:eastAsia="仿宋" w:cs="仿宋"/>
          <w:b w:val="0"/>
          <w:color w:val="000000"/>
          <w:sz w:val="32"/>
          <w:szCs w:val="32"/>
        </w:rPr>
        <w:t>、</w:t>
      </w:r>
      <w:r>
        <w:rPr>
          <w:rStyle w:val="14"/>
          <w:rFonts w:hint="eastAsia" w:ascii="仿宋" w:hAnsi="仿宋" w:eastAsia="仿宋" w:cs="仿宋"/>
          <w:b w:val="0"/>
          <w:color w:val="000000"/>
          <w:sz w:val="32"/>
          <w:szCs w:val="32"/>
          <w:lang w:val="en-US" w:eastAsia="zh-CN"/>
        </w:rPr>
        <w:t>灾害防治及应急管理支出</w:t>
      </w:r>
      <w:r>
        <w:rPr>
          <w:rStyle w:val="14"/>
          <w:rFonts w:hint="eastAsia" w:ascii="仿宋" w:hAnsi="仿宋" w:eastAsia="仿宋" w:cs="仿宋"/>
          <w:b w:val="0"/>
          <w:color w:val="000000"/>
          <w:sz w:val="32"/>
          <w:szCs w:val="32"/>
        </w:rPr>
        <w:t>（类）</w:t>
      </w:r>
      <w:r>
        <w:rPr>
          <w:rStyle w:val="14"/>
          <w:rFonts w:hint="eastAsia" w:ascii="仿宋" w:hAnsi="仿宋" w:eastAsia="仿宋" w:cs="仿宋"/>
          <w:b w:val="0"/>
          <w:color w:val="000000"/>
          <w:sz w:val="32"/>
          <w:szCs w:val="32"/>
          <w:lang w:val="en-US" w:eastAsia="zh-CN"/>
        </w:rPr>
        <w:t>自然灾害救灾及恢复重建支出</w:t>
      </w:r>
      <w:r>
        <w:rPr>
          <w:rStyle w:val="14"/>
          <w:rFonts w:hint="eastAsia" w:ascii="仿宋" w:hAnsi="仿宋" w:eastAsia="仿宋" w:cs="仿宋"/>
          <w:b w:val="0"/>
          <w:color w:val="000000"/>
          <w:sz w:val="32"/>
          <w:szCs w:val="32"/>
        </w:rPr>
        <w:t>（款）</w:t>
      </w:r>
      <w:r>
        <w:rPr>
          <w:rStyle w:val="14"/>
          <w:rFonts w:hint="eastAsia" w:ascii="仿宋" w:hAnsi="仿宋" w:eastAsia="仿宋" w:cs="仿宋"/>
          <w:b w:val="0"/>
          <w:color w:val="000000"/>
          <w:sz w:val="32"/>
          <w:szCs w:val="32"/>
          <w:lang w:val="en-US" w:eastAsia="zh-CN"/>
        </w:rPr>
        <w:t>中央自然灾害生活补助</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年决算数为</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万元，完成预算100%。</w:t>
      </w:r>
    </w:p>
    <w:p>
      <w:pPr>
        <w:tabs>
          <w:tab w:val="right" w:pos="8306"/>
        </w:tabs>
        <w:spacing w:line="600" w:lineRule="exact"/>
        <w:ind w:firstLine="640"/>
        <w:outlineLvl w:val="1"/>
        <w:rPr>
          <w:rStyle w:val="25"/>
          <w:rFonts w:hint="eastAsia" w:ascii="仿宋" w:hAnsi="仿宋" w:eastAsia="仿宋" w:cs="仿宋"/>
        </w:rPr>
      </w:pPr>
      <w:bookmarkStart w:id="44" w:name="_Toc15396608"/>
      <w:bookmarkStart w:id="45" w:name="_Toc15377214"/>
      <w:r>
        <w:rPr>
          <w:rFonts w:hint="eastAsia" w:ascii="仿宋" w:hAnsi="仿宋" w:eastAsia="仿宋" w:cs="仿宋"/>
          <w:color w:val="000000"/>
          <w:sz w:val="32"/>
          <w:szCs w:val="32"/>
        </w:rPr>
        <w:t>六</w:t>
      </w:r>
      <w:r>
        <w:rPr>
          <w:rFonts w:hint="eastAsia" w:ascii="仿宋" w:hAnsi="仿宋" w:eastAsia="仿宋" w:cs="仿宋"/>
          <w:b/>
          <w:color w:val="000000"/>
          <w:sz w:val="32"/>
          <w:szCs w:val="32"/>
        </w:rPr>
        <w:t>、一</w:t>
      </w:r>
      <w:r>
        <w:rPr>
          <w:rStyle w:val="25"/>
          <w:rFonts w:hint="eastAsia" w:ascii="仿宋" w:hAnsi="仿宋" w:eastAsia="仿宋" w:cs="仿宋"/>
          <w:b w:val="0"/>
        </w:rPr>
        <w:t>般公共预算财政拨款基本支出决算情况说明</w:t>
      </w:r>
      <w:bookmarkEnd w:id="44"/>
      <w:bookmarkEnd w:id="45"/>
      <w:r>
        <w:rPr>
          <w:rStyle w:val="25"/>
          <w:rFonts w:hint="eastAsia" w:ascii="仿宋" w:hAnsi="仿宋" w:eastAsia="仿宋" w:cs="仿宋"/>
          <w:b w:val="0"/>
        </w:rPr>
        <w:tab/>
      </w:r>
    </w:p>
    <w:p>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2019年一般公共预算财政拨款基本支出</w:t>
      </w:r>
      <w:r>
        <w:rPr>
          <w:rFonts w:hint="eastAsia" w:ascii="仿宋" w:hAnsi="仿宋" w:eastAsia="仿宋" w:cs="仿宋"/>
          <w:color w:val="000000"/>
          <w:sz w:val="32"/>
          <w:szCs w:val="32"/>
          <w:lang w:val="en-US" w:eastAsia="zh-CN"/>
        </w:rPr>
        <w:t>614.98</w:t>
      </w:r>
      <w:r>
        <w:rPr>
          <w:rFonts w:hint="eastAsia" w:ascii="仿宋" w:hAnsi="仿宋" w:eastAsia="仿宋" w:cs="仿宋"/>
          <w:color w:val="000000"/>
          <w:sz w:val="32"/>
          <w:szCs w:val="32"/>
        </w:rPr>
        <w:t>万元，其中：</w:t>
      </w:r>
    </w:p>
    <w:p>
      <w:pPr>
        <w:spacing w:line="60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hint="eastAsia" w:ascii="仿宋" w:hAnsi="仿宋" w:eastAsia="仿宋" w:cs="仿宋"/>
          <w:color w:val="000000"/>
          <w:sz w:val="32"/>
          <w:szCs w:val="32"/>
          <w:lang w:val="en-US" w:eastAsia="zh-CN"/>
        </w:rPr>
        <w:t>553.95</w:t>
      </w:r>
      <w:r>
        <w:rPr>
          <w:rFonts w:hint="eastAsia" w:ascii="仿宋" w:hAnsi="仿宋" w:eastAsia="仿宋" w:cs="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日常公用经费</w:t>
      </w:r>
      <w:r>
        <w:rPr>
          <w:rFonts w:hint="eastAsia" w:ascii="仿宋" w:hAnsi="仿宋" w:eastAsia="仿宋" w:cs="仿宋"/>
          <w:color w:val="000000"/>
          <w:sz w:val="32"/>
          <w:szCs w:val="32"/>
          <w:lang w:val="en-US" w:eastAsia="zh-CN"/>
        </w:rPr>
        <w:t>61.03</w:t>
      </w:r>
      <w:r>
        <w:rPr>
          <w:rFonts w:hint="eastAsia" w:ascii="仿宋" w:hAnsi="仿宋" w:eastAsia="仿宋" w:cs="仿宋"/>
          <w:color w:val="000000"/>
          <w:sz w:val="32"/>
          <w:szCs w:val="32"/>
        </w:rPr>
        <w:t>万元，主要包括：办公费、印刷费、水费、电费、邮电费、差旅费、维修（护）费、租赁费、会议费、培训费、劳务费、委托业务费、工会经费、福利费、公务用车运行维护费、其他交通费、其他商品和服务支出、办公设备购置、专用设备购置、其他资本性支出等。</w:t>
      </w:r>
    </w:p>
    <w:p>
      <w:pPr>
        <w:spacing w:line="600" w:lineRule="exact"/>
        <w:ind w:firstLine="640"/>
        <w:outlineLvl w:val="1"/>
        <w:rPr>
          <w:rStyle w:val="25"/>
          <w:rFonts w:hint="eastAsia" w:ascii="仿宋" w:hAnsi="仿宋" w:eastAsia="仿宋" w:cs="仿宋"/>
          <w:b w:val="0"/>
        </w:rPr>
      </w:pPr>
      <w:bookmarkStart w:id="46" w:name="_Toc15396609"/>
      <w:bookmarkStart w:id="47" w:name="_Toc15377215"/>
      <w:r>
        <w:rPr>
          <w:rFonts w:hint="eastAsia" w:ascii="仿宋" w:hAnsi="仿宋" w:eastAsia="仿宋" w:cs="仿宋"/>
          <w:color w:val="000000"/>
          <w:sz w:val="32"/>
          <w:szCs w:val="32"/>
        </w:rPr>
        <w:t>七、</w:t>
      </w:r>
      <w:r>
        <w:rPr>
          <w:rStyle w:val="25"/>
          <w:rFonts w:hint="eastAsia" w:ascii="仿宋" w:hAnsi="仿宋" w:eastAsia="仿宋" w:cs="仿宋"/>
        </w:rPr>
        <w:t>“</w:t>
      </w:r>
      <w:r>
        <w:rPr>
          <w:rStyle w:val="25"/>
          <w:rFonts w:hint="eastAsia" w:ascii="仿宋" w:hAnsi="仿宋" w:eastAsia="仿宋" w:cs="仿宋"/>
          <w:b w:val="0"/>
        </w:rPr>
        <w:t>三公”经费财政拨款支出决算情况说明</w:t>
      </w:r>
      <w:bookmarkEnd w:id="46"/>
      <w:bookmarkEnd w:id="47"/>
    </w:p>
    <w:p>
      <w:pPr>
        <w:spacing w:line="600" w:lineRule="exact"/>
        <w:ind w:firstLine="640"/>
        <w:outlineLvl w:val="2"/>
        <w:rPr>
          <w:rFonts w:hint="eastAsia" w:ascii="仿宋" w:hAnsi="仿宋" w:eastAsia="仿宋" w:cs="仿宋"/>
          <w:b/>
          <w:color w:val="000000"/>
          <w:sz w:val="32"/>
          <w:szCs w:val="32"/>
        </w:rPr>
      </w:pPr>
      <w:bookmarkStart w:id="48" w:name="_Toc15377216"/>
      <w:r>
        <w:rPr>
          <w:rFonts w:hint="eastAsia" w:ascii="仿宋" w:hAnsi="仿宋" w:eastAsia="仿宋" w:cs="仿宋"/>
          <w:b/>
          <w:color w:val="000000"/>
          <w:sz w:val="32"/>
          <w:szCs w:val="32"/>
        </w:rPr>
        <w:t>（一）“三公”经费财政拨款支出决算总体情况说明</w:t>
      </w:r>
      <w:bookmarkEnd w:id="48"/>
    </w:p>
    <w:p>
      <w:pPr>
        <w:spacing w:line="600" w:lineRule="exact"/>
        <w:ind w:firstLine="640"/>
        <w:rPr>
          <w:rFonts w:hint="eastAsia" w:ascii="仿宋" w:hAnsi="仿宋" w:eastAsia="仿宋" w:cs="仿宋"/>
          <w:color w:val="333333"/>
          <w:sz w:val="32"/>
          <w:szCs w:val="32"/>
        </w:rPr>
      </w:pPr>
      <w:r>
        <w:rPr>
          <w:rFonts w:hint="eastAsia" w:ascii="仿宋" w:hAnsi="仿宋" w:eastAsia="仿宋" w:cs="仿宋"/>
          <w:color w:val="000000"/>
          <w:sz w:val="32"/>
          <w:szCs w:val="32"/>
        </w:rPr>
        <w:t>2019年“三公”经费财政拨款支出决算为</w:t>
      </w:r>
      <w:r>
        <w:rPr>
          <w:rFonts w:hint="eastAsia" w:ascii="仿宋" w:hAnsi="仿宋" w:eastAsia="仿宋" w:cs="仿宋"/>
          <w:color w:val="000000"/>
          <w:sz w:val="32"/>
          <w:szCs w:val="32"/>
          <w:lang w:val="en-US" w:eastAsia="zh-CN"/>
        </w:rPr>
        <w:t>4.71</w:t>
      </w:r>
      <w:r>
        <w:rPr>
          <w:rFonts w:hint="eastAsia" w:ascii="仿宋" w:hAnsi="仿宋" w:eastAsia="仿宋" w:cs="仿宋"/>
          <w:color w:val="000000"/>
          <w:sz w:val="32"/>
          <w:szCs w:val="32"/>
        </w:rPr>
        <w:t>万元，完成预算</w:t>
      </w:r>
      <w:r>
        <w:rPr>
          <w:rFonts w:hint="eastAsia" w:ascii="仿宋" w:hAnsi="仿宋" w:eastAsia="仿宋" w:cs="仿宋"/>
          <w:color w:val="000000"/>
          <w:sz w:val="32"/>
          <w:szCs w:val="32"/>
          <w:lang w:val="en-US" w:eastAsia="zh-CN"/>
        </w:rPr>
        <w:t>36.2</w:t>
      </w:r>
      <w:r>
        <w:rPr>
          <w:rFonts w:hint="eastAsia" w:ascii="仿宋" w:hAnsi="仿宋" w:eastAsia="仿宋" w:cs="仿宋"/>
          <w:color w:val="000000"/>
          <w:sz w:val="32"/>
          <w:szCs w:val="32"/>
        </w:rPr>
        <w:t>%，决算数小于预算数的主要原因是</w:t>
      </w:r>
      <w:r>
        <w:rPr>
          <w:rFonts w:hint="eastAsia" w:ascii="仿宋" w:hAnsi="仿宋" w:eastAsia="仿宋" w:cs="仿宋"/>
          <w:color w:val="333333"/>
          <w:sz w:val="32"/>
          <w:szCs w:val="32"/>
        </w:rPr>
        <w:t>我镇继续认真贯彻落实中央八项规定及省委省政府十项规定要求，厉行节约，加强“三公”经费管理。</w:t>
      </w:r>
    </w:p>
    <w:p>
      <w:pPr>
        <w:spacing w:line="600" w:lineRule="exact"/>
        <w:ind w:firstLine="640"/>
        <w:outlineLvl w:val="2"/>
        <w:rPr>
          <w:rFonts w:hint="eastAsia" w:ascii="仿宋" w:hAnsi="仿宋" w:eastAsia="仿宋" w:cs="仿宋"/>
          <w:b/>
          <w:color w:val="000000"/>
          <w:sz w:val="32"/>
          <w:szCs w:val="32"/>
        </w:rPr>
      </w:pPr>
      <w:bookmarkStart w:id="49" w:name="_Toc15377217"/>
      <w:r>
        <w:rPr>
          <w:rFonts w:hint="eastAsia" w:ascii="仿宋" w:hAnsi="仿宋" w:eastAsia="仿宋" w:cs="仿宋"/>
          <w:b/>
          <w:color w:val="000000"/>
          <w:sz w:val="32"/>
          <w:szCs w:val="32"/>
        </w:rPr>
        <w:t>（二）“三公”经费财政拨款支出决算具体情况说明</w:t>
      </w:r>
      <w:bookmarkEnd w:id="49"/>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2019年“三公”经费财政拨款支出决算中，因公出国（境）费支出决算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%；公务用车购置及运行维护费支出决算</w:t>
      </w:r>
      <w:r>
        <w:rPr>
          <w:rFonts w:hint="eastAsia" w:ascii="仿宋" w:hAnsi="仿宋" w:eastAsia="仿宋" w:cs="仿宋"/>
          <w:color w:val="000000"/>
          <w:sz w:val="32"/>
          <w:szCs w:val="32"/>
          <w:lang w:val="en-US" w:eastAsia="zh-CN"/>
        </w:rPr>
        <w:t>4.71</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100</w:t>
      </w:r>
      <w:r>
        <w:rPr>
          <w:rFonts w:hint="eastAsia" w:ascii="仿宋" w:hAnsi="仿宋" w:eastAsia="仿宋" w:cs="仿宋"/>
          <w:color w:val="000000"/>
          <w:sz w:val="32"/>
          <w:szCs w:val="32"/>
        </w:rPr>
        <w:t>%；公务接待费支出决算</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%。具体情况如下：</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1</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因公出国（境）经费支出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4"/>
          <w:rFonts w:hint="eastAsia" w:ascii="仿宋" w:hAnsi="仿宋" w:eastAsia="仿宋" w:cs="仿宋"/>
          <w:b w:val="0"/>
          <w:bCs/>
          <w:color w:val="000000"/>
          <w:sz w:val="32"/>
          <w:szCs w:val="32"/>
        </w:rPr>
        <w:t>完成预算</w:t>
      </w:r>
      <w:r>
        <w:rPr>
          <w:rStyle w:val="14"/>
          <w:rFonts w:hint="eastAsia" w:ascii="仿宋" w:hAnsi="仿宋" w:eastAsia="仿宋" w:cs="仿宋"/>
          <w:b w:val="0"/>
          <w:bCs/>
          <w:color w:val="000000"/>
          <w:sz w:val="32"/>
          <w:szCs w:val="32"/>
          <w:lang w:val="en-US" w:eastAsia="zh-CN"/>
        </w:rPr>
        <w:t>100</w:t>
      </w:r>
      <w:r>
        <w:rPr>
          <w:rStyle w:val="14"/>
          <w:rFonts w:hint="eastAsia" w:ascii="仿宋" w:hAnsi="仿宋" w:eastAsia="仿宋" w:cs="仿宋"/>
          <w:b w:val="0"/>
          <w:bCs/>
          <w:color w:val="000000"/>
          <w:sz w:val="32"/>
          <w:szCs w:val="32"/>
        </w:rPr>
        <w:t>%。</w:t>
      </w:r>
    </w:p>
    <w:p>
      <w:pPr>
        <w:spacing w:line="600" w:lineRule="exact"/>
        <w:ind w:firstLine="640"/>
        <w:rPr>
          <w:rFonts w:hint="eastAsia" w:ascii="仿宋" w:hAnsi="仿宋" w:eastAsia="仿宋" w:cs="仿宋"/>
          <w:b/>
          <w:color w:val="000000"/>
          <w:sz w:val="32"/>
          <w:szCs w:val="32"/>
        </w:rPr>
      </w:pPr>
      <w:r>
        <w:rPr>
          <w:rFonts w:hint="eastAsia" w:ascii="仿宋" w:hAnsi="仿宋" w:eastAsia="仿宋" w:cs="仿宋"/>
          <w:b/>
          <w:color w:val="000000"/>
          <w:sz w:val="32"/>
          <w:szCs w:val="32"/>
        </w:rPr>
        <w:t>2</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公务用车购置及运行维护费支出</w:t>
      </w:r>
      <w:r>
        <w:rPr>
          <w:rFonts w:hint="eastAsia" w:ascii="仿宋" w:hAnsi="仿宋" w:eastAsia="仿宋" w:cs="仿宋"/>
          <w:color w:val="000000"/>
          <w:sz w:val="32"/>
          <w:szCs w:val="32"/>
          <w:lang w:val="en-US" w:eastAsia="zh-CN"/>
        </w:rPr>
        <w:t>4.71</w:t>
      </w:r>
      <w:r>
        <w:rPr>
          <w:rFonts w:hint="eastAsia" w:ascii="仿宋" w:hAnsi="仿宋" w:eastAsia="仿宋" w:cs="仿宋"/>
          <w:color w:val="000000"/>
          <w:sz w:val="32"/>
          <w:szCs w:val="32"/>
        </w:rPr>
        <w:t>万元,</w:t>
      </w:r>
      <w:r>
        <w:rPr>
          <w:rStyle w:val="14"/>
          <w:rFonts w:hint="eastAsia" w:ascii="仿宋" w:hAnsi="仿宋" w:eastAsia="仿宋" w:cs="仿宋"/>
          <w:b w:val="0"/>
          <w:bCs/>
          <w:color w:val="000000"/>
          <w:sz w:val="32"/>
          <w:szCs w:val="32"/>
        </w:rPr>
        <w:t>完成预算</w:t>
      </w:r>
      <w:r>
        <w:rPr>
          <w:rStyle w:val="14"/>
          <w:rFonts w:hint="eastAsia" w:ascii="仿宋" w:hAnsi="仿宋" w:eastAsia="仿宋" w:cs="仿宋"/>
          <w:b w:val="0"/>
          <w:bCs/>
          <w:color w:val="000000"/>
          <w:sz w:val="32"/>
          <w:szCs w:val="32"/>
          <w:lang w:val="en-US" w:eastAsia="zh-CN"/>
        </w:rPr>
        <w:t>42.8</w:t>
      </w:r>
      <w:r>
        <w:rPr>
          <w:rStyle w:val="14"/>
          <w:rFonts w:hint="eastAsia" w:ascii="仿宋" w:hAnsi="仿宋" w:eastAsia="仿宋" w:cs="仿宋"/>
          <w:b w:val="0"/>
          <w:bCs/>
          <w:color w:val="000000"/>
          <w:sz w:val="32"/>
          <w:szCs w:val="32"/>
        </w:rPr>
        <w:t>%。</w:t>
      </w:r>
      <w:r>
        <w:rPr>
          <w:rFonts w:hint="eastAsia" w:ascii="仿宋" w:hAnsi="仿宋" w:eastAsia="仿宋" w:cs="仿宋"/>
          <w:color w:val="000000"/>
          <w:sz w:val="32"/>
          <w:szCs w:val="32"/>
        </w:rPr>
        <w:t>公务用车购置及运行维护费支出决算比2018年增加</w:t>
      </w:r>
      <w:r>
        <w:rPr>
          <w:rFonts w:hint="eastAsia" w:ascii="仿宋" w:hAnsi="仿宋" w:eastAsia="仿宋" w:cs="仿宋"/>
          <w:color w:val="000000"/>
          <w:sz w:val="32"/>
          <w:szCs w:val="32"/>
          <w:lang w:val="en-US" w:eastAsia="zh-CN"/>
        </w:rPr>
        <w:t>0.08</w:t>
      </w:r>
      <w:r>
        <w:rPr>
          <w:rFonts w:hint="eastAsia" w:ascii="仿宋" w:hAnsi="仿宋" w:eastAsia="仿宋" w:cs="仿宋"/>
          <w:color w:val="000000"/>
          <w:sz w:val="32"/>
          <w:szCs w:val="32"/>
        </w:rPr>
        <w:t>万元，增长</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color w:val="000000"/>
          <w:sz w:val="32"/>
          <w:szCs w:val="32"/>
        </w:rPr>
        <w:t>公务用车购置支出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万元。全年按规定更新购置公务用车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辆，金额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元。截至2019年12月底，单位共有公务用车</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w:t>
      </w:r>
      <w:r>
        <w:rPr>
          <w:rFonts w:hint="eastAsia" w:ascii="仿宋" w:hAnsi="仿宋" w:eastAsia="仿宋" w:cs="仿宋"/>
          <w:color w:val="000000"/>
          <w:sz w:val="32"/>
          <w:szCs w:val="32"/>
          <w:lang w:val="en-US" w:eastAsia="zh-CN"/>
        </w:rPr>
        <w:t>其他</w:t>
      </w:r>
      <w:r>
        <w:rPr>
          <w:rFonts w:hint="eastAsia" w:ascii="仿宋" w:hAnsi="仿宋" w:eastAsia="仿宋" w:cs="仿宋"/>
          <w:color w:val="000000"/>
          <w:sz w:val="32"/>
          <w:szCs w:val="32"/>
        </w:rPr>
        <w:t>用车</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color w:val="000000"/>
          <w:sz w:val="32"/>
          <w:szCs w:val="32"/>
        </w:rPr>
        <w:t>公务用车运行维护费支出</w:t>
      </w:r>
      <w:r>
        <w:rPr>
          <w:rFonts w:hint="eastAsia" w:ascii="仿宋" w:hAnsi="仿宋" w:eastAsia="仿宋" w:cs="仿宋"/>
          <w:color w:val="000000"/>
          <w:sz w:val="32"/>
          <w:szCs w:val="32"/>
          <w:lang w:val="en-US" w:eastAsia="zh-CN"/>
        </w:rPr>
        <w:t>4.71</w:t>
      </w:r>
      <w:r>
        <w:rPr>
          <w:rFonts w:hint="eastAsia" w:ascii="仿宋" w:hAnsi="仿宋" w:eastAsia="仿宋" w:cs="仿宋"/>
          <w:color w:val="000000"/>
          <w:sz w:val="32"/>
          <w:szCs w:val="32"/>
        </w:rPr>
        <w:t>万元。主要用于政府日常工作、环境整治、征地拆迁、安全、社会治安综合治理、环保、防汛、农村基础设施建设等工作所需的公务用车燃料费、维修费、过路过桥费、保险费等支出。</w:t>
      </w:r>
    </w:p>
    <w:p>
      <w:pPr>
        <w:numPr>
          <w:ilvl w:val="0"/>
          <w:numId w:val="0"/>
        </w:numPr>
        <w:spacing w:line="600" w:lineRule="exact"/>
        <w:ind w:firstLine="643" w:firstLineChars="200"/>
        <w:rPr>
          <w:rStyle w:val="14"/>
          <w:rFonts w:hint="eastAsia" w:ascii="仿宋" w:hAnsi="仿宋" w:eastAsia="仿宋" w:cs="仿宋"/>
          <w:b w:val="0"/>
          <w:bCs/>
          <w:color w:val="000000"/>
          <w:sz w:val="32"/>
          <w:szCs w:val="32"/>
        </w:rPr>
      </w:pPr>
      <w:r>
        <w:rPr>
          <w:rFonts w:hint="eastAsia" w:ascii="仿宋" w:hAnsi="仿宋" w:eastAsia="仿宋" w:cs="仿宋"/>
          <w:b/>
          <w:color w:val="000000"/>
          <w:sz w:val="32"/>
          <w:szCs w:val="32"/>
          <w:lang w:val="en-US" w:eastAsia="zh-CN"/>
        </w:rPr>
        <w:t>3、</w:t>
      </w:r>
      <w:r>
        <w:rPr>
          <w:rFonts w:hint="eastAsia" w:ascii="仿宋" w:hAnsi="仿宋" w:eastAsia="仿宋" w:cs="仿宋"/>
          <w:b/>
          <w:color w:val="000000"/>
          <w:sz w:val="32"/>
          <w:szCs w:val="32"/>
        </w:rPr>
        <w:t>公务接待费支出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Style w:val="14"/>
          <w:rFonts w:hint="eastAsia" w:ascii="仿宋" w:hAnsi="仿宋" w:eastAsia="仿宋" w:cs="仿宋"/>
          <w:b w:val="0"/>
          <w:bCs/>
          <w:color w:val="000000"/>
          <w:sz w:val="32"/>
          <w:szCs w:val="32"/>
        </w:rPr>
        <w:t>完成预算</w:t>
      </w:r>
      <w:r>
        <w:rPr>
          <w:rStyle w:val="14"/>
          <w:rFonts w:hint="eastAsia" w:ascii="仿宋" w:hAnsi="仿宋" w:eastAsia="仿宋" w:cs="仿宋"/>
          <w:b w:val="0"/>
          <w:bCs/>
          <w:color w:val="000000"/>
          <w:sz w:val="32"/>
          <w:szCs w:val="32"/>
          <w:lang w:val="en-US" w:eastAsia="zh-CN"/>
        </w:rPr>
        <w:t>0</w:t>
      </w:r>
      <w:r>
        <w:rPr>
          <w:rStyle w:val="14"/>
          <w:rFonts w:hint="eastAsia" w:ascii="仿宋" w:hAnsi="仿宋" w:eastAsia="仿宋" w:cs="仿宋"/>
          <w:b w:val="0"/>
          <w:bCs/>
          <w:color w:val="000000"/>
          <w:sz w:val="32"/>
          <w:szCs w:val="32"/>
        </w:rPr>
        <w:t>%。</w:t>
      </w:r>
    </w:p>
    <w:p>
      <w:pPr>
        <w:spacing w:line="600" w:lineRule="exact"/>
        <w:ind w:firstLine="640"/>
        <w:outlineLvl w:val="1"/>
        <w:rPr>
          <w:rStyle w:val="25"/>
          <w:rFonts w:hint="eastAsia" w:ascii="仿宋" w:hAnsi="仿宋" w:eastAsia="仿宋" w:cs="仿宋"/>
        </w:rPr>
      </w:pPr>
      <w:bookmarkStart w:id="50" w:name="_Toc15396610"/>
      <w:bookmarkStart w:id="51" w:name="_Toc15377218"/>
      <w:r>
        <w:rPr>
          <w:rFonts w:hint="eastAsia" w:ascii="仿宋" w:hAnsi="仿宋" w:eastAsia="仿宋" w:cs="仿宋"/>
          <w:color w:val="000000"/>
          <w:sz w:val="32"/>
          <w:szCs w:val="32"/>
        </w:rPr>
        <w:t>八、</w:t>
      </w:r>
      <w:r>
        <w:rPr>
          <w:rStyle w:val="25"/>
          <w:rFonts w:hint="eastAsia" w:ascii="仿宋" w:hAnsi="仿宋" w:eastAsia="仿宋" w:cs="仿宋"/>
          <w:b w:val="0"/>
        </w:rPr>
        <w:t>政府性基金预算支出决算情况说明</w:t>
      </w:r>
      <w:bookmarkEnd w:id="50"/>
      <w:bookmarkEnd w:id="51"/>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2019年政府性基金预算拨款支出</w:t>
      </w:r>
      <w:r>
        <w:rPr>
          <w:rFonts w:hint="eastAsia" w:ascii="仿宋" w:hAnsi="仿宋" w:eastAsia="仿宋" w:cs="仿宋"/>
          <w:color w:val="000000"/>
          <w:sz w:val="32"/>
          <w:szCs w:val="32"/>
          <w:lang w:val="en-US" w:eastAsia="zh-CN"/>
        </w:rPr>
        <w:t>231.62</w:t>
      </w:r>
      <w:r>
        <w:rPr>
          <w:rFonts w:hint="eastAsia" w:ascii="仿宋" w:hAnsi="仿宋" w:eastAsia="仿宋" w:cs="仿宋"/>
          <w:color w:val="000000"/>
          <w:sz w:val="32"/>
          <w:szCs w:val="32"/>
        </w:rPr>
        <w:t>万元。</w:t>
      </w:r>
    </w:p>
    <w:p>
      <w:pPr>
        <w:numPr>
          <w:ilvl w:val="0"/>
          <w:numId w:val="2"/>
        </w:numPr>
        <w:spacing w:line="600" w:lineRule="exact"/>
        <w:ind w:firstLine="640"/>
        <w:outlineLvl w:val="1"/>
        <w:rPr>
          <w:rStyle w:val="25"/>
          <w:rFonts w:hint="eastAsia" w:ascii="仿宋" w:hAnsi="仿宋" w:eastAsia="仿宋" w:cs="仿宋"/>
          <w:b w:val="0"/>
        </w:rPr>
      </w:pPr>
      <w:bookmarkStart w:id="52" w:name="_Toc15377219"/>
      <w:bookmarkStart w:id="53" w:name="_Toc15396611"/>
      <w:r>
        <w:rPr>
          <w:rStyle w:val="25"/>
          <w:rFonts w:hint="eastAsia" w:ascii="仿宋" w:hAnsi="仿宋" w:eastAsia="仿宋" w:cs="仿宋"/>
          <w:b w:val="0"/>
        </w:rPr>
        <w:t>国有资本经营预算支出决算情况说明</w:t>
      </w:r>
      <w:bookmarkEnd w:id="52"/>
      <w:bookmarkEnd w:id="53"/>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2019年国有资本经营预算拨款支出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spacing w:line="600" w:lineRule="exact"/>
        <w:ind w:firstLine="800" w:firstLineChars="250"/>
        <w:outlineLvl w:val="1"/>
        <w:rPr>
          <w:rStyle w:val="25"/>
          <w:rFonts w:hint="eastAsia" w:ascii="仿宋" w:hAnsi="仿宋" w:eastAsia="仿宋" w:cs="仿宋"/>
        </w:rPr>
      </w:pPr>
      <w:bookmarkStart w:id="54" w:name="_Toc15377221"/>
      <w:bookmarkStart w:id="55" w:name="_Toc15396612"/>
      <w:r>
        <w:rPr>
          <w:rFonts w:hint="eastAsia" w:ascii="仿宋" w:hAnsi="仿宋" w:eastAsia="仿宋" w:cs="仿宋"/>
          <w:color w:val="000000"/>
          <w:sz w:val="32"/>
          <w:szCs w:val="32"/>
        </w:rPr>
        <w:t>十</w:t>
      </w:r>
      <w:r>
        <w:rPr>
          <w:rStyle w:val="25"/>
          <w:rFonts w:hint="eastAsia" w:ascii="仿宋" w:hAnsi="仿宋" w:eastAsia="仿宋" w:cs="仿宋"/>
        </w:rPr>
        <w:t>、</w:t>
      </w:r>
      <w:r>
        <w:rPr>
          <w:rStyle w:val="25"/>
          <w:rFonts w:hint="eastAsia" w:ascii="仿宋" w:hAnsi="仿宋" w:eastAsia="仿宋" w:cs="仿宋"/>
          <w:b w:val="0"/>
        </w:rPr>
        <w:t>其他重要事项的情况说明</w:t>
      </w:r>
      <w:bookmarkEnd w:id="54"/>
      <w:bookmarkEnd w:id="55"/>
    </w:p>
    <w:p>
      <w:pPr>
        <w:spacing w:line="600" w:lineRule="exact"/>
        <w:ind w:firstLine="643" w:firstLineChars="200"/>
        <w:outlineLvl w:val="2"/>
        <w:rPr>
          <w:rFonts w:hint="eastAsia" w:ascii="仿宋" w:hAnsi="仿宋" w:eastAsia="仿宋" w:cs="仿宋"/>
          <w:color w:val="000000"/>
          <w:sz w:val="32"/>
          <w:szCs w:val="32"/>
        </w:rPr>
      </w:pPr>
      <w:bookmarkStart w:id="56" w:name="_Toc15377222"/>
      <w:r>
        <w:rPr>
          <w:rFonts w:hint="eastAsia" w:ascii="仿宋" w:hAnsi="仿宋" w:eastAsia="仿宋" w:cs="仿宋"/>
          <w:b/>
          <w:color w:val="000000"/>
          <w:sz w:val="32"/>
          <w:szCs w:val="32"/>
        </w:rPr>
        <w:t>（一）机关运行经费支出情况</w:t>
      </w:r>
      <w:bookmarkEnd w:id="56"/>
    </w:p>
    <w:p>
      <w:pPr>
        <w:spacing w:line="600" w:lineRule="exact"/>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sz w:val="32"/>
          <w:szCs w:val="32"/>
        </w:rPr>
        <w:t>2019年，</w:t>
      </w:r>
      <w:r>
        <w:rPr>
          <w:rFonts w:hint="eastAsia" w:ascii="仿宋" w:hAnsi="仿宋" w:eastAsia="仿宋" w:cs="仿宋"/>
          <w:color w:val="000000"/>
          <w:sz w:val="32"/>
          <w:szCs w:val="32"/>
          <w:lang w:val="en-US" w:eastAsia="zh-CN"/>
        </w:rPr>
        <w:t>峨山镇政府</w:t>
      </w:r>
      <w:r>
        <w:rPr>
          <w:rFonts w:hint="eastAsia" w:ascii="仿宋" w:hAnsi="仿宋" w:eastAsia="仿宋" w:cs="仿宋"/>
          <w:color w:val="000000"/>
          <w:sz w:val="32"/>
          <w:szCs w:val="32"/>
        </w:rPr>
        <w:t>机关运行经费支出</w:t>
      </w:r>
      <w:r>
        <w:rPr>
          <w:rFonts w:hint="eastAsia" w:ascii="仿宋" w:hAnsi="仿宋" w:eastAsia="仿宋" w:cs="仿宋"/>
          <w:color w:val="000000"/>
          <w:sz w:val="32"/>
          <w:szCs w:val="32"/>
          <w:lang w:val="en-US" w:eastAsia="zh-CN"/>
        </w:rPr>
        <w:t>61.03</w:t>
      </w:r>
      <w:r>
        <w:rPr>
          <w:rFonts w:hint="eastAsia" w:ascii="仿宋" w:hAnsi="仿宋" w:eastAsia="仿宋" w:cs="仿宋"/>
          <w:color w:val="000000"/>
          <w:sz w:val="32"/>
          <w:szCs w:val="32"/>
        </w:rPr>
        <w:t>万元，比2018年减少</w:t>
      </w:r>
      <w:r>
        <w:rPr>
          <w:rFonts w:hint="eastAsia" w:ascii="仿宋" w:hAnsi="仿宋" w:eastAsia="仿宋" w:cs="仿宋"/>
          <w:color w:val="000000"/>
          <w:sz w:val="32"/>
          <w:szCs w:val="32"/>
          <w:lang w:val="en-US" w:eastAsia="zh-CN"/>
        </w:rPr>
        <w:t>3.92</w:t>
      </w:r>
      <w:r>
        <w:rPr>
          <w:rFonts w:hint="eastAsia" w:ascii="仿宋" w:hAnsi="仿宋" w:eastAsia="仿宋" w:cs="仿宋"/>
          <w:color w:val="000000"/>
          <w:sz w:val="32"/>
          <w:szCs w:val="32"/>
        </w:rPr>
        <w:t>万元，下降</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57" w:name="_Toc15377223"/>
      <w:r>
        <w:rPr>
          <w:rFonts w:hint="eastAsia" w:ascii="仿宋" w:hAnsi="仿宋" w:eastAsia="仿宋" w:cs="仿宋"/>
          <w:b/>
          <w:color w:val="000000"/>
          <w:sz w:val="32"/>
          <w:szCs w:val="32"/>
        </w:rPr>
        <w:t>（二）政府采购支出情况</w:t>
      </w:r>
      <w:bookmarkEnd w:id="57"/>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2019年，</w:t>
      </w:r>
      <w:r>
        <w:rPr>
          <w:rFonts w:hint="eastAsia" w:ascii="仿宋" w:hAnsi="仿宋" w:eastAsia="仿宋" w:cs="仿宋"/>
          <w:color w:val="000000"/>
          <w:sz w:val="32"/>
          <w:szCs w:val="32"/>
          <w:lang w:val="en-US" w:eastAsia="zh-CN"/>
        </w:rPr>
        <w:t>峨山镇</w:t>
      </w:r>
      <w:r>
        <w:rPr>
          <w:rFonts w:hint="eastAsia" w:ascii="仿宋" w:hAnsi="仿宋" w:eastAsia="仿宋" w:cs="仿宋"/>
          <w:color w:val="000000"/>
          <w:sz w:val="32"/>
          <w:szCs w:val="32"/>
        </w:rPr>
        <w:t>政府采购支出总额</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万元，其中：政府采购货物支出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万元、政府采购工程支出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万元、政府采购服务支出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bookmarkStart w:id="58" w:name="_Toc15377224"/>
      <w:r>
        <w:rPr>
          <w:rFonts w:hint="eastAsia" w:ascii="仿宋" w:hAnsi="仿宋" w:eastAsia="仿宋" w:cs="仿宋"/>
          <w:b/>
          <w:color w:val="000000"/>
          <w:sz w:val="32"/>
          <w:szCs w:val="32"/>
        </w:rPr>
        <w:t>（三）国有资产占有使用情况</w:t>
      </w:r>
      <w:bookmarkEnd w:id="58"/>
    </w:p>
    <w:p>
      <w:pPr>
        <w:autoSpaceDE w:val="0"/>
        <w:autoSpaceDN w:val="0"/>
        <w:adjustRightInd w:val="0"/>
        <w:spacing w:line="600" w:lineRule="exact"/>
        <w:ind w:firstLine="640" w:firstLineChars="200"/>
        <w:jc w:val="left"/>
        <w:rPr>
          <w:rFonts w:hint="eastAsia" w:ascii="仿宋" w:hAnsi="仿宋" w:eastAsia="仿宋" w:cs="仿宋"/>
          <w:b/>
          <w:color w:val="FF0000"/>
          <w:sz w:val="32"/>
          <w:szCs w:val="32"/>
        </w:rPr>
      </w:pPr>
      <w:r>
        <w:rPr>
          <w:rFonts w:hint="eastAsia" w:ascii="仿宋" w:hAnsi="仿宋" w:eastAsia="仿宋" w:cs="仿宋"/>
          <w:color w:val="000000"/>
          <w:sz w:val="32"/>
          <w:szCs w:val="32"/>
        </w:rPr>
        <w:t>截至2019年12月31日，</w:t>
      </w:r>
      <w:r>
        <w:rPr>
          <w:rFonts w:hint="eastAsia" w:ascii="仿宋" w:hAnsi="仿宋" w:eastAsia="仿宋" w:cs="仿宋"/>
          <w:color w:val="000000"/>
          <w:sz w:val="32"/>
          <w:szCs w:val="32"/>
          <w:lang w:val="en-US" w:eastAsia="zh-CN"/>
        </w:rPr>
        <w:t>峨山镇</w:t>
      </w:r>
      <w:r>
        <w:rPr>
          <w:rFonts w:hint="eastAsia" w:ascii="仿宋" w:hAnsi="仿宋" w:eastAsia="仿宋" w:cs="仿宋"/>
          <w:color w:val="000000"/>
          <w:sz w:val="32"/>
          <w:szCs w:val="32"/>
        </w:rPr>
        <w:t>共有车辆</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辆，其中：主要领导干部用车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辆、机要通信用车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辆、应急保障用车</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辆、其他用车</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辆</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其他用车主要是用于</w:t>
      </w:r>
      <w:r>
        <w:rPr>
          <w:rFonts w:hint="eastAsia" w:ascii="仿宋" w:hAnsi="仿宋" w:eastAsia="仿宋" w:cs="仿宋"/>
          <w:color w:val="000000"/>
          <w:sz w:val="32"/>
          <w:szCs w:val="32"/>
        </w:rPr>
        <w:t>政府日常工作、环境整治、征地拆迁、安全、社会治安综合治理、环保、防汛、农村基础设施建设等工作</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rPr>
        <w:t>单价50万元以上通用设备</w:t>
      </w:r>
      <w:r>
        <w:rPr>
          <w:rFonts w:hint="eastAsia" w:ascii="仿宋" w:hAnsi="仿宋" w:eastAsia="仿宋" w:cs="仿宋"/>
          <w:color w:val="000000" w:themeColor="text1"/>
          <w:sz w:val="32"/>
          <w:szCs w:val="32"/>
          <w:lang w:eastAsia="zh-CN"/>
        </w:rPr>
        <w:t>０</w:t>
      </w:r>
      <w:r>
        <w:rPr>
          <w:rFonts w:hint="eastAsia" w:ascii="仿宋" w:hAnsi="仿宋" w:eastAsia="仿宋" w:cs="仿宋"/>
          <w:color w:val="000000" w:themeColor="text1"/>
          <w:sz w:val="32"/>
          <w:szCs w:val="32"/>
        </w:rPr>
        <w:t>台（套），单价100</w:t>
      </w:r>
      <w:r>
        <w:rPr>
          <w:rFonts w:hint="eastAsia" w:ascii="仿宋" w:hAnsi="仿宋" w:eastAsia="仿宋" w:cs="仿宋"/>
          <w:color w:val="000000"/>
          <w:sz w:val="32"/>
          <w:szCs w:val="32"/>
        </w:rPr>
        <w:t>万元以上专用设备</w:t>
      </w:r>
      <w:r>
        <w:rPr>
          <w:rFonts w:hint="eastAsia" w:ascii="仿宋" w:hAnsi="仿宋" w:eastAsia="仿宋" w:cs="仿宋"/>
          <w:color w:val="000000"/>
          <w:sz w:val="32"/>
          <w:szCs w:val="32"/>
          <w:lang w:eastAsia="zh-CN"/>
        </w:rPr>
        <w:t>０</w:t>
      </w:r>
      <w:r>
        <w:rPr>
          <w:rFonts w:hint="eastAsia" w:ascii="仿宋" w:hAnsi="仿宋" w:eastAsia="仿宋" w:cs="仿宋"/>
          <w:color w:val="000000"/>
          <w:sz w:val="32"/>
          <w:szCs w:val="32"/>
        </w:rPr>
        <w:t>台（套）。</w:t>
      </w:r>
    </w:p>
    <w:p>
      <w:pPr>
        <w:autoSpaceDE w:val="0"/>
        <w:autoSpaceDN w:val="0"/>
        <w:adjustRightInd w:val="0"/>
        <w:spacing w:line="600" w:lineRule="exact"/>
        <w:ind w:firstLine="643" w:firstLineChars="200"/>
        <w:jc w:val="left"/>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（四）预算绩效管理情况。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1、项目概况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（1）项目基本情况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我镇本级预算纳入预算绩效监控的项目纾难解困项目。为解决群众最关心、最直接、最现实的问题，进一步提升群众的获得感、幸福感和满意度，设立纾难解困资金项目。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（2）项目绩效目标</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峨山</w:t>
      </w:r>
      <w:r>
        <w:rPr>
          <w:rFonts w:hint="eastAsia" w:ascii="仿宋" w:hAnsi="仿宋" w:eastAsia="仿宋" w:cs="仿宋"/>
          <w:sz w:val="32"/>
          <w:szCs w:val="32"/>
        </w:rPr>
        <w:t>镇。</w:t>
      </w:r>
    </w:p>
    <w:p>
      <w:pPr>
        <w:numPr>
          <w:ilvl w:val="0"/>
          <w:numId w:val="3"/>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项目自评步骤及方法</w:t>
      </w:r>
    </w:p>
    <w:p>
      <w:pPr>
        <w:numPr>
          <w:ilvl w:val="0"/>
          <w:numId w:val="0"/>
        </w:num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2、项目资金申报及使用情况 </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（1）项目资金申报及批复情况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峨山</w:t>
      </w:r>
      <w:r>
        <w:rPr>
          <w:rFonts w:hint="eastAsia" w:ascii="仿宋" w:hAnsi="仿宋" w:eastAsia="仿宋" w:cs="仿宋"/>
          <w:sz w:val="32"/>
          <w:szCs w:val="32"/>
        </w:rPr>
        <w:t>镇负责部门开展相关工作，及时完成各项工作内容，编制资金使用兑付表，经分管领导、主要领导审核，财务提交计划到财政局，财政局审核后支付。</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（2）资金计划、到位及使用情况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2019年该项目资金</w:t>
      </w:r>
      <w:r>
        <w:rPr>
          <w:rFonts w:hint="eastAsia" w:ascii="仿宋" w:hAnsi="仿宋" w:eastAsia="仿宋" w:cs="仿宋"/>
          <w:sz w:val="32"/>
          <w:szCs w:val="32"/>
          <w:lang w:val="en-US" w:eastAsia="zh-CN"/>
        </w:rPr>
        <w:t>1</w:t>
      </w:r>
      <w:r>
        <w:rPr>
          <w:rFonts w:hint="eastAsia" w:ascii="仿宋" w:hAnsi="仿宋" w:eastAsia="仿宋" w:cs="仿宋"/>
          <w:sz w:val="32"/>
          <w:szCs w:val="32"/>
        </w:rPr>
        <w:t>5</w:t>
      </w:r>
      <w:r>
        <w:rPr>
          <w:rFonts w:hint="eastAsia" w:ascii="仿宋" w:hAnsi="仿宋" w:eastAsia="仿宋" w:cs="仿宋"/>
          <w:sz w:val="32"/>
          <w:szCs w:val="32"/>
          <w:lang w:val="en-US" w:eastAsia="zh-CN"/>
        </w:rPr>
        <w:t>万</w:t>
      </w:r>
      <w:r>
        <w:rPr>
          <w:rFonts w:hint="eastAsia" w:ascii="仿宋" w:hAnsi="仿宋" w:eastAsia="仿宋" w:cs="仿宋"/>
          <w:sz w:val="32"/>
          <w:szCs w:val="32"/>
        </w:rPr>
        <w:t>元，农户申请资金</w:t>
      </w:r>
      <w:r>
        <w:rPr>
          <w:rFonts w:hint="eastAsia" w:ascii="仿宋" w:hAnsi="仿宋" w:eastAsia="仿宋" w:cs="仿宋"/>
          <w:sz w:val="32"/>
          <w:szCs w:val="32"/>
          <w:lang w:val="en-US" w:eastAsia="zh-CN"/>
        </w:rPr>
        <w:t>5.68万</w:t>
      </w:r>
      <w:r>
        <w:rPr>
          <w:rFonts w:hint="eastAsia" w:ascii="仿宋" w:hAnsi="仿宋" w:eastAsia="仿宋" w:cs="仿宋"/>
          <w:sz w:val="32"/>
          <w:szCs w:val="32"/>
        </w:rPr>
        <w:t>元，通过审核资金</w:t>
      </w:r>
      <w:r>
        <w:rPr>
          <w:rFonts w:hint="eastAsia" w:ascii="仿宋" w:hAnsi="仿宋" w:eastAsia="仿宋" w:cs="仿宋"/>
          <w:sz w:val="32"/>
          <w:szCs w:val="32"/>
          <w:lang w:val="en-US" w:eastAsia="zh-CN"/>
        </w:rPr>
        <w:t>5.68万</w:t>
      </w:r>
      <w:r>
        <w:rPr>
          <w:rFonts w:hint="eastAsia" w:ascii="仿宋" w:hAnsi="仿宋" w:eastAsia="仿宋" w:cs="仿宋"/>
          <w:sz w:val="32"/>
          <w:szCs w:val="32"/>
        </w:rPr>
        <w:t>元，发放资金</w:t>
      </w:r>
      <w:r>
        <w:rPr>
          <w:rFonts w:hint="eastAsia" w:ascii="仿宋" w:hAnsi="仿宋" w:eastAsia="仿宋" w:cs="仿宋"/>
          <w:sz w:val="32"/>
          <w:szCs w:val="32"/>
          <w:lang w:val="en-US" w:eastAsia="zh-CN"/>
        </w:rPr>
        <w:t>5.68万</w:t>
      </w:r>
      <w:r>
        <w:rPr>
          <w:rFonts w:hint="eastAsia" w:ascii="仿宋" w:hAnsi="仿宋" w:eastAsia="仿宋" w:cs="仿宋"/>
          <w:sz w:val="32"/>
          <w:szCs w:val="32"/>
        </w:rPr>
        <w:t>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（3）项目财务管理情况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镇纾难解困项目资金</w:t>
      </w:r>
      <w:r>
        <w:rPr>
          <w:rFonts w:hint="eastAsia" w:ascii="仿宋" w:hAnsi="仿宋" w:eastAsia="仿宋" w:cs="仿宋"/>
          <w:sz w:val="32"/>
          <w:szCs w:val="32"/>
          <w:lang w:val="en-US" w:eastAsia="zh-CN"/>
        </w:rPr>
        <w:t>的</w:t>
      </w:r>
      <w:r>
        <w:rPr>
          <w:rFonts w:hint="eastAsia" w:ascii="仿宋" w:hAnsi="仿宋" w:eastAsia="仿宋" w:cs="仿宋"/>
          <w:sz w:val="32"/>
          <w:szCs w:val="32"/>
        </w:rPr>
        <w:t>使用严格执行财务管理制度</w:t>
      </w:r>
      <w:r>
        <w:rPr>
          <w:rFonts w:hint="eastAsia" w:ascii="仿宋" w:hAnsi="仿宋" w:eastAsia="仿宋" w:cs="仿宋"/>
          <w:sz w:val="32"/>
          <w:szCs w:val="32"/>
          <w:lang w:eastAsia="zh-CN"/>
        </w:rPr>
        <w:t>，</w:t>
      </w:r>
      <w:r>
        <w:rPr>
          <w:rFonts w:hint="eastAsia" w:ascii="仿宋" w:hAnsi="仿宋" w:eastAsia="仿宋" w:cs="仿宋"/>
          <w:sz w:val="32"/>
          <w:szCs w:val="32"/>
        </w:rPr>
        <w:t>财务处理及时</w:t>
      </w:r>
      <w:r>
        <w:rPr>
          <w:rFonts w:hint="eastAsia" w:ascii="仿宋" w:hAnsi="仿宋" w:eastAsia="仿宋" w:cs="仿宋"/>
          <w:sz w:val="32"/>
          <w:szCs w:val="32"/>
          <w:lang w:eastAsia="zh-CN"/>
        </w:rPr>
        <w:t>，</w:t>
      </w:r>
      <w:r>
        <w:rPr>
          <w:rFonts w:hint="eastAsia" w:ascii="仿宋" w:hAnsi="仿宋" w:eastAsia="仿宋" w:cs="仿宋"/>
          <w:sz w:val="32"/>
          <w:szCs w:val="32"/>
        </w:rPr>
        <w:t>会计核算规范。</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3、目标完成情况</w:t>
      </w:r>
      <w:r>
        <w:rPr>
          <w:rFonts w:hint="eastAsia" w:ascii="仿宋" w:hAnsi="仿宋" w:eastAsia="仿宋" w:cs="仿宋"/>
          <w:sz w:val="32"/>
          <w:szCs w:val="32"/>
        </w:rPr>
        <w:tab/>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（1）目标完成任务量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镇纾难解困项目任务按申请量完成，资金支付完成100%。</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（2）目标完成质量</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镇纾难解困项目工作任务实际完成质量较好。</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4、项目效果情况</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5、评价结论及建议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（1）评价结论</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pPr>
        <w:spacing w:line="58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（2）问题</w:t>
      </w:r>
      <w:r>
        <w:rPr>
          <w:rFonts w:hint="eastAsia" w:ascii="仿宋" w:hAnsi="仿宋" w:eastAsia="仿宋" w:cs="仿宋"/>
          <w:sz w:val="32"/>
          <w:szCs w:val="32"/>
          <w:lang w:val="en-US" w:eastAsia="zh-CN"/>
        </w:rPr>
        <w:t>及建议</w:t>
      </w:r>
    </w:p>
    <w:p>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tbl>
      <w:tblPr>
        <w:tblStyle w:val="12"/>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仿宋" w:hAnsi="仿宋" w:eastAsia="仿宋" w:cs="仿宋"/>
                <w:color w:val="000000"/>
                <w:sz w:val="36"/>
                <w:szCs w:val="36"/>
              </w:rPr>
            </w:pPr>
            <w:r>
              <w:rPr>
                <w:rFonts w:hint="eastAsia" w:ascii="仿宋" w:hAnsi="仿宋" w:eastAsia="仿宋" w:cs="仿宋"/>
                <w:b/>
                <w:bCs/>
                <w:color w:val="000000"/>
                <w:kern w:val="0"/>
                <w:sz w:val="36"/>
                <w:szCs w:val="36"/>
              </w:rPr>
              <w:t>项目绩效目标完成情况表</w:t>
            </w:r>
            <w:r>
              <w:rPr>
                <w:rFonts w:hint="eastAsia" w:ascii="仿宋" w:hAnsi="仿宋" w:eastAsia="仿宋" w:cs="仿宋"/>
                <w:b/>
                <w:bCs/>
                <w:color w:val="000000"/>
                <w:kern w:val="0"/>
                <w:sz w:val="36"/>
                <w:szCs w:val="36"/>
              </w:rPr>
              <w:br w:type="textWrapping"/>
            </w:r>
            <w:r>
              <w:rPr>
                <w:rFonts w:hint="eastAsia" w:ascii="仿宋" w:hAnsi="仿宋" w:eastAsia="仿宋" w:cs="仿宋"/>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纾难解困资金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峨眉山市峨山镇人民政府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5.68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5.68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仿宋" w:hAnsi="仿宋" w:eastAsia="仿宋" w:cs="仿宋"/>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5.68</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000000"/>
                <w:sz w:val="24"/>
              </w:rPr>
            </w:pPr>
          </w:p>
        </w:tc>
      </w:tr>
    </w:tbl>
    <w:p>
      <w:pPr>
        <w:spacing w:line="580" w:lineRule="exact"/>
        <w:ind w:left="630"/>
        <w:rPr>
          <w:rFonts w:hint="eastAsia" w:ascii="仿宋" w:hAnsi="仿宋" w:eastAsia="仿宋" w:cs="仿宋"/>
          <w:sz w:val="32"/>
          <w:szCs w:val="32"/>
        </w:rPr>
      </w:pPr>
    </w:p>
    <w:p>
      <w:pPr>
        <w:spacing w:line="580" w:lineRule="exact"/>
        <w:ind w:left="630"/>
        <w:rPr>
          <w:rFonts w:hint="eastAsia" w:ascii="仿宋" w:hAnsi="仿宋" w:eastAsia="仿宋" w:cs="仿宋"/>
          <w:sz w:val="32"/>
          <w:szCs w:val="32"/>
        </w:rPr>
      </w:pPr>
    </w:p>
    <w:p>
      <w:pPr>
        <w:widowControl/>
        <w:jc w:val="left"/>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pPr>
        <w:numPr>
          <w:ilvl w:val="0"/>
          <w:numId w:val="4"/>
        </w:numPr>
        <w:spacing w:line="600" w:lineRule="exact"/>
        <w:ind w:firstLine="660" w:firstLineChars="150"/>
        <w:jc w:val="center"/>
        <w:outlineLvl w:val="0"/>
        <w:rPr>
          <w:rStyle w:val="24"/>
          <w:rFonts w:hint="eastAsia" w:ascii="仿宋" w:hAnsi="仿宋" w:eastAsia="仿宋" w:cs="仿宋"/>
          <w:b w:val="0"/>
        </w:rPr>
      </w:pPr>
      <w:bookmarkStart w:id="59" w:name="_Toc15396613"/>
      <w:bookmarkStart w:id="60" w:name="_Toc15377225"/>
      <w:r>
        <w:rPr>
          <w:rFonts w:hint="eastAsia" w:ascii="仿宋" w:hAnsi="仿宋" w:eastAsia="仿宋" w:cs="仿宋"/>
          <w:color w:val="000000"/>
          <w:sz w:val="44"/>
          <w:szCs w:val="44"/>
        </w:rPr>
        <w:t>名</w:t>
      </w:r>
      <w:r>
        <w:rPr>
          <w:rStyle w:val="24"/>
          <w:rFonts w:hint="eastAsia" w:ascii="仿宋" w:hAnsi="仿宋" w:eastAsia="仿宋" w:cs="仿宋"/>
          <w:b w:val="0"/>
        </w:rPr>
        <w:t>词解释</w:t>
      </w:r>
      <w:bookmarkEnd w:id="59"/>
      <w:bookmarkEnd w:id="60"/>
    </w:p>
    <w:p>
      <w:pPr>
        <w:spacing w:line="600" w:lineRule="exact"/>
        <w:jc w:val="left"/>
        <w:rPr>
          <w:rFonts w:hint="eastAsia" w:ascii="仿宋" w:hAnsi="仿宋" w:eastAsia="仿宋" w:cs="仿宋"/>
          <w:b/>
          <w:color w:val="000000"/>
          <w:sz w:val="44"/>
          <w:szCs w:val="44"/>
        </w:rPr>
      </w:pP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hAnsi="仿宋" w:cs="仿宋"/>
          <w:sz w:val="32"/>
          <w:szCs w:val="32"/>
          <w:lang w:eastAsia="zh-CN"/>
        </w:rPr>
        <w:t>、</w:t>
      </w:r>
      <w:r>
        <w:rPr>
          <w:rFonts w:hint="eastAsia" w:ascii="仿宋" w:hAnsi="仿宋" w:eastAsia="仿宋" w:cs="仿宋"/>
          <w:sz w:val="32"/>
          <w:szCs w:val="32"/>
        </w:rPr>
        <w:t xml:space="preserve">财政拨款收入：指市级财政当年拨付的资金。 </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hAnsi="仿宋" w:cs="仿宋"/>
          <w:sz w:val="32"/>
          <w:szCs w:val="32"/>
          <w:lang w:eastAsia="zh-CN"/>
        </w:rPr>
        <w:t>、</w:t>
      </w:r>
      <w:r>
        <w:rPr>
          <w:rFonts w:hint="eastAsia" w:ascii="仿宋" w:hAnsi="仿宋" w:eastAsia="仿宋" w:cs="仿宋"/>
          <w:sz w:val="32"/>
          <w:szCs w:val="32"/>
        </w:rPr>
        <w:t>事业收入：指事业单位开展专业业务活动及辅助活动所取得的收入。</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hAnsi="仿宋" w:cs="仿宋"/>
          <w:sz w:val="32"/>
          <w:szCs w:val="32"/>
          <w:lang w:eastAsia="zh-CN"/>
        </w:rPr>
        <w:t>、</w:t>
      </w:r>
      <w:r>
        <w:rPr>
          <w:rFonts w:hint="eastAsia" w:ascii="仿宋" w:hAnsi="仿宋" w:eastAsia="仿宋" w:cs="仿宋"/>
          <w:sz w:val="32"/>
          <w:szCs w:val="32"/>
        </w:rPr>
        <w:t>经营收入：指事业单位在专业业务活动及其辅助活动之外开展非独立核算经营活动取得的收入。</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hAnsi="仿宋" w:cs="仿宋"/>
          <w:sz w:val="32"/>
          <w:szCs w:val="32"/>
          <w:lang w:eastAsia="zh-CN"/>
        </w:rPr>
        <w:t>、</w:t>
      </w:r>
      <w:r>
        <w:rPr>
          <w:rFonts w:hint="eastAsia" w:ascii="仿宋" w:hAnsi="仿宋" w:eastAsia="仿宋" w:cs="仿宋"/>
          <w:sz w:val="32"/>
          <w:szCs w:val="32"/>
        </w:rPr>
        <w:t xml:space="preserve">其他收入：指除上述“财政拨款收入”、“事业收入”、“经营收入”等以外的收入。主要是征地拆迁上级主管部门拔的工作经费等。 </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hAnsi="仿宋" w:cs="仿宋"/>
          <w:sz w:val="32"/>
          <w:szCs w:val="32"/>
          <w:lang w:eastAsia="zh-CN"/>
        </w:rPr>
        <w:t>、</w:t>
      </w:r>
      <w:r>
        <w:rPr>
          <w:rFonts w:hint="eastAsia" w:ascii="仿宋" w:hAnsi="仿宋" w:eastAsia="仿宋" w:cs="仿宋"/>
          <w:sz w:val="32"/>
          <w:szCs w:val="32"/>
        </w:rPr>
        <w:t xml:space="preserve">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hAnsi="仿宋" w:cs="仿宋"/>
          <w:sz w:val="32"/>
          <w:szCs w:val="32"/>
          <w:lang w:eastAsia="zh-CN"/>
        </w:rPr>
        <w:t>、</w:t>
      </w:r>
      <w:r>
        <w:rPr>
          <w:rFonts w:hint="eastAsia" w:ascii="仿宋" w:hAnsi="仿宋" w:eastAsia="仿宋" w:cs="仿宋"/>
          <w:sz w:val="32"/>
          <w:szCs w:val="32"/>
        </w:rPr>
        <w:t xml:space="preserve">年初结转和结余：指以前年度尚未完成、结转到本年按有关规定继续使用的资金。 </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7、一般公共服务（类）政府办公厅及相关机构事务　（款）行政运行（项）:指</w:t>
      </w:r>
      <w:r>
        <w:rPr>
          <w:rFonts w:hint="eastAsia" w:ascii="仿宋" w:hAnsi="仿宋" w:eastAsia="仿宋" w:cs="仿宋"/>
          <w:color w:val="000000"/>
          <w:sz w:val="32"/>
          <w:szCs w:val="32"/>
        </w:rPr>
        <w:t>镇政府行政人员的工资津贴等人员支出和政府正常运转提供保障服务的支出。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8、一般公共服务（类）政府办公厅及相关机构事务（款）一般行政管理事务（项）:</w:t>
      </w:r>
      <w:r>
        <w:rPr>
          <w:rFonts w:hint="eastAsia" w:ascii="仿宋" w:hAnsi="仿宋" w:eastAsia="仿宋" w:cs="仿宋"/>
          <w:color w:val="000000"/>
          <w:sz w:val="32"/>
          <w:szCs w:val="32"/>
        </w:rPr>
        <w:t>指政府常规项目如团委、武装、妇联、食品药品监管等工作支出。</w:t>
      </w:r>
    </w:p>
    <w:p>
      <w:pPr>
        <w:spacing w:line="600" w:lineRule="exact"/>
        <w:ind w:firstLine="640" w:firstLineChars="200"/>
        <w:rPr>
          <w:rFonts w:hint="eastAsia" w:ascii="仿宋" w:hAnsi="仿宋" w:eastAsia="仿宋" w:cs="仿宋"/>
          <w:color w:val="000000"/>
          <w:sz w:val="32"/>
          <w:szCs w:val="32"/>
          <w:lang w:val="en-US" w:eastAsia="zh-CN"/>
        </w:rPr>
      </w:pPr>
      <w:r>
        <w:rPr>
          <w:rStyle w:val="14"/>
          <w:rFonts w:hint="eastAsia" w:ascii="仿宋" w:hAnsi="仿宋" w:eastAsia="仿宋" w:cs="仿宋"/>
          <w:b w:val="0"/>
          <w:color w:val="000000"/>
          <w:sz w:val="32"/>
          <w:szCs w:val="32"/>
          <w:lang w:val="en-US" w:eastAsia="zh-CN"/>
        </w:rPr>
        <w:t>9</w:t>
      </w:r>
      <w:r>
        <w:rPr>
          <w:rStyle w:val="14"/>
          <w:rFonts w:hint="eastAsia" w:ascii="仿宋" w:hAnsi="仿宋" w:eastAsia="仿宋" w:cs="仿宋"/>
          <w:b w:val="0"/>
          <w:color w:val="000000"/>
          <w:sz w:val="32"/>
          <w:szCs w:val="32"/>
        </w:rPr>
        <w:t>、一般公共服务（类）政府办公厅及相关机构事务（款）</w:t>
      </w:r>
      <w:r>
        <w:rPr>
          <w:rStyle w:val="14"/>
          <w:rFonts w:hint="eastAsia" w:ascii="仿宋" w:hAnsi="仿宋" w:eastAsia="仿宋" w:cs="仿宋"/>
          <w:b w:val="0"/>
          <w:color w:val="000000"/>
          <w:sz w:val="32"/>
          <w:szCs w:val="32"/>
          <w:lang w:val="en-US" w:eastAsia="zh-CN"/>
        </w:rPr>
        <w:t>其他</w:t>
      </w:r>
      <w:r>
        <w:rPr>
          <w:rStyle w:val="14"/>
          <w:rFonts w:hint="eastAsia" w:ascii="仿宋" w:hAnsi="仿宋" w:eastAsia="仿宋" w:cs="仿宋"/>
          <w:b w:val="0"/>
          <w:color w:val="000000"/>
          <w:sz w:val="32"/>
          <w:szCs w:val="32"/>
        </w:rPr>
        <w:t>政府办公厅</w:t>
      </w:r>
      <w:r>
        <w:rPr>
          <w:rStyle w:val="14"/>
          <w:rFonts w:hint="eastAsia" w:ascii="仿宋" w:hAnsi="仿宋" w:eastAsia="仿宋" w:cs="仿宋"/>
          <w:b w:val="0"/>
          <w:color w:val="000000"/>
          <w:sz w:val="32"/>
          <w:szCs w:val="32"/>
          <w:lang w:eastAsia="zh-CN"/>
        </w:rPr>
        <w:t>（</w:t>
      </w:r>
      <w:r>
        <w:rPr>
          <w:rStyle w:val="14"/>
          <w:rFonts w:hint="eastAsia" w:ascii="仿宋" w:hAnsi="仿宋" w:eastAsia="仿宋" w:cs="仿宋"/>
          <w:b w:val="0"/>
          <w:color w:val="000000"/>
          <w:sz w:val="32"/>
          <w:szCs w:val="32"/>
          <w:lang w:val="en-US" w:eastAsia="zh-CN"/>
        </w:rPr>
        <w:t>室）</w:t>
      </w:r>
      <w:r>
        <w:rPr>
          <w:rStyle w:val="14"/>
          <w:rFonts w:hint="eastAsia" w:ascii="仿宋" w:hAnsi="仿宋" w:eastAsia="仿宋" w:cs="仿宋"/>
          <w:b w:val="0"/>
          <w:color w:val="000000"/>
          <w:sz w:val="32"/>
          <w:szCs w:val="32"/>
        </w:rPr>
        <w:t>及相关机构事务（项）:</w:t>
      </w:r>
      <w:r>
        <w:rPr>
          <w:rFonts w:hint="eastAsia" w:ascii="仿宋" w:hAnsi="仿宋" w:eastAsia="仿宋" w:cs="仿宋"/>
          <w:color w:val="000000"/>
          <w:sz w:val="32"/>
          <w:szCs w:val="32"/>
          <w:lang w:val="en-US" w:eastAsia="zh-CN"/>
        </w:rPr>
        <w:t>反映除上述项目以外的其他政府办公厅（室）及相关机构事务支出。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10</w:t>
      </w:r>
      <w:r>
        <w:rPr>
          <w:rStyle w:val="14"/>
          <w:rFonts w:hint="eastAsia" w:ascii="仿宋" w:hAnsi="仿宋" w:eastAsia="仿宋" w:cs="仿宋"/>
          <w:b w:val="0"/>
          <w:color w:val="000000"/>
          <w:sz w:val="32"/>
          <w:szCs w:val="32"/>
        </w:rPr>
        <w:t>、一般公共服务（类）人力资源事务（款）其他人力资源事务支出（项）:</w:t>
      </w:r>
      <w:r>
        <w:rPr>
          <w:rFonts w:hint="eastAsia" w:ascii="仿宋" w:hAnsi="仿宋" w:eastAsia="仿宋" w:cs="仿宋"/>
          <w:color w:val="000000"/>
          <w:sz w:val="32"/>
          <w:szCs w:val="32"/>
        </w:rPr>
        <w:t>指三支一扶人员的工资和社保单位部份支出。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1</w:t>
      </w:r>
      <w:r>
        <w:rPr>
          <w:rStyle w:val="14"/>
          <w:rFonts w:hint="eastAsia" w:ascii="仿宋" w:hAnsi="仿宋" w:eastAsia="仿宋" w:cs="仿宋"/>
          <w:b w:val="0"/>
          <w:color w:val="000000"/>
          <w:sz w:val="32"/>
          <w:szCs w:val="32"/>
        </w:rPr>
        <w:t>、一般公共服务（类）国防支出（款）</w:t>
      </w:r>
      <w:r>
        <w:rPr>
          <w:rStyle w:val="14"/>
          <w:rFonts w:hint="eastAsia" w:ascii="仿宋" w:hAnsi="仿宋" w:eastAsia="仿宋" w:cs="仿宋"/>
          <w:b w:val="0"/>
          <w:color w:val="000000"/>
          <w:sz w:val="32"/>
          <w:szCs w:val="32"/>
          <w:lang w:val="en-US" w:eastAsia="zh-CN"/>
        </w:rPr>
        <w:t>民兵</w:t>
      </w:r>
      <w:r>
        <w:rPr>
          <w:rStyle w:val="14"/>
          <w:rFonts w:hint="eastAsia" w:ascii="仿宋" w:hAnsi="仿宋" w:eastAsia="仿宋" w:cs="仿宋"/>
          <w:b w:val="0"/>
          <w:color w:val="000000"/>
          <w:sz w:val="32"/>
          <w:szCs w:val="32"/>
        </w:rPr>
        <w:t>（项）:</w:t>
      </w:r>
      <w:r>
        <w:rPr>
          <w:rFonts w:hint="eastAsia" w:ascii="仿宋" w:hAnsi="仿宋" w:eastAsia="仿宋" w:cs="仿宋"/>
          <w:color w:val="000000"/>
          <w:sz w:val="32"/>
          <w:szCs w:val="32"/>
          <w:lang w:val="en-US" w:eastAsia="zh-CN"/>
        </w:rPr>
        <w:t>反映用于民兵建设与管理等方面支出</w:t>
      </w:r>
      <w:r>
        <w:rPr>
          <w:rFonts w:hint="eastAsia" w:ascii="仿宋" w:hAnsi="仿宋" w:eastAsia="仿宋" w:cs="仿宋"/>
          <w:color w:val="000000"/>
          <w:sz w:val="32"/>
          <w:szCs w:val="32"/>
        </w:rPr>
        <w:t>。</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2</w:t>
      </w:r>
      <w:r>
        <w:rPr>
          <w:rStyle w:val="14"/>
          <w:rFonts w:hint="eastAsia" w:ascii="仿宋" w:hAnsi="仿宋" w:eastAsia="仿宋" w:cs="仿宋"/>
          <w:b w:val="0"/>
          <w:color w:val="000000"/>
          <w:sz w:val="32"/>
          <w:szCs w:val="32"/>
        </w:rPr>
        <w:t>、一般公共服务（类）国防支出（款）其他国防动员支出（项）:</w:t>
      </w:r>
      <w:r>
        <w:rPr>
          <w:rFonts w:hint="eastAsia" w:ascii="仿宋" w:hAnsi="仿宋" w:eastAsia="仿宋" w:cs="仿宋"/>
          <w:color w:val="000000"/>
          <w:sz w:val="32"/>
          <w:szCs w:val="32"/>
        </w:rPr>
        <w:t>指基层武装工作支出。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3</w:t>
      </w:r>
      <w:r>
        <w:rPr>
          <w:rStyle w:val="14"/>
          <w:rFonts w:hint="eastAsia" w:ascii="仿宋" w:hAnsi="仿宋" w:eastAsia="仿宋" w:cs="仿宋"/>
          <w:b w:val="0"/>
          <w:color w:val="000000"/>
          <w:sz w:val="32"/>
          <w:szCs w:val="32"/>
        </w:rPr>
        <w:t>、文化</w:t>
      </w:r>
      <w:r>
        <w:rPr>
          <w:rStyle w:val="14"/>
          <w:rFonts w:hint="eastAsia" w:ascii="仿宋" w:hAnsi="仿宋" w:eastAsia="仿宋" w:cs="仿宋"/>
          <w:b w:val="0"/>
          <w:color w:val="000000"/>
          <w:sz w:val="32"/>
          <w:szCs w:val="32"/>
          <w:lang w:val="en-US" w:eastAsia="zh-CN"/>
        </w:rPr>
        <w:t>旅游</w:t>
      </w:r>
      <w:r>
        <w:rPr>
          <w:rStyle w:val="14"/>
          <w:rFonts w:hint="eastAsia" w:ascii="仿宋" w:hAnsi="仿宋" w:eastAsia="仿宋" w:cs="仿宋"/>
          <w:b w:val="0"/>
          <w:color w:val="000000"/>
          <w:sz w:val="32"/>
          <w:szCs w:val="32"/>
        </w:rPr>
        <w:t>体育与传媒</w:t>
      </w:r>
      <w:r>
        <w:rPr>
          <w:rStyle w:val="14"/>
          <w:rFonts w:hint="eastAsia" w:ascii="仿宋" w:hAnsi="仿宋" w:eastAsia="仿宋" w:cs="仿宋"/>
          <w:b w:val="0"/>
          <w:color w:val="000000"/>
          <w:sz w:val="32"/>
          <w:szCs w:val="32"/>
          <w:lang w:val="en-US" w:eastAsia="zh-CN"/>
        </w:rPr>
        <w:t>支出</w:t>
      </w:r>
      <w:r>
        <w:rPr>
          <w:rStyle w:val="14"/>
          <w:rFonts w:hint="eastAsia" w:ascii="仿宋" w:hAnsi="仿宋" w:eastAsia="仿宋" w:cs="仿宋"/>
          <w:b w:val="0"/>
          <w:color w:val="000000"/>
          <w:sz w:val="32"/>
          <w:szCs w:val="32"/>
        </w:rPr>
        <w:t>（类）文化</w:t>
      </w:r>
      <w:r>
        <w:rPr>
          <w:rStyle w:val="14"/>
          <w:rFonts w:hint="eastAsia" w:ascii="仿宋" w:hAnsi="仿宋" w:eastAsia="仿宋" w:cs="仿宋"/>
          <w:b w:val="0"/>
          <w:color w:val="000000"/>
          <w:sz w:val="32"/>
          <w:szCs w:val="32"/>
          <w:lang w:val="en-US" w:eastAsia="zh-CN"/>
        </w:rPr>
        <w:t>与旅游</w:t>
      </w:r>
      <w:r>
        <w:rPr>
          <w:rStyle w:val="14"/>
          <w:rFonts w:hint="eastAsia" w:ascii="仿宋" w:hAnsi="仿宋" w:eastAsia="仿宋" w:cs="仿宋"/>
          <w:b w:val="0"/>
          <w:color w:val="000000"/>
          <w:sz w:val="32"/>
          <w:szCs w:val="32"/>
        </w:rPr>
        <w:t>（款）其他文化</w:t>
      </w:r>
      <w:r>
        <w:rPr>
          <w:rStyle w:val="14"/>
          <w:rFonts w:hint="eastAsia" w:ascii="仿宋" w:hAnsi="仿宋" w:eastAsia="仿宋" w:cs="仿宋"/>
          <w:b w:val="0"/>
          <w:color w:val="000000"/>
          <w:sz w:val="32"/>
          <w:szCs w:val="32"/>
          <w:lang w:val="en-US" w:eastAsia="zh-CN"/>
        </w:rPr>
        <w:t>与旅游</w:t>
      </w:r>
      <w:r>
        <w:rPr>
          <w:rStyle w:val="14"/>
          <w:rFonts w:hint="eastAsia" w:ascii="仿宋" w:hAnsi="仿宋" w:eastAsia="仿宋" w:cs="仿宋"/>
          <w:b w:val="0"/>
          <w:color w:val="000000"/>
          <w:sz w:val="32"/>
          <w:szCs w:val="32"/>
        </w:rPr>
        <w:t>支出（项）:</w:t>
      </w:r>
      <w:r>
        <w:rPr>
          <w:rFonts w:hint="eastAsia" w:ascii="仿宋" w:hAnsi="仿宋" w:eastAsia="仿宋" w:cs="仿宋"/>
          <w:color w:val="000000"/>
          <w:sz w:val="32"/>
          <w:szCs w:val="32"/>
        </w:rPr>
        <w:t>指文化工作方面的支出。</w:t>
      </w:r>
    </w:p>
    <w:p>
      <w:pPr>
        <w:spacing w:line="60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w:t>
      </w: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4</w:t>
      </w:r>
      <w:r>
        <w:rPr>
          <w:rStyle w:val="14"/>
          <w:rFonts w:hint="eastAsia" w:ascii="仿宋" w:hAnsi="仿宋" w:eastAsia="仿宋" w:cs="仿宋"/>
          <w:b w:val="0"/>
          <w:color w:val="000000"/>
          <w:sz w:val="32"/>
          <w:szCs w:val="32"/>
        </w:rPr>
        <w:t>、社会保障和就业（类）人力资源与社会保障管理事务（款）劳动保障监察（项）:</w:t>
      </w:r>
      <w:r>
        <w:rPr>
          <w:rFonts w:hint="eastAsia" w:ascii="仿宋" w:hAnsi="仿宋" w:eastAsia="仿宋" w:cs="仿宋"/>
          <w:color w:val="000000"/>
          <w:sz w:val="32"/>
          <w:szCs w:val="32"/>
        </w:rPr>
        <w:t>镇劳保人员的工资津贴和劳保工作正常运转支出。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5</w:t>
      </w:r>
      <w:r>
        <w:rPr>
          <w:rStyle w:val="14"/>
          <w:rFonts w:hint="eastAsia" w:ascii="仿宋" w:hAnsi="仿宋" w:eastAsia="仿宋" w:cs="仿宋"/>
          <w:b w:val="0"/>
          <w:color w:val="000000"/>
          <w:sz w:val="32"/>
          <w:szCs w:val="32"/>
        </w:rPr>
        <w:t>、社会保障和就业（类）民政管理各务（款）基层政权和社区建设（项）:</w:t>
      </w:r>
      <w:r>
        <w:rPr>
          <w:rFonts w:hint="eastAsia" w:ascii="仿宋" w:hAnsi="仿宋" w:eastAsia="仿宋" w:cs="仿宋"/>
          <w:color w:val="000000"/>
          <w:sz w:val="32"/>
          <w:szCs w:val="32"/>
        </w:rPr>
        <w:t>指社区工作人员的报酬</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社保、社区办公经费等支出。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6</w:t>
      </w:r>
      <w:r>
        <w:rPr>
          <w:rStyle w:val="14"/>
          <w:rFonts w:hint="eastAsia" w:ascii="仿宋" w:hAnsi="仿宋" w:eastAsia="仿宋" w:cs="仿宋"/>
          <w:b w:val="0"/>
          <w:color w:val="000000"/>
          <w:sz w:val="32"/>
          <w:szCs w:val="32"/>
        </w:rPr>
        <w:t>、社会保障和就业（类）行政事业单位离退休（款）机关事业单位基本养老保险缴费支出（项）:</w:t>
      </w:r>
      <w:r>
        <w:rPr>
          <w:rFonts w:hint="eastAsia" w:ascii="仿宋" w:hAnsi="仿宋" w:eastAsia="仿宋" w:cs="仿宋"/>
          <w:color w:val="000000"/>
          <w:sz w:val="32"/>
          <w:szCs w:val="32"/>
        </w:rPr>
        <w:t>指镇政府在职人员的基本养老保险单位部份支出。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rPr>
        <w:t>1</w:t>
      </w:r>
      <w:r>
        <w:rPr>
          <w:rStyle w:val="14"/>
          <w:rFonts w:hint="eastAsia" w:ascii="仿宋" w:hAnsi="仿宋" w:eastAsia="仿宋" w:cs="仿宋"/>
          <w:b w:val="0"/>
          <w:color w:val="000000"/>
          <w:sz w:val="32"/>
          <w:szCs w:val="32"/>
          <w:lang w:val="en-US" w:eastAsia="zh-CN"/>
        </w:rPr>
        <w:t>7</w:t>
      </w:r>
      <w:r>
        <w:rPr>
          <w:rStyle w:val="14"/>
          <w:rFonts w:hint="eastAsia" w:ascii="仿宋" w:hAnsi="仿宋" w:eastAsia="仿宋" w:cs="仿宋"/>
          <w:b w:val="0"/>
          <w:color w:val="000000"/>
          <w:sz w:val="32"/>
          <w:szCs w:val="32"/>
        </w:rPr>
        <w:t>、社会保障和就业（类）行政事业单位离退休（款）机关事业单位职业年金缴费支出（项）:</w:t>
      </w:r>
      <w:r>
        <w:rPr>
          <w:rFonts w:hint="eastAsia" w:ascii="仿宋" w:hAnsi="仿宋" w:eastAsia="仿宋" w:cs="仿宋"/>
          <w:color w:val="000000"/>
          <w:sz w:val="32"/>
          <w:szCs w:val="32"/>
        </w:rPr>
        <w:t>指镇政府在职人员的职业年金单位部份支出。</w:t>
      </w:r>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社会保障和就业（类）抚恤（款）其他优抚支出（项）:</w:t>
      </w:r>
      <w:r>
        <w:rPr>
          <w:rFonts w:hint="eastAsia" w:ascii="仿宋" w:hAnsi="仿宋" w:eastAsia="仿宋" w:cs="仿宋"/>
          <w:color w:val="000000"/>
          <w:sz w:val="32"/>
          <w:szCs w:val="32"/>
        </w:rPr>
        <w:t>遗属补助支出。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Style w:val="14"/>
          <w:rFonts w:hint="eastAsia" w:ascii="仿宋" w:hAnsi="仿宋" w:eastAsia="仿宋" w:cs="仿宋"/>
          <w:b w:val="0"/>
          <w:color w:val="000000"/>
          <w:sz w:val="32"/>
          <w:szCs w:val="32"/>
          <w:lang w:val="en-US" w:eastAsia="zh-CN"/>
        </w:rPr>
        <w:t>19</w:t>
      </w:r>
      <w:r>
        <w:rPr>
          <w:rStyle w:val="14"/>
          <w:rFonts w:hint="eastAsia" w:ascii="仿宋" w:hAnsi="仿宋" w:eastAsia="仿宋" w:cs="仿宋"/>
          <w:b w:val="0"/>
          <w:color w:val="000000"/>
          <w:sz w:val="32"/>
          <w:szCs w:val="32"/>
        </w:rPr>
        <w:t>、</w:t>
      </w:r>
      <w:r>
        <w:rPr>
          <w:rStyle w:val="14"/>
          <w:rFonts w:hint="eastAsia" w:ascii="仿宋" w:hAnsi="仿宋" w:eastAsia="仿宋" w:cs="仿宋"/>
          <w:b w:val="0"/>
          <w:color w:val="000000"/>
          <w:sz w:val="32"/>
          <w:szCs w:val="32"/>
          <w:lang w:val="en-US" w:eastAsia="zh-CN"/>
        </w:rPr>
        <w:t>卫生健康支出</w:t>
      </w:r>
      <w:r>
        <w:rPr>
          <w:rStyle w:val="14"/>
          <w:rFonts w:hint="eastAsia" w:ascii="仿宋" w:hAnsi="仿宋" w:eastAsia="仿宋" w:cs="仿宋"/>
          <w:b w:val="0"/>
          <w:color w:val="000000"/>
          <w:sz w:val="32"/>
          <w:szCs w:val="32"/>
        </w:rPr>
        <w:t>（类）行政事业单位医疗（款）行政单位医疗（项）:</w:t>
      </w:r>
      <w:r>
        <w:rPr>
          <w:rFonts w:hint="eastAsia" w:ascii="仿宋" w:hAnsi="仿宋" w:eastAsia="仿宋" w:cs="仿宋"/>
          <w:color w:val="000000"/>
          <w:sz w:val="32"/>
          <w:szCs w:val="32"/>
        </w:rPr>
        <w:t>指在职人员的医保单位部份支出。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20</w:t>
      </w:r>
      <w:r>
        <w:rPr>
          <w:rStyle w:val="14"/>
          <w:rFonts w:hint="eastAsia" w:ascii="仿宋" w:hAnsi="仿宋" w:eastAsia="仿宋" w:cs="仿宋"/>
          <w:b w:val="0"/>
          <w:color w:val="000000"/>
          <w:sz w:val="32"/>
          <w:szCs w:val="32"/>
        </w:rPr>
        <w:t>、城乡社区（类）城乡社区环境卫生（款）城乡社区环境卫生（项）:</w:t>
      </w:r>
      <w:r>
        <w:rPr>
          <w:rFonts w:hint="eastAsia" w:ascii="仿宋" w:hAnsi="仿宋" w:eastAsia="仿宋" w:cs="仿宋"/>
          <w:color w:val="000000"/>
          <w:sz w:val="32"/>
          <w:szCs w:val="32"/>
        </w:rPr>
        <w:t>指用于集镇与农村环境卫生的整治与保洁支出。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21</w:t>
      </w:r>
      <w:r>
        <w:rPr>
          <w:rStyle w:val="14"/>
          <w:rFonts w:hint="eastAsia" w:ascii="仿宋" w:hAnsi="仿宋" w:eastAsia="仿宋" w:cs="仿宋"/>
          <w:b w:val="0"/>
          <w:color w:val="000000"/>
          <w:sz w:val="32"/>
          <w:szCs w:val="32"/>
        </w:rPr>
        <w:t>、农林水支出（类）农业（款）事业运行（项）:</w:t>
      </w:r>
      <w:r>
        <w:rPr>
          <w:rFonts w:hint="eastAsia" w:ascii="仿宋" w:hAnsi="仿宋" w:eastAsia="仿宋" w:cs="仿宋"/>
          <w:color w:val="000000"/>
          <w:sz w:val="32"/>
          <w:szCs w:val="32"/>
        </w:rPr>
        <w:t>指农林水人员的工资津贴支出和农业工作正常开展支出。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农林水支出（类）农业（款）农村道路建设（项）:</w:t>
      </w:r>
      <w:r>
        <w:rPr>
          <w:rFonts w:hint="eastAsia" w:ascii="仿宋" w:hAnsi="仿宋" w:eastAsia="仿宋" w:cs="仿宋"/>
          <w:color w:val="000000"/>
          <w:sz w:val="32"/>
          <w:szCs w:val="32"/>
        </w:rPr>
        <w:t>指镇交通管理站工作支出和交通协管员补助支出。</w:t>
      </w:r>
      <w:r>
        <w:rPr>
          <w:rFonts w:hint="eastAsia" w:ascii="仿宋" w:hAnsi="仿宋" w:eastAsia="仿宋" w:cs="仿宋"/>
          <w:color w:val="000000"/>
          <w:sz w:val="32"/>
          <w:szCs w:val="32"/>
        </w:rPr>
        <w:br w:type="textWrapping"/>
      </w:r>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w:t>
      </w:r>
      <w:r>
        <w:rPr>
          <w:rStyle w:val="14"/>
          <w:rFonts w:hint="eastAsia" w:ascii="仿宋" w:hAnsi="仿宋" w:eastAsia="仿宋" w:cs="仿宋"/>
          <w:b w:val="0"/>
          <w:color w:val="000000"/>
          <w:sz w:val="32"/>
          <w:szCs w:val="32"/>
        </w:rPr>
        <w:t>农林水支出（类）农业（款）其他农业支出（项）:</w:t>
      </w:r>
      <w:r>
        <w:rPr>
          <w:rFonts w:hint="eastAsia" w:ascii="仿宋" w:hAnsi="仿宋" w:eastAsia="仿宋" w:cs="仿宋"/>
          <w:color w:val="000000"/>
          <w:sz w:val="32"/>
          <w:szCs w:val="32"/>
        </w:rPr>
        <w:t>指开展耕地地力保护补贴工作支出。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24</w:t>
      </w:r>
      <w:r>
        <w:rPr>
          <w:rStyle w:val="14"/>
          <w:rFonts w:hint="eastAsia" w:ascii="仿宋" w:hAnsi="仿宋" w:eastAsia="仿宋" w:cs="仿宋"/>
          <w:b w:val="0"/>
          <w:color w:val="000000"/>
          <w:sz w:val="32"/>
          <w:szCs w:val="32"/>
        </w:rPr>
        <w:t>、农林水支出（类）扶贫（款）其他扶贫支出（项）:</w:t>
      </w:r>
      <w:r>
        <w:rPr>
          <w:rFonts w:hint="eastAsia" w:ascii="仿宋" w:hAnsi="仿宋" w:eastAsia="仿宋" w:cs="仿宋"/>
          <w:color w:val="000000"/>
          <w:sz w:val="32"/>
          <w:szCs w:val="32"/>
        </w:rPr>
        <w:t>指精准扶贫户小额贷款利息和支援马边工作人员补助等支出。</w:t>
      </w:r>
    </w:p>
    <w:p>
      <w:pPr>
        <w:spacing w:line="600" w:lineRule="exact"/>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25</w:t>
      </w:r>
      <w:r>
        <w:rPr>
          <w:rStyle w:val="14"/>
          <w:rFonts w:hint="eastAsia" w:ascii="仿宋" w:hAnsi="仿宋" w:eastAsia="仿宋" w:cs="仿宋"/>
          <w:b w:val="0"/>
          <w:color w:val="000000"/>
          <w:sz w:val="32"/>
          <w:szCs w:val="32"/>
        </w:rPr>
        <w:t>、农林水支出（类）农村综合改革（款）对村民委员会和村党支部的补助（项）:</w:t>
      </w:r>
      <w:r>
        <w:rPr>
          <w:rFonts w:hint="eastAsia" w:ascii="仿宋" w:hAnsi="仿宋" w:eastAsia="仿宋" w:cs="仿宋"/>
          <w:color w:val="000000"/>
          <w:sz w:val="32"/>
          <w:szCs w:val="32"/>
        </w:rPr>
        <w:t>指村组干部报酬支出</w:t>
      </w:r>
      <w:r>
        <w:rPr>
          <w:rFonts w:hint="eastAsia" w:ascii="仿宋" w:hAnsi="仿宋" w:eastAsia="仿宋" w:cs="仿宋"/>
          <w:color w:val="000000"/>
          <w:sz w:val="32"/>
          <w:szCs w:val="32"/>
          <w:lang w:val="en-US" w:eastAsia="zh-CN"/>
        </w:rPr>
        <w:t>和</w:t>
      </w:r>
      <w:r>
        <w:rPr>
          <w:rFonts w:hint="eastAsia" w:ascii="仿宋" w:hAnsi="仿宋" w:eastAsia="仿宋" w:cs="仿宋"/>
          <w:color w:val="000000"/>
          <w:sz w:val="32"/>
          <w:szCs w:val="32"/>
        </w:rPr>
        <w:t>农村公共设施运行维护、农村保洁和村办公经费支出。</w:t>
      </w:r>
    </w:p>
    <w:p>
      <w:pPr>
        <w:ind w:firstLine="640" w:firstLineChars="200"/>
        <w:rPr>
          <w:rFonts w:hint="eastAsia" w:ascii="仿宋" w:hAnsi="仿宋" w:eastAsia="仿宋" w:cs="仿宋"/>
          <w:color w:val="000000"/>
          <w:sz w:val="32"/>
          <w:szCs w:val="32"/>
        </w:rPr>
      </w:pPr>
      <w:r>
        <w:rPr>
          <w:rStyle w:val="14"/>
          <w:rFonts w:hint="eastAsia" w:ascii="仿宋" w:hAnsi="仿宋" w:eastAsia="仿宋" w:cs="仿宋"/>
          <w:b w:val="0"/>
          <w:color w:val="000000"/>
          <w:sz w:val="32"/>
          <w:szCs w:val="32"/>
          <w:lang w:val="en-US" w:eastAsia="zh-CN"/>
        </w:rPr>
        <w:t>26</w:t>
      </w:r>
      <w:r>
        <w:rPr>
          <w:rStyle w:val="14"/>
          <w:rFonts w:hint="eastAsia" w:ascii="仿宋" w:hAnsi="仿宋" w:eastAsia="仿宋" w:cs="仿宋"/>
          <w:b w:val="0"/>
          <w:color w:val="000000"/>
          <w:sz w:val="32"/>
          <w:szCs w:val="32"/>
        </w:rPr>
        <w:t>、住房保障支出（类）住房改革支出（款）住房公积金（项）:</w:t>
      </w:r>
      <w:r>
        <w:rPr>
          <w:rFonts w:hint="eastAsia" w:ascii="仿宋" w:hAnsi="仿宋" w:eastAsia="仿宋" w:cs="仿宋"/>
          <w:color w:val="000000"/>
          <w:sz w:val="32"/>
          <w:szCs w:val="32"/>
        </w:rPr>
        <w:t>指用于职工的住房公积金单位部份支出。</w:t>
      </w:r>
    </w:p>
    <w:p>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27、灾害防治及应急管理支出（类）自然灾害救灾及恢复重建支出（款）中央自然灾害生活补助（项）：反映中央预算对受到重大自然灾害的群众进行的吃穿住等方面的救助。</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hAnsi="仿宋" w:cs="仿宋"/>
          <w:sz w:val="32"/>
          <w:szCs w:val="32"/>
          <w:lang w:eastAsia="zh-CN"/>
        </w:rPr>
        <w:t>、</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hAnsi="仿宋" w:cs="仿宋"/>
          <w:sz w:val="32"/>
          <w:szCs w:val="32"/>
          <w:lang w:eastAsia="zh-CN"/>
        </w:rPr>
        <w:t>、</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hint="eastAsia" w:ascii="仿宋" w:hAnsi="仿宋" w:eastAsia="仿宋" w:cs="仿宋"/>
          <w:b w:val="0"/>
        </w:rPr>
      </w:pPr>
      <w:bookmarkStart w:id="61" w:name="_Toc15377226"/>
      <w:r>
        <w:rPr>
          <w:rFonts w:hint="eastAsia" w:ascii="仿宋" w:hAnsi="仿宋" w:eastAsia="仿宋" w:cs="仿宋"/>
          <w:b/>
          <w:color w:val="000000"/>
          <w:sz w:val="44"/>
          <w:szCs w:val="44"/>
        </w:rPr>
        <w:br w:type="page"/>
      </w:r>
      <w:bookmarkStart w:id="62" w:name="_Toc15396614"/>
      <w:r>
        <w:rPr>
          <w:rFonts w:hint="eastAsia" w:ascii="仿宋" w:hAnsi="仿宋" w:eastAsia="仿宋" w:cs="仿宋"/>
          <w:color w:val="000000"/>
          <w:sz w:val="44"/>
          <w:szCs w:val="44"/>
        </w:rPr>
        <w:t>第</w:t>
      </w:r>
      <w:r>
        <w:rPr>
          <w:rStyle w:val="24"/>
          <w:rFonts w:hint="eastAsia" w:ascii="仿宋" w:hAnsi="仿宋" w:eastAsia="仿宋" w:cs="仿宋"/>
          <w:b w:val="0"/>
        </w:rPr>
        <w:t>四部分 附件</w:t>
      </w:r>
      <w:bookmarkEnd w:id="62"/>
    </w:p>
    <w:p>
      <w:pPr>
        <w:spacing w:line="600" w:lineRule="exact"/>
        <w:jc w:val="left"/>
        <w:outlineLvl w:val="0"/>
        <w:rPr>
          <w:rFonts w:hint="eastAsia" w:ascii="仿宋" w:hAnsi="仿宋" w:eastAsia="仿宋" w:cs="仿宋"/>
          <w:sz w:val="32"/>
          <w:szCs w:val="32"/>
        </w:rPr>
      </w:pPr>
      <w:r>
        <w:rPr>
          <w:rFonts w:hint="eastAsia" w:ascii="仿宋" w:hAnsi="仿宋" w:eastAsia="仿宋" w:cs="仿宋"/>
          <w:sz w:val="32"/>
          <w:szCs w:val="32"/>
        </w:rPr>
        <w:t>附件1</w:t>
      </w:r>
    </w:p>
    <w:p>
      <w:pPr>
        <w:spacing w:line="580" w:lineRule="exact"/>
        <w:jc w:val="center"/>
        <w:rPr>
          <w:rFonts w:hint="eastAsia" w:ascii="仿宋" w:hAnsi="仿宋" w:eastAsia="仿宋" w:cs="仿宋"/>
          <w:sz w:val="44"/>
          <w:szCs w:val="44"/>
        </w:rPr>
      </w:pPr>
    </w:p>
    <w:p>
      <w:pPr>
        <w:spacing w:line="600" w:lineRule="exact"/>
        <w:jc w:val="center"/>
        <w:rPr>
          <w:rFonts w:hint="eastAsia" w:ascii="仿宋" w:hAnsi="仿宋" w:eastAsia="仿宋" w:cs="仿宋"/>
          <w:color w:val="000000"/>
          <w:kern w:val="0"/>
          <w:sz w:val="40"/>
          <w:szCs w:val="44"/>
          <w:lang w:val="zh-CN"/>
        </w:rPr>
      </w:pPr>
      <w:r>
        <w:rPr>
          <w:rFonts w:hint="eastAsia" w:ascii="仿宋" w:hAnsi="仿宋" w:eastAsia="仿宋" w:cs="仿宋"/>
          <w:color w:val="000000"/>
          <w:kern w:val="0"/>
          <w:sz w:val="40"/>
          <w:szCs w:val="44"/>
        </w:rPr>
        <w:t>2019年</w:t>
      </w:r>
      <w:r>
        <w:rPr>
          <w:rFonts w:hint="eastAsia" w:ascii="仿宋" w:hAnsi="仿宋" w:eastAsia="仿宋" w:cs="仿宋"/>
          <w:color w:val="000000"/>
          <w:kern w:val="0"/>
          <w:sz w:val="40"/>
          <w:szCs w:val="44"/>
          <w:lang w:val="en-US" w:eastAsia="zh-CN"/>
        </w:rPr>
        <w:t>峨山镇人民政府</w:t>
      </w:r>
      <w:r>
        <w:rPr>
          <w:rFonts w:hint="eastAsia" w:ascii="仿宋" w:hAnsi="仿宋" w:eastAsia="仿宋" w:cs="仿宋"/>
          <w:color w:val="000000"/>
          <w:kern w:val="0"/>
          <w:sz w:val="40"/>
          <w:szCs w:val="44"/>
        </w:rPr>
        <w:t>部门</w:t>
      </w:r>
      <w:r>
        <w:rPr>
          <w:rFonts w:hint="eastAsia" w:ascii="仿宋" w:hAnsi="仿宋" w:eastAsia="仿宋" w:cs="仿宋"/>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rPr>
        <w:t>一、</w:t>
      </w:r>
      <w:r>
        <w:rPr>
          <w:rFonts w:hint="eastAsia" w:ascii="仿宋" w:hAnsi="仿宋" w:eastAsia="仿宋" w:cs="仿宋"/>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lang w:val="en-US" w:eastAsia="zh-CN"/>
        </w:rPr>
        <w:t>峨山</w:t>
      </w:r>
      <w:r>
        <w:rPr>
          <w:rFonts w:hint="eastAsia" w:ascii="仿宋" w:hAnsi="仿宋" w:eastAsia="仿宋" w:cs="仿宋"/>
          <w:sz w:val="32"/>
          <w:szCs w:val="32"/>
        </w:rPr>
        <w:t>镇人民政府属于行政单位，是一级预算单位。本单位2019年预算编制独立核算机构1个，独立编制机构3个，其中：行政1个、事业2个，分别是农业技术服务中心和社会事业服务中心。</w:t>
      </w:r>
    </w:p>
    <w:p>
      <w:pPr>
        <w:pStyle w:val="30"/>
        <w:numPr>
          <w:ilvl w:val="0"/>
          <w:numId w:val="5"/>
        </w:numPr>
        <w:ind w:left="-10" w:leftChars="0" w:firstLine="640" w:firstLineChars="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pStyle w:val="3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峨山镇行政机构设置3个综合性办公室：党政综合办公室，职责是负责党务、安全生产、文书档案、人事、机关后勤、社会治安综合治理和对突发事件的预警和管理、民事纠纷调解、化解农村社会矛盾等工作。 社会事务办公室，职责是负责教科文卫管理、民政、法律服务、农村劳动力技能培训、转移就业、计划生育工作。财政所办公室，职责是负责编报乡镇年度财政收支预算、决算并组织预算执行，负责各项强农惠农补贴资金的审核发放和项目建设资金的监督管理等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镇事业单位机构设置2个：农业技术服务中心，职责：农林牧业生产中关键技术和新品种、新农具的引进、试验、示范；农作物和林木病虫害、及农业灾害的监测、预报防治和处置；乡村机耕道的规划、建设；农村集体资产财务管理等工作。社会事业服务中心， 职责：城镇失业人员登记和农村劳动力转移就业人员的职业培训、劳务输出和就业管理服务；广播电视“村村通”工程的建设、运行、维护和节目的安全播出；开展多种形式的文娱体育活动和宣传教育活动。</w:t>
      </w:r>
    </w:p>
    <w:p>
      <w:pPr>
        <w:widowControl/>
        <w:numPr>
          <w:ilvl w:val="0"/>
          <w:numId w:val="5"/>
        </w:numPr>
        <w:adjustRightInd w:val="0"/>
        <w:snapToGrid w:val="0"/>
        <w:spacing w:line="580" w:lineRule="exact"/>
        <w:ind w:left="-10" w:leftChars="0" w:firstLine="640" w:firstLineChars="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人员概况</w:t>
      </w:r>
    </w:p>
    <w:p>
      <w:pPr>
        <w:widowControl/>
        <w:numPr>
          <w:ilvl w:val="0"/>
          <w:numId w:val="0"/>
        </w:numPr>
        <w:adjustRightInd w:val="0"/>
        <w:snapToGrid w:val="0"/>
        <w:spacing w:line="240" w:lineRule="auto"/>
        <w:ind w:leftChars="0"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镇机关人员编制核定为</w:t>
      </w:r>
      <w:r>
        <w:rPr>
          <w:rFonts w:hint="eastAsia" w:ascii="仿宋" w:hAnsi="仿宋" w:eastAsia="仿宋" w:cs="仿宋"/>
          <w:sz w:val="32"/>
          <w:szCs w:val="32"/>
          <w:lang w:val="en-US" w:eastAsia="zh-CN"/>
        </w:rPr>
        <w:t>22</w:t>
      </w:r>
      <w:r>
        <w:rPr>
          <w:rFonts w:hint="eastAsia" w:ascii="仿宋" w:hAnsi="仿宋" w:eastAsia="仿宋" w:cs="仿宋"/>
          <w:sz w:val="32"/>
          <w:szCs w:val="32"/>
        </w:rPr>
        <w:t>名，实有</w:t>
      </w:r>
      <w:r>
        <w:rPr>
          <w:rFonts w:hint="eastAsia" w:ascii="仿宋" w:hAnsi="仿宋" w:eastAsia="仿宋" w:cs="仿宋"/>
          <w:sz w:val="32"/>
          <w:szCs w:val="32"/>
          <w:lang w:val="en-US" w:eastAsia="zh-CN"/>
        </w:rPr>
        <w:t>22</w:t>
      </w:r>
      <w:r>
        <w:rPr>
          <w:rFonts w:hint="eastAsia" w:ascii="仿宋" w:hAnsi="仿宋" w:eastAsia="仿宋" w:cs="仿宋"/>
          <w:sz w:val="32"/>
          <w:szCs w:val="32"/>
        </w:rPr>
        <w:t>人。工勤2名，实有0人。核定事业单位事业人员编制14名，实有</w:t>
      </w:r>
      <w:r>
        <w:rPr>
          <w:rFonts w:hint="eastAsia" w:ascii="仿宋" w:hAnsi="仿宋" w:eastAsia="仿宋" w:cs="仿宋"/>
          <w:sz w:val="32"/>
          <w:szCs w:val="32"/>
          <w:lang w:val="en-US" w:eastAsia="zh-CN"/>
        </w:rPr>
        <w:t>12</w:t>
      </w:r>
      <w:r>
        <w:rPr>
          <w:rFonts w:hint="eastAsia" w:ascii="仿宋" w:hAnsi="仿宋" w:eastAsia="仿宋" w:cs="仿宋"/>
          <w:sz w:val="32"/>
          <w:szCs w:val="32"/>
        </w:rPr>
        <w:t>人</w:t>
      </w:r>
      <w:r>
        <w:rPr>
          <w:rFonts w:hint="eastAsia" w:ascii="仿宋" w:hAnsi="仿宋" w:eastAsia="仿宋" w:cs="仿宋"/>
          <w:sz w:val="32"/>
          <w:szCs w:val="32"/>
          <w:lang w:eastAsia="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2019年本年收入合计</w:t>
      </w:r>
      <w:r>
        <w:rPr>
          <w:rFonts w:hint="eastAsia" w:ascii="仿宋" w:hAnsi="仿宋" w:eastAsia="仿宋" w:cs="仿宋"/>
          <w:color w:val="000000"/>
          <w:kern w:val="0"/>
          <w:sz w:val="32"/>
          <w:szCs w:val="32"/>
          <w:shd w:val="clear" w:color="auto" w:fill="FFFFFF"/>
          <w:lang w:val="en-US" w:eastAsia="zh-CN"/>
        </w:rPr>
        <w:t>1141.6</w:t>
      </w:r>
      <w:r>
        <w:rPr>
          <w:rFonts w:hint="eastAsia" w:ascii="仿宋" w:hAnsi="仿宋" w:eastAsia="仿宋" w:cs="仿宋"/>
          <w:color w:val="000000"/>
          <w:kern w:val="0"/>
          <w:sz w:val="32"/>
          <w:szCs w:val="32"/>
          <w:shd w:val="clear" w:color="auto" w:fill="FFFFFF"/>
          <w:lang w:val="zh-CN"/>
        </w:rPr>
        <w:t>万元，其中：一般公共预算财政拨款收入</w:t>
      </w:r>
      <w:r>
        <w:rPr>
          <w:rFonts w:hint="eastAsia" w:ascii="仿宋" w:hAnsi="仿宋" w:eastAsia="仿宋" w:cs="仿宋"/>
          <w:color w:val="000000"/>
          <w:kern w:val="0"/>
          <w:sz w:val="32"/>
          <w:szCs w:val="32"/>
          <w:shd w:val="clear" w:color="auto" w:fill="FFFFFF"/>
          <w:lang w:val="en-US" w:eastAsia="zh-CN"/>
        </w:rPr>
        <w:t>909.59</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79.7</w:t>
      </w:r>
      <w:r>
        <w:rPr>
          <w:rFonts w:hint="eastAsia" w:ascii="仿宋" w:hAnsi="仿宋" w:eastAsia="仿宋" w:cs="仿宋"/>
          <w:color w:val="000000"/>
          <w:kern w:val="0"/>
          <w:sz w:val="32"/>
          <w:szCs w:val="32"/>
          <w:shd w:val="clear" w:color="auto" w:fill="FFFFFF"/>
          <w:lang w:val="zh-CN"/>
        </w:rPr>
        <w:t>%；政府性基金预算财政拨款收入</w:t>
      </w:r>
      <w:r>
        <w:rPr>
          <w:rFonts w:hint="eastAsia" w:ascii="仿宋" w:hAnsi="仿宋" w:eastAsia="仿宋" w:cs="仿宋"/>
          <w:color w:val="000000"/>
          <w:kern w:val="0"/>
          <w:sz w:val="32"/>
          <w:szCs w:val="32"/>
          <w:shd w:val="clear" w:color="auto" w:fill="FFFFFF"/>
          <w:lang w:val="en-US" w:eastAsia="zh-CN"/>
        </w:rPr>
        <w:t>232.01</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20.3</w:t>
      </w:r>
      <w:r>
        <w:rPr>
          <w:rFonts w:hint="eastAsia" w:ascii="仿宋" w:hAnsi="仿宋" w:eastAsia="仿宋" w:cs="仿宋"/>
          <w:color w:val="000000"/>
          <w:kern w:val="0"/>
          <w:sz w:val="32"/>
          <w:szCs w:val="32"/>
          <w:shd w:val="clear" w:color="auto" w:fill="FFFFFF"/>
          <w:lang w:val="zh-CN"/>
        </w:rPr>
        <w:t>%。</w:t>
      </w:r>
    </w:p>
    <w:p>
      <w:pPr>
        <w:widowControl/>
        <w:numPr>
          <w:ilvl w:val="0"/>
          <w:numId w:val="6"/>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部门财政资金支出情况</w:t>
      </w:r>
    </w:p>
    <w:p>
      <w:pPr>
        <w:widowControl/>
        <w:numPr>
          <w:ilvl w:val="0"/>
          <w:numId w:val="0"/>
        </w:numPr>
        <w:adjustRightInd w:val="0"/>
        <w:snapToGrid w:val="0"/>
        <w:spacing w:line="240" w:lineRule="auto"/>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rPr>
        <w:t>019年本年支出合计</w:t>
      </w:r>
      <w:r>
        <w:rPr>
          <w:rFonts w:hint="eastAsia" w:ascii="仿宋" w:hAnsi="仿宋" w:eastAsia="仿宋" w:cs="仿宋"/>
          <w:color w:val="000000"/>
          <w:kern w:val="0"/>
          <w:sz w:val="32"/>
          <w:szCs w:val="32"/>
          <w:shd w:val="clear" w:color="auto" w:fill="FFFFFF"/>
          <w:lang w:val="en-US" w:eastAsia="zh-CN"/>
        </w:rPr>
        <w:t>1254.94</w:t>
      </w:r>
      <w:r>
        <w:rPr>
          <w:rFonts w:hint="eastAsia" w:ascii="仿宋" w:hAnsi="仿宋" w:eastAsia="仿宋" w:cs="仿宋"/>
          <w:color w:val="000000"/>
          <w:kern w:val="0"/>
          <w:sz w:val="32"/>
          <w:szCs w:val="32"/>
          <w:shd w:val="clear" w:color="auto" w:fill="FFFFFF"/>
          <w:lang w:val="zh-CN"/>
        </w:rPr>
        <w:t>万元，其中：基本支出</w:t>
      </w:r>
      <w:r>
        <w:rPr>
          <w:rFonts w:hint="eastAsia" w:ascii="仿宋" w:hAnsi="仿宋" w:eastAsia="仿宋" w:cs="仿宋"/>
          <w:color w:val="000000"/>
          <w:kern w:val="0"/>
          <w:sz w:val="32"/>
          <w:szCs w:val="32"/>
          <w:shd w:val="clear" w:color="auto" w:fill="FFFFFF"/>
          <w:lang w:val="en-US" w:eastAsia="zh-CN"/>
        </w:rPr>
        <w:t>618.78</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49.3</w:t>
      </w:r>
      <w:r>
        <w:rPr>
          <w:rFonts w:hint="eastAsia" w:ascii="仿宋" w:hAnsi="仿宋" w:eastAsia="仿宋" w:cs="仿宋"/>
          <w:color w:val="000000"/>
          <w:kern w:val="0"/>
          <w:sz w:val="32"/>
          <w:szCs w:val="32"/>
          <w:shd w:val="clear" w:color="auto" w:fill="FFFFFF"/>
          <w:lang w:val="zh-CN"/>
        </w:rPr>
        <w:t>%；项目支出</w:t>
      </w:r>
      <w:r>
        <w:rPr>
          <w:rFonts w:hint="eastAsia" w:ascii="仿宋" w:hAnsi="仿宋" w:eastAsia="仿宋" w:cs="仿宋"/>
          <w:color w:val="000000"/>
          <w:kern w:val="0"/>
          <w:sz w:val="32"/>
          <w:szCs w:val="32"/>
          <w:shd w:val="clear" w:color="auto" w:fill="FFFFFF"/>
          <w:lang w:val="en-US" w:eastAsia="zh-CN"/>
        </w:rPr>
        <w:t>636.16</w:t>
      </w:r>
      <w:r>
        <w:rPr>
          <w:rFonts w:hint="eastAsia" w:ascii="仿宋" w:hAnsi="仿宋" w:eastAsia="仿宋" w:cs="仿宋"/>
          <w:color w:val="000000"/>
          <w:kern w:val="0"/>
          <w:sz w:val="32"/>
          <w:szCs w:val="32"/>
          <w:shd w:val="clear" w:color="auto" w:fill="FFFFFF"/>
          <w:lang w:val="zh-CN"/>
        </w:rPr>
        <w:t>万元，占</w:t>
      </w:r>
      <w:r>
        <w:rPr>
          <w:rFonts w:hint="eastAsia" w:ascii="仿宋" w:hAnsi="仿宋" w:eastAsia="仿宋" w:cs="仿宋"/>
          <w:color w:val="000000"/>
          <w:kern w:val="0"/>
          <w:sz w:val="32"/>
          <w:szCs w:val="32"/>
          <w:shd w:val="clear" w:color="auto" w:fill="FFFFFF"/>
          <w:lang w:val="en-US" w:eastAsia="zh-CN"/>
        </w:rPr>
        <w:t>50.7</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按照文件精神要求，结合年初工作计划及财政预算，我镇着力加强绩效管理自评工作，成立了以镇长</w:t>
      </w:r>
      <w:r>
        <w:rPr>
          <w:rFonts w:hint="eastAsia" w:ascii="仿宋" w:hAnsi="仿宋" w:eastAsia="仿宋" w:cs="仿宋"/>
          <w:color w:val="000000"/>
          <w:kern w:val="0"/>
          <w:sz w:val="32"/>
          <w:szCs w:val="32"/>
          <w:shd w:val="clear" w:color="auto" w:fill="FFFFFF"/>
          <w:lang w:val="en-US" w:eastAsia="zh-CN"/>
        </w:rPr>
        <w:t>王文刚</w:t>
      </w:r>
      <w:r>
        <w:rPr>
          <w:rFonts w:hint="eastAsia" w:ascii="仿宋" w:hAnsi="仿宋" w:eastAsia="仿宋" w:cs="仿宋"/>
          <w:color w:val="000000"/>
          <w:kern w:val="0"/>
          <w:sz w:val="32"/>
          <w:szCs w:val="32"/>
          <w:shd w:val="clear" w:color="auto" w:fill="FFFFFF"/>
          <w:lang w:val="zh-CN"/>
        </w:rPr>
        <w:t>为领导，财政所工作人员和镇纪检部门纪检委员为主要成员的工作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通过绩效管理自评，我镇在预算支出中不存在违法违纪行为。我镇按照要求单独设立财政所，财政所现有工作人员</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rPr>
        <w:t>人，岗位设置所长</w:t>
      </w:r>
      <w:r>
        <w:rPr>
          <w:rFonts w:hint="eastAsia" w:ascii="仿宋" w:hAnsi="仿宋" w:eastAsia="仿宋" w:cs="仿宋"/>
          <w:color w:val="000000"/>
          <w:kern w:val="0"/>
          <w:sz w:val="32"/>
          <w:szCs w:val="32"/>
          <w:shd w:val="clear" w:color="auto" w:fill="FFFFFF"/>
          <w:lang w:val="en-US" w:eastAsia="zh-CN"/>
        </w:rPr>
        <w:t>兼</w:t>
      </w:r>
      <w:r>
        <w:rPr>
          <w:rFonts w:hint="eastAsia" w:ascii="仿宋" w:hAnsi="仿宋" w:eastAsia="仿宋" w:cs="仿宋"/>
          <w:color w:val="000000"/>
          <w:kern w:val="0"/>
          <w:sz w:val="32"/>
          <w:szCs w:val="32"/>
          <w:shd w:val="clear" w:color="auto" w:fill="FFFFFF"/>
          <w:lang w:val="zh-CN"/>
        </w:rPr>
        <w:t>会计、出纳；按要求完成了基础工作制度、公开公示制度、内部控制制度、廉政建设制度的建设工作；做到年初有计划、年中有回顾、年终有总结，会计按月及时记账并装订账簿，按时并保质保量的完成年终部门决算工作、财政资金的对账工作、资产的登记、以及日常的报表及资料的报送工作。同时在业务工作中也存在一些问题：</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1、财政所原始凭证上签字不完整，签批文字不够细化。比如领导签字没有签批具体支出内容，如环境整治就是环境整治，没有具体地点，</w:t>
      </w:r>
      <w:r>
        <w:rPr>
          <w:rFonts w:hint="eastAsia" w:ascii="仿宋" w:hAnsi="仿宋" w:eastAsia="仿宋" w:cs="仿宋"/>
          <w:color w:val="000000"/>
          <w:kern w:val="0"/>
          <w:sz w:val="32"/>
          <w:szCs w:val="32"/>
          <w:shd w:val="clear" w:color="auto" w:fill="FFFFFF"/>
          <w:lang w:val="en-US" w:eastAsia="zh-CN"/>
        </w:rPr>
        <w:t>个别</w:t>
      </w:r>
      <w:r>
        <w:rPr>
          <w:rFonts w:hint="eastAsia" w:ascii="仿宋" w:hAnsi="仿宋" w:eastAsia="仿宋" w:cs="仿宋"/>
          <w:color w:val="000000"/>
          <w:kern w:val="0"/>
          <w:sz w:val="32"/>
          <w:szCs w:val="32"/>
          <w:shd w:val="clear" w:color="auto" w:fill="FFFFFF"/>
          <w:lang w:val="zh-CN"/>
        </w:rPr>
        <w:t>票据上无经办人签字。</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2、票据未及时装订，按照会计法规定，应及时装订票据，方便查账对账，但我单位未每月及时装订票据。</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针对上述问题，建议加强对财政工作人员的业务培训，加强对日常财务工作的监督与检查，财政工作人员也要加强自身学习，确保会计处理的严肃性和准确性。同时要加强对村级财务的监督和管理，加强对村级财务人员的培训。</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p>
      <w:pPr>
        <w:spacing w:line="580" w:lineRule="exact"/>
        <w:ind w:firstLine="640" w:firstLineChars="200"/>
        <w:rPr>
          <w:rFonts w:hint="eastAsia" w:ascii="仿宋" w:hAnsi="仿宋" w:eastAsia="仿宋" w:cs="仿宋"/>
          <w:sz w:val="32"/>
          <w:szCs w:val="32"/>
        </w:rPr>
      </w:pPr>
    </w:p>
    <w:p>
      <w:pPr>
        <w:spacing w:line="580" w:lineRule="exact"/>
        <w:ind w:firstLine="640" w:firstLineChars="200"/>
        <w:rPr>
          <w:rFonts w:hint="eastAsia" w:ascii="仿宋" w:hAnsi="仿宋" w:eastAsia="仿宋" w:cs="仿宋"/>
          <w:sz w:val="32"/>
          <w:szCs w:val="32"/>
        </w:rPr>
      </w:pPr>
    </w:p>
    <w:p>
      <w:pPr>
        <w:spacing w:line="580" w:lineRule="exact"/>
        <w:rPr>
          <w:rFonts w:hint="eastAsia" w:ascii="仿宋" w:hAnsi="仿宋" w:eastAsia="仿宋" w:cs="仿宋"/>
          <w:sz w:val="32"/>
          <w:szCs w:val="32"/>
        </w:rPr>
      </w:pPr>
    </w:p>
    <w:p>
      <w:pPr>
        <w:spacing w:line="580" w:lineRule="exact"/>
        <w:rPr>
          <w:rFonts w:hint="eastAsia" w:ascii="仿宋" w:hAnsi="仿宋" w:eastAsia="仿宋" w:cs="仿宋"/>
          <w:sz w:val="32"/>
          <w:szCs w:val="32"/>
        </w:rPr>
      </w:pPr>
      <w:r>
        <w:rPr>
          <w:rFonts w:hint="eastAsia" w:ascii="仿宋" w:hAnsi="仿宋" w:eastAsia="仿宋" w:cs="仿宋"/>
          <w:sz w:val="32"/>
          <w:szCs w:val="32"/>
        </w:rPr>
        <w:t>附件2</w:t>
      </w:r>
    </w:p>
    <w:p>
      <w:pPr>
        <w:spacing w:line="580" w:lineRule="exact"/>
        <w:ind w:firstLine="640" w:firstLineChars="200"/>
        <w:rPr>
          <w:rFonts w:hint="eastAsia" w:ascii="仿宋" w:hAnsi="仿宋" w:eastAsia="仿宋" w:cs="仿宋"/>
          <w:sz w:val="32"/>
          <w:szCs w:val="32"/>
        </w:rPr>
      </w:pPr>
    </w:p>
    <w:p>
      <w:pPr>
        <w:spacing w:line="600" w:lineRule="exact"/>
        <w:jc w:val="center"/>
        <w:rPr>
          <w:rFonts w:hint="eastAsia" w:ascii="仿宋" w:hAnsi="仿宋" w:eastAsia="仿宋" w:cs="仿宋"/>
          <w:color w:val="000000"/>
          <w:kern w:val="0"/>
          <w:sz w:val="44"/>
          <w:szCs w:val="44"/>
          <w:lang w:val="zh-CN"/>
        </w:rPr>
      </w:pPr>
      <w:r>
        <w:rPr>
          <w:rFonts w:hint="eastAsia" w:ascii="仿宋" w:hAnsi="仿宋" w:eastAsia="仿宋" w:cs="仿宋"/>
          <w:color w:val="000000"/>
          <w:kern w:val="0"/>
          <w:sz w:val="44"/>
          <w:szCs w:val="44"/>
        </w:rPr>
        <w:t>纾难解困</w:t>
      </w:r>
      <w:r>
        <w:rPr>
          <w:rFonts w:hint="eastAsia" w:ascii="仿宋" w:hAnsi="仿宋" w:eastAsia="仿宋" w:cs="仿宋"/>
          <w:color w:val="000000"/>
          <w:kern w:val="0"/>
          <w:sz w:val="44"/>
          <w:szCs w:val="44"/>
          <w:lang w:val="zh-CN"/>
        </w:rPr>
        <w:t>项目</w:t>
      </w:r>
      <w:r>
        <w:rPr>
          <w:rFonts w:hint="eastAsia" w:ascii="仿宋" w:hAnsi="仿宋" w:eastAsia="仿宋" w:cs="仿宋"/>
          <w:color w:val="000000"/>
          <w:kern w:val="0"/>
          <w:sz w:val="44"/>
          <w:szCs w:val="44"/>
        </w:rPr>
        <w:t>2019年</w:t>
      </w:r>
      <w:r>
        <w:rPr>
          <w:rFonts w:hint="eastAsia" w:ascii="仿宋" w:hAnsi="仿宋" w:eastAsia="仿宋" w:cs="仿宋"/>
          <w:color w:val="000000"/>
          <w:kern w:val="0"/>
          <w:sz w:val="44"/>
          <w:szCs w:val="44"/>
          <w:lang w:val="zh-CN"/>
        </w:rPr>
        <w:t>绩效评价报告</w:t>
      </w:r>
    </w:p>
    <w:p>
      <w:pPr>
        <w:spacing w:line="600" w:lineRule="exact"/>
        <w:rPr>
          <w:rFonts w:hint="eastAsia" w:ascii="仿宋" w:hAnsi="仿宋" w:eastAsia="仿宋" w:cs="仿宋"/>
          <w:sz w:val="32"/>
          <w:szCs w:val="32"/>
          <w:lang w:val="zh-CN"/>
        </w:rPr>
      </w:pP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一、项目概况</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（一）项目基本情况</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我镇本级预算纳入预算绩效监控的项目纾难解困项目。为解决群众最关心、最直接、最现实的问题，进一步提升群众的获得感、幸福感和满意度，设立纾难解困资金项目。</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（二）项目绩效目标</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本项目解决全市“大走访大服务”走进群众专项行动中收集到的群众因生病、子女就学、残疾、受灾等情况导致生活困难的问题。项目覆盖全</w:t>
      </w:r>
      <w:r>
        <w:rPr>
          <w:rFonts w:hint="eastAsia" w:ascii="仿宋" w:hAnsi="仿宋" w:eastAsia="仿宋" w:cs="仿宋"/>
          <w:sz w:val="32"/>
          <w:szCs w:val="32"/>
          <w:lang w:val="en-US" w:eastAsia="zh-CN"/>
        </w:rPr>
        <w:t>峨山</w:t>
      </w:r>
      <w:r>
        <w:rPr>
          <w:rFonts w:hint="eastAsia" w:ascii="仿宋" w:hAnsi="仿宋" w:eastAsia="仿宋" w:cs="仿宋"/>
          <w:sz w:val="32"/>
          <w:szCs w:val="32"/>
        </w:rPr>
        <w:t>镇。</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（三）项目自评步骤及方法</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纾难解困资金项目资金采用项目农户根据自身条件申请，村级根据申请人条件、事由、金额以及证明材料进行初审，镇级通过查阅资料、入户走访进行进一步核实查验再进行审定，</w:t>
      </w:r>
      <w:r>
        <w:rPr>
          <w:rFonts w:hint="eastAsia" w:ascii="仿宋" w:hAnsi="仿宋" w:eastAsia="仿宋" w:cs="仿宋"/>
          <w:sz w:val="32"/>
          <w:szCs w:val="32"/>
          <w:lang w:val="en-US" w:eastAsia="zh-CN"/>
        </w:rPr>
        <w:t>经</w:t>
      </w:r>
      <w:r>
        <w:rPr>
          <w:rFonts w:hint="eastAsia" w:ascii="仿宋" w:hAnsi="仿宋" w:eastAsia="仿宋" w:cs="仿宋"/>
          <w:sz w:val="32"/>
          <w:szCs w:val="32"/>
        </w:rPr>
        <w:t>5天公示后，再以“打卡”的形式进行资金发放。</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二、项目资金申报及使用情况 </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（一）项目资金申报及批复情况</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项目资金均由</w:t>
      </w:r>
      <w:r>
        <w:rPr>
          <w:rFonts w:hint="eastAsia" w:ascii="仿宋" w:hAnsi="仿宋" w:eastAsia="仿宋" w:cs="仿宋"/>
          <w:sz w:val="32"/>
          <w:szCs w:val="32"/>
          <w:lang w:val="en-US" w:eastAsia="zh-CN"/>
        </w:rPr>
        <w:t>峨山</w:t>
      </w:r>
      <w:r>
        <w:rPr>
          <w:rFonts w:hint="eastAsia" w:ascii="仿宋" w:hAnsi="仿宋" w:eastAsia="仿宋" w:cs="仿宋"/>
          <w:sz w:val="32"/>
          <w:szCs w:val="32"/>
        </w:rPr>
        <w:t>镇负责部门开展相关工作，及时完成各项工作内容，编制资金使用兑付表，经分管领导、主要领导审核，财务提交计划到财政局，财政局审核后支付。</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（二）资金计划、到位及使用情况</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2019年该项目资金</w:t>
      </w:r>
      <w:r>
        <w:rPr>
          <w:rFonts w:hint="eastAsia" w:ascii="仿宋" w:hAnsi="仿宋" w:eastAsia="仿宋" w:cs="仿宋"/>
          <w:sz w:val="32"/>
          <w:szCs w:val="32"/>
          <w:lang w:val="en-US" w:eastAsia="zh-CN"/>
        </w:rPr>
        <w:t>15万</w:t>
      </w:r>
      <w:r>
        <w:rPr>
          <w:rFonts w:hint="eastAsia" w:ascii="仿宋" w:hAnsi="仿宋" w:eastAsia="仿宋" w:cs="仿宋"/>
          <w:sz w:val="32"/>
          <w:szCs w:val="32"/>
        </w:rPr>
        <w:t>元，农户申请资金</w:t>
      </w:r>
      <w:r>
        <w:rPr>
          <w:rFonts w:hint="eastAsia" w:ascii="仿宋" w:hAnsi="仿宋" w:eastAsia="仿宋" w:cs="仿宋"/>
          <w:sz w:val="32"/>
          <w:szCs w:val="32"/>
          <w:lang w:val="en-US" w:eastAsia="zh-CN"/>
        </w:rPr>
        <w:t>5.68万</w:t>
      </w:r>
      <w:r>
        <w:rPr>
          <w:rFonts w:hint="eastAsia" w:ascii="仿宋" w:hAnsi="仿宋" w:eastAsia="仿宋" w:cs="仿宋"/>
          <w:sz w:val="32"/>
          <w:szCs w:val="32"/>
        </w:rPr>
        <w:t>元，通过审核资金</w:t>
      </w:r>
      <w:r>
        <w:rPr>
          <w:rFonts w:hint="eastAsia" w:ascii="仿宋" w:hAnsi="仿宋" w:eastAsia="仿宋" w:cs="仿宋"/>
          <w:sz w:val="32"/>
          <w:szCs w:val="32"/>
          <w:lang w:val="en-US" w:eastAsia="zh-CN"/>
        </w:rPr>
        <w:t>5.68万</w:t>
      </w:r>
      <w:r>
        <w:rPr>
          <w:rFonts w:hint="eastAsia" w:ascii="仿宋" w:hAnsi="仿宋" w:eastAsia="仿宋" w:cs="仿宋"/>
          <w:sz w:val="32"/>
          <w:szCs w:val="32"/>
        </w:rPr>
        <w:t>元，发放资金</w:t>
      </w:r>
      <w:r>
        <w:rPr>
          <w:rFonts w:hint="eastAsia" w:ascii="仿宋" w:hAnsi="仿宋" w:eastAsia="仿宋" w:cs="仿宋"/>
          <w:sz w:val="32"/>
          <w:szCs w:val="32"/>
          <w:lang w:val="en-US" w:eastAsia="zh-CN"/>
        </w:rPr>
        <w:t>5.68万</w:t>
      </w:r>
      <w:r>
        <w:rPr>
          <w:rFonts w:hint="eastAsia" w:ascii="仿宋" w:hAnsi="仿宋" w:eastAsia="仿宋" w:cs="仿宋"/>
          <w:sz w:val="32"/>
          <w:szCs w:val="32"/>
        </w:rPr>
        <w:t>元。</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（三）项目财务管理情况</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根据项目资金管理办法，</w:t>
      </w: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镇纾难解困项目资金使用严格执行财务管理制度、财务处理及时、会计核算规范。</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三、目标完成情况</w:t>
      </w:r>
      <w:r>
        <w:rPr>
          <w:rFonts w:hint="eastAsia" w:ascii="仿宋" w:hAnsi="仿宋" w:eastAsia="仿宋" w:cs="仿宋"/>
          <w:sz w:val="32"/>
          <w:szCs w:val="32"/>
        </w:rPr>
        <w:tab/>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（一）目标完成任务量</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对照项目目标，</w:t>
      </w: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镇纾难解困项目任务按申请量完成，资金支付完成100%。</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（二）目标完成质量</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镇纾难解困项目工作任务实际完成质量较好。</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四、项目效果情况</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通过绩效管理自评，</w:t>
      </w: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五、评价结论及建议</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（一）评价结论</w:t>
      </w:r>
    </w:p>
    <w:p>
      <w:pPr>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峨山</w:t>
      </w:r>
      <w:r>
        <w:rPr>
          <w:rFonts w:hint="eastAsia" w:ascii="仿宋" w:hAnsi="仿宋" w:eastAsia="仿宋" w:cs="仿宋"/>
          <w:sz w:val="32"/>
          <w:szCs w:val="32"/>
        </w:rPr>
        <w:t>镇纾难解困项目在预算支出中不存在违法违纪行为，按要求做到了项目实施有计划、有监管、有落实，解决了全市“大走访大服务”走进群众专项行动中收集到的群众因生病、子女就学、残疾、受灾等情况导致生活困难的问题，进一步提升了群众的获得感、幸福感和满意度，维护了社会稳定。所有资金使用严格遵守各项制度，专款专用，不存在截留、挤占、挪用现象，票据合法，无虚列项目</w:t>
      </w:r>
      <w:r>
        <w:rPr>
          <w:rFonts w:hint="eastAsia" w:ascii="仿宋" w:hAnsi="仿宋" w:eastAsia="仿宋" w:cs="仿宋"/>
          <w:sz w:val="32"/>
          <w:szCs w:val="32"/>
          <w:lang w:val="en-US" w:eastAsia="zh-CN"/>
        </w:rPr>
        <w:t>支出</w:t>
      </w:r>
      <w:r>
        <w:rPr>
          <w:rFonts w:hint="eastAsia" w:ascii="仿宋" w:hAnsi="仿宋" w:eastAsia="仿宋" w:cs="仿宋"/>
          <w:sz w:val="32"/>
          <w:szCs w:val="32"/>
        </w:rPr>
        <w:t>情况，未进行大额现金支付，资金开支按规定标准执行。</w:t>
      </w:r>
    </w:p>
    <w:p>
      <w:pPr>
        <w:adjustRightInd w:val="0"/>
        <w:snapToGrid w:val="0"/>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）问题</w:t>
      </w:r>
      <w:r>
        <w:rPr>
          <w:rFonts w:hint="eastAsia" w:ascii="仿宋" w:hAnsi="仿宋" w:eastAsia="仿宋" w:cs="仿宋"/>
          <w:sz w:val="32"/>
          <w:szCs w:val="32"/>
          <w:lang w:val="en-US" w:eastAsia="zh-CN"/>
        </w:rPr>
        <w:t>及建议</w:t>
      </w:r>
    </w:p>
    <w:p>
      <w:pPr>
        <w:spacing w:line="580" w:lineRule="exact"/>
        <w:ind w:firstLine="640"/>
        <w:rPr>
          <w:rFonts w:hint="eastAsia" w:ascii="仿宋" w:hAnsi="仿宋" w:eastAsia="仿宋" w:cs="仿宋"/>
          <w:sz w:val="32"/>
          <w:szCs w:val="32"/>
        </w:rPr>
      </w:pPr>
      <w:r>
        <w:rPr>
          <w:rFonts w:hint="eastAsia" w:ascii="仿宋" w:hAnsi="仿宋" w:eastAsia="仿宋" w:cs="仿宋"/>
          <w:sz w:val="32"/>
          <w:szCs w:val="32"/>
        </w:rPr>
        <w:t>由于人员更换频繁工作人员业务能力不强，存在业务知识不熟悉的情况。针对上述问题，建议加强队伍建设，提高工作</w:t>
      </w:r>
      <w:r>
        <w:rPr>
          <w:rFonts w:hint="eastAsia" w:ascii="仿宋" w:hAnsi="仿宋" w:eastAsia="仿宋" w:cs="仿宋"/>
          <w:sz w:val="32"/>
          <w:szCs w:val="32"/>
          <w:lang w:val="en-US" w:eastAsia="zh-CN"/>
        </w:rPr>
        <w:t>效</w:t>
      </w:r>
      <w:r>
        <w:rPr>
          <w:rFonts w:hint="eastAsia" w:ascii="仿宋" w:hAnsi="仿宋" w:eastAsia="仿宋" w:cs="仿宋"/>
          <w:sz w:val="32"/>
          <w:szCs w:val="32"/>
        </w:rPr>
        <w:t>率，同时加强对工作人员的业务培训，加强对日常工作的监督与检查，工作人员也要加强自身学习，确保会计处理的严肃性和准确性。</w:t>
      </w:r>
      <w:bookmarkStart w:id="77" w:name="_GoBack"/>
      <w:bookmarkEnd w:id="77"/>
    </w:p>
    <w:p>
      <w:pPr>
        <w:spacing w:line="580" w:lineRule="exact"/>
        <w:ind w:firstLine="640"/>
        <w:rPr>
          <w:rFonts w:hint="eastAsia" w:ascii="仿宋" w:hAnsi="仿宋" w:eastAsia="仿宋" w:cs="仿宋"/>
          <w:sz w:val="32"/>
          <w:szCs w:val="32"/>
        </w:rPr>
      </w:pPr>
    </w:p>
    <w:p>
      <w:pPr>
        <w:widowControl/>
        <w:jc w:val="left"/>
        <w:rPr>
          <w:rStyle w:val="24"/>
          <w:rFonts w:hint="eastAsia" w:ascii="仿宋" w:hAnsi="仿宋" w:eastAsia="仿宋" w:cs="仿宋"/>
          <w:b w:val="0"/>
        </w:rPr>
      </w:pPr>
    </w:p>
    <w:p>
      <w:pPr>
        <w:widowControl/>
        <w:jc w:val="left"/>
        <w:rPr>
          <w:rStyle w:val="24"/>
          <w:rFonts w:hint="eastAsia" w:ascii="仿宋" w:hAnsi="仿宋" w:eastAsia="仿宋" w:cs="仿宋"/>
          <w:b w:val="0"/>
        </w:rPr>
      </w:pPr>
      <w:r>
        <w:rPr>
          <w:rStyle w:val="24"/>
          <w:rFonts w:hint="eastAsia" w:ascii="仿宋" w:hAnsi="仿宋" w:eastAsia="仿宋" w:cs="仿宋"/>
          <w:b w:val="0"/>
        </w:rPr>
        <w:br w:type="page"/>
      </w:r>
    </w:p>
    <w:p>
      <w:pPr>
        <w:spacing w:line="600" w:lineRule="exact"/>
        <w:jc w:val="center"/>
        <w:outlineLvl w:val="0"/>
        <w:rPr>
          <w:rStyle w:val="24"/>
          <w:rFonts w:hint="eastAsia" w:ascii="仿宋" w:hAnsi="仿宋" w:eastAsia="仿宋" w:cs="仿宋"/>
          <w:b w:val="0"/>
        </w:rPr>
      </w:pPr>
    </w:p>
    <w:p>
      <w:pPr>
        <w:spacing w:line="600" w:lineRule="exact"/>
        <w:jc w:val="center"/>
        <w:outlineLvl w:val="0"/>
        <w:rPr>
          <w:rStyle w:val="24"/>
          <w:rFonts w:hint="eastAsia" w:ascii="仿宋" w:hAnsi="仿宋" w:eastAsia="仿宋" w:cs="仿宋"/>
          <w:b w:val="0"/>
        </w:rPr>
      </w:pPr>
      <w:bookmarkStart w:id="63" w:name="_Toc15396618"/>
      <w:r>
        <w:rPr>
          <w:rFonts w:hint="eastAsia" w:ascii="仿宋" w:hAnsi="仿宋" w:eastAsia="仿宋" w:cs="仿宋"/>
          <w:color w:val="000000"/>
          <w:sz w:val="44"/>
          <w:szCs w:val="44"/>
        </w:rPr>
        <w:t>第</w:t>
      </w:r>
      <w:r>
        <w:rPr>
          <w:rStyle w:val="24"/>
          <w:rFonts w:hint="eastAsia" w:ascii="仿宋" w:hAnsi="仿宋" w:eastAsia="仿宋" w:cs="仿宋"/>
          <w:b w:val="0"/>
        </w:rPr>
        <w:t>五部分 附表</w:t>
      </w:r>
      <w:bookmarkEnd w:id="61"/>
      <w:bookmarkEnd w:id="63"/>
    </w:p>
    <w:p>
      <w:pPr>
        <w:spacing w:line="600" w:lineRule="exact"/>
        <w:jc w:val="center"/>
        <w:outlineLvl w:val="0"/>
        <w:rPr>
          <w:rFonts w:hint="eastAsia" w:ascii="仿宋" w:hAnsi="仿宋" w:eastAsia="仿宋" w:cs="仿宋"/>
          <w:b/>
          <w:color w:val="000000"/>
          <w:sz w:val="44"/>
          <w:szCs w:val="44"/>
        </w:rPr>
      </w:pPr>
    </w:p>
    <w:p>
      <w:pPr>
        <w:pStyle w:val="3"/>
        <w:rPr>
          <w:rFonts w:hint="eastAsia" w:ascii="仿宋" w:hAnsi="仿宋" w:eastAsia="仿宋" w:cs="仿宋"/>
          <w:color w:val="000000"/>
        </w:rPr>
      </w:pPr>
      <w:bookmarkStart w:id="64" w:name="_Toc15396619"/>
      <w:r>
        <w:rPr>
          <w:rFonts w:hint="eastAsia" w:ascii="仿宋" w:hAnsi="仿宋" w:eastAsia="仿宋" w:cs="仿宋"/>
          <w:b w:val="0"/>
          <w:color w:val="000000"/>
        </w:rPr>
        <w:t>一、收</w:t>
      </w:r>
      <w:r>
        <w:rPr>
          <w:rStyle w:val="25"/>
          <w:rFonts w:hint="eastAsia" w:ascii="仿宋" w:hAnsi="仿宋" w:eastAsia="仿宋" w:cs="仿宋"/>
          <w:b w:val="0"/>
          <w:bCs w:val="0"/>
        </w:rPr>
        <w:t>入支出决算总表</w:t>
      </w:r>
      <w:bookmarkEnd w:id="64"/>
    </w:p>
    <w:p>
      <w:pPr>
        <w:pStyle w:val="3"/>
        <w:rPr>
          <w:rFonts w:hint="eastAsia" w:ascii="仿宋" w:hAnsi="仿宋" w:eastAsia="仿宋" w:cs="仿宋"/>
          <w:color w:val="000000"/>
        </w:rPr>
      </w:pPr>
      <w:bookmarkStart w:id="65" w:name="_Toc15396620"/>
      <w:r>
        <w:rPr>
          <w:rFonts w:hint="eastAsia" w:ascii="仿宋" w:hAnsi="仿宋" w:eastAsia="仿宋" w:cs="仿宋"/>
          <w:b w:val="0"/>
          <w:color w:val="000000"/>
        </w:rPr>
        <w:t>二、收</w:t>
      </w:r>
      <w:r>
        <w:rPr>
          <w:rStyle w:val="25"/>
          <w:rFonts w:hint="eastAsia" w:ascii="仿宋" w:hAnsi="仿宋" w:eastAsia="仿宋" w:cs="仿宋"/>
          <w:b w:val="0"/>
          <w:bCs w:val="0"/>
        </w:rPr>
        <w:t>入决算表</w:t>
      </w:r>
      <w:bookmarkEnd w:id="65"/>
    </w:p>
    <w:p>
      <w:pPr>
        <w:pStyle w:val="3"/>
        <w:rPr>
          <w:rFonts w:hint="eastAsia" w:ascii="仿宋" w:hAnsi="仿宋" w:eastAsia="仿宋" w:cs="仿宋"/>
          <w:color w:val="000000"/>
        </w:rPr>
      </w:pPr>
      <w:bookmarkStart w:id="66" w:name="_Toc15396621"/>
      <w:r>
        <w:rPr>
          <w:rStyle w:val="25"/>
          <w:rFonts w:hint="eastAsia" w:ascii="仿宋" w:hAnsi="仿宋" w:eastAsia="仿宋" w:cs="仿宋"/>
          <w:b w:val="0"/>
          <w:bCs w:val="0"/>
        </w:rPr>
        <w:t>三、</w:t>
      </w:r>
      <w:r>
        <w:rPr>
          <w:rFonts w:hint="eastAsia" w:ascii="仿宋" w:hAnsi="仿宋" w:eastAsia="仿宋" w:cs="仿宋"/>
          <w:b w:val="0"/>
          <w:color w:val="000000"/>
        </w:rPr>
        <w:t>支</w:t>
      </w:r>
      <w:r>
        <w:rPr>
          <w:rStyle w:val="25"/>
          <w:rFonts w:hint="eastAsia" w:ascii="仿宋" w:hAnsi="仿宋" w:eastAsia="仿宋" w:cs="仿宋"/>
          <w:b w:val="0"/>
          <w:bCs w:val="0"/>
        </w:rPr>
        <w:t>出决算表</w:t>
      </w:r>
      <w:bookmarkEnd w:id="66"/>
    </w:p>
    <w:p>
      <w:pPr>
        <w:pStyle w:val="3"/>
        <w:rPr>
          <w:rFonts w:hint="eastAsia" w:ascii="仿宋" w:hAnsi="仿宋" w:eastAsia="仿宋" w:cs="仿宋"/>
          <w:b w:val="0"/>
          <w:color w:val="000000"/>
        </w:rPr>
      </w:pPr>
      <w:bookmarkStart w:id="67" w:name="_Toc15396622"/>
      <w:r>
        <w:rPr>
          <w:rStyle w:val="25"/>
          <w:rFonts w:hint="eastAsia" w:ascii="仿宋" w:hAnsi="仿宋" w:eastAsia="仿宋" w:cs="仿宋"/>
          <w:b w:val="0"/>
          <w:bCs w:val="0"/>
        </w:rPr>
        <w:t>四、</w:t>
      </w:r>
      <w:r>
        <w:rPr>
          <w:rFonts w:hint="eastAsia" w:ascii="仿宋" w:hAnsi="仿宋" w:eastAsia="仿宋" w:cs="仿宋"/>
          <w:b w:val="0"/>
          <w:color w:val="000000"/>
        </w:rPr>
        <w:t>财</w:t>
      </w:r>
      <w:r>
        <w:rPr>
          <w:rStyle w:val="25"/>
          <w:rFonts w:hint="eastAsia" w:ascii="仿宋" w:hAnsi="仿宋" w:eastAsia="仿宋" w:cs="仿宋"/>
          <w:b w:val="0"/>
          <w:bCs w:val="0"/>
        </w:rPr>
        <w:t>政拨款收入支出决算总表</w:t>
      </w:r>
      <w:bookmarkEnd w:id="67"/>
    </w:p>
    <w:p>
      <w:pPr>
        <w:pStyle w:val="3"/>
        <w:rPr>
          <w:rStyle w:val="25"/>
          <w:rFonts w:hint="eastAsia" w:ascii="仿宋" w:hAnsi="仿宋" w:eastAsia="仿宋" w:cs="仿宋"/>
          <w:b w:val="0"/>
          <w:bCs w:val="0"/>
        </w:rPr>
      </w:pPr>
      <w:bookmarkStart w:id="68" w:name="_Toc15396623"/>
      <w:r>
        <w:rPr>
          <w:rStyle w:val="25"/>
          <w:rFonts w:hint="eastAsia" w:ascii="仿宋" w:hAnsi="仿宋" w:eastAsia="仿宋" w:cs="仿宋"/>
          <w:b w:val="0"/>
          <w:bCs w:val="0"/>
        </w:rPr>
        <w:t>五、</w:t>
      </w:r>
      <w:r>
        <w:rPr>
          <w:rFonts w:hint="eastAsia" w:ascii="仿宋" w:hAnsi="仿宋" w:eastAsia="仿宋" w:cs="仿宋"/>
          <w:b w:val="0"/>
          <w:color w:val="000000"/>
        </w:rPr>
        <w:t>财</w:t>
      </w:r>
      <w:r>
        <w:rPr>
          <w:rStyle w:val="25"/>
          <w:rFonts w:hint="eastAsia" w:ascii="仿宋" w:hAnsi="仿宋" w:eastAsia="仿宋" w:cs="仿宋"/>
          <w:b w:val="0"/>
          <w:bCs w:val="0"/>
        </w:rPr>
        <w:t>政拨款支出决算明细表</w:t>
      </w:r>
      <w:bookmarkEnd w:id="68"/>
      <w:bookmarkStart w:id="69" w:name="_Toc15396624"/>
    </w:p>
    <w:p>
      <w:pPr>
        <w:pStyle w:val="3"/>
        <w:rPr>
          <w:rFonts w:hint="eastAsia" w:ascii="仿宋" w:hAnsi="仿宋" w:eastAsia="仿宋" w:cs="仿宋"/>
          <w:color w:val="000000"/>
        </w:rPr>
      </w:pPr>
      <w:r>
        <w:rPr>
          <w:rStyle w:val="25"/>
          <w:rFonts w:hint="eastAsia" w:ascii="仿宋" w:hAnsi="仿宋" w:eastAsia="仿宋" w:cs="仿宋"/>
          <w:b w:val="0"/>
          <w:bCs w:val="0"/>
        </w:rPr>
        <w:t>六、</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般公共预算财政拨款支出决算表</w:t>
      </w:r>
      <w:bookmarkEnd w:id="69"/>
    </w:p>
    <w:p>
      <w:pPr>
        <w:pStyle w:val="3"/>
        <w:rPr>
          <w:rFonts w:hint="eastAsia" w:ascii="仿宋" w:hAnsi="仿宋" w:eastAsia="仿宋" w:cs="仿宋"/>
          <w:color w:val="000000"/>
        </w:rPr>
      </w:pPr>
      <w:bookmarkStart w:id="70" w:name="_Toc15396625"/>
      <w:r>
        <w:rPr>
          <w:rStyle w:val="25"/>
          <w:rFonts w:hint="eastAsia" w:ascii="仿宋" w:hAnsi="仿宋" w:eastAsia="仿宋" w:cs="仿宋"/>
          <w:b w:val="0"/>
          <w:bCs w:val="0"/>
        </w:rPr>
        <w:t>七、</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般公共预算财政拨款支出决算明细表</w:t>
      </w:r>
      <w:bookmarkEnd w:id="70"/>
    </w:p>
    <w:p>
      <w:pPr>
        <w:pStyle w:val="3"/>
        <w:rPr>
          <w:rFonts w:hint="eastAsia" w:ascii="仿宋" w:hAnsi="仿宋" w:eastAsia="仿宋" w:cs="仿宋"/>
          <w:color w:val="000000"/>
        </w:rPr>
      </w:pPr>
      <w:bookmarkStart w:id="71" w:name="_Toc15396626"/>
      <w:r>
        <w:rPr>
          <w:rStyle w:val="25"/>
          <w:rFonts w:hint="eastAsia" w:ascii="仿宋" w:hAnsi="仿宋" w:eastAsia="仿宋" w:cs="仿宋"/>
          <w:b w:val="0"/>
          <w:bCs w:val="0"/>
        </w:rPr>
        <w:t>八、</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般公共预算财政拨款基本支出决算表</w:t>
      </w:r>
      <w:bookmarkEnd w:id="71"/>
    </w:p>
    <w:p>
      <w:pPr>
        <w:pStyle w:val="3"/>
        <w:rPr>
          <w:rFonts w:hint="eastAsia" w:ascii="仿宋" w:hAnsi="仿宋" w:eastAsia="仿宋" w:cs="仿宋"/>
          <w:color w:val="000000"/>
        </w:rPr>
      </w:pPr>
      <w:bookmarkStart w:id="72" w:name="_Toc15396627"/>
      <w:r>
        <w:rPr>
          <w:rStyle w:val="25"/>
          <w:rFonts w:hint="eastAsia" w:ascii="仿宋" w:hAnsi="仿宋" w:eastAsia="仿宋" w:cs="仿宋"/>
          <w:b w:val="0"/>
          <w:bCs w:val="0"/>
        </w:rPr>
        <w:t>九、</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般公共预算财政拨款项目支出决算表</w:t>
      </w:r>
      <w:bookmarkEnd w:id="72"/>
    </w:p>
    <w:p>
      <w:pPr>
        <w:pStyle w:val="3"/>
        <w:rPr>
          <w:rFonts w:hint="eastAsia" w:ascii="仿宋" w:hAnsi="仿宋" w:eastAsia="仿宋" w:cs="仿宋"/>
          <w:color w:val="000000"/>
        </w:rPr>
      </w:pPr>
      <w:bookmarkStart w:id="73" w:name="_Toc15396628"/>
      <w:r>
        <w:rPr>
          <w:rStyle w:val="25"/>
          <w:rFonts w:hint="eastAsia" w:ascii="仿宋" w:hAnsi="仿宋" w:eastAsia="仿宋" w:cs="仿宋"/>
          <w:b w:val="0"/>
          <w:bCs w:val="0"/>
        </w:rPr>
        <w:t>十、</w:t>
      </w:r>
      <w:r>
        <w:rPr>
          <w:rFonts w:hint="eastAsia" w:ascii="仿宋" w:hAnsi="仿宋" w:eastAsia="仿宋" w:cs="仿宋"/>
          <w:b w:val="0"/>
          <w:color w:val="000000"/>
        </w:rPr>
        <w:t>一</w:t>
      </w:r>
      <w:r>
        <w:rPr>
          <w:rStyle w:val="25"/>
          <w:rFonts w:hint="eastAsia" w:ascii="仿宋" w:hAnsi="仿宋" w:eastAsia="仿宋" w:cs="仿宋"/>
          <w:b w:val="0"/>
          <w:bCs w:val="0"/>
        </w:rPr>
        <w:t>般公共预算财政拨款“三公”经费支出决算表</w:t>
      </w:r>
      <w:bookmarkEnd w:id="73"/>
    </w:p>
    <w:p>
      <w:pPr>
        <w:pStyle w:val="3"/>
        <w:rPr>
          <w:rFonts w:hint="eastAsia" w:ascii="仿宋" w:hAnsi="仿宋" w:eastAsia="仿宋" w:cs="仿宋"/>
          <w:color w:val="000000"/>
        </w:rPr>
      </w:pPr>
      <w:bookmarkStart w:id="74" w:name="_Toc15396629"/>
      <w:r>
        <w:rPr>
          <w:rStyle w:val="25"/>
          <w:rFonts w:hint="eastAsia" w:ascii="仿宋" w:hAnsi="仿宋" w:eastAsia="仿宋" w:cs="仿宋"/>
          <w:b w:val="0"/>
          <w:bCs w:val="0"/>
        </w:rPr>
        <w:t>十一、</w:t>
      </w:r>
      <w:r>
        <w:rPr>
          <w:rFonts w:hint="eastAsia" w:ascii="仿宋" w:hAnsi="仿宋" w:eastAsia="仿宋" w:cs="仿宋"/>
          <w:b w:val="0"/>
          <w:color w:val="000000"/>
        </w:rPr>
        <w:t>政</w:t>
      </w:r>
      <w:r>
        <w:rPr>
          <w:rStyle w:val="25"/>
          <w:rFonts w:hint="eastAsia" w:ascii="仿宋" w:hAnsi="仿宋" w:eastAsia="仿宋" w:cs="仿宋"/>
          <w:b w:val="0"/>
          <w:bCs w:val="0"/>
        </w:rPr>
        <w:t>府性基金预算财政拨款收入支出决算表</w:t>
      </w:r>
      <w:bookmarkEnd w:id="74"/>
    </w:p>
    <w:p>
      <w:pPr>
        <w:pStyle w:val="3"/>
        <w:rPr>
          <w:rFonts w:hint="eastAsia" w:ascii="仿宋" w:hAnsi="仿宋" w:eastAsia="仿宋" w:cs="仿宋"/>
          <w:color w:val="000000"/>
        </w:rPr>
      </w:pPr>
      <w:bookmarkStart w:id="75" w:name="_Toc15396630"/>
      <w:r>
        <w:rPr>
          <w:rStyle w:val="25"/>
          <w:rFonts w:hint="eastAsia" w:ascii="仿宋" w:hAnsi="仿宋" w:eastAsia="仿宋" w:cs="仿宋"/>
          <w:b w:val="0"/>
          <w:bCs w:val="0"/>
        </w:rPr>
        <w:t>十二、</w:t>
      </w:r>
      <w:r>
        <w:rPr>
          <w:rFonts w:hint="eastAsia" w:ascii="仿宋" w:hAnsi="仿宋" w:eastAsia="仿宋" w:cs="仿宋"/>
          <w:b w:val="0"/>
          <w:color w:val="000000"/>
        </w:rPr>
        <w:t>政</w:t>
      </w:r>
      <w:r>
        <w:rPr>
          <w:rStyle w:val="25"/>
          <w:rFonts w:hint="eastAsia" w:ascii="仿宋" w:hAnsi="仿宋" w:eastAsia="仿宋" w:cs="仿宋"/>
          <w:b w:val="0"/>
          <w:bCs w:val="0"/>
        </w:rPr>
        <w:t>府性基金预算财政拨款“三公”经费支出决算表</w:t>
      </w:r>
      <w:bookmarkEnd w:id="75"/>
    </w:p>
    <w:p>
      <w:pPr>
        <w:pStyle w:val="3"/>
        <w:rPr>
          <w:rFonts w:hint="eastAsia" w:ascii="仿宋" w:hAnsi="仿宋" w:eastAsia="仿宋" w:cs="仿宋"/>
          <w:color w:val="000000" w:themeColor="text1"/>
        </w:rPr>
      </w:pPr>
      <w:bookmarkStart w:id="76" w:name="_Toc15396631"/>
      <w:r>
        <w:rPr>
          <w:rStyle w:val="25"/>
          <w:rFonts w:hint="eastAsia" w:ascii="仿宋" w:hAnsi="仿宋" w:eastAsia="仿宋" w:cs="仿宋"/>
          <w:b w:val="0"/>
          <w:bCs w:val="0"/>
        </w:rPr>
        <w:t>十三、</w:t>
      </w:r>
      <w:r>
        <w:rPr>
          <w:rFonts w:hint="eastAsia" w:ascii="仿宋" w:hAnsi="仿宋" w:eastAsia="仿宋" w:cs="仿宋"/>
          <w:b w:val="0"/>
          <w:color w:val="000000"/>
        </w:rPr>
        <w:t>国</w:t>
      </w:r>
      <w:r>
        <w:rPr>
          <w:rStyle w:val="25"/>
          <w:rFonts w:hint="eastAsia" w:ascii="仿宋" w:hAnsi="仿宋" w:eastAsia="仿宋" w:cs="仿宋"/>
          <w:b w:val="0"/>
          <w:bCs w:val="0"/>
        </w:rPr>
        <w:t>有资本经营预算支出决算表</w:t>
      </w:r>
      <w:bookmarkEnd w:id="76"/>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Calibri">
    <w:panose1 w:val="020F0502020204030204"/>
    <w:charset w:val="86"/>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3F8647"/>
    <w:multiLevelType w:val="singleLevel"/>
    <w:tmpl w:val="C23F8647"/>
    <w:lvl w:ilvl="0" w:tentative="0">
      <w:start w:val="3"/>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87C9BBA"/>
    <w:multiLevelType w:val="singleLevel"/>
    <w:tmpl w:val="D87C9BBA"/>
    <w:lvl w:ilvl="0" w:tentative="0">
      <w:start w:val="2"/>
      <w:numFmt w:val="chineseCounting"/>
      <w:suff w:val="nothing"/>
      <w:lvlText w:val="（%1）"/>
      <w:lvlJc w:val="left"/>
      <w:pPr>
        <w:ind w:left="-10"/>
      </w:pPr>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BB2607E"/>
    <w:multiLevelType w:val="singleLevel"/>
    <w:tmpl w:val="FBB2607E"/>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30EE"/>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E85F93"/>
    <w:rsid w:val="04D905FE"/>
    <w:rsid w:val="057D3E3A"/>
    <w:rsid w:val="06C90FC5"/>
    <w:rsid w:val="0C6A76ED"/>
    <w:rsid w:val="0D5045C0"/>
    <w:rsid w:val="0F4976D2"/>
    <w:rsid w:val="10C055FF"/>
    <w:rsid w:val="10E71FB4"/>
    <w:rsid w:val="124755D5"/>
    <w:rsid w:val="12695B70"/>
    <w:rsid w:val="135F5AB3"/>
    <w:rsid w:val="14275768"/>
    <w:rsid w:val="149163D9"/>
    <w:rsid w:val="15B339FF"/>
    <w:rsid w:val="1631666E"/>
    <w:rsid w:val="16BB723D"/>
    <w:rsid w:val="17165047"/>
    <w:rsid w:val="194F3660"/>
    <w:rsid w:val="1A845937"/>
    <w:rsid w:val="1BC6359C"/>
    <w:rsid w:val="1D0D3A6E"/>
    <w:rsid w:val="20A714C3"/>
    <w:rsid w:val="22F2342A"/>
    <w:rsid w:val="240371BF"/>
    <w:rsid w:val="24641F6F"/>
    <w:rsid w:val="29FD04D3"/>
    <w:rsid w:val="2A2C5D9B"/>
    <w:rsid w:val="2A5E162C"/>
    <w:rsid w:val="2B9545D8"/>
    <w:rsid w:val="2BB16AE2"/>
    <w:rsid w:val="2C322ED5"/>
    <w:rsid w:val="31990970"/>
    <w:rsid w:val="319F7F4E"/>
    <w:rsid w:val="33360D0F"/>
    <w:rsid w:val="34625BF1"/>
    <w:rsid w:val="369A36BA"/>
    <w:rsid w:val="37EE7988"/>
    <w:rsid w:val="38BA10CD"/>
    <w:rsid w:val="39647DC5"/>
    <w:rsid w:val="3D7B7AB5"/>
    <w:rsid w:val="3D8E30E3"/>
    <w:rsid w:val="3FE95BB9"/>
    <w:rsid w:val="4175508E"/>
    <w:rsid w:val="42865C05"/>
    <w:rsid w:val="4AD04071"/>
    <w:rsid w:val="4BA70415"/>
    <w:rsid w:val="4D352C17"/>
    <w:rsid w:val="4ECE2238"/>
    <w:rsid w:val="4F5A6E0E"/>
    <w:rsid w:val="52D5583E"/>
    <w:rsid w:val="536C070E"/>
    <w:rsid w:val="541A1764"/>
    <w:rsid w:val="542B1DA7"/>
    <w:rsid w:val="56E755A0"/>
    <w:rsid w:val="578F3E06"/>
    <w:rsid w:val="59126B01"/>
    <w:rsid w:val="5A020536"/>
    <w:rsid w:val="5A320D7B"/>
    <w:rsid w:val="5A8A4F8D"/>
    <w:rsid w:val="61A16008"/>
    <w:rsid w:val="635D07C5"/>
    <w:rsid w:val="64C42C1F"/>
    <w:rsid w:val="65474B49"/>
    <w:rsid w:val="684C3C4D"/>
    <w:rsid w:val="685325FB"/>
    <w:rsid w:val="685809E5"/>
    <w:rsid w:val="6C9F2E2D"/>
    <w:rsid w:val="6DD34D8A"/>
    <w:rsid w:val="717E1251"/>
    <w:rsid w:val="723228A4"/>
    <w:rsid w:val="72734D90"/>
    <w:rsid w:val="73C62E91"/>
    <w:rsid w:val="774D35C5"/>
    <w:rsid w:val="79800069"/>
    <w:rsid w:val="7B4C6C5F"/>
    <w:rsid w:val="7B9A30BA"/>
    <w:rsid w:val="7D7B65F5"/>
    <w:rsid w:val="7DFE2928"/>
    <w:rsid w:val="7FE228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0&#24180;\2020&#36130;&#25919;\2019&#24180;&#37096;&#38376;&#20915;&#31639;&#25209;&#22797;&#21644;&#20844;&#24320;\2019&#20915;&#31639;&#35828;&#26126;&#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0&#24180;\2020&#36130;&#25919;\2019&#24180;&#37096;&#38376;&#20915;&#31639;&#25209;&#22797;&#21644;&#20844;&#24320;\2019&#20915;&#31639;&#35828;&#26126;&#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0&#24180;\2020&#36130;&#25919;\2019&#24180;&#37096;&#38376;&#20915;&#31639;&#25209;&#22797;&#21644;&#20844;&#24320;\2019&#20915;&#31639;&#35828;&#26126;&#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20&#24180;\2020&#36130;&#25919;\2019&#24180;&#37096;&#38376;&#20915;&#31639;&#25209;&#22797;&#21644;&#20844;&#24320;\2019&#20915;&#31639;&#35828;&#26126;&#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20&#24180;\2020&#36130;&#25919;\2019&#24180;&#37096;&#38376;&#20915;&#31639;&#25209;&#22797;&#21644;&#20844;&#24320;\2019&#20915;&#31639;&#35828;&#26126;&#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2020&#24180;\2020&#36130;&#25919;\2019&#24180;&#37096;&#38376;&#20915;&#31639;&#25209;&#22797;&#21644;&#20844;&#24320;\2019&#20915;&#31639;&#35828;&#26126;&#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charset="0"/>
                <a:ea typeface="方正小标宋简体" charset="0"/>
                <a:cs typeface="方正小标宋简体" charset="0"/>
              </a:rPr>
              <a:t>8</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charset="0"/>
                <a:ea typeface="方正小标宋简体" charset="0"/>
                <a:cs typeface="方正小标宋简体" charset="0"/>
              </a:rPr>
              <a:t>9</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69741778601204"/>
          <c:y val="0.0334560129844494"/>
        </c:manualLayout>
      </c:layout>
      <c:overlay val="0"/>
    </c:title>
    <c:autoTitleDeleted val="0"/>
    <c:plotArea>
      <c:layout>
        <c:manualLayout>
          <c:layoutTarget val="inner"/>
          <c:xMode val="edge"/>
          <c:yMode val="edge"/>
          <c:x val="0.158088377190424"/>
          <c:y val="0.348189415041783"/>
          <c:w val="0.659927062922815"/>
          <c:h val="0.445682451253482"/>
        </c:manualLayout>
      </c:layout>
      <c:barChart>
        <c:barDir val="col"/>
        <c:grouping val="clustered"/>
        <c:varyColors val="0"/>
        <c:ser>
          <c:idx val="0"/>
          <c:order val="0"/>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1257.94</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manualLayout>
                  <c:x val="0.00919117647058824"/>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1141.6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[2019决算说明图表.xls]Sheet1!$B$44:$B$45</c:f>
              <c:strCache>
                <c:ptCount val="2"/>
                <c:pt idx="0">
                  <c:v>2018年</c:v>
                </c:pt>
                <c:pt idx="1">
                  <c:v>2019年</c:v>
                </c:pt>
              </c:strCache>
            </c:strRef>
          </c:cat>
          <c:val>
            <c:numRef>
              <c:f>[2019决算说明图表.xls]Sheet1!$C$44:$C$45</c:f>
              <c:numCache>
                <c:formatCode>General</c:formatCode>
                <c:ptCount val="2"/>
                <c:pt idx="0">
                  <c:v>1257.94</c:v>
                </c:pt>
                <c:pt idx="1">
                  <c:v>1141.6</c:v>
                </c:pt>
              </c:numCache>
            </c:numRef>
          </c:val>
        </c:ser>
        <c:dLbls>
          <c:showLegendKey val="0"/>
          <c:showVal val="0"/>
          <c:showCatName val="0"/>
          <c:showSerName val="0"/>
          <c:showPercent val="0"/>
          <c:showBubbleSize val="0"/>
        </c:dLbls>
        <c:gapWidth val="219"/>
        <c:overlap val="-27"/>
        <c:axId val="859263284"/>
        <c:axId val="778115325"/>
      </c:barChart>
      <c:catAx>
        <c:axId val="8592632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78115325"/>
        <c:crosses val="autoZero"/>
        <c:auto val="1"/>
        <c:lblAlgn val="ctr"/>
        <c:lblOffset val="100"/>
        <c:noMultiLvlLbl val="0"/>
      </c:catAx>
      <c:valAx>
        <c:axId val="778115325"/>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59263284"/>
        <c:crosses val="autoZero"/>
        <c:crossBetween val="between"/>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200" b="0" i="0" u="none" strike="noStrike" baseline="0">
                <a:solidFill>
                  <a:srgbClr val="808080"/>
                </a:solidFill>
                <a:latin typeface="方正小标宋简体" charset="0"/>
                <a:ea typeface="方正小标宋简体" charset="0"/>
                <a:cs typeface="方正小标宋简体" charset="0"/>
              </a:rPr>
              <a:t>9</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收入决算</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title>
    <c:autoTitleDeleted val="0"/>
    <c:plotArea>
      <c:layout/>
      <c:pieChart>
        <c:varyColors val="1"/>
        <c:ser>
          <c:idx val="0"/>
          <c:order val="0"/>
          <c:tx>
            <c:strRef>
              <c:f>[2019决算说明图表.xls]Sheet1!$C$4</c:f>
              <c:strCache>
                <c:ptCount val="1"/>
                <c:pt idx="0">
                  <c:v>财政拨款收入</c:v>
                </c:pt>
              </c:strCache>
            </c:strRef>
          </c:tx>
          <c:explosion val="0"/>
          <c:dPt>
            <c:idx val="0"/>
            <c:bubble3D val="0"/>
            <c:explosion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Lbls>
            <c:dLbl>
              <c:idx val="0"/>
              <c:layout>
                <c:manualLayout>
                  <c:x val="0.0314332646390555"/>
                  <c:y val="-0.35468018394568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财政拨款收入,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1141.6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100%</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1"/>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val>
            <c:numRef>
              <c:f>[2019决算说明图表.xls]Sheet1!$D$4</c:f>
              <c:numCache>
                <c:formatCode>General</c:formatCode>
                <c:ptCount val="1"/>
                <c:pt idx="0">
                  <c:v>1141.6</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200" b="0" i="0" u="none" strike="noStrike" baseline="0">
                <a:solidFill>
                  <a:srgbClr val="808080"/>
                </a:solidFill>
                <a:latin typeface="方正小标宋简体" charset="0"/>
                <a:ea typeface="方正小标宋简体" charset="0"/>
                <a:cs typeface="方正小标宋简体" charset="0"/>
              </a:rPr>
              <a:t>9</a:t>
            </a:r>
            <a:r>
              <a:rPr sz="12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支出情况</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375555587661634"/>
          <c:y val="0.0555554482070109"/>
        </c:manualLayout>
      </c:layout>
      <c:overlay val="0"/>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1"/>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基本支出,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618.78</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49.3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项目支出,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636.16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50.7</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[2019决算说明图表.xls]Sheet1!$B$23:$B$24</c:f>
              <c:strCache>
                <c:ptCount val="2"/>
                <c:pt idx="0">
                  <c:v>基本支出</c:v>
                </c:pt>
                <c:pt idx="1">
                  <c:v>项目支出</c:v>
                </c:pt>
              </c:strCache>
            </c:strRef>
          </c:cat>
          <c:val>
            <c:numRef>
              <c:f>[2019决算说明图表.xls]Sheet1!$C$23:$C$24</c:f>
              <c:numCache>
                <c:formatCode>General</c:formatCode>
                <c:ptCount val="2"/>
                <c:pt idx="0">
                  <c:v>618.78</c:v>
                </c:pt>
                <c:pt idx="1">
                  <c:v>636.16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89724770642202"/>
          <c:y val="0.462576687116564"/>
          <c:w val="0.1245"/>
          <c:h val="0.123"/>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charset="0"/>
                <a:ea typeface="方正小标宋简体" charset="0"/>
                <a:cs typeface="方正小标宋简体" charset="0"/>
              </a:rPr>
              <a:t>8</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、201</a:t>
            </a:r>
            <a:r>
              <a:rPr lang="en-US" altLang="zh-CN" sz="1400" b="0" i="0" u="none" strike="noStrike" baseline="0">
                <a:solidFill>
                  <a:srgbClr val="808080"/>
                </a:solidFill>
                <a:latin typeface="方正小标宋简体" charset="0"/>
                <a:ea typeface="方正小标宋简体" charset="0"/>
                <a:cs typeface="方正小标宋简体" charset="0"/>
              </a:rPr>
              <a:t>9</a:t>
            </a:r>
            <a:r>
              <a:rPr sz="1400" b="0" i="0" u="none" strike="noStrike" baseline="0">
                <a:solidFill>
                  <a:srgbClr val="808080"/>
                </a:solidFill>
                <a:latin typeface="方正小标宋简体" panose="03000509000000000000" pitchFamily="4" charset="-122"/>
                <a:ea typeface="方正小标宋简体" panose="03000509000000000000" pitchFamily="4" charset="-122"/>
                <a:cs typeface="方正小标宋简体" panose="03000509000000000000" pitchFamily="4" charset="-122"/>
              </a:rPr>
              <a:t>年财政拨款收支总计对比图</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169741778601204"/>
          <c:y val="0.0334560129844494"/>
        </c:manualLayout>
      </c:layout>
      <c:overlay val="0"/>
    </c:title>
    <c:autoTitleDeleted val="0"/>
    <c:plotArea>
      <c:layout>
        <c:manualLayout>
          <c:layoutTarget val="inner"/>
          <c:xMode val="edge"/>
          <c:yMode val="edge"/>
          <c:x val="0.158088377190424"/>
          <c:y val="0.348189415041783"/>
          <c:w val="0.659927062922815"/>
          <c:h val="0.445682451253482"/>
        </c:manualLayout>
      </c:layout>
      <c:barChart>
        <c:barDir val="col"/>
        <c:grouping val="clustered"/>
        <c:varyColors val="0"/>
        <c:ser>
          <c:idx val="0"/>
          <c:order val="0"/>
          <c:spPr>
            <a:solidFill>
              <a:srgbClr val="5B9BD5">
                <a:alpha val="100000"/>
              </a:srgbClr>
            </a:solidFill>
            <a:ln w="3175">
              <a:noFill/>
            </a:ln>
          </c:spPr>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1257.94</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manualLayout>
                  <c:x val="0.00919117647058824"/>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1141.6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万元</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[2019决算说明图表.xls]Sheet1!$B$44:$B$45</c:f>
              <c:strCache>
                <c:ptCount val="2"/>
                <c:pt idx="0">
                  <c:v>2018年</c:v>
                </c:pt>
                <c:pt idx="1">
                  <c:v>2019年</c:v>
                </c:pt>
              </c:strCache>
            </c:strRef>
          </c:cat>
          <c:val>
            <c:numRef>
              <c:f>[2019决算说明图表.xls]Sheet1!$C$44:$C$45</c:f>
              <c:numCache>
                <c:formatCode>General</c:formatCode>
                <c:ptCount val="2"/>
                <c:pt idx="0">
                  <c:v>1257.94</c:v>
                </c:pt>
                <c:pt idx="1">
                  <c:v>1141.6</c:v>
                </c:pt>
              </c:numCache>
            </c:numRef>
          </c:val>
        </c:ser>
        <c:dLbls>
          <c:showLegendKey val="0"/>
          <c:showVal val="0"/>
          <c:showCatName val="0"/>
          <c:showSerName val="0"/>
          <c:showPercent val="0"/>
          <c:showBubbleSize val="0"/>
        </c:dLbls>
        <c:gapWidth val="219"/>
        <c:overlap val="-27"/>
        <c:axId val="859263284"/>
        <c:axId val="778115325"/>
      </c:barChart>
      <c:catAx>
        <c:axId val="8592632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78115325"/>
        <c:crosses val="autoZero"/>
        <c:auto val="1"/>
        <c:lblAlgn val="ctr"/>
        <c:lblOffset val="100"/>
        <c:noMultiLvlLbl val="0"/>
      </c:catAx>
      <c:valAx>
        <c:axId val="778115325"/>
        <c:scaling>
          <c:orientation val="minMax"/>
        </c:scaling>
        <c:delete val="0"/>
        <c:axPos val="l"/>
        <c:majorGridlines>
          <c:spPr>
            <a:ln w="9525" cap="flat" cmpd="sng" algn="ctr">
              <a:solidFill>
                <a:schemeClr val="tx1">
                  <a:lumMod val="15000"/>
                  <a:lumOff val="85000"/>
                </a:schemeClr>
              </a:solidFill>
              <a:prstDash val="solid"/>
              <a:round/>
            </a:ln>
            <a:effectLst/>
          </c:spPr>
        </c:majorGridlines>
        <c:title>
          <c:layout>
            <c:manualLayout>
              <c:xMode val="edge"/>
              <c:yMode val="edge"/>
              <c:x val="0.026521923730122"/>
              <c:y val="0.122873540528882"/>
            </c:manualLayout>
          </c:layout>
          <c:overlay val="0"/>
          <c:spPr>
            <a:noFill/>
            <a:ln w="3175">
              <a:noFill/>
            </a:ln>
          </c:spPr>
          <c:txPr>
            <a:bodyPr rot="-5400000" spcFirstLastPara="0" vertOverflow="ellipsis" vert="horz" wrap="square" anchor="ctr" anchorCtr="1"/>
            <a:lstStyle/>
            <a:p>
              <a:pPr>
                <a:defRPr lang="zh-CN" sz="10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title>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59263284"/>
        <c:crosses val="autoZero"/>
        <c:crossBetween val="between"/>
      </c:valAx>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21518836433"/>
          <c:y val="0.0821759259259259"/>
          <c:w val="0.882"/>
          <c:h val="0.732268518518518"/>
        </c:manualLayout>
      </c:layout>
      <c:barChart>
        <c:barDir val="col"/>
        <c:grouping val="clustered"/>
        <c:varyColors val="0"/>
        <c:ser>
          <c:idx val="0"/>
          <c:order val="0"/>
          <c:tx>
            <c:strRef>
              <c:f>[2019决算说明图表.xls]Sheet1!$B$66</c:f>
              <c:strCache>
                <c:ptCount val="1"/>
                <c:pt idx="0">
                  <c:v>财政拨款支出</c:v>
                </c:pt>
              </c:strCache>
            </c:strRef>
          </c:tx>
          <c:spPr>
            <a:solidFill>
              <a:srgbClr val="5B9BD5">
                <a:alpha val="100000"/>
              </a:srgbClr>
            </a:solidFill>
            <a:ln w="3175">
              <a:noFill/>
            </a:ln>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t>1244.65</a:t>
                    </a:r>
                    <a:endParaRPr sz="9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0"/>
              <c:showCatName val="1"/>
              <c:showSerName val="0"/>
              <c:showPercent val="0"/>
              <c:showBubbleSize val="0"/>
              <c:extLst>
                <c:ext xmlns:c15="http://schemas.microsoft.com/office/drawing/2012/chart" uri="{CE6537A1-D6FC-4f65-9D91-7224C49458BB}"/>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[2019决算说明图表.xls]Sheet1!$C$65:$D$65</c:f>
              <c:strCache>
                <c:ptCount val="2"/>
                <c:pt idx="0">
                  <c:v>2018年</c:v>
                </c:pt>
                <c:pt idx="1">
                  <c:v>2019年</c:v>
                </c:pt>
              </c:strCache>
            </c:strRef>
          </c:cat>
          <c:val>
            <c:numRef>
              <c:f>[2019决算说明图表.xls]Sheet1!$C$66:$D$66</c:f>
              <c:numCache>
                <c:formatCode>General</c:formatCode>
                <c:ptCount val="2"/>
                <c:pt idx="0">
                  <c:v>1244.65</c:v>
                </c:pt>
                <c:pt idx="1">
                  <c:v>1254.94</c:v>
                </c:pt>
              </c:numCache>
            </c:numRef>
          </c:val>
        </c:ser>
        <c:ser>
          <c:idx val="1"/>
          <c:order val="1"/>
          <c:tx>
            <c:strRef>
              <c:f>[2019决算说明图表.xls]Sheet1!$B$67</c:f>
              <c:strCache>
                <c:ptCount val="1"/>
                <c:pt idx="0">
                  <c:v>一般公共预算财政拨款支出</c:v>
                </c:pt>
              </c:strCache>
            </c:strRef>
          </c:tx>
          <c:spPr>
            <a:solidFill>
              <a:srgbClr val="ED7D31">
                <a:alpha val="100000"/>
              </a:srgbClr>
            </a:solidFill>
            <a:ln w="3175">
              <a:noFill/>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[2019决算说明图表.xls]Sheet1!$C$65:$D$65</c:f>
              <c:strCache>
                <c:ptCount val="2"/>
                <c:pt idx="0">
                  <c:v>2018年</c:v>
                </c:pt>
                <c:pt idx="1">
                  <c:v>2019年</c:v>
                </c:pt>
              </c:strCache>
            </c:strRef>
          </c:cat>
          <c:val>
            <c:numRef>
              <c:f>[2019决算说明图表.xls]Sheet1!$C$67:$D$67</c:f>
              <c:numCache>
                <c:formatCode>General</c:formatCode>
                <c:ptCount val="2"/>
                <c:pt idx="0">
                  <c:v>970.89</c:v>
                </c:pt>
                <c:pt idx="1">
                  <c:v>1019.52</c:v>
                </c:pt>
              </c:numCache>
            </c:numRef>
          </c:val>
        </c:ser>
        <c:dLbls>
          <c:showLegendKey val="0"/>
          <c:showVal val="0"/>
          <c:showCatName val="0"/>
          <c:showSerName val="0"/>
          <c:showPercent val="0"/>
          <c:showBubbleSize val="0"/>
        </c:dLbls>
        <c:gapWidth val="219"/>
        <c:overlap val="-27"/>
        <c:axId val="622670502"/>
        <c:axId val="461414228"/>
      </c:barChart>
      <c:catAx>
        <c:axId val="62267050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61414228"/>
        <c:crosses val="autoZero"/>
        <c:auto val="1"/>
        <c:lblAlgn val="ctr"/>
        <c:lblOffset val="100"/>
        <c:noMultiLvlLbl val="0"/>
      </c:catAx>
      <c:valAx>
        <c:axId val="4614142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22670502"/>
        <c:crosses val="autoZero"/>
        <c:crossBetween val="between"/>
      </c:valAx>
      <c:spPr>
        <a:noFill/>
        <a:ln w="3175">
          <a:noFill/>
        </a:ln>
      </c:spPr>
    </c:plotArea>
    <c:legend>
      <c:legendPos val="b"/>
      <c:layout>
        <c:manualLayout>
          <c:xMode val="edge"/>
          <c:yMode val="edge"/>
          <c:x val="0.246597276198844"/>
          <c:y val="0.915972105428569"/>
          <c:w val="0.539353181710655"/>
          <c:h val="0.0718602893084966"/>
        </c:manualLayout>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baseline="0">
                <a:solidFill>
                  <a:srgbClr val="808080">
                    <a:alpha val="100000"/>
                  </a:srgbClr>
                </a:solidFill>
                <a:latin typeface="方正小标宋简体" panose="03000509000000000000" pitchFamily="4" charset="-122"/>
                <a:ea typeface="方正小标宋简体" panose="03000509000000000000" pitchFamily="4" charset="-122"/>
                <a:cs typeface="方正小标宋简体" panose="03000509000000000000" pitchFamily="4" charset="-122"/>
              </a:defRPr>
            </a:pPr>
            <a:r>
              <a:t>2018年一般公共预算财政拨款支出</a:t>
            </a:r>
            <a:endParaRPr sz="1200" b="0" i="0" u="none" strike="noStrike" baseline="0">
              <a:solidFill>
                <a:srgbClr val="808080">
                  <a:alpha val="100000"/>
                </a:srgbClr>
              </a:solidFill>
              <a:latin typeface="方正小标宋简体" panose="03000509000000000000" pitchFamily="4" charset="-122"/>
              <a:ea typeface="方正小标宋简体" panose="03000509000000000000" pitchFamily="4" charset="-122"/>
              <a:cs typeface="方正小标宋简体" panose="03000509000000000000" pitchFamily="4" charset="-122"/>
            </a:endParaRPr>
          </a:p>
        </c:rich>
      </c:tx>
      <c:layout>
        <c:manualLayout>
          <c:xMode val="edge"/>
          <c:yMode val="edge"/>
          <c:x val="0.232957387679481"/>
          <c:y val="0.0139557555305587"/>
        </c:manualLayout>
      </c:layout>
      <c:overlay val="0"/>
      <c:spPr>
        <a:noFill/>
        <a:ln w="3175">
          <a:noFill/>
        </a:ln>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Pt>
            <c:idx val="7"/>
            <c:bubble3D val="0"/>
            <c:explosion val="0"/>
            <c:spPr>
              <a:solidFill>
                <a:schemeClr val="accent2">
                  <a:lumMod val="60000"/>
                </a:schemeClr>
              </a:solidFill>
              <a:ln w="19050">
                <a:solidFill>
                  <a:schemeClr val="lt1"/>
                </a:solidFill>
              </a:ln>
              <a:effectLst/>
            </c:spPr>
          </c:dPt>
          <c:dPt>
            <c:idx val="8"/>
            <c:bubble3D val="0"/>
          </c:dPt>
          <c:dLbls>
            <c:dLbl>
              <c:idx val="0"/>
              <c:layout>
                <c:manualLayout>
                  <c:x val="-0.0184869866227146"/>
                  <c:y val="-0.061786867810024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一般公共服务支出,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501.85</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49.3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199373498121562"/>
                  <c:y val="-0.04767918132307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文化体育与传媒支出,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0.</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0919678386750818"/>
                  <c:y val="0.006355224799626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社会保障和就业支出</a:t>
                    </a:r>
                    <a:endParaRPr sz="9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205.25</a:t>
                    </a:r>
                    <a:endParaRPr sz="900" b="0"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20.1</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3"/>
              <c:layout>
                <c:manualLayout>
                  <c:x val="-0.0520636065605916"/>
                  <c:y val="0.062358794824265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卫生健康支出, 13.</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1</a:t>
                    </a:r>
                    <a:r>
                      <a:rPr sz="900" b="0" i="0" u="none" strike="noStrike" baseline="0">
                        <a:solidFill>
                          <a:srgbClr val="333333"/>
                        </a:solidFill>
                        <a:latin typeface="Calibri" panose="020F0502020204030204" charset="-122"/>
                        <a:ea typeface="Calibri" panose="020F0502020204030204" charset="-122"/>
                        <a:cs typeface="Calibri" panose="020F0502020204030204" charset="-122"/>
                      </a:rPr>
                      <a:t>.3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4"/>
              <c:layout>
                <c:manualLayout>
                  <c:x val="-0.0460493599694259"/>
                  <c:y val="-0.057919546897241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住房保障支出,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46.64</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4.6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5"/>
              <c:layout>
                <c:manualLayout>
                  <c:x val="-0.073230152911502"/>
                  <c:y val="0.020925222264616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农林水支出,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220.57</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21.</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6</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6"/>
              <c:layout>
                <c:manualLayout>
                  <c:x val="-0.101231611395148"/>
                  <c:y val="0.037154887081671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城乡社区事务支出,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23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a:t>
                    </a:r>
                    <a:r>
                      <a:rPr sz="900" b="0" i="0" u="none" strike="noStrike" baseline="0">
                        <a:solidFill>
                          <a:srgbClr val="333333"/>
                        </a:solidFill>
                        <a:latin typeface="Calibri" panose="020F0502020204030204" charset="-122"/>
                        <a:ea typeface="Calibri" panose="020F0502020204030204" charset="-122"/>
                        <a:cs typeface="Calibri" panose="020F0502020204030204" charset="-122"/>
                      </a:rPr>
                      <a:t>2</a:t>
                    </a:r>
                    <a:r>
                      <a:rPr lang="en-US" altLang="zh-CN" sz="900" b="0"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.3</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7"/>
              <c:layout>
                <c:manualLayout>
                  <c:x val="0.156011489329056"/>
                  <c:y val="0.043544269538039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rPr sz="900" b="0" i="0" u="none" strike="noStrike" baseline="0">
                        <a:solidFill>
                          <a:srgbClr val="333333"/>
                        </a:solidFill>
                        <a:latin typeface="宋体" panose="02010600030101010101" charset="-122"/>
                        <a:ea typeface="宋体" panose="02010600030101010101" charset="-122"/>
                        <a:cs typeface="宋体" panose="02010600030101010101" charset="-122"/>
                      </a:rPr>
                      <a:t>国防支出, </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2.5</a:t>
                    </a:r>
                    <a:r>
                      <a:rPr sz="900" b="0" i="0" u="none" strike="noStrike" baseline="0">
                        <a:solidFill>
                          <a:srgbClr val="333333"/>
                        </a:solidFill>
                        <a:latin typeface="宋体" panose="02010600030101010101" charset="-122"/>
                        <a:ea typeface="宋体" panose="02010600030101010101" charset="-122"/>
                        <a:cs typeface="宋体" panose="02010600030101010101" charset="-122"/>
                      </a:rPr>
                      <a:t>, 0.</a:t>
                    </a:r>
                    <a:r>
                      <a:rPr lang="en-US" altLang="zh-CN" sz="900" b="0" i="0" u="none" strike="noStrike" baseline="0">
                        <a:solidFill>
                          <a:srgbClr val="333333"/>
                        </a:solidFill>
                        <a:latin typeface="宋体" panose="02010600030101010101" charset="-122"/>
                        <a:ea typeface="宋体" panose="02010600030101010101" charset="-122"/>
                        <a:cs typeface="宋体" panose="02010600030101010101" charset="-122"/>
                      </a:rPr>
                      <a:t>2</a:t>
                    </a:r>
                    <a:r>
                      <a:rPr sz="900" b="0" i="0" u="none" strike="noStrike" baseline="0">
                        <a:solidFill>
                          <a:srgbClr val="333333"/>
                        </a:solidFill>
                        <a:latin typeface="宋体" panose="02010600030101010101" charset="-122"/>
                        <a:ea typeface="宋体" panose="02010600030101010101" charset="-122"/>
                        <a:cs typeface="宋体" panose="02010600030101010101" charset="-122"/>
                      </a:rPr>
                      <a:t>%</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[2019决算说明图表.xls]Sheet1!$C$88:$C$96</c:f>
              <c:strCache>
                <c:ptCount val="9"/>
                <c:pt idx="0">
                  <c:v>一般公共服务支出</c:v>
                </c:pt>
                <c:pt idx="1">
                  <c:v>文化旅游体育与传媒支出</c:v>
                </c:pt>
                <c:pt idx="2">
                  <c:v>社会保障和就业支出</c:v>
                </c:pt>
                <c:pt idx="3">
                  <c:v>卫生健康支出</c:v>
                </c:pt>
                <c:pt idx="4">
                  <c:v>住房保障支出</c:v>
                </c:pt>
                <c:pt idx="5">
                  <c:v>农林水支出</c:v>
                </c:pt>
                <c:pt idx="6">
                  <c:v>城乡社区事务支出</c:v>
                </c:pt>
                <c:pt idx="7">
                  <c:v>国防支出</c:v>
                </c:pt>
                <c:pt idx="8">
                  <c:v>灾害防治及应急管理支出</c:v>
                </c:pt>
              </c:strCache>
            </c:strRef>
          </c:cat>
          <c:val>
            <c:numRef>
              <c:f>[2019决算说明图表.xls]Sheet1!$D$88:$D$96</c:f>
              <c:numCache>
                <c:formatCode>General</c:formatCode>
                <c:ptCount val="9"/>
                <c:pt idx="0">
                  <c:v>501.85</c:v>
                </c:pt>
                <c:pt idx="1">
                  <c:v>3.3</c:v>
                </c:pt>
                <c:pt idx="2">
                  <c:v>205.25</c:v>
                </c:pt>
                <c:pt idx="3">
                  <c:v>13.4</c:v>
                </c:pt>
                <c:pt idx="4">
                  <c:v>46.64</c:v>
                </c:pt>
                <c:pt idx="5">
                  <c:v>220.58</c:v>
                </c:pt>
                <c:pt idx="6">
                  <c:v>23</c:v>
                </c:pt>
                <c:pt idx="7">
                  <c:v>2.5</c:v>
                </c:pt>
                <c:pt idx="8">
                  <c:v>3</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7622</Words>
  <Characters>931</Characters>
  <Lines>7</Lines>
  <Paragraphs>17</Paragraphs>
  <TotalTime>40</TotalTime>
  <ScaleCrop>false</ScaleCrop>
  <LinksUpToDate>false</LinksUpToDate>
  <CharactersWithSpaces>8536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bingge</cp:lastModifiedBy>
  <cp:lastPrinted>2020-07-23T02:58:00Z</cp:lastPrinted>
  <dcterms:modified xsi:type="dcterms:W3CDTF">2020-10-23T01:41:31Z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