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峨眉山市2019年预算绩效工作开展情况</w:t>
      </w:r>
    </w:p>
    <w:p>
      <w:pPr>
        <w:spacing w:line="580" w:lineRule="exact"/>
        <w:ind w:firstLine="640" w:firstLineChars="200"/>
        <w:rPr>
          <w:rFonts w:hint="eastAsia" w:ascii="仿宋_GB2312" w:hAnsi="黑体" w:eastAsia="仿宋_GB2312" w:cs="仿宋_GB2312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Cs/>
          <w:sz w:val="32"/>
          <w:szCs w:val="32"/>
        </w:rPr>
        <w:t>2019年</w:t>
      </w:r>
      <w:r>
        <w:rPr>
          <w:rFonts w:hint="eastAsia" w:ascii="仿宋_GB2312" w:hAnsi="黑体" w:eastAsia="仿宋_GB2312" w:cs="仿宋_GB2312"/>
          <w:bCs/>
          <w:sz w:val="32"/>
          <w:szCs w:val="32"/>
          <w:lang w:eastAsia="zh-CN"/>
        </w:rPr>
        <w:t>我市</w:t>
      </w:r>
      <w:r>
        <w:rPr>
          <w:rFonts w:hint="eastAsia" w:ascii="仿宋_GB2312" w:hAnsi="黑体" w:eastAsia="仿宋_GB2312" w:cs="仿宋_GB2312"/>
          <w:bCs/>
          <w:sz w:val="32"/>
          <w:szCs w:val="32"/>
        </w:rPr>
        <w:t>将本级财政预算资金支出全部纳入绩效评价范围，</w:t>
      </w:r>
      <w:r>
        <w:rPr>
          <w:rFonts w:hint="eastAsia" w:ascii="仿宋_GB2312" w:eastAsia="仿宋_GB2312"/>
          <w:bCs/>
          <w:sz w:val="32"/>
          <w:szCs w:val="32"/>
        </w:rPr>
        <w:t>选取本级财政项目支出中175个开展重点绩效评价，涉及资金总额8.38亿元，其中重点支出项目174个，财政政策项目1个。一是建立绩效评估机制。按照“谁申请资金，谁设定目标”的原则，将绩效目标设置作为预算安排的前置条件，构建事前事中事后绩效管理闭环系统。二是强化绩效目标管理。将绩效目标设置作为预算安排的前置条件，加强绩效目标审核，将绩效目标与预算同步批复下达。三是强化评价结果应用。将绩效评价结果和单位目标奖及下一年部门预算挂钩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2021-07-13T01:15:19Z</dcterms:created>
  <dc:creator>Administrator</dc:creator>
  <cp:lastModifiedBy> 救世主 ！</cp:lastModifiedBy>
  <dcterms:modified xsi:type="dcterms:W3CDTF">2021-07-13T01:16:18Z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