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color w:val="000000"/>
          <w:sz w:val="44"/>
          <w:szCs w:val="44"/>
          <w:lang w:eastAsia="zh-CN"/>
        </w:rPr>
        <w:t>四川省峨眉山市委组织部</w:t>
      </w:r>
    </w:p>
    <w:p>
      <w:pPr>
        <w:spacing w:line="6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2018</w:t>
      </w:r>
      <w:r>
        <w:rPr>
          <w:rFonts w:hint="eastAsia" w:ascii="方正小标宋简体" w:hAnsi="宋体" w:eastAsia="方正小标宋简体"/>
          <w:color w:val="000000"/>
          <w:sz w:val="44"/>
          <w:szCs w:val="44"/>
        </w:rPr>
        <w:t>年部门决算编制说明</w:t>
      </w:r>
    </w:p>
    <w:p>
      <w:pPr>
        <w:spacing w:line="600" w:lineRule="exact"/>
        <w:jc w:val="center"/>
        <w:rPr>
          <w:rFonts w:hint="eastAsia" w:ascii="宋体" w:hAnsi="宋体"/>
          <w:b/>
          <w:color w:val="000000"/>
          <w:sz w:val="44"/>
          <w:szCs w:val="44"/>
        </w:rPr>
      </w:pPr>
    </w:p>
    <w:p>
      <w:pPr>
        <w:spacing w:line="600" w:lineRule="exact"/>
        <w:ind w:firstLine="640" w:firstLineChars="200"/>
        <w:outlineLvl w:val="1"/>
        <w:rPr>
          <w:rFonts w:hint="eastAsia" w:ascii="黑体" w:hAnsi="黑体" w:eastAsia="黑体"/>
          <w:sz w:val="32"/>
          <w:szCs w:val="32"/>
        </w:rPr>
      </w:pPr>
      <w:r>
        <w:rPr>
          <w:rFonts w:hint="eastAsia" w:ascii="黑体" w:hAnsi="黑体" w:eastAsia="黑体"/>
          <w:sz w:val="32"/>
          <w:szCs w:val="32"/>
        </w:rPr>
        <w:t>一、基本职能及主要工作</w:t>
      </w:r>
    </w:p>
    <w:p>
      <w:pPr>
        <w:adjustRightInd w:val="0"/>
        <w:snapToGrid w:val="0"/>
        <w:spacing w:line="576" w:lineRule="exact"/>
        <w:ind w:firstLine="640" w:firstLineChars="200"/>
        <w:rPr>
          <w:rFonts w:hint="eastAsia" w:ascii="仿宋_GB2312" w:hAnsi="仿宋_GB2312" w:eastAsia="仿宋_GB2312" w:cs="仿宋_GB2312"/>
          <w:bCs/>
          <w:snapToGrid w:val="0"/>
          <w:kern w:val="0"/>
          <w:sz w:val="32"/>
          <w:szCs w:val="32"/>
        </w:rPr>
      </w:pPr>
      <w:r>
        <w:rPr>
          <w:rFonts w:hint="eastAsia" w:ascii="仿宋" w:hAnsi="仿宋" w:eastAsia="仿宋"/>
          <w:sz w:val="32"/>
          <w:szCs w:val="32"/>
        </w:rPr>
        <w:t>基本职能：</w:t>
      </w:r>
      <w:r>
        <w:rPr>
          <w:rFonts w:hint="eastAsia" w:ascii="仿宋_GB2312" w:hAnsi="仿宋_GB2312" w:eastAsia="仿宋_GB2312" w:cs="仿宋_GB2312"/>
          <w:bCs/>
          <w:snapToGrid w:val="0"/>
          <w:kern w:val="0"/>
          <w:sz w:val="32"/>
          <w:szCs w:val="32"/>
        </w:rPr>
        <w:t>贯彻新时代党的建设总要求和新时代党的组织路线，落实党中央、省委的方针政策和乐山市委、峨眉山市委的决策部署。（一）负责全市党的组织体系、组织制度建设，负责基层党</w:t>
      </w:r>
      <w:r>
        <w:rPr>
          <w:rFonts w:hint="eastAsia" w:ascii="仿宋_GB2312" w:hAnsi="仿宋_GB2312" w:eastAsia="仿宋_GB2312" w:cs="仿宋_GB2312"/>
          <w:bCs/>
          <w:snapToGrid w:val="0"/>
          <w:w w:val="95"/>
          <w:kern w:val="0"/>
          <w:sz w:val="32"/>
          <w:szCs w:val="32"/>
        </w:rPr>
        <w:t>组织建设规划指导和党员队伍宏观管理，指导开展党员教育工作。</w:t>
      </w:r>
      <w:r>
        <w:rPr>
          <w:rFonts w:hint="eastAsia" w:ascii="仿宋_GB2312" w:hAnsi="仿宋_GB2312" w:eastAsia="仿宋_GB2312" w:cs="仿宋_GB2312"/>
          <w:bCs/>
          <w:snapToGrid w:val="0"/>
          <w:kern w:val="0"/>
          <w:sz w:val="32"/>
          <w:szCs w:val="32"/>
        </w:rPr>
        <w:t>（二）负责全市领导班子和干部队伍建设的总体规划和宏观管理。负责市委管理领导班子和领导干部的考察考核、日常管理，提出调整配备建议，审核办理任免</w:t>
      </w:r>
      <w:r>
        <w:rPr>
          <w:rFonts w:hint="eastAsia" w:ascii="仿宋_GB2312" w:hAnsi="仿宋_GB2312" w:eastAsia="仿宋_GB2312" w:cs="仿宋_GB2312"/>
          <w:bCs/>
          <w:snapToGrid w:val="0"/>
          <w:color w:val="auto"/>
          <w:kern w:val="0"/>
          <w:sz w:val="32"/>
          <w:szCs w:val="32"/>
        </w:rPr>
        <w:t>、兼职、退休、工资待</w:t>
      </w:r>
      <w:r>
        <w:rPr>
          <w:rFonts w:hint="eastAsia" w:ascii="仿宋_GB2312" w:hAnsi="仿宋_GB2312" w:eastAsia="仿宋_GB2312" w:cs="仿宋_GB2312"/>
          <w:bCs/>
          <w:snapToGrid w:val="0"/>
          <w:kern w:val="0"/>
          <w:sz w:val="32"/>
          <w:szCs w:val="32"/>
        </w:rPr>
        <w:t>遇等有关事项。负责全市优秀年轻干部队伍建设工作。（三）负责管理全市公务员工作。牵头拟订和组织实施公务员管理政策，承担公务员录用、调配、</w:t>
      </w:r>
      <w:r>
        <w:rPr>
          <w:rFonts w:hint="eastAsia" w:ascii="仿宋_GB2312" w:hAnsi="仿宋_GB2312" w:eastAsia="仿宋_GB2312" w:cs="仿宋_GB2312"/>
          <w:bCs/>
          <w:snapToGrid w:val="0"/>
          <w:color w:val="auto"/>
          <w:kern w:val="0"/>
          <w:sz w:val="32"/>
          <w:szCs w:val="32"/>
        </w:rPr>
        <w:t>培训、考核、监督、奖惩</w:t>
      </w:r>
      <w:r>
        <w:rPr>
          <w:rFonts w:hint="eastAsia" w:ascii="仿宋_GB2312" w:hAnsi="仿宋_GB2312" w:eastAsia="仿宋_GB2312" w:cs="仿宋_GB2312"/>
          <w:bCs/>
          <w:snapToGrid w:val="0"/>
          <w:kern w:val="0"/>
          <w:sz w:val="32"/>
          <w:szCs w:val="32"/>
        </w:rPr>
        <w:t>等工作，指导公务员绩效管理工作。（四）负责全市人才工作的宏观指导、组织协调和督促检查，牵头推进人才发展体制机制改革和政策创新，牵头推进市校（院、企）战略合作、人才对外开放、党委联系服务专家工作，统筹组织实施重大人才工程和人才表彰表扬奖励。（五）负责全市干部教育培训工作的宏观指导、政策规划、组织协调和督促检查，负责市重点培训项目的策划、实施和管理，指导全市干部教育培训基地建设管理、师资队伍建设等工作。（六）负责全市组织</w:t>
      </w:r>
      <w:r>
        <w:rPr>
          <w:rFonts w:hint="eastAsia" w:ascii="仿宋_GB2312" w:hAnsi="仿宋_GB2312" w:eastAsia="仿宋_GB2312" w:cs="仿宋_GB2312"/>
          <w:bCs/>
          <w:snapToGrid w:val="0"/>
          <w:kern w:val="0"/>
          <w:sz w:val="32"/>
          <w:szCs w:val="32"/>
          <w:lang w:eastAsia="zh-CN"/>
        </w:rPr>
        <w:t>部门</w:t>
      </w:r>
      <w:r>
        <w:rPr>
          <w:rFonts w:hint="eastAsia" w:ascii="仿宋_GB2312" w:hAnsi="仿宋_GB2312" w:eastAsia="仿宋_GB2312" w:cs="仿宋_GB2312"/>
          <w:bCs/>
          <w:snapToGrid w:val="0"/>
          <w:kern w:val="0"/>
          <w:sz w:val="32"/>
          <w:szCs w:val="32"/>
        </w:rPr>
        <w:t>干部监督工作的宏观指导和综合协调，制定和落实干部监督工作制度，组织开展对选人用人工作情况的监督检查，受理和办理有关问题举报，组织实施领导干部报告个人有关事项，配合上级组织</w:t>
      </w:r>
      <w:r>
        <w:rPr>
          <w:rFonts w:hint="eastAsia" w:ascii="仿宋_GB2312" w:hAnsi="仿宋_GB2312" w:eastAsia="仿宋_GB2312" w:cs="仿宋_GB2312"/>
          <w:bCs/>
          <w:snapToGrid w:val="0"/>
          <w:color w:val="auto"/>
          <w:kern w:val="0"/>
          <w:sz w:val="32"/>
          <w:szCs w:val="32"/>
        </w:rPr>
        <w:t>部门做好抽</w:t>
      </w:r>
      <w:r>
        <w:rPr>
          <w:rFonts w:hint="eastAsia" w:ascii="仿宋_GB2312" w:hAnsi="仿宋_GB2312" w:eastAsia="仿宋_GB2312" w:cs="仿宋_GB2312"/>
          <w:bCs/>
          <w:snapToGrid w:val="0"/>
          <w:kern w:val="0"/>
          <w:sz w:val="32"/>
          <w:szCs w:val="32"/>
        </w:rPr>
        <w:t>查核实工作。（七）负责贯彻落实老干部工作制度，做好全市老干部服务管理工作，加强</w:t>
      </w:r>
      <w:r>
        <w:rPr>
          <w:rFonts w:hint="eastAsia" w:ascii="仿宋" w:hAnsi="仿宋" w:eastAsia="仿宋"/>
          <w:sz w:val="32"/>
          <w:szCs w:val="32"/>
        </w:rPr>
        <w:t>老干部政治建设、思想建设，落实老干部政治待遇、生活待遇，负责协调处理老干部相关事宜，组织开展正能量系列主题活动，发挥老干部余热。</w:t>
      </w:r>
      <w:r>
        <w:rPr>
          <w:rFonts w:hint="eastAsia" w:ascii="仿宋_GB2312" w:hAnsi="仿宋_GB2312" w:eastAsia="仿宋_GB2312" w:cs="仿宋_GB2312"/>
          <w:bCs/>
          <w:snapToGrid w:val="0"/>
          <w:kern w:val="0"/>
          <w:sz w:val="32"/>
          <w:szCs w:val="32"/>
        </w:rPr>
        <w:t>（八）统一管理市委机构编制委员会办公室</w:t>
      </w:r>
      <w:r>
        <w:rPr>
          <w:rFonts w:hint="eastAsia" w:ascii="仿宋_GB2312" w:hAnsi="仿宋_GB2312" w:eastAsia="仿宋_GB2312" w:cs="仿宋_GB2312"/>
          <w:bCs/>
          <w:snapToGrid w:val="0"/>
          <w:color w:val="auto"/>
          <w:kern w:val="0"/>
          <w:sz w:val="32"/>
          <w:szCs w:val="32"/>
        </w:rPr>
        <w:t>。</w:t>
      </w:r>
      <w:r>
        <w:rPr>
          <w:rFonts w:hint="eastAsia" w:ascii="仿宋_GB2312" w:hAnsi="仿宋_GB2312" w:eastAsia="仿宋_GB2312" w:cs="仿宋_GB2312"/>
          <w:bCs/>
          <w:snapToGrid w:val="0"/>
          <w:kern w:val="0"/>
          <w:sz w:val="32"/>
          <w:szCs w:val="32"/>
        </w:rPr>
        <w:t>（</w:t>
      </w:r>
      <w:r>
        <w:rPr>
          <w:rFonts w:hint="eastAsia" w:ascii="仿宋_GB2312" w:hAnsi="黑体" w:eastAsia="仿宋_GB2312"/>
          <w:sz w:val="32"/>
          <w:szCs w:val="32"/>
        </w:rPr>
        <w:t>九</w:t>
      </w:r>
      <w:r>
        <w:rPr>
          <w:rFonts w:hint="eastAsia" w:ascii="仿宋_GB2312" w:hAnsi="仿宋_GB2312" w:eastAsia="仿宋_GB2312" w:cs="仿宋_GB2312"/>
          <w:bCs/>
          <w:snapToGrid w:val="0"/>
          <w:kern w:val="0"/>
          <w:sz w:val="32"/>
          <w:szCs w:val="32"/>
        </w:rPr>
        <w:t>）承担市委党建工作领导小组、市人才工作领导小组的日常工作。</w:t>
      </w:r>
      <w:r>
        <w:rPr>
          <w:rFonts w:hint="eastAsia" w:ascii="仿宋_GB2312" w:hAnsi="黑体" w:eastAsia="仿宋_GB2312"/>
          <w:sz w:val="32"/>
          <w:szCs w:val="32"/>
        </w:rPr>
        <w:t>（十）负责职责范围内的安全生产和职业健康、生态环境保护等工作。</w:t>
      </w:r>
      <w:r>
        <w:rPr>
          <w:rFonts w:hint="eastAsia" w:ascii="仿宋_GB2312" w:hAnsi="仿宋_GB2312" w:eastAsia="仿宋_GB2312" w:cs="仿宋_GB2312"/>
          <w:bCs/>
          <w:snapToGrid w:val="0"/>
          <w:kern w:val="0"/>
          <w:sz w:val="32"/>
          <w:szCs w:val="32"/>
        </w:rPr>
        <w:t>（十一）完成市委交办的其他任务。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sz w:val="32"/>
          <w:szCs w:val="32"/>
          <w:lang w:eastAsia="zh-CN"/>
        </w:rPr>
      </w:pPr>
      <w:r>
        <w:rPr>
          <w:rFonts w:hint="eastAsia" w:ascii="黑体" w:hAnsi="黑体" w:eastAsia="黑体" w:cs="黑体"/>
          <w:b/>
          <w:sz w:val="32"/>
          <w:szCs w:val="32"/>
        </w:rPr>
        <w:t>201</w:t>
      </w:r>
      <w:r>
        <w:rPr>
          <w:rFonts w:hint="eastAsia" w:ascii="黑体" w:hAnsi="黑体" w:eastAsia="黑体" w:cs="黑体"/>
          <w:b/>
          <w:sz w:val="32"/>
          <w:szCs w:val="32"/>
          <w:lang w:val="en-US" w:eastAsia="zh-CN"/>
        </w:rPr>
        <w:t>8</w:t>
      </w:r>
      <w:r>
        <w:rPr>
          <w:rFonts w:hint="eastAsia" w:ascii="黑体" w:hAnsi="黑体" w:eastAsia="黑体" w:cs="黑体"/>
          <w:b/>
          <w:sz w:val="32"/>
          <w:szCs w:val="32"/>
        </w:rPr>
        <w:t>年重点工作</w:t>
      </w:r>
      <w:r>
        <w:rPr>
          <w:rFonts w:hint="eastAsia" w:ascii="黑体" w:hAnsi="黑体" w:eastAsia="黑体" w:cs="黑体"/>
          <w:b/>
          <w:sz w:val="32"/>
          <w:szCs w:val="32"/>
          <w:lang w:eastAsia="zh-CN"/>
        </w:rPr>
        <w:t>完成情况</w:t>
      </w:r>
      <w:r>
        <w:rPr>
          <w:rFonts w:hint="eastAsia" w:ascii="黑体" w:hAnsi="黑体" w:eastAsia="黑体" w:cs="黑体"/>
          <w:sz w:val="32"/>
          <w:szCs w:val="32"/>
        </w:rPr>
        <w:t>：</w:t>
      </w:r>
      <w:r>
        <w:rPr>
          <w:rFonts w:hint="eastAsia" w:ascii="仿宋" w:hAnsi="仿宋" w:eastAsia="仿宋"/>
          <w:sz w:val="32"/>
          <w:szCs w:val="32"/>
          <w:lang w:val="en-US" w:eastAsia="zh-CN"/>
        </w:rPr>
        <w:t>1.</w:t>
      </w:r>
      <w:r>
        <w:rPr>
          <w:rFonts w:hint="eastAsia" w:ascii="仿宋" w:hAnsi="仿宋" w:eastAsia="仿宋"/>
          <w:sz w:val="32"/>
          <w:szCs w:val="32"/>
          <w:lang w:eastAsia="zh-CN"/>
        </w:rPr>
        <w:t>全面加强领导班子政治建设。</w:t>
      </w:r>
      <w:r>
        <w:rPr>
          <w:rFonts w:hint="eastAsia" w:ascii="仿宋" w:hAnsi="仿宋" w:eastAsia="仿宋"/>
          <w:sz w:val="32"/>
          <w:szCs w:val="32"/>
          <w:lang w:val="en-US" w:eastAsia="zh-CN"/>
        </w:rPr>
        <w:t>2.</w:t>
      </w:r>
      <w:r>
        <w:rPr>
          <w:rFonts w:hint="eastAsia" w:ascii="仿宋" w:hAnsi="仿宋" w:eastAsia="仿宋"/>
          <w:sz w:val="32"/>
          <w:szCs w:val="32"/>
        </w:rPr>
        <w:t>大力培养高素质专业化干部队伍</w:t>
      </w: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rPr>
        <w:t>从严从实抓好干部管理监督</w:t>
      </w: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rPr>
        <w:t>扎实推进基层党组织建设质量提升</w:t>
      </w:r>
      <w:r>
        <w:rPr>
          <w:rFonts w:hint="eastAsia" w:ascii="仿宋" w:hAnsi="仿宋" w:eastAsia="仿宋"/>
          <w:sz w:val="32"/>
          <w:szCs w:val="32"/>
          <w:lang w:eastAsia="zh-CN"/>
        </w:rPr>
        <w:t>。</w:t>
      </w:r>
      <w:r>
        <w:rPr>
          <w:rFonts w:hint="eastAsia" w:ascii="仿宋" w:hAnsi="仿宋" w:eastAsia="仿宋"/>
          <w:sz w:val="32"/>
          <w:szCs w:val="32"/>
          <w:lang w:val="en-US" w:eastAsia="zh-CN"/>
        </w:rPr>
        <w:t>5.大力推进高素质人才队伍建设。6.</w:t>
      </w:r>
      <w:r>
        <w:rPr>
          <w:rFonts w:hint="eastAsia" w:ascii="仿宋" w:hAnsi="仿宋" w:eastAsia="仿宋"/>
          <w:sz w:val="32"/>
          <w:szCs w:val="32"/>
        </w:rPr>
        <w:t>持续深化抓党建促脱贫攻坚</w:t>
      </w:r>
      <w:r>
        <w:rPr>
          <w:rFonts w:hint="eastAsia" w:ascii="仿宋" w:hAnsi="仿宋" w:eastAsia="仿宋"/>
          <w:sz w:val="32"/>
          <w:szCs w:val="32"/>
          <w:lang w:eastAsia="zh-CN"/>
        </w:rPr>
        <w:t>。</w:t>
      </w:r>
      <w:r>
        <w:rPr>
          <w:rFonts w:hint="eastAsia" w:ascii="仿宋" w:hAnsi="仿宋" w:eastAsia="仿宋"/>
          <w:sz w:val="32"/>
          <w:szCs w:val="32"/>
          <w:lang w:val="en-US" w:eastAsia="zh-CN"/>
        </w:rPr>
        <w:t>7.用心用情做好老干部工作。8.</w:t>
      </w:r>
      <w:r>
        <w:rPr>
          <w:rFonts w:hint="eastAsia" w:ascii="仿宋" w:hAnsi="仿宋" w:eastAsia="仿宋"/>
          <w:sz w:val="32"/>
          <w:szCs w:val="32"/>
          <w:lang w:eastAsia="zh-CN"/>
        </w:rPr>
        <w:t>着力打造过硬队伍和模范部门。</w:t>
      </w:r>
    </w:p>
    <w:p>
      <w:pPr>
        <w:pStyle w:val="2"/>
        <w:adjustRightInd w:val="0"/>
        <w:snapToGrid w:val="0"/>
        <w:spacing w:line="600" w:lineRule="exact"/>
        <w:ind w:firstLine="672" w:firstLineChars="210"/>
        <w:rPr>
          <w:rFonts w:hint="eastAsia" w:eastAsia="仿宋_GB2312"/>
          <w:bCs/>
          <w:color w:val="000000"/>
          <w:sz w:val="32"/>
          <w:szCs w:val="32"/>
          <w:lang w:eastAsia="zh-CN"/>
        </w:rPr>
      </w:pPr>
      <w:r>
        <w:rPr>
          <w:rFonts w:hint="eastAsia"/>
          <w:bCs/>
          <w:color w:val="000000"/>
          <w:sz w:val="32"/>
          <w:szCs w:val="32"/>
          <w:lang w:eastAsia="zh-CN"/>
        </w:rPr>
        <w:t>以上各项工作全部按照乐山市和峨眉山市下达目标完成。</w:t>
      </w:r>
    </w:p>
    <w:p>
      <w:pPr>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rPr>
        <w:t>二、部门概况</w:t>
      </w:r>
    </w:p>
    <w:p>
      <w:pPr>
        <w:pStyle w:val="2"/>
        <w:adjustRightInd w:val="0"/>
        <w:snapToGrid w:val="0"/>
        <w:spacing w:line="600" w:lineRule="exact"/>
        <w:ind w:firstLine="672" w:firstLineChars="210"/>
        <w:rPr>
          <w:rFonts w:hint="eastAsia"/>
          <w:color w:val="000000"/>
          <w:sz w:val="32"/>
          <w:szCs w:val="32"/>
        </w:rPr>
      </w:pPr>
      <w:r>
        <w:rPr>
          <w:rFonts w:hint="eastAsia" w:ascii="仿宋" w:hAnsi="仿宋" w:eastAsia="仿宋"/>
          <w:sz w:val="32"/>
          <w:szCs w:val="32"/>
        </w:rPr>
        <w:t>组织部</w:t>
      </w:r>
      <w:r>
        <w:rPr>
          <w:rFonts w:hint="eastAsia"/>
          <w:color w:val="000000"/>
          <w:sz w:val="32"/>
          <w:szCs w:val="32"/>
        </w:rPr>
        <w:t>下属二级单位</w:t>
      </w:r>
      <w:r>
        <w:rPr>
          <w:rFonts w:hint="eastAsia"/>
          <w:color w:val="000000"/>
          <w:sz w:val="32"/>
          <w:szCs w:val="32"/>
          <w:lang w:val="en-US" w:eastAsia="zh-CN"/>
        </w:rPr>
        <w:t>2</w:t>
      </w:r>
      <w:r>
        <w:rPr>
          <w:rFonts w:hint="eastAsia"/>
          <w:color w:val="000000"/>
          <w:sz w:val="32"/>
          <w:szCs w:val="32"/>
        </w:rPr>
        <w:t>个，其中行政单位</w:t>
      </w:r>
      <w:r>
        <w:rPr>
          <w:rFonts w:hint="eastAsia" w:ascii="微软雅黑" w:hAnsi="微软雅黑" w:eastAsia="微软雅黑" w:cs="微软雅黑"/>
          <w:color w:val="000000"/>
          <w:sz w:val="32"/>
          <w:szCs w:val="32"/>
        </w:rPr>
        <w:t>/</w:t>
      </w:r>
      <w:r>
        <w:rPr>
          <w:rFonts w:hint="eastAsia"/>
          <w:color w:val="000000"/>
          <w:sz w:val="32"/>
          <w:szCs w:val="32"/>
        </w:rPr>
        <w:t>个，参照公务员法管理的事业单位</w:t>
      </w:r>
      <w:r>
        <w:rPr>
          <w:rFonts w:hint="eastAsia"/>
          <w:bCs/>
          <w:color w:val="000000"/>
          <w:sz w:val="32"/>
          <w:szCs w:val="32"/>
          <w:lang w:val="en-US" w:eastAsia="zh-CN"/>
        </w:rPr>
        <w:t>2</w:t>
      </w:r>
      <w:r>
        <w:rPr>
          <w:rFonts w:hint="eastAsia"/>
          <w:color w:val="000000"/>
          <w:sz w:val="32"/>
          <w:szCs w:val="32"/>
        </w:rPr>
        <w:t>个，其他事业单位</w:t>
      </w:r>
      <w:r>
        <w:rPr>
          <w:rFonts w:hint="eastAsia" w:ascii="微软雅黑" w:hAnsi="微软雅黑" w:eastAsia="微软雅黑" w:cs="微软雅黑"/>
          <w:color w:val="000000"/>
          <w:sz w:val="32"/>
          <w:szCs w:val="32"/>
        </w:rPr>
        <w:t>/</w:t>
      </w:r>
      <w:r>
        <w:rPr>
          <w:rFonts w:hint="eastAsia"/>
          <w:color w:val="000000"/>
          <w:sz w:val="32"/>
          <w:szCs w:val="32"/>
        </w:rPr>
        <w:t>个。</w:t>
      </w:r>
    </w:p>
    <w:p>
      <w:pPr>
        <w:spacing w:line="60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rPr>
        <w:t>三、收支决算总体情况</w:t>
      </w:r>
      <w:r>
        <w:rPr>
          <w:rFonts w:hint="eastAsia" w:ascii="黑体" w:eastAsia="黑体"/>
          <w:color w:val="000000"/>
          <w:sz w:val="32"/>
          <w:szCs w:val="32"/>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8">
            <o:LockedField>false</o:LockedField>
          </o:OLEObject>
        </w:object>
      </w:r>
    </w:p>
    <w:p>
      <w:pPr>
        <w:spacing w:line="600" w:lineRule="exact"/>
        <w:ind w:left="319" w:leftChars="152" w:firstLine="320" w:firstLineChars="100"/>
        <w:rPr>
          <w:rFonts w:hint="eastAsia" w:ascii="仿宋_GB2312" w:eastAsia="仿宋_GB2312"/>
          <w:color w:val="000000"/>
          <w:sz w:val="32"/>
          <w:szCs w:val="32"/>
        </w:rPr>
      </w:pPr>
      <w:r>
        <w:rPr>
          <w:rFonts w:hint="eastAsia" w:ascii="仿宋_GB2312" w:eastAsia="仿宋_GB2312"/>
          <w:color w:val="000000"/>
          <w:sz w:val="32"/>
          <w:szCs w:val="32"/>
          <w:lang w:val="en-US" w:eastAsia="zh-CN"/>
        </w:rPr>
        <w:t>2018</w:t>
      </w:r>
      <w:r>
        <w:rPr>
          <w:rFonts w:hint="eastAsia" w:ascii="仿宋_GB2312" w:eastAsia="仿宋_GB2312"/>
          <w:color w:val="000000"/>
          <w:sz w:val="32"/>
          <w:szCs w:val="32"/>
        </w:rPr>
        <w:t>年组织部本年收入合计</w:t>
      </w:r>
      <w:r>
        <w:rPr>
          <w:rFonts w:hint="eastAsia" w:ascii="仿宋_GB2312" w:eastAsia="仿宋_GB2312"/>
          <w:color w:val="000000"/>
          <w:sz w:val="32"/>
          <w:szCs w:val="32"/>
          <w:lang w:val="en-US" w:eastAsia="zh-CN"/>
        </w:rPr>
        <w:t>1313.45</w:t>
      </w:r>
      <w:r>
        <w:rPr>
          <w:rFonts w:hint="eastAsia" w:ascii="仿宋_GB2312" w:eastAsia="仿宋_GB2312"/>
          <w:color w:val="000000"/>
          <w:sz w:val="32"/>
          <w:szCs w:val="32"/>
        </w:rPr>
        <w:t>万元，其中：财政拨款收入</w:t>
      </w:r>
      <w:r>
        <w:rPr>
          <w:rFonts w:hint="eastAsia" w:ascii="仿宋_GB2312" w:eastAsia="仿宋_GB2312"/>
          <w:color w:val="000000"/>
          <w:sz w:val="32"/>
          <w:szCs w:val="32"/>
          <w:lang w:val="en-US" w:eastAsia="zh-CN"/>
        </w:rPr>
        <w:t xml:space="preserve"> 1313.45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%；事业收入</w:t>
      </w:r>
      <w:r>
        <w:rPr>
          <w:rFonts w:hint="eastAsia" w:ascii="仿宋_GB2312" w:eastAsia="仿宋_GB2312"/>
          <w:color w:val="000000"/>
          <w:sz w:val="32"/>
          <w:szCs w:val="32"/>
          <w:lang w:val="en-US" w:eastAsia="zh-CN"/>
        </w:rPr>
        <w:t xml:space="preserve"> 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%；经营收入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 xml:space="preserve">0 </w:t>
      </w:r>
      <w:r>
        <w:rPr>
          <w:rFonts w:hint="eastAsia" w:ascii="仿宋_GB2312" w:eastAsia="仿宋_GB2312"/>
          <w:color w:val="000000"/>
          <w:sz w:val="32"/>
          <w:szCs w:val="32"/>
        </w:rPr>
        <w:t>%；附属单位上缴收入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 xml:space="preserve">0 </w:t>
      </w:r>
      <w:r>
        <w:rPr>
          <w:rFonts w:hint="eastAsia" w:ascii="仿宋_GB2312" w:eastAsia="仿宋_GB2312"/>
          <w:color w:val="000000"/>
          <w:sz w:val="32"/>
          <w:szCs w:val="32"/>
        </w:rPr>
        <w:t>%；其他收入</w:t>
      </w:r>
      <w:r>
        <w:rPr>
          <w:rFonts w:hint="eastAsia" w:ascii="仿宋_GB2312" w:eastAsia="仿宋_GB2312"/>
          <w:color w:val="000000"/>
          <w:sz w:val="32"/>
          <w:szCs w:val="32"/>
          <w:lang w:val="en-US" w:eastAsia="zh-CN"/>
        </w:rPr>
        <w:t xml:space="preserve"> 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left="319" w:leftChars="152" w:firstLine="210" w:firstLineChars="100"/>
        <w:rPr>
          <w:rFonts w:hint="eastAsia" w:ascii="仿宋_GB2312" w:eastAsia="仿宋_GB2312"/>
          <w:color w:val="000000"/>
          <w:sz w:val="32"/>
          <w:szCs w:val="32"/>
        </w:rPr>
      </w:pPr>
      <w:r>
        <w:drawing>
          <wp:anchor distT="0" distB="0" distL="114300" distR="114300" simplePos="0" relativeHeight="251663360" behindDoc="0" locked="0" layoutInCell="1" allowOverlap="1">
            <wp:simplePos x="0" y="0"/>
            <wp:positionH relativeFrom="column">
              <wp:posOffset>426085</wp:posOffset>
            </wp:positionH>
            <wp:positionV relativeFrom="paragraph">
              <wp:posOffset>252095</wp:posOffset>
            </wp:positionV>
            <wp:extent cx="4058285" cy="2038350"/>
            <wp:effectExtent l="4445" t="5080" r="13970" b="13970"/>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olor w:val="000000"/>
          <w:sz w:val="32"/>
          <w:szCs w:val="32"/>
          <w:lang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Chart.8" ShapeID="_x0000_i1026" DrawAspect="Content" ObjectID="_1468075726" r:id="rId10">
            <o:LockedField>false</o:LockedField>
          </o:OLEObject>
        </w:object>
      </w:r>
      <w:r>
        <w:rPr>
          <w:rFonts w:hint="eastAsia" w:ascii="仿宋_GB2312" w:eastAsia="仿宋_GB2312"/>
          <w:color w:val="000000"/>
          <w:sz w:val="32"/>
          <w:szCs w:val="32"/>
          <w:lang w:eastAsia="zh-CN"/>
        </w:rPr>
        <w:object>
          <v:shape id="_x0000_i1027" o:spt="75" type="#_x0000_t75" style="height:0.05pt;width:0.05pt;" o:ole="t" filled="f" stroked="f" coordsize="21600,21600">
            <v:path/>
            <v:fill on="f" focussize="0,0"/>
            <v:stroke on="f"/>
            <v:imagedata o:title=""/>
            <o:lock v:ext="edit" aspectratio="t"/>
            <w10:wrap type="none"/>
            <w10:anchorlock/>
          </v:shape>
          <o:OLEObject Type="Embed" ProgID="Excel.Chart.8" ShapeID="_x0000_i1027" DrawAspect="Content" ObjectID="_1468075727" r:id="rId11">
            <o:LockedField>false</o:LockedField>
          </o:OLEObject>
        </w:object>
      </w:r>
      <w:r>
        <w:rPr>
          <w:rFonts w:hint="eastAsia" w:ascii="仿宋_GB2312" w:eastAsia="仿宋_GB2312"/>
          <w:color w:val="000000"/>
          <w:sz w:val="32"/>
          <w:szCs w:val="32"/>
          <w:lang w:eastAsia="zh-CN"/>
        </w:rPr>
        <w:object>
          <v:shape id="_x0000_i1028" o:spt="75" type="#_x0000_t75" style="height:0.05pt;width:0.05pt;" o:ole="t" filled="f" stroked="f" coordsize="21600,21600">
            <v:path/>
            <v:fill on="f" focussize="0,0"/>
            <v:stroke on="f"/>
            <v:imagedata o:title=""/>
            <o:lock v:ext="edit" aspectratio="t"/>
            <w10:wrap type="none"/>
            <w10:anchorlock/>
          </v:shape>
          <o:OLEObject Type="Embed" ProgID="Excel.Chart.8" ShapeID="_x0000_i1028" DrawAspect="Content" ObjectID="_1468075728" r:id="rId12">
            <o:LockedField>false</o:LockedField>
          </o:OLEObject>
        </w:object>
      </w:r>
      <w:r>
        <w:rPr>
          <w:rFonts w:hint="eastAsia" w:ascii="仿宋_GB2312" w:eastAsia="仿宋_GB2312"/>
          <w:color w:val="000000"/>
          <w:sz w:val="32"/>
          <w:szCs w:val="32"/>
          <w:lang w:eastAsia="zh-CN"/>
        </w:rPr>
        <w:object>
          <v:shape id="_x0000_i1029" o:spt="75" type="#_x0000_t75" style="height:0.05pt;width:0.05pt;" o:ole="t" filled="f" stroked="f" coordsize="21600,21600">
            <v:path/>
            <v:fill on="f" focussize="0,0"/>
            <v:stroke on="f"/>
            <v:imagedata o:title=""/>
            <o:lock v:ext="edit" aspectratio="t"/>
            <w10:wrap type="none"/>
            <w10:anchorlock/>
          </v:shape>
          <o:OLEObject Type="Embed" ProgID="Excel.Chart.8" ShapeID="_x0000_i1029" DrawAspect="Content" ObjectID="_1468075729" r:id="rId13">
            <o:LockedField>false</o:LockedField>
          </o:OLEObject>
        </w:object>
      </w:r>
      <w:r>
        <w:rPr>
          <w:rFonts w:hint="eastAsia" w:ascii="仿宋_GB2312" w:eastAsia="仿宋_GB2312"/>
          <w:color w:val="000000"/>
          <w:sz w:val="32"/>
          <w:szCs w:val="32"/>
          <w:lang w:eastAsia="zh-CN"/>
        </w:rPr>
        <w:object>
          <v:shape id="_x0000_i1030" o:spt="75" type="#_x0000_t75" style="height:0.05pt;width:0.05pt;" o:ole="t" filled="f" stroked="f" coordsize="21600,21600">
            <v:path/>
            <v:fill on="f" focussize="0,0"/>
            <v:stroke on="f"/>
            <v:imagedata o:title=""/>
            <o:lock v:ext="edit" aspectratio="t"/>
            <w10:wrap type="none"/>
            <w10:anchorlock/>
          </v:shape>
          <o:OLEObject Type="Embed" ProgID="Excel.Chart.8" ShapeID="_x0000_i1030" DrawAspect="Content" ObjectID="_1468075730" r:id="rId14">
            <o:LockedField>false</o:LockedField>
          </o:OLEObject>
        </w:object>
      </w:r>
      <w:r>
        <w:rPr>
          <w:rFonts w:hint="eastAsia" w:ascii="仿宋_GB2312" w:eastAsia="仿宋_GB2312"/>
          <w:color w:val="000000"/>
          <w:sz w:val="32"/>
          <w:szCs w:val="32"/>
          <w:lang w:eastAsia="zh-CN"/>
        </w:rPr>
        <w:object>
          <v:shape id="_x0000_i1031" o:spt="75" type="#_x0000_t75" style="height:0.05pt;width:0.05pt;" o:ole="t" filled="f" stroked="f" coordsize="21600,21600">
            <v:path/>
            <v:fill on="f" focussize="0,0"/>
            <v:stroke on="f"/>
            <v:imagedata o:title=""/>
            <o:lock v:ext="edit" aspectratio="t"/>
            <w10:wrap type="none"/>
            <w10:anchorlock/>
          </v:shape>
          <o:OLEObject Type="Embed" ProgID="Excel.Chart.8" ShapeID="_x0000_i1031" DrawAspect="Content" ObjectID="_1468075731" r:id="rId15">
            <o:LockedField>false</o:LockedField>
          </o:OLEObject>
        </w:object>
      </w:r>
      <w:r>
        <w:rPr>
          <w:rFonts w:hint="eastAsia" w:ascii="仿宋_GB2312" w:eastAsia="仿宋_GB2312"/>
          <w:color w:val="000000"/>
          <w:sz w:val="32"/>
          <w:szCs w:val="32"/>
          <w:lang w:eastAsia="zh-CN"/>
        </w:rPr>
        <w:object>
          <v:shape id="_x0000_i1032" o:spt="75" type="#_x0000_t75" style="height:0.05pt;width:0.05pt;" o:ole="t" filled="f" stroked="f" coordsize="21600,21600">
            <v:path/>
            <v:fill on="f" focussize="0,0"/>
            <v:stroke on="f"/>
            <v:imagedata o:title=""/>
            <o:lock v:ext="edit" aspectratio="t"/>
            <w10:wrap type="none"/>
            <w10:anchorlock/>
          </v:shape>
          <o:OLEObject Type="Embed" ProgID="Excel.Chart.8" ShapeID="_x0000_i1032" DrawAspect="Content" ObjectID="_1468075732" r:id="rId16">
            <o:LockedField>false</o:LockedField>
          </o:OLEObject>
        </w:objec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年组织部本年支出合计</w:t>
      </w:r>
      <w:r>
        <w:rPr>
          <w:rFonts w:hint="eastAsia" w:ascii="仿宋_GB2312" w:eastAsia="仿宋_GB2312"/>
          <w:color w:val="000000"/>
          <w:sz w:val="32"/>
          <w:szCs w:val="32"/>
          <w:lang w:val="en-US" w:eastAsia="zh-CN"/>
        </w:rPr>
        <w:t>1307.02</w:t>
      </w:r>
      <w:r>
        <w:rPr>
          <w:rFonts w:hint="eastAsia" w:ascii="仿宋_GB2312" w:eastAsia="仿宋_GB2312"/>
          <w:color w:val="000000"/>
          <w:sz w:val="32"/>
          <w:szCs w:val="32"/>
        </w:rPr>
        <w:t>万元，其中：基本支出</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lang w:val="en-US" w:eastAsia="zh-CN"/>
        </w:rPr>
        <w:t>586.55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44.90</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720.47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55.1</w:t>
      </w:r>
      <w:r>
        <w:rPr>
          <w:rFonts w:hint="eastAsia" w:ascii="仿宋_GB2312" w:eastAsia="仿宋_GB2312"/>
          <w:color w:val="000000"/>
          <w:sz w:val="32"/>
          <w:szCs w:val="32"/>
        </w:rPr>
        <w:t>%；上缴上级支出0万元，占0%；经营支出0万元，占0%；对附属单位补助支出0万元，占0%。</w:t>
      </w:r>
    </w:p>
    <w:p>
      <w:pPr>
        <w:spacing w:line="600" w:lineRule="exact"/>
        <w:rPr>
          <w:rFonts w:hint="eastAsia" w:ascii="黑体" w:eastAsia="黑体"/>
          <w:color w:val="000000"/>
          <w:sz w:val="32"/>
          <w:szCs w:val="32"/>
        </w:rPr>
      </w:pPr>
      <w:r>
        <w:drawing>
          <wp:anchor distT="0" distB="0" distL="114300" distR="114300" simplePos="0" relativeHeight="251664384" behindDoc="0" locked="0" layoutInCell="1" allowOverlap="1">
            <wp:simplePos x="0" y="0"/>
            <wp:positionH relativeFrom="column">
              <wp:posOffset>442595</wp:posOffset>
            </wp:positionH>
            <wp:positionV relativeFrom="paragraph">
              <wp:posOffset>109220</wp:posOffset>
            </wp:positionV>
            <wp:extent cx="4304665" cy="1990725"/>
            <wp:effectExtent l="4445" t="4445" r="15240" b="5080"/>
            <wp:wrapTopAndBottom/>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rPr>
          <w:rFonts w:hint="eastAsia" w:ascii="仿宋_GB2312" w:eastAsia="仿宋_GB2312"/>
          <w:color w:val="000000"/>
          <w:sz w:val="32"/>
          <w:szCs w:val="32"/>
        </w:rPr>
      </w:pPr>
      <w:r>
        <w:rPr>
          <w:rFonts w:hint="eastAsia" w:ascii="黑体" w:eastAsia="黑体"/>
          <w:color w:val="000000"/>
          <w:sz w:val="32"/>
          <w:szCs w:val="32"/>
        </w:rPr>
        <w:t>四、财政拨款收支决算情况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组织部20</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年度财政拨款收支总决算</w:t>
      </w:r>
      <w:r>
        <w:rPr>
          <w:rFonts w:hint="eastAsia" w:ascii="仿宋_GB2312" w:eastAsia="仿宋_GB2312"/>
          <w:color w:val="000000"/>
          <w:sz w:val="32"/>
          <w:szCs w:val="32"/>
          <w:lang w:val="en-US" w:eastAsia="zh-CN"/>
        </w:rPr>
        <w:t>1273.25</w:t>
      </w:r>
      <w:r>
        <w:rPr>
          <w:rFonts w:hint="eastAsia" w:ascii="仿宋_GB2312" w:eastAsia="仿宋_GB2312"/>
          <w:color w:val="000000"/>
          <w:sz w:val="32"/>
          <w:szCs w:val="32"/>
        </w:rPr>
        <w:t>万元。与</w:t>
      </w:r>
      <w:r>
        <w:rPr>
          <w:rFonts w:hint="eastAsia" w:ascii="仿宋_GB2312" w:eastAsia="仿宋_GB2312"/>
          <w:color w:val="000000"/>
          <w:sz w:val="32"/>
          <w:szCs w:val="32"/>
          <w:lang w:val="en-US" w:eastAsia="zh-CN"/>
        </w:rPr>
        <w:t>2017</w:t>
      </w:r>
      <w:r>
        <w:rPr>
          <w:rFonts w:hint="eastAsia" w:ascii="仿宋_GB2312" w:eastAsia="仿宋_GB2312"/>
          <w:color w:val="000000"/>
          <w:sz w:val="32"/>
          <w:szCs w:val="32"/>
        </w:rPr>
        <w:t>年相比，财政拨款收、支总计各</w:t>
      </w:r>
      <w:r>
        <w:rPr>
          <w:rFonts w:hint="eastAsia" w:ascii="仿宋_GB2312" w:eastAsia="仿宋_GB2312"/>
          <w:color w:val="000000"/>
          <w:sz w:val="32"/>
          <w:szCs w:val="32"/>
          <w:lang w:val="en-US" w:eastAsia="zh-CN"/>
        </w:rPr>
        <w:t>减少200.72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 xml:space="preserve">13.62 </w:t>
      </w:r>
      <w:r>
        <w:rPr>
          <w:rFonts w:hint="eastAsia" w:ascii="仿宋_GB2312" w:eastAsia="仿宋_GB2312"/>
          <w:color w:val="000000"/>
          <w:sz w:val="32"/>
          <w:szCs w:val="32"/>
        </w:rPr>
        <w:t>%。</w:t>
      </w:r>
    </w:p>
    <w:p>
      <w:pPr>
        <w:spacing w:line="600" w:lineRule="exact"/>
        <w:ind w:firstLine="420" w:firstLineChars="200"/>
        <w:rPr>
          <w:rFonts w:hint="eastAsia" w:ascii="仿宋_GB2312" w:eastAsia="仿宋_GB2312"/>
          <w:b/>
          <w:i/>
          <w:color w:val="404040"/>
          <w:sz w:val="32"/>
          <w:szCs w:val="32"/>
        </w:rPr>
      </w:pPr>
      <w:r>
        <w:drawing>
          <wp:anchor distT="0" distB="0" distL="114300" distR="114300" simplePos="0" relativeHeight="251665408" behindDoc="0" locked="0" layoutInCell="1" allowOverlap="1">
            <wp:simplePos x="0" y="0"/>
            <wp:positionH relativeFrom="column">
              <wp:posOffset>318770</wp:posOffset>
            </wp:positionH>
            <wp:positionV relativeFrom="paragraph">
              <wp:posOffset>175895</wp:posOffset>
            </wp:positionV>
            <wp:extent cx="4068445" cy="1809750"/>
            <wp:effectExtent l="4445" t="4445" r="22860" b="14605"/>
            <wp:wrapTopAndBottom/>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仿宋_GB2312" w:eastAsia="仿宋_GB2312"/>
          <w:b/>
          <w:i/>
          <w:color w:val="404040"/>
          <w:sz w:val="32"/>
          <w:szCs w:val="32"/>
        </w:rPr>
        <w:t>（数据来源财决Z01-1表，口径为“总计”数）</w:t>
      </w:r>
    </w:p>
    <w:p>
      <w:pPr>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rPr>
        <w:t>五、一般公共预算财政拨款支出决算情况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（一）一般公共预算财政拨款支出决算总体情况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组织部201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年度一般公共预算财政拨款支出</w:t>
      </w:r>
      <w:r>
        <w:rPr>
          <w:rFonts w:hint="eastAsia" w:ascii="仿宋_GB2312" w:eastAsia="仿宋_GB2312"/>
          <w:color w:val="000000"/>
          <w:sz w:val="32"/>
          <w:szCs w:val="32"/>
          <w:lang w:val="en-US" w:eastAsia="zh-CN"/>
        </w:rPr>
        <w:t>1266.82</w:t>
      </w:r>
      <w:r>
        <w:rPr>
          <w:rFonts w:hint="eastAsia" w:ascii="仿宋_GB2312" w:eastAsia="仿宋_GB2312"/>
          <w:color w:val="000000"/>
          <w:sz w:val="32"/>
          <w:szCs w:val="32"/>
        </w:rPr>
        <w:t>万元，占本年支出合计的</w:t>
      </w:r>
      <w:r>
        <w:rPr>
          <w:rFonts w:hint="eastAsia" w:ascii="仿宋_GB2312" w:eastAsia="仿宋_GB2312"/>
          <w:color w:val="000000"/>
          <w:sz w:val="32"/>
          <w:szCs w:val="32"/>
          <w:lang w:val="en-US" w:eastAsia="zh-CN"/>
        </w:rPr>
        <w:t>96.90</w:t>
      </w:r>
      <w:r>
        <w:rPr>
          <w:rFonts w:hint="eastAsia" w:ascii="仿宋_GB2312" w:eastAsia="仿宋_GB2312"/>
          <w:color w:val="000000"/>
          <w:sz w:val="32"/>
          <w:szCs w:val="32"/>
        </w:rPr>
        <w:t>%。与</w:t>
      </w:r>
      <w:r>
        <w:rPr>
          <w:rFonts w:hint="eastAsia" w:ascii="仿宋_GB2312" w:eastAsia="仿宋_GB2312"/>
          <w:color w:val="000000"/>
          <w:sz w:val="32"/>
          <w:szCs w:val="32"/>
          <w:lang w:val="en-US" w:eastAsia="zh-CN"/>
        </w:rPr>
        <w:t>2017</w:t>
      </w:r>
      <w:r>
        <w:rPr>
          <w:rFonts w:hint="eastAsia" w:ascii="仿宋_GB2312" w:eastAsia="仿宋_GB2312"/>
          <w:color w:val="000000"/>
          <w:sz w:val="32"/>
          <w:szCs w:val="32"/>
        </w:rPr>
        <w:t>年相比，一般公共预算财政拨款</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183.92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12.7</w:t>
      </w:r>
      <w:r>
        <w:rPr>
          <w:rFonts w:hint="eastAsia" w:ascii="仿宋_GB2312" w:eastAsia="仿宋_GB2312"/>
          <w:color w:val="000000"/>
          <w:sz w:val="32"/>
          <w:szCs w:val="32"/>
        </w:rPr>
        <w:t>%。（柱状图）</w:t>
      </w:r>
    </w:p>
    <w:p>
      <w:pPr>
        <w:spacing w:line="600" w:lineRule="exact"/>
        <w:ind w:firstLine="420" w:firstLineChars="200"/>
        <w:rPr>
          <w:rFonts w:hint="eastAsia" w:ascii="仿宋_GB2312" w:eastAsia="仿宋_GB2312"/>
          <w:color w:val="000000"/>
          <w:sz w:val="32"/>
          <w:szCs w:val="32"/>
        </w:rPr>
      </w:pPr>
      <w:r>
        <w:drawing>
          <wp:anchor distT="0" distB="0" distL="114300" distR="114300" simplePos="0" relativeHeight="251666432" behindDoc="0" locked="0" layoutInCell="1" allowOverlap="1">
            <wp:simplePos x="0" y="0"/>
            <wp:positionH relativeFrom="column">
              <wp:posOffset>642620</wp:posOffset>
            </wp:positionH>
            <wp:positionV relativeFrom="paragraph">
              <wp:posOffset>42545</wp:posOffset>
            </wp:positionV>
            <wp:extent cx="4352290" cy="2094865"/>
            <wp:effectExtent l="4445" t="4445" r="5715" b="15240"/>
            <wp:wrapTopAndBottom/>
            <wp:docPr id="1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（二）一般公共预算财政拨款支出决算结构情况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组织部20</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年一般公共预算财政拨款支出</w:t>
      </w:r>
      <w:r>
        <w:rPr>
          <w:rFonts w:hint="eastAsia" w:ascii="仿宋_GB2312" w:eastAsia="仿宋_GB2312"/>
          <w:color w:val="000000"/>
          <w:sz w:val="32"/>
          <w:szCs w:val="32"/>
          <w:lang w:val="en-US" w:eastAsia="zh-CN"/>
        </w:rPr>
        <w:t>1266.82</w:t>
      </w:r>
      <w:r>
        <w:rPr>
          <w:rFonts w:hint="eastAsia" w:ascii="仿宋_GB2312" w:eastAsia="仿宋_GB2312"/>
          <w:color w:val="000000"/>
          <w:sz w:val="32"/>
          <w:szCs w:val="32"/>
        </w:rPr>
        <w:t>万元，主要用于以下方面:一般公共服务支出</w:t>
      </w:r>
      <w:r>
        <w:rPr>
          <w:rFonts w:hint="eastAsia" w:ascii="仿宋_GB2312" w:eastAsia="仿宋_GB2312"/>
          <w:color w:val="000000"/>
          <w:sz w:val="32"/>
          <w:szCs w:val="32"/>
          <w:lang w:val="en-US" w:eastAsia="zh-CN"/>
        </w:rPr>
        <w:t>1135.50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 xml:space="preserve">89.6 </w:t>
      </w:r>
      <w:r>
        <w:rPr>
          <w:rFonts w:hint="eastAsia" w:ascii="仿宋_GB2312" w:eastAsia="仿宋_GB2312"/>
          <w:color w:val="000000"/>
          <w:sz w:val="32"/>
          <w:szCs w:val="32"/>
        </w:rPr>
        <w:t>%；教育支出0万元，占0%；社会保障和就业支出</w:t>
      </w:r>
      <w:r>
        <w:rPr>
          <w:rFonts w:hint="eastAsia" w:ascii="仿宋_GB2312" w:eastAsia="仿宋_GB2312"/>
          <w:color w:val="000000"/>
          <w:sz w:val="32"/>
          <w:szCs w:val="32"/>
          <w:lang w:val="en-US" w:eastAsia="zh-CN"/>
        </w:rPr>
        <w:t>81.87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 xml:space="preserve">6.5 </w:t>
      </w:r>
      <w:r>
        <w:rPr>
          <w:rFonts w:hint="eastAsia" w:ascii="仿宋_GB2312" w:eastAsia="仿宋_GB2312"/>
          <w:color w:val="000000"/>
          <w:sz w:val="32"/>
          <w:szCs w:val="32"/>
        </w:rPr>
        <w:t>%；医疗卫生支出</w:t>
      </w:r>
      <w:r>
        <w:rPr>
          <w:rFonts w:hint="eastAsia" w:ascii="仿宋_GB2312" w:eastAsia="仿宋_GB2312"/>
          <w:color w:val="000000"/>
          <w:sz w:val="32"/>
          <w:szCs w:val="32"/>
          <w:lang w:val="en-US" w:eastAsia="zh-CN"/>
        </w:rPr>
        <w:t>11.52</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0.9</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34.93</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;农林水支出3万元，占0.2%</w:t>
      </w:r>
      <w:r>
        <w:rPr>
          <w:rFonts w:hint="eastAsia" w:ascii="仿宋_GB2312" w:eastAsia="仿宋_GB2312"/>
          <w:color w:val="000000"/>
          <w:sz w:val="32"/>
          <w:szCs w:val="32"/>
        </w:rPr>
        <w:t>。（饼状图）</w:t>
      </w:r>
    </w:p>
    <w:p>
      <w:pPr>
        <w:spacing w:line="600" w:lineRule="exact"/>
        <w:ind w:firstLine="420" w:firstLineChars="200"/>
        <w:rPr>
          <w:rFonts w:hint="eastAsia" w:ascii="仿宋_GB2312" w:eastAsia="仿宋_GB2312"/>
          <w:color w:val="000000"/>
          <w:sz w:val="32"/>
          <w:szCs w:val="32"/>
        </w:rPr>
      </w:pPr>
      <w:r>
        <w:drawing>
          <wp:anchor distT="0" distB="0" distL="114300" distR="114300" simplePos="0" relativeHeight="251667456" behindDoc="0" locked="0" layoutInCell="1" allowOverlap="1">
            <wp:simplePos x="0" y="0"/>
            <wp:positionH relativeFrom="column">
              <wp:posOffset>-52705</wp:posOffset>
            </wp:positionH>
            <wp:positionV relativeFrom="paragraph">
              <wp:posOffset>156845</wp:posOffset>
            </wp:positionV>
            <wp:extent cx="5614670" cy="3735705"/>
            <wp:effectExtent l="4445" t="4445" r="19685" b="12700"/>
            <wp:wrapTopAndBottom/>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仿宋_GB2312" w:eastAsia="仿宋_GB2312"/>
          <w:color w:val="000000"/>
          <w:sz w:val="32"/>
          <w:szCs w:val="32"/>
          <w:lang w:eastAsia="zh-CN"/>
        </w:rPr>
        <w:t>（三）</w:t>
      </w:r>
      <w:r>
        <w:rPr>
          <w:rFonts w:hint="eastAsia" w:ascii="仿宋_GB2312" w:eastAsia="仿宋_GB2312"/>
          <w:color w:val="000000"/>
          <w:sz w:val="32"/>
          <w:szCs w:val="32"/>
        </w:rPr>
        <w:t>一般公共预算财政拨款支出决算具体情况</w:t>
      </w:r>
    </w:p>
    <w:p>
      <w:pPr>
        <w:numPr>
          <w:ilvl w:val="0"/>
          <w:numId w:val="0"/>
        </w:num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rPr>
        <w:t>1.一般公共服务（类）组织事务（款）行政运行（项）: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458.23</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2.</w:t>
      </w:r>
      <w:r>
        <w:rPr>
          <w:rStyle w:val="6"/>
          <w:rFonts w:hint="eastAsia" w:ascii="仿宋_GB2312" w:eastAsia="仿宋_GB2312"/>
          <w:color w:val="000000"/>
          <w:sz w:val="32"/>
          <w:szCs w:val="32"/>
        </w:rPr>
        <w:t>一般公共服务（类）组织事务（款）一般行政管理事务（项）:</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677.27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3.</w:t>
      </w:r>
      <w:r>
        <w:rPr>
          <w:rStyle w:val="6"/>
          <w:rFonts w:hint="eastAsia" w:ascii="仿宋_GB2312" w:eastAsia="仿宋_GB2312"/>
          <w:color w:val="000000"/>
          <w:sz w:val="32"/>
          <w:szCs w:val="32"/>
        </w:rPr>
        <w:t>一般公共服务（类）组织事务（款）事业运行（项）: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w:t>
      </w:r>
      <w:r>
        <w:rPr>
          <w:rFonts w:hint="eastAsia" w:ascii="微软雅黑" w:hAnsi="微软雅黑" w:eastAsia="微软雅黑" w:cs="微软雅黑"/>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4</w:t>
      </w:r>
      <w:r>
        <w:rPr>
          <w:rStyle w:val="6"/>
          <w:rFonts w:hint="eastAsia" w:ascii="仿宋_GB2312" w:eastAsia="仿宋_GB2312"/>
          <w:color w:val="000000"/>
          <w:sz w:val="32"/>
          <w:szCs w:val="32"/>
        </w:rPr>
        <w:t>.教育（类</w:t>
      </w:r>
      <w:r>
        <w:rPr>
          <w:rStyle w:val="6"/>
          <w:rFonts w:hint="eastAsia" w:ascii="仿宋_GB2312" w:eastAsia="仿宋_GB2312"/>
          <w:color w:val="000000"/>
          <w:sz w:val="32"/>
          <w:szCs w:val="32"/>
          <w:lang w:val="en-US" w:eastAsia="zh-CN"/>
        </w:rPr>
        <w:t>)</w:t>
      </w:r>
      <w:r>
        <w:rPr>
          <w:rStyle w:val="6"/>
          <w:rFonts w:hint="eastAsia" w:ascii="仿宋_GB2312" w:eastAsia="仿宋_GB2312"/>
          <w:color w:val="000000"/>
          <w:sz w:val="32"/>
          <w:szCs w:val="32"/>
        </w:rPr>
        <w:t>:</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5</w:t>
      </w:r>
      <w:r>
        <w:rPr>
          <w:rStyle w:val="6"/>
          <w:rFonts w:hint="eastAsia" w:ascii="仿宋_GB2312" w:eastAsia="仿宋_GB2312"/>
          <w:color w:val="000000"/>
          <w:sz w:val="32"/>
          <w:szCs w:val="32"/>
        </w:rPr>
        <w:t>.科学技术</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6</w:t>
      </w:r>
      <w:r>
        <w:rPr>
          <w:rStyle w:val="6"/>
          <w:rFonts w:hint="eastAsia" w:ascii="仿宋_GB2312" w:eastAsia="仿宋_GB2312"/>
          <w:color w:val="000000"/>
          <w:sz w:val="32"/>
          <w:szCs w:val="32"/>
        </w:rPr>
        <w:t>.文化体育与传媒（类）</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Style w:val="6"/>
          <w:rFonts w:hint="eastAsia" w:ascii="仿宋_GB2312" w:eastAsia="仿宋_GB2312"/>
          <w:color w:val="000000"/>
          <w:sz w:val="32"/>
          <w:szCs w:val="32"/>
          <w:lang w:val="en-US" w:eastAsia="zh-CN"/>
        </w:rPr>
        <w:t>7</w:t>
      </w:r>
      <w:r>
        <w:rPr>
          <w:rStyle w:val="6"/>
          <w:rFonts w:hint="eastAsia" w:ascii="仿宋_GB2312" w:eastAsia="仿宋_GB2312"/>
          <w:color w:val="000000"/>
          <w:sz w:val="32"/>
          <w:szCs w:val="32"/>
        </w:rPr>
        <w:t>.社会保障和就业（类）行政事业单位离退休（款）未归口管理的行政单位离退休（项）:</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8.</w:t>
      </w:r>
      <w:r>
        <w:rPr>
          <w:rStyle w:val="6"/>
          <w:rFonts w:hint="eastAsia" w:ascii="仿宋_GB2312" w:eastAsia="仿宋_GB2312"/>
          <w:color w:val="000000"/>
          <w:sz w:val="32"/>
          <w:szCs w:val="32"/>
        </w:rPr>
        <w:t>社会保障和就业（类）行政事业单位离退休（款）机关事业单位基本养老保险缴费支出（项）:</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31.66</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9.</w:t>
      </w:r>
      <w:r>
        <w:rPr>
          <w:rStyle w:val="6"/>
          <w:rFonts w:hint="eastAsia" w:ascii="仿宋_GB2312" w:eastAsia="仿宋_GB2312"/>
          <w:color w:val="000000"/>
          <w:sz w:val="32"/>
          <w:szCs w:val="32"/>
        </w:rPr>
        <w:t>社会保障和就业（类）</w:t>
      </w:r>
      <w:r>
        <w:rPr>
          <w:rStyle w:val="6"/>
          <w:rFonts w:hint="eastAsia" w:ascii="仿宋_GB2312" w:eastAsia="仿宋_GB2312"/>
          <w:color w:val="000000"/>
          <w:sz w:val="32"/>
          <w:szCs w:val="32"/>
          <w:lang w:eastAsia="zh-CN"/>
        </w:rPr>
        <w:t>行政事业单位离退休</w:t>
      </w:r>
      <w:r>
        <w:rPr>
          <w:rStyle w:val="6"/>
          <w:rFonts w:hint="eastAsia" w:ascii="仿宋_GB2312" w:eastAsia="仿宋_GB2312"/>
          <w:color w:val="000000"/>
          <w:sz w:val="32"/>
          <w:szCs w:val="32"/>
        </w:rPr>
        <w:t>和就业支出（款）</w:t>
      </w:r>
      <w:r>
        <w:rPr>
          <w:rStyle w:val="6"/>
          <w:rFonts w:hint="eastAsia" w:ascii="仿宋_GB2312" w:eastAsia="仿宋_GB2312"/>
          <w:color w:val="000000"/>
          <w:sz w:val="32"/>
          <w:szCs w:val="32"/>
          <w:lang w:eastAsia="zh-CN"/>
        </w:rPr>
        <w:t>机关事业单位职业年金缴费支出</w:t>
      </w:r>
      <w:r>
        <w:rPr>
          <w:rStyle w:val="6"/>
          <w:rFonts w:hint="eastAsia" w:ascii="仿宋_GB2312" w:eastAsia="仿宋_GB2312"/>
          <w:color w:val="000000"/>
          <w:sz w:val="32"/>
          <w:szCs w:val="32"/>
        </w:rPr>
        <w:t>（项）: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20.2</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Style w:val="6"/>
          <w:rFonts w:hint="eastAsia" w:ascii="仿宋_GB2312" w:eastAsia="仿宋_GB2312"/>
          <w:color w:val="000000"/>
          <w:sz w:val="32"/>
          <w:szCs w:val="32"/>
          <w:lang w:val="en-US" w:eastAsia="zh-CN"/>
        </w:rPr>
        <w:t>10</w:t>
      </w:r>
      <w:r>
        <w:rPr>
          <w:rStyle w:val="6"/>
          <w:rFonts w:hint="eastAsia" w:ascii="仿宋_GB2312" w:eastAsia="仿宋_GB2312"/>
          <w:color w:val="000000"/>
          <w:sz w:val="32"/>
          <w:szCs w:val="32"/>
        </w:rPr>
        <w:t>.医疗卫生与计划生育（类）医疗保障（款）行政单位医疗（项）: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11.52</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6"/>
          <w:rFonts w:hint="eastAsia" w:ascii="仿宋_GB2312" w:eastAsia="仿宋_GB2312"/>
          <w:color w:val="000000"/>
          <w:sz w:val="32"/>
          <w:szCs w:val="32"/>
          <w:lang w:val="en-US" w:eastAsia="zh-CN"/>
        </w:rPr>
        <w:t>11.</w:t>
      </w:r>
      <w:r>
        <w:rPr>
          <w:rStyle w:val="6"/>
          <w:rFonts w:hint="eastAsia" w:ascii="仿宋_GB2312" w:eastAsia="仿宋_GB2312"/>
          <w:color w:val="000000"/>
          <w:sz w:val="32"/>
          <w:szCs w:val="32"/>
        </w:rPr>
        <w:t>医疗卫生与计划生育（类）医疗保障（款）其他医疗保障支出（项）: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sz w:val="32"/>
          <w:szCs w:val="32"/>
          <w:lang w:val="en-US" w:eastAsia="zh-CN"/>
        </w:rPr>
      </w:pPr>
      <w:r>
        <w:rPr>
          <w:rStyle w:val="6"/>
          <w:rFonts w:hint="eastAsia" w:ascii="仿宋_GB2312" w:eastAsia="仿宋_GB2312"/>
          <w:b/>
          <w:bCs/>
          <w:color w:val="000000"/>
          <w:sz w:val="32"/>
          <w:szCs w:val="32"/>
          <w:lang w:val="en-US" w:eastAsia="zh-CN"/>
        </w:rPr>
        <w:t>12.农林水支出（类）扶贫（款）其他扶贫支出（项）：</w:t>
      </w:r>
      <w:r>
        <w:rPr>
          <w:rFonts w:hint="eastAsia" w:ascii="仿宋_GB2312" w:eastAsia="仿宋_GB2312"/>
          <w:color w:val="000000"/>
          <w:sz w:val="32"/>
          <w:szCs w:val="32"/>
          <w:lang w:val="en-US" w:eastAsia="zh-CN"/>
        </w:rPr>
        <w:t>2017年决算数为3万元，完成预算100%。</w:t>
      </w:r>
    </w:p>
    <w:p>
      <w:pPr>
        <w:spacing w:line="600" w:lineRule="exact"/>
        <w:ind w:firstLine="643" w:firstLineChars="200"/>
        <w:rPr>
          <w:rFonts w:hint="eastAsia" w:ascii="黑体" w:eastAsia="黑体"/>
          <w:color w:val="000000"/>
          <w:sz w:val="32"/>
          <w:szCs w:val="32"/>
        </w:rPr>
      </w:pPr>
      <w:r>
        <w:rPr>
          <w:rStyle w:val="6"/>
          <w:rFonts w:hint="eastAsia" w:ascii="仿宋_GB2312" w:eastAsia="仿宋_GB2312"/>
          <w:color w:val="000000"/>
          <w:sz w:val="32"/>
          <w:szCs w:val="32"/>
          <w:lang w:val="en-US" w:eastAsia="zh-CN"/>
        </w:rPr>
        <w:t>13.</w:t>
      </w:r>
      <w:r>
        <w:rPr>
          <w:rFonts w:hint="eastAsia"/>
        </w:rPr>
        <w:t xml:space="preserve"> </w:t>
      </w:r>
      <w:r>
        <w:rPr>
          <w:rStyle w:val="6"/>
          <w:rFonts w:hint="eastAsia" w:ascii="仿宋_GB2312" w:eastAsia="仿宋_GB2312"/>
          <w:color w:val="000000"/>
          <w:sz w:val="32"/>
          <w:szCs w:val="32"/>
        </w:rPr>
        <w:t>住房保障支出（类）住房改革支出（款）住房公积金（项）:</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34.93</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rPr>
        <w:br w:type="textWrapping"/>
      </w:r>
      <w:r>
        <w:rPr>
          <w:rFonts w:hint="eastAsia" w:ascii="仿宋_GB2312" w:eastAsia="仿宋_GB2312"/>
          <w:color w:val="000000"/>
          <w:sz w:val="32"/>
          <w:szCs w:val="32"/>
          <w:lang w:val="en-US" w:eastAsia="zh-CN"/>
        </w:rPr>
        <w:t xml:space="preserve">    </w:t>
      </w:r>
      <w:r>
        <w:rPr>
          <w:rFonts w:hint="eastAsia" w:ascii="黑体" w:eastAsia="黑体"/>
          <w:color w:val="000000"/>
          <w:sz w:val="32"/>
          <w:szCs w:val="32"/>
        </w:rPr>
        <w:t>六、一般公共预算财政拨款基本支出决算情况</w:t>
      </w:r>
    </w:p>
    <w:p>
      <w:pPr>
        <w:spacing w:line="6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组织部201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年一般公共预算财政拨款基本支出</w:t>
      </w:r>
      <w:r>
        <w:rPr>
          <w:rFonts w:hint="eastAsia" w:ascii="仿宋_GB2312" w:eastAsia="仿宋_GB2312"/>
          <w:color w:val="000000"/>
          <w:sz w:val="32"/>
          <w:szCs w:val="32"/>
          <w:lang w:val="en-US" w:eastAsia="zh-CN"/>
        </w:rPr>
        <w:t>586.55</w:t>
      </w:r>
      <w:r>
        <w:rPr>
          <w:rFonts w:hint="eastAsia" w:ascii="仿宋_GB2312" w:eastAsia="仿宋_GB2312"/>
          <w:color w:val="000000"/>
          <w:sz w:val="32"/>
          <w:szCs w:val="32"/>
        </w:rPr>
        <w:t>万元，其中：</w:t>
      </w:r>
    </w:p>
    <w:p>
      <w:pPr>
        <w:spacing w:line="6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人员经费</w:t>
      </w:r>
      <w:r>
        <w:rPr>
          <w:rFonts w:hint="eastAsia" w:ascii="仿宋_GB2312" w:eastAsia="仿宋_GB2312"/>
          <w:color w:val="000000"/>
          <w:sz w:val="32"/>
          <w:szCs w:val="32"/>
          <w:lang w:val="en-US" w:eastAsia="zh-CN"/>
        </w:rPr>
        <w:t>515.66</w:t>
      </w:r>
      <w:r>
        <w:rPr>
          <w:rFonts w:hint="eastAsia" w:ascii="仿宋_GB2312"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_GB2312" w:eastAsia="仿宋_GB2312"/>
          <w:color w:val="000000"/>
          <w:sz w:val="32"/>
          <w:szCs w:val="32"/>
        </w:rPr>
        <w:br w:type="textWrapping"/>
      </w:r>
      <w:r>
        <w:rPr>
          <w:rFonts w:hint="eastAsia" w:ascii="仿宋_GB2312" w:eastAsia="仿宋_GB2312"/>
          <w:color w:val="000000"/>
          <w:sz w:val="32"/>
          <w:szCs w:val="32"/>
        </w:rPr>
        <w:t>　　公用经费</w:t>
      </w:r>
      <w:r>
        <w:rPr>
          <w:rFonts w:hint="eastAsia" w:ascii="仿宋_GB2312" w:eastAsia="仿宋_GB2312"/>
          <w:color w:val="000000"/>
          <w:sz w:val="32"/>
          <w:szCs w:val="32"/>
          <w:lang w:val="en-US" w:eastAsia="zh-CN"/>
        </w:rPr>
        <w:t>70.89</w:t>
      </w:r>
      <w:r>
        <w:rPr>
          <w:rFonts w:hint="eastAsia" w:ascii="仿宋_GB2312"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pacing w:line="600" w:lineRule="exact"/>
        <w:ind w:firstLine="640"/>
        <w:rPr>
          <w:rFonts w:hint="eastAsia" w:ascii="黑体" w:eastAsia="黑体"/>
          <w:color w:val="000000"/>
          <w:sz w:val="32"/>
          <w:szCs w:val="32"/>
        </w:rPr>
      </w:pPr>
      <w:r>
        <w:rPr>
          <w:rFonts w:hint="eastAsia" w:ascii="黑体" w:eastAsia="黑体"/>
          <w:color w:val="000000"/>
          <w:sz w:val="32"/>
          <w:szCs w:val="32"/>
        </w:rPr>
        <w:t>七、“三公”经费财政拨款支出决算情况</w:t>
      </w:r>
    </w:p>
    <w:p>
      <w:p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（一）“三公”经费财政拨款支出决算总体情况说明</w:t>
      </w:r>
    </w:p>
    <w:p>
      <w:pPr>
        <w:spacing w:line="600" w:lineRule="exact"/>
        <w:ind w:firstLine="640"/>
        <w:rPr>
          <w:rFonts w:hint="eastAsia" w:ascii="仿宋_GB2312" w:eastAsia="仿宋_GB2312"/>
          <w:color w:val="FF0000"/>
          <w:sz w:val="32"/>
          <w:szCs w:val="32"/>
        </w:rPr>
      </w:pPr>
      <w:r>
        <w:rPr>
          <w:rFonts w:hint="eastAsia" w:ascii="仿宋_GB2312" w:eastAsia="仿宋_GB2312"/>
          <w:color w:val="333333"/>
          <w:sz w:val="32"/>
          <w:szCs w:val="32"/>
        </w:rPr>
        <w:t>组织部201</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年度“三公”经费财政拨款支出决算为</w:t>
      </w:r>
      <w:r>
        <w:rPr>
          <w:rFonts w:hint="eastAsia" w:ascii="仿宋_GB2312" w:eastAsia="仿宋_GB2312"/>
          <w:color w:val="333333"/>
          <w:sz w:val="32"/>
          <w:szCs w:val="32"/>
          <w:lang w:val="en-US" w:eastAsia="zh-CN"/>
        </w:rPr>
        <w:t xml:space="preserve">28.49  </w:t>
      </w:r>
      <w:r>
        <w:rPr>
          <w:rFonts w:hint="eastAsia" w:ascii="仿宋_GB2312" w:eastAsia="仿宋_GB2312"/>
          <w:color w:val="333333"/>
          <w:sz w:val="32"/>
          <w:szCs w:val="32"/>
        </w:rPr>
        <w:t>万元，完成预算</w:t>
      </w:r>
      <w:r>
        <w:rPr>
          <w:rFonts w:hint="eastAsia" w:ascii="仿宋_GB2312" w:eastAsia="仿宋_GB2312"/>
          <w:color w:val="333333"/>
          <w:sz w:val="32"/>
          <w:szCs w:val="32"/>
          <w:lang w:val="en-US" w:eastAsia="zh-CN"/>
        </w:rPr>
        <w:t>47.64</w:t>
      </w:r>
      <w:r>
        <w:rPr>
          <w:rFonts w:hint="eastAsia" w:ascii="仿宋_GB2312" w:eastAsia="仿宋_GB2312"/>
          <w:color w:val="333333"/>
          <w:sz w:val="32"/>
          <w:szCs w:val="32"/>
        </w:rPr>
        <w:t>%，其中：因公出国（境）费支出决算为</w:t>
      </w:r>
      <w:r>
        <w:rPr>
          <w:rFonts w:hint="eastAsia" w:ascii="仿宋_GB2312" w:eastAsia="仿宋_GB2312"/>
          <w:color w:val="333333"/>
          <w:sz w:val="32"/>
          <w:szCs w:val="32"/>
          <w:lang w:val="en-US" w:eastAsia="zh-CN"/>
        </w:rPr>
        <w:t>0</w:t>
      </w:r>
      <w:r>
        <w:rPr>
          <w:rFonts w:hint="eastAsia" w:ascii="仿宋_GB2312" w:eastAsia="仿宋_GB2312"/>
          <w:color w:val="333333"/>
          <w:sz w:val="32"/>
          <w:szCs w:val="32"/>
        </w:rPr>
        <w:t>万元，完成预算</w:t>
      </w:r>
      <w:r>
        <w:rPr>
          <w:rFonts w:hint="eastAsia" w:ascii="微软雅黑" w:hAnsi="微软雅黑" w:eastAsia="微软雅黑" w:cs="微软雅黑"/>
          <w:color w:val="000000"/>
          <w:sz w:val="32"/>
          <w:szCs w:val="32"/>
        </w:rPr>
        <w:t>/</w:t>
      </w:r>
      <w:r>
        <w:rPr>
          <w:rFonts w:hint="eastAsia" w:ascii="仿宋_GB2312" w:eastAsia="仿宋_GB2312"/>
          <w:color w:val="333333"/>
          <w:sz w:val="32"/>
          <w:szCs w:val="32"/>
        </w:rPr>
        <w:t>%；公务用车购置及运行维护费支出决算为</w:t>
      </w:r>
      <w:r>
        <w:rPr>
          <w:rFonts w:hint="eastAsia" w:ascii="仿宋_GB2312" w:eastAsia="仿宋_GB2312"/>
          <w:color w:val="333333"/>
          <w:sz w:val="32"/>
          <w:szCs w:val="32"/>
          <w:lang w:val="en-US" w:eastAsia="zh-CN"/>
        </w:rPr>
        <w:t>26.64</w:t>
      </w:r>
      <w:r>
        <w:rPr>
          <w:rFonts w:hint="eastAsia" w:ascii="仿宋_GB2312" w:eastAsia="仿宋_GB2312"/>
          <w:color w:val="333333"/>
          <w:sz w:val="32"/>
          <w:szCs w:val="32"/>
        </w:rPr>
        <w:t>万元，</w:t>
      </w:r>
      <w:r>
        <w:rPr>
          <w:rFonts w:hint="eastAsia" w:ascii="仿宋_GB2312" w:eastAsia="仿宋_GB2312"/>
          <w:color w:val="333333"/>
          <w:sz w:val="32"/>
          <w:szCs w:val="32"/>
          <w:lang w:eastAsia="zh-CN"/>
        </w:rPr>
        <w:t>完成</w:t>
      </w:r>
      <w:r>
        <w:rPr>
          <w:rFonts w:hint="eastAsia" w:ascii="仿宋_GB2312" w:eastAsia="仿宋_GB2312"/>
          <w:color w:val="333333"/>
          <w:sz w:val="32"/>
          <w:szCs w:val="32"/>
        </w:rPr>
        <w:t>预算</w:t>
      </w:r>
      <w:r>
        <w:rPr>
          <w:rFonts w:hint="eastAsia" w:ascii="仿宋_GB2312" w:eastAsia="仿宋_GB2312"/>
          <w:color w:val="333333"/>
          <w:sz w:val="32"/>
          <w:szCs w:val="32"/>
          <w:lang w:val="en-US" w:eastAsia="zh-CN"/>
        </w:rPr>
        <w:t>84.30</w:t>
      </w:r>
      <w:r>
        <w:rPr>
          <w:rFonts w:hint="eastAsia" w:ascii="仿宋_GB2312" w:eastAsia="仿宋_GB2312"/>
          <w:color w:val="333333"/>
          <w:sz w:val="32"/>
          <w:szCs w:val="32"/>
        </w:rPr>
        <w:t>%；公务接待费支出决算为</w:t>
      </w:r>
      <w:r>
        <w:rPr>
          <w:rFonts w:hint="eastAsia" w:ascii="仿宋_GB2312" w:eastAsia="仿宋_GB2312"/>
          <w:color w:val="333333"/>
          <w:sz w:val="32"/>
          <w:szCs w:val="32"/>
          <w:lang w:val="en-US" w:eastAsia="zh-CN"/>
        </w:rPr>
        <w:t>1.85</w:t>
      </w:r>
      <w:r>
        <w:rPr>
          <w:rFonts w:hint="eastAsia" w:ascii="仿宋_GB2312" w:eastAsia="仿宋_GB2312"/>
          <w:color w:val="333333"/>
          <w:sz w:val="32"/>
          <w:szCs w:val="32"/>
        </w:rPr>
        <w:t>万元，完成预算</w:t>
      </w:r>
      <w:r>
        <w:rPr>
          <w:rFonts w:hint="eastAsia" w:ascii="仿宋_GB2312" w:eastAsia="仿宋_GB2312"/>
          <w:color w:val="333333"/>
          <w:sz w:val="32"/>
          <w:szCs w:val="32"/>
          <w:lang w:val="en-US" w:eastAsia="zh-CN"/>
        </w:rPr>
        <w:t>6.56</w:t>
      </w:r>
      <w:r>
        <w:rPr>
          <w:rFonts w:hint="eastAsia" w:ascii="仿宋_GB2312" w:eastAsia="仿宋_GB2312"/>
          <w:color w:val="333333"/>
          <w:sz w:val="32"/>
          <w:szCs w:val="32"/>
        </w:rPr>
        <w:t>%。201</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年度“三公”经费支出决算数小于预算数的主要原因是</w:t>
      </w:r>
      <w:r>
        <w:rPr>
          <w:rFonts w:hint="eastAsia" w:ascii="仿宋_GB2312" w:eastAsia="仿宋_GB2312"/>
          <w:color w:val="333333"/>
          <w:sz w:val="32"/>
          <w:szCs w:val="32"/>
          <w:lang w:eastAsia="zh-CN"/>
        </w:rPr>
        <w:t>八项规定后，严格接待规模，标准，接待减少</w:t>
      </w:r>
      <w:r>
        <w:rPr>
          <w:rFonts w:hint="eastAsia" w:ascii="仿宋_GB2312" w:eastAsia="仿宋_GB2312"/>
          <w:color w:val="333333"/>
          <w:sz w:val="32"/>
          <w:szCs w:val="32"/>
        </w:rPr>
        <w:t>。</w:t>
      </w:r>
    </w:p>
    <w:p>
      <w:pPr>
        <w:spacing w:line="60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201</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年度“三公”经费财政拨款支出决算数比</w:t>
      </w:r>
      <w:r>
        <w:rPr>
          <w:rFonts w:hint="eastAsia" w:ascii="仿宋_GB2312" w:eastAsia="仿宋_GB2312"/>
          <w:color w:val="333333"/>
          <w:sz w:val="32"/>
          <w:szCs w:val="32"/>
          <w:lang w:val="en-US" w:eastAsia="zh-CN"/>
        </w:rPr>
        <w:t>2017</w:t>
      </w:r>
      <w:r>
        <w:rPr>
          <w:rFonts w:hint="eastAsia" w:ascii="仿宋_GB2312" w:eastAsia="仿宋_GB2312"/>
          <w:color w:val="333333"/>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 xml:space="preserve">   0.81</w:t>
      </w:r>
      <w:r>
        <w:rPr>
          <w:rFonts w:hint="eastAsia" w:ascii="仿宋_GB2312" w:eastAsia="仿宋_GB2312"/>
          <w:color w:val="333333"/>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 xml:space="preserve">2.76 </w:t>
      </w:r>
      <w:r>
        <w:rPr>
          <w:rFonts w:hint="eastAsia" w:ascii="仿宋_GB2312" w:eastAsia="仿宋_GB2312"/>
          <w:color w:val="000000"/>
          <w:sz w:val="32"/>
          <w:szCs w:val="32"/>
        </w:rPr>
        <w:t>%，其中：</w:t>
      </w:r>
      <w:r>
        <w:rPr>
          <w:rFonts w:hint="eastAsia" w:ascii="仿宋_GB2312" w:eastAsia="仿宋_GB2312"/>
          <w:color w:val="333333"/>
          <w:sz w:val="32"/>
          <w:szCs w:val="32"/>
        </w:rPr>
        <w:t>因公出国（境）费支出决算</w:t>
      </w:r>
      <w:r>
        <w:rPr>
          <w:rFonts w:hint="eastAsia" w:ascii="仿宋_GB2312" w:eastAsia="仿宋_GB2312"/>
          <w:color w:val="000000"/>
          <w:sz w:val="32"/>
          <w:szCs w:val="32"/>
        </w:rPr>
        <w:t>减少</w:t>
      </w:r>
      <w:r>
        <w:rPr>
          <w:rFonts w:hint="eastAsia" w:ascii="微软雅黑" w:hAnsi="微软雅黑" w:eastAsia="微软雅黑" w:cs="微软雅黑"/>
          <w:color w:val="000000"/>
          <w:sz w:val="32"/>
          <w:szCs w:val="32"/>
        </w:rPr>
        <w:t>/</w:t>
      </w:r>
      <w:r>
        <w:rPr>
          <w:rFonts w:hint="eastAsia" w:ascii="仿宋_GB2312" w:eastAsia="仿宋_GB2312"/>
          <w:color w:val="333333"/>
          <w:sz w:val="32"/>
          <w:szCs w:val="32"/>
        </w:rPr>
        <w:t>万元，</w:t>
      </w:r>
      <w:r>
        <w:rPr>
          <w:rFonts w:hint="eastAsia" w:ascii="仿宋_GB2312" w:eastAsia="仿宋_GB2312"/>
          <w:color w:val="000000"/>
          <w:sz w:val="32"/>
          <w:szCs w:val="32"/>
        </w:rPr>
        <w:t>下降</w:t>
      </w:r>
      <w:r>
        <w:rPr>
          <w:rFonts w:hint="eastAsia" w:ascii="微软雅黑" w:hAnsi="微软雅黑" w:eastAsia="微软雅黑" w:cs="微软雅黑"/>
          <w:color w:val="000000"/>
          <w:sz w:val="32"/>
          <w:szCs w:val="32"/>
        </w:rPr>
        <w:t>/</w:t>
      </w:r>
      <w:r>
        <w:rPr>
          <w:rFonts w:hint="eastAsia" w:ascii="仿宋_GB2312" w:eastAsia="仿宋_GB2312"/>
          <w:color w:val="000000"/>
          <w:sz w:val="32"/>
          <w:szCs w:val="32"/>
        </w:rPr>
        <w:t>%</w:t>
      </w:r>
      <w:r>
        <w:rPr>
          <w:rFonts w:hint="eastAsia" w:ascii="仿宋_GB2312" w:eastAsia="仿宋_GB2312"/>
          <w:color w:val="333333"/>
          <w:sz w:val="32"/>
          <w:szCs w:val="32"/>
        </w:rPr>
        <w:t>；公务用车购置及运行维护费支出决算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2.66</w:t>
      </w:r>
      <w:r>
        <w:rPr>
          <w:rFonts w:hint="eastAsia" w:ascii="仿宋_GB2312" w:eastAsia="仿宋_GB2312"/>
          <w:color w:val="333333"/>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9.08</w:t>
      </w:r>
      <w:r>
        <w:rPr>
          <w:rFonts w:hint="eastAsia" w:ascii="仿宋_GB2312" w:eastAsia="仿宋_GB2312"/>
          <w:color w:val="000000"/>
          <w:sz w:val="32"/>
          <w:szCs w:val="32"/>
        </w:rPr>
        <w:t>%</w:t>
      </w:r>
      <w:r>
        <w:rPr>
          <w:rFonts w:hint="eastAsia" w:ascii="仿宋_GB2312" w:eastAsia="仿宋_GB2312"/>
          <w:color w:val="333333"/>
          <w:sz w:val="32"/>
          <w:szCs w:val="32"/>
        </w:rPr>
        <w:t>；公务接待费支出决算</w:t>
      </w:r>
      <w:r>
        <w:rPr>
          <w:rFonts w:hint="eastAsia" w:ascii="仿宋_GB2312" w:eastAsia="仿宋_GB2312"/>
          <w:color w:val="000000"/>
          <w:sz w:val="32"/>
          <w:szCs w:val="32"/>
          <w:lang w:val="en-US" w:eastAsia="zh-CN"/>
        </w:rPr>
        <w:t>减少</w:t>
      </w:r>
      <w:r>
        <w:rPr>
          <w:rFonts w:hint="eastAsia" w:ascii="仿宋_GB2312" w:eastAsia="仿宋_GB2312"/>
          <w:color w:val="333333"/>
          <w:sz w:val="32"/>
          <w:szCs w:val="32"/>
          <w:lang w:val="en-US" w:eastAsia="zh-CN"/>
        </w:rPr>
        <w:t>1.67</w:t>
      </w:r>
      <w:r>
        <w:rPr>
          <w:rFonts w:hint="eastAsia" w:ascii="仿宋_GB2312" w:eastAsia="仿宋_GB2312"/>
          <w:color w:val="333333"/>
          <w:sz w:val="32"/>
          <w:szCs w:val="32"/>
        </w:rPr>
        <w:t>万元，</w:t>
      </w:r>
      <w:r>
        <w:rPr>
          <w:rFonts w:hint="eastAsia" w:ascii="仿宋_GB2312" w:eastAsia="仿宋_GB2312"/>
          <w:color w:val="000000"/>
          <w:sz w:val="32"/>
          <w:szCs w:val="32"/>
          <w:lang w:val="en-US" w:eastAsia="zh-CN"/>
        </w:rPr>
        <w:t>减少47.44</w:t>
      </w:r>
      <w:r>
        <w:rPr>
          <w:rFonts w:hint="eastAsia" w:ascii="仿宋_GB2312" w:eastAsia="仿宋_GB2312"/>
          <w:color w:val="000000"/>
          <w:sz w:val="32"/>
          <w:szCs w:val="32"/>
        </w:rPr>
        <w:t>%</w:t>
      </w:r>
      <w:r>
        <w:rPr>
          <w:rFonts w:hint="eastAsia" w:ascii="仿宋_GB2312" w:eastAsia="仿宋_GB2312"/>
          <w:color w:val="333333"/>
          <w:sz w:val="32"/>
          <w:szCs w:val="32"/>
        </w:rPr>
        <w:t>。增减变动的主要原因</w:t>
      </w:r>
      <w:r>
        <w:rPr>
          <w:rFonts w:hint="eastAsia" w:ascii="仿宋_GB2312" w:eastAsia="仿宋_GB2312"/>
          <w:color w:val="333333"/>
          <w:sz w:val="32"/>
          <w:szCs w:val="32"/>
          <w:lang w:val="en-US" w:eastAsia="zh-CN"/>
        </w:rPr>
        <w:t>2018</w:t>
      </w:r>
      <w:r>
        <w:rPr>
          <w:rFonts w:hint="eastAsia" w:ascii="仿宋_GB2312" w:eastAsia="仿宋_GB2312"/>
          <w:color w:val="333333"/>
          <w:sz w:val="32"/>
          <w:szCs w:val="32"/>
        </w:rPr>
        <w:t>年无因公出国（境）开支，公务</w:t>
      </w:r>
      <w:r>
        <w:rPr>
          <w:rFonts w:hint="eastAsia" w:ascii="仿宋_GB2312" w:eastAsia="仿宋_GB2312"/>
          <w:color w:val="333333"/>
          <w:sz w:val="32"/>
          <w:szCs w:val="32"/>
          <w:lang w:eastAsia="zh-CN"/>
        </w:rPr>
        <w:t>检查、调研增加</w:t>
      </w:r>
      <w:r>
        <w:rPr>
          <w:rFonts w:hint="eastAsia" w:ascii="仿宋_GB2312" w:eastAsia="仿宋_GB2312"/>
          <w:color w:val="333333"/>
          <w:sz w:val="32"/>
          <w:szCs w:val="32"/>
        </w:rPr>
        <w:t>，但公务用车</w:t>
      </w:r>
      <w:r>
        <w:rPr>
          <w:rFonts w:hint="eastAsia" w:ascii="仿宋_GB2312" w:eastAsia="仿宋_GB2312"/>
          <w:color w:val="333333"/>
          <w:sz w:val="32"/>
          <w:szCs w:val="32"/>
          <w:lang w:eastAsia="zh-CN"/>
        </w:rPr>
        <w:t>运行维护较好，维修减少</w:t>
      </w:r>
      <w:r>
        <w:rPr>
          <w:rFonts w:hint="eastAsia" w:ascii="仿宋_GB2312" w:eastAsia="仿宋_GB2312"/>
          <w:color w:val="333333"/>
          <w:sz w:val="32"/>
          <w:szCs w:val="32"/>
        </w:rPr>
        <w:t>。</w:t>
      </w:r>
    </w:p>
    <w:p>
      <w:pPr>
        <w:spacing w:line="600" w:lineRule="exact"/>
        <w:ind w:firstLine="640"/>
        <w:rPr>
          <w:rFonts w:hint="eastAsia" w:ascii="仿宋_GB2312" w:eastAsia="仿宋_GB2312"/>
          <w:b/>
          <w:color w:val="333333"/>
          <w:sz w:val="32"/>
          <w:szCs w:val="32"/>
        </w:rPr>
      </w:pPr>
      <w:r>
        <w:rPr>
          <w:rFonts w:hint="eastAsia" w:ascii="仿宋_GB2312" w:eastAsia="仿宋_GB2312"/>
          <w:b/>
          <w:color w:val="333333"/>
          <w:sz w:val="32"/>
          <w:szCs w:val="32"/>
        </w:rPr>
        <w:t>（二）“三公”经费财政拨款支出决算具体情况说明</w:t>
      </w:r>
    </w:p>
    <w:p>
      <w:pPr>
        <w:spacing w:line="600" w:lineRule="exact"/>
        <w:ind w:firstLine="640"/>
        <w:rPr>
          <w:rFonts w:hint="eastAsia" w:ascii="仿宋_GB2312" w:eastAsia="仿宋_GB2312"/>
          <w:color w:val="333333"/>
          <w:sz w:val="32"/>
          <w:szCs w:val="32"/>
        </w:rPr>
      </w:pPr>
      <w:r>
        <w:rPr>
          <w:rFonts w:hint="eastAsia" w:ascii="仿宋_GB2312" w:eastAsia="仿宋_GB2312"/>
          <w:color w:val="333333"/>
          <w:sz w:val="32"/>
          <w:szCs w:val="32"/>
        </w:rPr>
        <w:t>201</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年度“三公”经费财政拨款支出决算中，因公出国（境）费支出决算0万元，</w:t>
      </w:r>
      <w:r>
        <w:rPr>
          <w:rFonts w:hint="eastAsia" w:ascii="仿宋_GB2312" w:eastAsia="仿宋_GB2312"/>
          <w:color w:val="000000"/>
          <w:sz w:val="32"/>
          <w:szCs w:val="32"/>
        </w:rPr>
        <w:t>占0%</w:t>
      </w:r>
      <w:r>
        <w:rPr>
          <w:rFonts w:hint="eastAsia" w:ascii="仿宋_GB2312" w:eastAsia="仿宋_GB2312"/>
          <w:color w:val="333333"/>
          <w:sz w:val="32"/>
          <w:szCs w:val="32"/>
        </w:rPr>
        <w:t>；公务用车购置及运行维护费支出决算</w:t>
      </w:r>
      <w:r>
        <w:rPr>
          <w:rFonts w:hint="eastAsia" w:ascii="仿宋_GB2312" w:eastAsia="仿宋_GB2312"/>
          <w:color w:val="333333"/>
          <w:sz w:val="32"/>
          <w:szCs w:val="32"/>
          <w:lang w:val="en-US" w:eastAsia="zh-CN"/>
        </w:rPr>
        <w:t>26.64</w:t>
      </w:r>
      <w:r>
        <w:rPr>
          <w:rFonts w:hint="eastAsia" w:ascii="仿宋_GB2312" w:eastAsia="仿宋_GB2312"/>
          <w:color w:val="333333"/>
          <w:sz w:val="32"/>
          <w:szCs w:val="32"/>
        </w:rPr>
        <w:t>万元，</w:t>
      </w:r>
      <w:r>
        <w:rPr>
          <w:rFonts w:hint="eastAsia" w:ascii="仿宋_GB2312" w:eastAsia="仿宋_GB2312"/>
          <w:color w:val="000000"/>
          <w:sz w:val="32"/>
          <w:szCs w:val="32"/>
        </w:rPr>
        <w:t>占</w:t>
      </w:r>
      <w:r>
        <w:rPr>
          <w:rFonts w:hint="eastAsia" w:ascii="仿宋_GB2312" w:eastAsia="仿宋_GB2312"/>
          <w:color w:val="000000"/>
          <w:sz w:val="32"/>
          <w:szCs w:val="32"/>
          <w:lang w:val="en-US" w:eastAsia="zh-CN"/>
        </w:rPr>
        <w:t>84.30</w:t>
      </w:r>
      <w:r>
        <w:rPr>
          <w:rFonts w:hint="eastAsia" w:ascii="仿宋_GB2312" w:eastAsia="仿宋_GB2312"/>
          <w:color w:val="000000"/>
          <w:sz w:val="32"/>
          <w:szCs w:val="32"/>
        </w:rPr>
        <w:t>%</w:t>
      </w:r>
      <w:r>
        <w:rPr>
          <w:rFonts w:hint="eastAsia" w:ascii="仿宋_GB2312" w:eastAsia="仿宋_GB2312"/>
          <w:color w:val="333333"/>
          <w:sz w:val="32"/>
          <w:szCs w:val="32"/>
        </w:rPr>
        <w:t>；公务接待费支出决算</w:t>
      </w:r>
      <w:r>
        <w:rPr>
          <w:rFonts w:hint="eastAsia" w:ascii="仿宋_GB2312" w:eastAsia="仿宋_GB2312"/>
          <w:color w:val="333333"/>
          <w:sz w:val="32"/>
          <w:szCs w:val="32"/>
          <w:lang w:val="en-US" w:eastAsia="zh-CN"/>
        </w:rPr>
        <w:t>1.85</w:t>
      </w:r>
      <w:r>
        <w:rPr>
          <w:rFonts w:hint="eastAsia" w:ascii="仿宋_GB2312" w:eastAsia="仿宋_GB2312"/>
          <w:color w:val="333333"/>
          <w:sz w:val="32"/>
          <w:szCs w:val="32"/>
        </w:rPr>
        <w:t>万元，</w:t>
      </w:r>
      <w:r>
        <w:rPr>
          <w:rFonts w:hint="eastAsia" w:ascii="仿宋_GB2312" w:eastAsia="仿宋_GB2312"/>
          <w:color w:val="000000"/>
          <w:sz w:val="32"/>
          <w:szCs w:val="32"/>
        </w:rPr>
        <w:t>占</w:t>
      </w:r>
      <w:r>
        <w:rPr>
          <w:rFonts w:hint="eastAsia" w:ascii="仿宋_GB2312" w:eastAsia="仿宋_GB2312"/>
          <w:color w:val="000000"/>
          <w:sz w:val="32"/>
          <w:szCs w:val="32"/>
          <w:lang w:val="en-US" w:eastAsia="zh-CN"/>
        </w:rPr>
        <w:t>6.56</w:t>
      </w:r>
      <w:r>
        <w:rPr>
          <w:rFonts w:hint="eastAsia" w:ascii="仿宋_GB2312" w:eastAsia="仿宋_GB2312"/>
          <w:color w:val="000000"/>
          <w:sz w:val="32"/>
          <w:szCs w:val="32"/>
        </w:rPr>
        <w:t>%。具体情况如下：</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1.因公出国（境）经费</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年因公出国（境）费0万元。全年安排因公出国（境）团组0次，出国（境）0人。开支内容包括：无（团组名称、出访地点、取得成效）等。</w:t>
      </w:r>
    </w:p>
    <w:p>
      <w:pPr>
        <w:spacing w:line="60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2.公务用车购置及运行维护费</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年公务用车购置及运行维护费</w:t>
      </w:r>
      <w:r>
        <w:rPr>
          <w:rFonts w:hint="eastAsia" w:ascii="仿宋_GB2312" w:eastAsia="仿宋_GB2312"/>
          <w:color w:val="333333"/>
          <w:sz w:val="32"/>
          <w:szCs w:val="32"/>
          <w:lang w:val="en-US" w:eastAsia="zh-CN"/>
        </w:rPr>
        <w:t>26.64</w:t>
      </w:r>
      <w:r>
        <w:rPr>
          <w:rFonts w:hint="eastAsia" w:ascii="仿宋_GB2312" w:eastAsia="仿宋_GB2312"/>
          <w:color w:val="000000"/>
          <w:sz w:val="32"/>
          <w:szCs w:val="32"/>
        </w:rPr>
        <w:t>万元,其中：</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公务用车购置支出0万元。全年按规定更新购置公务用车0辆，其中：轿车0辆、金额0万元，越野车0辆、金额0万元，载客汽车0辆、金额0万元。截至201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年12月底，单位共有公务用车</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辆，其中：轿车5辆、越野车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辆、载客汽车0辆。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outlineLvl w:val="9"/>
        <w:rPr>
          <w:rFonts w:hint="eastAsia" w:ascii="仿宋" w:hAnsi="仿宋" w:eastAsia="仿宋"/>
          <w:sz w:val="32"/>
          <w:szCs w:val="32"/>
          <w:lang w:eastAsia="zh-CN"/>
        </w:rPr>
      </w:pPr>
      <w:r>
        <w:rPr>
          <w:rFonts w:hint="eastAsia" w:ascii="仿宋_GB2312" w:eastAsia="仿宋_GB2312"/>
          <w:color w:val="000000"/>
          <w:sz w:val="32"/>
          <w:szCs w:val="32"/>
        </w:rPr>
        <w:t>公务用车运行维护费支出</w:t>
      </w:r>
      <w:r>
        <w:rPr>
          <w:rFonts w:hint="eastAsia" w:ascii="仿宋_GB2312" w:eastAsia="仿宋_GB2312"/>
          <w:color w:val="333333"/>
          <w:sz w:val="32"/>
          <w:szCs w:val="32"/>
          <w:lang w:val="en-US" w:eastAsia="zh-CN"/>
        </w:rPr>
        <w:t>26.64</w:t>
      </w:r>
      <w:r>
        <w:rPr>
          <w:rFonts w:hint="eastAsia" w:ascii="仿宋_GB2312" w:eastAsia="仿宋_GB2312"/>
          <w:color w:val="000000"/>
          <w:sz w:val="32"/>
          <w:szCs w:val="32"/>
        </w:rPr>
        <w:t>万元。</w:t>
      </w:r>
      <w:r>
        <w:rPr>
          <w:rFonts w:hint="eastAsia" w:ascii="仿宋" w:hAnsi="仿宋" w:eastAsia="仿宋"/>
          <w:sz w:val="32"/>
          <w:szCs w:val="32"/>
          <w:lang w:eastAsia="zh-CN"/>
        </w:rPr>
        <w:t>主要用于推进景城干部深度融合；加强后备干部队伍建设；开展届后班子跟踪回访；加大人才队伍引育力度；实化乡镇党建责任；推动基层组织规范化建设；强化乡村干部素能培养；探索“党建+旅游”模式；深化“两学一做”学习教育；做好老干部管理服务等中心工作，到乐山市、镇乡、村组次数多，用车频率高；镇乡村远程教育站点维护量大；老干部活动等所需的公务用车燃料费、维修费、过路过桥费、保险费等支出。</w:t>
      </w:r>
    </w:p>
    <w:p>
      <w:pPr>
        <w:spacing w:line="600" w:lineRule="exact"/>
        <w:ind w:firstLine="643" w:firstLineChars="200"/>
        <w:rPr>
          <w:rFonts w:ascii="楷体_GB2312" w:eastAsia="楷体_GB2312"/>
          <w:b/>
          <w:color w:val="000000"/>
          <w:sz w:val="32"/>
          <w:szCs w:val="32"/>
        </w:rPr>
      </w:pPr>
      <w:r>
        <w:rPr>
          <w:rFonts w:hint="eastAsia" w:ascii="仿宋_GB2312" w:eastAsia="仿宋_GB2312"/>
          <w:b/>
          <w:color w:val="000000"/>
          <w:sz w:val="32"/>
          <w:szCs w:val="32"/>
        </w:rPr>
        <w:t>3.公务接待费</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年公务接待费</w:t>
      </w:r>
      <w:r>
        <w:rPr>
          <w:rFonts w:hint="eastAsia" w:ascii="仿宋_GB2312" w:eastAsia="仿宋_GB2312"/>
          <w:color w:val="000000"/>
          <w:sz w:val="32"/>
          <w:szCs w:val="32"/>
          <w:lang w:val="en-US" w:eastAsia="zh-CN"/>
        </w:rPr>
        <w:t>7.85</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 xml:space="preserve">     </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lang w:val="en-US" w:eastAsia="zh-CN"/>
        </w:rPr>
        <w:t>189</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1.乐山市来峨调研2680.00元。2.基层党建调研、华中科技大学实践接待6400元。3.迎接乐山检查，基层党建调研1250.00元。4.盐亭县来峨学习接待费6843.00元。5.接待基层党建调研费1314.00元。</w:t>
      </w:r>
      <w:r>
        <w:rPr>
          <w:rFonts w:hint="eastAsia" w:ascii="仿宋_GB2312" w:eastAsia="仿宋_GB2312"/>
          <w:color w:val="000000"/>
          <w:sz w:val="32"/>
          <w:szCs w:val="32"/>
        </w:rPr>
        <w:t>其中：外事接待0批次，0人，共计支出0万元。</w:t>
      </w:r>
    </w:p>
    <w:p>
      <w:pPr>
        <w:spacing w:line="600" w:lineRule="exact"/>
        <w:ind w:firstLine="640"/>
        <w:rPr>
          <w:rFonts w:hint="eastAsia" w:ascii="黑体" w:eastAsia="黑体"/>
          <w:color w:val="000000"/>
          <w:sz w:val="32"/>
          <w:szCs w:val="32"/>
        </w:rPr>
      </w:pPr>
      <w:r>
        <w:rPr>
          <w:rFonts w:hint="eastAsia" w:ascii="黑体" w:eastAsia="黑体"/>
          <w:color w:val="000000"/>
          <w:sz w:val="32"/>
          <w:szCs w:val="32"/>
        </w:rPr>
        <w:t>八、政府性基金预算财政拨款支出决算情况</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组织部201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年使用政府性基金预算财政拨款支出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rPr>
          <w:rFonts w:ascii="黑体" w:eastAsia="黑体"/>
          <w:color w:val="000000"/>
          <w:sz w:val="32"/>
          <w:szCs w:val="32"/>
        </w:rPr>
      </w:pPr>
      <w:r>
        <w:rPr>
          <w:rFonts w:hint="eastAsia" w:ascii="黑体" w:eastAsia="黑体"/>
          <w:color w:val="000000"/>
          <w:sz w:val="32"/>
          <w:szCs w:val="32"/>
        </w:rPr>
        <w:t>九、其他重要事项的情况说明</w:t>
      </w:r>
    </w:p>
    <w:p>
      <w:p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（一）机关运行经费支出情况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年度，组织部机关运行经费支出</w:t>
      </w:r>
      <w:r>
        <w:rPr>
          <w:rFonts w:hint="eastAsia" w:ascii="仿宋_GB2312" w:eastAsia="仿宋_GB2312"/>
          <w:color w:val="000000"/>
          <w:sz w:val="32"/>
          <w:szCs w:val="32"/>
          <w:lang w:val="en-US" w:eastAsia="zh-CN"/>
        </w:rPr>
        <w:t>70.89</w:t>
      </w:r>
      <w:r>
        <w:rPr>
          <w:rFonts w:hint="eastAsia" w:ascii="仿宋_GB2312" w:eastAsia="仿宋_GB2312"/>
          <w:color w:val="000000"/>
          <w:sz w:val="32"/>
          <w:szCs w:val="32"/>
        </w:rPr>
        <w:t>万元，比201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13.99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 xml:space="preserve">24.58 </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（二）政府采购支出情况</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年度，组织部政府采购支出总额</w:t>
      </w:r>
      <w:r>
        <w:rPr>
          <w:rFonts w:hint="eastAsia" w:ascii="仿宋_GB2312" w:eastAsia="仿宋_GB2312"/>
          <w:color w:val="000000"/>
          <w:sz w:val="32"/>
          <w:szCs w:val="32"/>
          <w:lang w:val="en-US" w:eastAsia="zh-CN"/>
        </w:rPr>
        <w:t>52.94</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52.94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远程教育设备更新，保密设备购置、</w:t>
      </w:r>
      <w:r>
        <w:rPr>
          <w:rFonts w:hint="eastAsia" w:ascii="仿宋_GB2312" w:eastAsia="仿宋_GB2312"/>
          <w:color w:val="000000"/>
          <w:sz w:val="32"/>
          <w:szCs w:val="32"/>
        </w:rPr>
        <w:t>办公设备</w:t>
      </w:r>
      <w:r>
        <w:rPr>
          <w:rFonts w:hint="eastAsia" w:ascii="仿宋_GB2312" w:eastAsia="仿宋_GB2312"/>
          <w:color w:val="000000"/>
          <w:sz w:val="32"/>
          <w:szCs w:val="32"/>
          <w:lang w:eastAsia="zh-CN"/>
        </w:rPr>
        <w:t>、新建“乐山智慧组工”网上办公系统</w:t>
      </w:r>
      <w:r>
        <w:rPr>
          <w:rFonts w:hint="eastAsia" w:ascii="仿宋_GB2312" w:eastAsia="仿宋_GB2312"/>
          <w:color w:val="000000"/>
          <w:sz w:val="32"/>
          <w:szCs w:val="32"/>
        </w:rPr>
        <w:t>等开支。</w:t>
      </w:r>
    </w:p>
    <w:p>
      <w:pPr>
        <w:autoSpaceDE w:val="0"/>
        <w:autoSpaceDN w:val="0"/>
        <w:adjustRightInd w:val="0"/>
        <w:spacing w:line="60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（三）国有资产占有使用情况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年12月31日，组织部</w:t>
      </w:r>
      <w:r>
        <w:rPr>
          <w:rFonts w:hint="eastAsia" w:ascii="仿宋_GB2312" w:eastAsia="仿宋_GB2312"/>
          <w:color w:val="000000"/>
          <w:sz w:val="32"/>
          <w:szCs w:val="32"/>
          <w:lang w:eastAsia="zh-CN"/>
        </w:rPr>
        <w:t>共使用</w:t>
      </w:r>
      <w:r>
        <w:rPr>
          <w:rFonts w:hint="eastAsia" w:ascii="仿宋_GB2312" w:eastAsia="仿宋_GB2312"/>
          <w:color w:val="000000"/>
          <w:sz w:val="32"/>
          <w:szCs w:val="32"/>
        </w:rPr>
        <w:t>车辆</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辆，其中：省部级领导干部用车0辆、一般公务用车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，老干部服务用车</w:t>
      </w:r>
      <w:r>
        <w:rPr>
          <w:rFonts w:hint="eastAsia" w:ascii="仿宋_GB2312" w:eastAsia="仿宋_GB2312"/>
          <w:color w:val="000000"/>
          <w:sz w:val="32"/>
          <w:szCs w:val="32"/>
          <w:lang w:val="en-US" w:eastAsia="zh-CN"/>
        </w:rPr>
        <w:t>4辆，常委公务用车1辆</w:t>
      </w:r>
      <w:r>
        <w:rPr>
          <w:rFonts w:hint="eastAsia" w:ascii="仿宋_GB2312" w:eastAsia="仿宋_GB2312"/>
          <w:color w:val="000000"/>
          <w:sz w:val="32"/>
          <w:szCs w:val="32"/>
        </w:rPr>
        <w:t>；单价50万元以上通用设备0台（套），单价100万元以上专用设备0台（套）。</w:t>
      </w:r>
    </w:p>
    <w:p>
      <w:pPr>
        <w:autoSpaceDE w:val="0"/>
        <w:autoSpaceDN w:val="0"/>
        <w:adjustRightInd w:val="0"/>
        <w:spacing w:line="600" w:lineRule="exact"/>
        <w:ind w:firstLine="643" w:firstLineChars="200"/>
        <w:jc w:val="left"/>
        <w:rPr>
          <w:rFonts w:hint="eastAsia" w:ascii="仿宋_GB2312" w:eastAsia="仿宋_GB2312"/>
          <w:b/>
          <w:color w:val="000000"/>
          <w:sz w:val="32"/>
          <w:szCs w:val="32"/>
        </w:rPr>
      </w:pPr>
      <w:r>
        <w:rPr>
          <w:rFonts w:hint="eastAsia" w:ascii="仿宋_GB2312" w:eastAsia="仿宋_GB2312"/>
          <w:b/>
          <w:color w:val="000000"/>
          <w:sz w:val="32"/>
          <w:szCs w:val="32"/>
        </w:rPr>
        <w:t>（四）预算绩效情况</w:t>
      </w:r>
    </w:p>
    <w:p>
      <w:pPr>
        <w:spacing w:line="600" w:lineRule="atLeas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按照预算绩效管理要求，本部门对</w:t>
      </w:r>
      <w:r>
        <w:rPr>
          <w:rFonts w:hint="eastAsia" w:ascii="仿宋_GB2312" w:eastAsia="仿宋_GB2312"/>
          <w:color w:val="auto"/>
          <w:sz w:val="32"/>
          <w:szCs w:val="32"/>
          <w:lang w:val="en-US" w:eastAsia="zh-CN"/>
        </w:rPr>
        <w:t>2018</w:t>
      </w:r>
      <w:r>
        <w:rPr>
          <w:rFonts w:hint="eastAsia" w:ascii="仿宋_GB2312" w:eastAsia="仿宋_GB2312"/>
          <w:color w:val="auto"/>
          <w:sz w:val="32"/>
          <w:szCs w:val="32"/>
        </w:rPr>
        <w:t>年一般公共预算项目支出开展了绩效目标管理，共编制绩效目标</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个，涉及财政资金</w:t>
      </w:r>
      <w:r>
        <w:rPr>
          <w:rFonts w:hint="eastAsia" w:ascii="仿宋_GB2312" w:hAnsi="仿宋" w:eastAsia="仿宋_GB2312"/>
          <w:sz w:val="32"/>
          <w:szCs w:val="32"/>
        </w:rPr>
        <w:t>720.47</w:t>
      </w:r>
      <w:r>
        <w:rPr>
          <w:rFonts w:hint="eastAsia" w:ascii="仿宋_GB2312" w:eastAsia="仿宋_GB2312"/>
          <w:color w:val="auto"/>
          <w:sz w:val="32"/>
          <w:szCs w:val="32"/>
        </w:rPr>
        <w:t>万元，覆盖率达到</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%。（自评得分</w:t>
      </w:r>
      <w:r>
        <w:rPr>
          <w:rFonts w:hint="eastAsia" w:ascii="仿宋_GB2312" w:eastAsia="仿宋_GB2312"/>
          <w:color w:val="auto"/>
          <w:sz w:val="32"/>
          <w:szCs w:val="32"/>
          <w:lang w:val="en-US" w:eastAsia="zh-CN"/>
        </w:rPr>
        <w:t>92分，存在的主要问题是预算分项不够精确，2020年预算提高精准度，并进一步细化指标</w:t>
      </w:r>
      <w:r>
        <w:rPr>
          <w:rFonts w:hint="eastAsia" w:ascii="仿宋_GB2312" w:eastAsia="仿宋_GB2312"/>
          <w:color w:val="auto"/>
          <w:sz w:val="32"/>
          <w:szCs w:val="32"/>
        </w:rPr>
        <w:t>）。</w:t>
      </w:r>
      <w:bookmarkStart w:id="0" w:name="_GoBack"/>
      <w:bookmarkEnd w:id="0"/>
    </w:p>
    <w:p>
      <w:pPr>
        <w:autoSpaceDE w:val="0"/>
        <w:autoSpaceDN w:val="0"/>
        <w:adjustRightInd w:val="0"/>
        <w:spacing w:line="600" w:lineRule="exact"/>
        <w:ind w:firstLine="640" w:firstLineChars="200"/>
        <w:jc w:val="left"/>
        <w:rPr>
          <w:rFonts w:hint="eastAsia" w:ascii="黑体" w:eastAsia="黑体"/>
          <w:color w:val="000000"/>
          <w:sz w:val="32"/>
          <w:szCs w:val="32"/>
        </w:rPr>
      </w:pPr>
      <w:r>
        <w:rPr>
          <w:rFonts w:hint="eastAsia" w:ascii="黑体" w:eastAsia="黑体"/>
          <w:color w:val="000000"/>
          <w:sz w:val="32"/>
          <w:szCs w:val="32"/>
        </w:rPr>
        <w:t>十、名词解释</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1.财政拨款收入：指省级财政当年拨付的资金。 </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2.事业收入：指事业单位开展专业业务活动及辅助活动所取得的收入。如…（二级预算单位事业收入情况）等。</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4.其他收入：指除上述“财政拨款收入”、“事业收入”、“经营收入”等以外的收入。主要是…（收入类型）等。 </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8"/>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7.一般公共服务（类）组织事务（款）行政运行（项）:</w:t>
      </w:r>
      <w:r>
        <w:rPr>
          <w:rFonts w:hint="eastAsia" w:ascii="仿宋_GB2312" w:eastAsia="仿宋_GB2312"/>
          <w:sz w:val="32"/>
          <w:szCs w:val="32"/>
          <w:lang w:eastAsia="zh-CN"/>
        </w:rPr>
        <w:t>指反映行政单位（包括实行公务员管理的事业单位）的基本支出。</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一般公共服务（类）组织事务（款）一般行政管理事务（项）:</w:t>
      </w:r>
      <w:r>
        <w:rPr>
          <w:rFonts w:hint="eastAsia" w:ascii="仿宋_GB2312" w:eastAsia="仿宋_GB2312"/>
          <w:sz w:val="32"/>
          <w:szCs w:val="32"/>
          <w:lang w:eastAsia="zh-CN"/>
        </w:rPr>
        <w:t>指反映行政单位（包括实行公务员管理的事业单位）未单独设置项级科目的其他项目支出。</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一般公共服务（类）组织事务（款）事业运行（项）指</w:t>
      </w:r>
      <w:r>
        <w:rPr>
          <w:rFonts w:hint="eastAsia" w:ascii="仿宋_GB2312" w:eastAsia="仿宋_GB2312"/>
          <w:sz w:val="32"/>
          <w:szCs w:val="32"/>
          <w:lang w:eastAsia="zh-CN"/>
        </w:rPr>
        <w:t>反映事业单位的基本支出，不包括行政单位（包括实行公务员管理的事业单位）后勤服务中心、医务室等附属事业单位</w:t>
      </w:r>
      <w:r>
        <w:rPr>
          <w:rFonts w:hint="eastAsia" w:ascii="仿宋_GB2312" w:eastAsia="仿宋_GB2312"/>
          <w:sz w:val="32"/>
          <w:szCs w:val="32"/>
        </w:rPr>
        <w:t>。</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.社会保障和就业（类）行政事业单位离退休（款）未归口管理的行政单位离退休（项）：指</w:t>
      </w:r>
      <w:r>
        <w:rPr>
          <w:rFonts w:hint="eastAsia" w:ascii="仿宋_GB2312" w:eastAsia="仿宋_GB2312"/>
          <w:sz w:val="32"/>
          <w:szCs w:val="32"/>
          <w:lang w:eastAsia="zh-CN"/>
        </w:rPr>
        <w:t>反映未实行归口管理的行政单位（包括实行公务员管理的事业单位）开支的离退休支出</w:t>
      </w:r>
      <w:r>
        <w:rPr>
          <w:rFonts w:hint="eastAsia" w:ascii="仿宋_GB2312" w:eastAsia="仿宋_GB2312"/>
          <w:sz w:val="32"/>
          <w:szCs w:val="32"/>
        </w:rPr>
        <w:t>。</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医疗卫生与计划生育（类）医疗保障（款）行政单位医疗（项）:</w:t>
      </w:r>
      <w:r>
        <w:rPr>
          <w:rFonts w:hint="eastAsia" w:ascii="仿宋_GB2312" w:eastAsia="仿宋_GB2312"/>
          <w:sz w:val="32"/>
          <w:szCs w:val="32"/>
          <w:lang w:eastAsia="zh-CN"/>
        </w:rPr>
        <w:t>指反映财政部门集中安排的行政单位基本医疗保险缴费经费，未参加医疗保险的行政单位的公费医疗经费，按国家规定享受离休人员、红军老战士待遇人员的医疗经费</w:t>
      </w:r>
      <w:r>
        <w:rPr>
          <w:rFonts w:hint="eastAsia" w:ascii="仿宋_GB2312" w:eastAsia="仿宋_GB2312"/>
          <w:sz w:val="32"/>
          <w:szCs w:val="32"/>
        </w:rPr>
        <w:t>。</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医疗卫生与计划生育（类）医疗保障（款）其他医疗保障支出（项）:</w:t>
      </w:r>
      <w:r>
        <w:rPr>
          <w:rFonts w:hint="eastAsia" w:ascii="仿宋_GB2312" w:eastAsia="仿宋_GB2312"/>
          <w:sz w:val="32"/>
          <w:szCs w:val="32"/>
          <w:lang w:eastAsia="zh-CN"/>
        </w:rPr>
        <w:t>指反映除上述项目以外的其他用于行政事业单位医疗方面的支出</w:t>
      </w:r>
      <w:r>
        <w:rPr>
          <w:rFonts w:hint="eastAsia" w:ascii="仿宋_GB2312" w:eastAsia="仿宋_GB2312"/>
          <w:sz w:val="32"/>
          <w:szCs w:val="32"/>
        </w:rPr>
        <w:t>。</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 xml:space="preserve"> 住房保障支出（类）住房改革支出（款）住房公积金（项）:</w:t>
      </w:r>
      <w:r>
        <w:rPr>
          <w:rFonts w:hint="eastAsia" w:ascii="仿宋_GB2312" w:eastAsia="仿宋_GB2312"/>
          <w:sz w:val="32"/>
          <w:szCs w:val="32"/>
          <w:lang w:eastAsia="zh-CN"/>
        </w:rPr>
        <w:t>指反映行政事业单位按人力资源和社会保障部、财政部规定的基本工资和津贴补贴以及规定比例为职工缴纳的住房公积金</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14.</w:t>
      </w:r>
      <w:r>
        <w:rPr>
          <w:rFonts w:hint="eastAsia" w:ascii="仿宋_GB2312" w:eastAsia="仿宋_GB2312"/>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rPr>
          <w:rFonts w:hint="eastAsia"/>
        </w:rPr>
      </w:pPr>
      <w:r>
        <w:rPr>
          <w:rFonts w:ascii="Times New Roman" w:hAnsi="Times New Roman"/>
        </w:rPr>
        <w:br w:type="page"/>
      </w:r>
      <w:r>
        <w:rPr>
          <w:rFonts w:hint="eastAsia"/>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中共峨眉山市委组织部</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年部门决算公开表</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pStyle w:val="10"/>
        <w:rPr>
          <w:rFonts w:hint="eastAsia" w:ascii="Times New Roman" w:hAnsi="Times New Roman"/>
        </w:rPr>
      </w:pPr>
      <w:r>
        <w:rPr>
          <w:rFonts w:hint="eastAsia" w:ascii="Times New Roman" w:hAnsi="Times New Roman"/>
        </w:rPr>
        <w:t>表1：收入支出决算总表</w:t>
      </w:r>
    </w:p>
    <w:p>
      <w:pPr>
        <w:pStyle w:val="10"/>
        <w:rPr>
          <w:rFonts w:ascii="Times New Roman" w:hAnsi="Times New Roman"/>
        </w:rPr>
      </w:pPr>
      <w:r>
        <w:rPr>
          <w:rFonts w:ascii="Times New Roman" w:hAnsi="Times New Roman"/>
        </w:rPr>
        <w:t>表</w:t>
      </w:r>
      <w:r>
        <w:rPr>
          <w:rFonts w:hint="eastAsia" w:ascii="Times New Roman" w:hAnsi="Times New Roman"/>
        </w:rPr>
        <w:t>2</w:t>
      </w:r>
      <w:r>
        <w:rPr>
          <w:rFonts w:ascii="Times New Roman" w:hAnsi="Times New Roman"/>
        </w:rPr>
        <w:t>：</w:t>
      </w:r>
      <w:r>
        <w:rPr>
          <w:rFonts w:hint="eastAsia" w:ascii="Times New Roman" w:hAnsi="Times New Roman"/>
        </w:rPr>
        <w:t>收入决算表</w:t>
      </w:r>
    </w:p>
    <w:p>
      <w:pPr>
        <w:pStyle w:val="10"/>
        <w:rPr>
          <w:rFonts w:ascii="Times New Roman" w:hAnsi="Times New Roman"/>
        </w:rPr>
      </w:pPr>
      <w:r>
        <w:rPr>
          <w:rFonts w:ascii="Times New Roman" w:hAnsi="Times New Roman"/>
        </w:rPr>
        <w:t>表</w:t>
      </w:r>
      <w:r>
        <w:rPr>
          <w:rFonts w:hint="eastAsia" w:ascii="Times New Roman" w:hAnsi="Times New Roman"/>
        </w:rPr>
        <w:t>3</w:t>
      </w:r>
      <w:r>
        <w:rPr>
          <w:rFonts w:ascii="Times New Roman" w:hAnsi="Times New Roman"/>
        </w:rPr>
        <w:t>：</w:t>
      </w:r>
      <w:r>
        <w:rPr>
          <w:rFonts w:hint="eastAsia" w:ascii="Times New Roman" w:hAnsi="Times New Roman"/>
        </w:rPr>
        <w:t>支出决算表</w:t>
      </w:r>
    </w:p>
    <w:p>
      <w:pPr>
        <w:pStyle w:val="10"/>
        <w:rPr>
          <w:rFonts w:ascii="Times New Roman" w:hAnsi="Times New Roman"/>
        </w:rPr>
      </w:pPr>
      <w:r>
        <w:rPr>
          <w:rFonts w:ascii="Times New Roman" w:hAnsi="Times New Roman"/>
        </w:rPr>
        <w:t>表</w:t>
      </w:r>
      <w:r>
        <w:rPr>
          <w:rFonts w:hint="eastAsia" w:ascii="Times New Roman" w:hAnsi="Times New Roman"/>
        </w:rPr>
        <w:t>4</w:t>
      </w:r>
      <w:r>
        <w:rPr>
          <w:rFonts w:ascii="Times New Roman" w:hAnsi="Times New Roman"/>
        </w:rPr>
        <w:t>：</w:t>
      </w:r>
      <w:r>
        <w:rPr>
          <w:rFonts w:hint="eastAsia" w:ascii="Times New Roman" w:hAnsi="Times New Roman"/>
        </w:rPr>
        <w:t>财政拨款收入支出决算表</w:t>
      </w:r>
    </w:p>
    <w:p>
      <w:pPr>
        <w:pStyle w:val="10"/>
        <w:rPr>
          <w:rFonts w:hint="eastAsia" w:ascii="Times New Roman" w:hAnsi="Times New Roman" w:eastAsia="仿宋_GB2312"/>
          <w:lang w:eastAsia="zh-CN"/>
        </w:rPr>
      </w:pPr>
      <w:r>
        <w:rPr>
          <w:rFonts w:ascii="Times New Roman" w:hAnsi="Times New Roman"/>
        </w:rPr>
        <w:t>表</w:t>
      </w:r>
      <w:r>
        <w:rPr>
          <w:rFonts w:hint="eastAsia" w:ascii="Times New Roman" w:hAnsi="Times New Roman"/>
        </w:rPr>
        <w:t>5</w:t>
      </w:r>
      <w:r>
        <w:rPr>
          <w:rFonts w:ascii="Times New Roman" w:hAnsi="Times New Roman"/>
        </w:rPr>
        <w:t>：</w:t>
      </w:r>
      <w:r>
        <w:rPr>
          <w:rFonts w:hint="eastAsia" w:ascii="Times New Roman" w:hAnsi="Times New Roman"/>
          <w:lang w:eastAsia="zh-CN"/>
        </w:rPr>
        <w:t>财政拨款支出决算明细表</w:t>
      </w:r>
    </w:p>
    <w:p>
      <w:pPr>
        <w:pStyle w:val="10"/>
        <w:rPr>
          <w:rFonts w:ascii="Times New Roman" w:hAnsi="Times New Roman"/>
        </w:rPr>
      </w:pPr>
      <w:r>
        <w:rPr>
          <w:rFonts w:hint="eastAsia" w:ascii="Times New Roman" w:hAnsi="Times New Roman"/>
          <w:lang w:eastAsia="zh-CN"/>
        </w:rPr>
        <w:t>表</w:t>
      </w:r>
      <w:r>
        <w:rPr>
          <w:rFonts w:hint="eastAsia" w:ascii="Times New Roman" w:hAnsi="Times New Roman"/>
          <w:lang w:val="en-US" w:eastAsia="zh-CN"/>
        </w:rPr>
        <w:t>6：</w:t>
      </w:r>
      <w:r>
        <w:rPr>
          <w:rFonts w:hint="eastAsia" w:ascii="Times New Roman" w:hAnsi="Times New Roman"/>
        </w:rPr>
        <w:t>一般公共预算财政拨款支出决算表</w:t>
      </w:r>
    </w:p>
    <w:p>
      <w:pPr>
        <w:pStyle w:val="10"/>
        <w:rPr>
          <w:rFonts w:ascii="Times New Roman" w:hAnsi="Times New Roman"/>
        </w:rPr>
      </w:pPr>
      <w:r>
        <w:rPr>
          <w:rFonts w:ascii="Times New Roman" w:hAnsi="Times New Roman"/>
        </w:rPr>
        <w:t>表</w:t>
      </w:r>
      <w:r>
        <w:rPr>
          <w:rFonts w:hint="eastAsia" w:ascii="Times New Roman" w:hAnsi="Times New Roman"/>
          <w:lang w:val="en-US" w:eastAsia="zh-CN"/>
        </w:rPr>
        <w:t>:7</w:t>
      </w:r>
      <w:r>
        <w:rPr>
          <w:rFonts w:ascii="Times New Roman" w:hAnsi="Times New Roman"/>
        </w:rPr>
        <w:t>：</w:t>
      </w:r>
      <w:r>
        <w:rPr>
          <w:rFonts w:hint="eastAsia" w:ascii="Times New Roman" w:hAnsi="Times New Roman"/>
        </w:rPr>
        <w:t>一般公共预算财政拨款支出决算明细表</w:t>
      </w:r>
    </w:p>
    <w:p>
      <w:pPr>
        <w:pStyle w:val="10"/>
        <w:rPr>
          <w:rFonts w:ascii="Times New Roman" w:hAnsi="Times New Roman"/>
        </w:rPr>
      </w:pPr>
      <w:r>
        <w:rPr>
          <w:rFonts w:ascii="Times New Roman" w:hAnsi="Times New Roman"/>
        </w:rPr>
        <w:t>表</w:t>
      </w:r>
      <w:r>
        <w:rPr>
          <w:rFonts w:hint="eastAsia" w:ascii="Times New Roman" w:hAnsi="Times New Roman"/>
          <w:lang w:val="en-US" w:eastAsia="zh-CN"/>
        </w:rPr>
        <w:t>8</w:t>
      </w:r>
      <w:r>
        <w:rPr>
          <w:rFonts w:ascii="Times New Roman" w:hAnsi="Times New Roman"/>
        </w:rPr>
        <w:t>：</w:t>
      </w:r>
      <w:r>
        <w:rPr>
          <w:rFonts w:hint="eastAsia" w:ascii="Times New Roman" w:hAnsi="Times New Roman"/>
        </w:rPr>
        <w:t>一般公共预算财政拨款基本支出决算表</w:t>
      </w:r>
    </w:p>
    <w:p>
      <w:pPr>
        <w:pStyle w:val="10"/>
        <w:rPr>
          <w:rFonts w:ascii="Times New Roman" w:hAnsi="Times New Roman"/>
        </w:rPr>
      </w:pPr>
      <w:r>
        <w:rPr>
          <w:rFonts w:ascii="Times New Roman" w:hAnsi="Times New Roman"/>
        </w:rPr>
        <w:t>表</w:t>
      </w:r>
      <w:r>
        <w:rPr>
          <w:rFonts w:hint="eastAsia" w:ascii="Times New Roman" w:hAnsi="Times New Roman"/>
          <w:lang w:val="en-US" w:eastAsia="zh-CN"/>
        </w:rPr>
        <w:t>9</w:t>
      </w:r>
      <w:r>
        <w:rPr>
          <w:rFonts w:ascii="Times New Roman" w:hAnsi="Times New Roman"/>
        </w:rPr>
        <w:t>：</w:t>
      </w:r>
      <w:r>
        <w:rPr>
          <w:rFonts w:hint="eastAsia" w:ascii="Times New Roman" w:hAnsi="Times New Roman"/>
        </w:rPr>
        <w:t>一般公共预算财政拨款项目支出决算表</w:t>
      </w:r>
    </w:p>
    <w:p>
      <w:pPr>
        <w:pStyle w:val="10"/>
        <w:rPr>
          <w:rFonts w:ascii="Times New Roman" w:hAnsi="Times New Roman"/>
        </w:rPr>
      </w:pPr>
      <w:r>
        <w:rPr>
          <w:rFonts w:ascii="Times New Roman" w:hAnsi="Times New Roman"/>
        </w:rPr>
        <w:t>表</w:t>
      </w:r>
      <w:r>
        <w:rPr>
          <w:rFonts w:hint="eastAsia" w:ascii="Times New Roman" w:hAnsi="Times New Roman"/>
          <w:lang w:val="en-US" w:eastAsia="zh-CN"/>
        </w:rPr>
        <w:t>10</w:t>
      </w:r>
      <w:r>
        <w:rPr>
          <w:rFonts w:ascii="Times New Roman" w:hAnsi="Times New Roman"/>
        </w:rPr>
        <w:t>：</w:t>
      </w:r>
      <w:r>
        <w:rPr>
          <w:rFonts w:hint="eastAsia" w:ascii="Times New Roman" w:hAnsi="Times New Roman"/>
        </w:rPr>
        <w:t>一般公共预算财政拨款“三公”经费支出决算表</w:t>
      </w:r>
    </w:p>
    <w:p>
      <w:pPr>
        <w:pStyle w:val="10"/>
        <w:rPr>
          <w:rFonts w:ascii="Times New Roman" w:hAnsi="Times New Roman"/>
        </w:rPr>
      </w:pPr>
      <w:r>
        <w:rPr>
          <w:rFonts w:ascii="Times New Roman" w:hAnsi="Times New Roman"/>
        </w:rPr>
        <w:t>表1</w:t>
      </w:r>
      <w:r>
        <w:rPr>
          <w:rFonts w:hint="eastAsia" w:ascii="Times New Roman" w:hAnsi="Times New Roman"/>
          <w:lang w:val="en-US" w:eastAsia="zh-CN"/>
        </w:rPr>
        <w:t>1</w:t>
      </w:r>
      <w:r>
        <w:rPr>
          <w:rFonts w:ascii="Times New Roman" w:hAnsi="Times New Roman"/>
        </w:rPr>
        <w:t>：</w:t>
      </w:r>
      <w:r>
        <w:rPr>
          <w:rFonts w:hint="eastAsia" w:ascii="Times New Roman" w:hAnsi="Times New Roman"/>
        </w:rPr>
        <w:t>政府性基金预算财政拨款收入支出决算表</w:t>
      </w:r>
    </w:p>
    <w:p>
      <w:pPr>
        <w:pStyle w:val="10"/>
        <w:rPr>
          <w:rFonts w:ascii="Times New Roman" w:hAnsi="Times New Roman"/>
        </w:rPr>
      </w:pPr>
      <w:r>
        <w:rPr>
          <w:rFonts w:ascii="Times New Roman" w:hAnsi="Times New Roman"/>
        </w:rPr>
        <w:t>表1</w:t>
      </w:r>
      <w:r>
        <w:rPr>
          <w:rFonts w:hint="eastAsia" w:ascii="Times New Roman" w:hAnsi="Times New Roman"/>
          <w:lang w:val="en-US" w:eastAsia="zh-CN"/>
        </w:rPr>
        <w:t>2</w:t>
      </w:r>
      <w:r>
        <w:rPr>
          <w:rFonts w:ascii="Times New Roman" w:hAnsi="Times New Roman"/>
        </w:rPr>
        <w:t>：</w:t>
      </w:r>
      <w:r>
        <w:rPr>
          <w:rFonts w:hint="eastAsia" w:ascii="Times New Roman" w:hAnsi="Times New Roman"/>
        </w:rPr>
        <w:t>政府性基金预算财政拨款“三公”经费支出决算表</w:t>
      </w:r>
    </w:p>
    <w:p>
      <w:pPr>
        <w:pStyle w:val="10"/>
        <w:rPr>
          <w:rFonts w:ascii="Times New Roman" w:hAnsi="Times New Roman"/>
        </w:rPr>
      </w:pPr>
      <w:r>
        <w:rPr>
          <w:rFonts w:ascii="Times New Roman" w:hAnsi="Times New Roman"/>
        </w:rPr>
        <w:t>表1</w:t>
      </w:r>
      <w:r>
        <w:rPr>
          <w:rFonts w:hint="eastAsia" w:ascii="Times New Roman" w:hAnsi="Times New Roman"/>
          <w:lang w:val="en-US" w:eastAsia="zh-CN"/>
        </w:rPr>
        <w:t>3</w:t>
      </w:r>
      <w:r>
        <w:rPr>
          <w:rFonts w:ascii="Times New Roman" w:hAnsi="Times New Roman"/>
        </w:rPr>
        <w:t>：</w:t>
      </w:r>
      <w:r>
        <w:rPr>
          <w:rFonts w:hint="eastAsia" w:ascii="Times New Roman" w:hAnsi="Times New Roman"/>
        </w:rPr>
        <w:t>国有资本经营预算支出决算表</w:t>
      </w:r>
    </w:p>
    <w:p>
      <w:pPr>
        <w:rPr>
          <w:rFonts w:hint="eastAsia"/>
        </w:rPr>
      </w:pPr>
    </w:p>
    <w:p>
      <w:pPr>
        <w:rPr>
          <w:rFonts w:hint="eastAsia"/>
        </w:rPr>
      </w:pPr>
    </w:p>
    <w:p/>
    <w:sectPr>
      <w:headerReference r:id="rId3" w:type="default"/>
      <w:footerReference r:id="rId5" w:type="default"/>
      <w:headerReference r:id="rId4" w:type="even"/>
      <w:footerReference r:id="rId6" w:type="even"/>
      <w:pgSz w:w="11906" w:h="16838"/>
      <w:pgMar w:top="2098" w:right="1474" w:bottom="1984" w:left="1587" w:header="1134"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1" w:rightChars="148"/>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5382895</wp:posOffset>
              </wp:positionH>
              <wp:positionV relativeFrom="paragraph">
                <wp:posOffset>0</wp:posOffset>
              </wp:positionV>
              <wp:extent cx="233680" cy="2393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33680" cy="239395"/>
                      </a:xfrm>
                      <a:prstGeom prst="rect">
                        <a:avLst/>
                      </a:prstGeom>
                      <a:noFill/>
                      <a:ln w="952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423.85pt;margin-top:0pt;height:18.85pt;width:18.4pt;mso-position-horizontal-relative:margin;z-index:251659264;mso-width-relative:page;mso-height-relative:page;" filled="f" stroked="f" coordsize="21600,21600" o:gfxdata="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hhHtYAAAAHAQAADwAA&#10;AAAAAAABACAAAAAiAAAAZHJzL2Rvd25yZXYueG1sUEsBAhQAFAAAAAgAh07iQMBSExymAQAALAMA&#10;AA4AAAAAAAAAAQAgAAAAJQEAAGRycy9lMm9Eb2MueG1sUEsFBgAAAAAGAAYAWQEAAD0FAAAAAA==&#10;">
              <v:fill on="f" focussize="0,0"/>
              <v:stroke on="f"/>
              <v:imagedata o:title=""/>
              <o:lock v:ext="edit" aspectratio="f"/>
              <v:textbox inset="0mm,0mm,0mm,0mm">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181" w:firstLineChars="10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z5377gBAABUAwAADgAAAAAAAAABACAAAAAeAQAAZHJzL2Uyb0RvYy54bWxQSwUGAAAAAAYABgBZ&#10;AQAAS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36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v:fill on="f" focussize="0,0"/>
              <v:stroke on="f"/>
              <v:imagedata o:title=""/>
              <o:lock v:ext="edit" aspectratio="f"/>
              <v:textbox inset="0mm,0mm,0mm,0mm" style="mso-fit-shape-to-text:t;">
                <w:txbxContent>
                  <w:p>
                    <w:pPr>
                      <w:pStyle w:val="3"/>
                      <w:ind w:right="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96FAB"/>
    <w:rsid w:val="0EC96FAB"/>
    <w:rsid w:val="16D80AE5"/>
    <w:rsid w:val="3C890DB5"/>
    <w:rsid w:val="420F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kern w:val="0"/>
      <w:sz w:val="30"/>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paragraph" w:customStyle="1" w:styleId="8">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17 附件"/>
    <w:basedOn w:val="1"/>
    <w:next w:val="1"/>
    <w:uiPriority w:val="0"/>
    <w:pPr>
      <w:spacing w:line="600" w:lineRule="exact"/>
      <w:jc w:val="left"/>
    </w:pPr>
    <w:rPr>
      <w:rFonts w:ascii="黑体" w:hAnsi="Calibri" w:eastAsia="黑体"/>
      <w:sz w:val="32"/>
      <w:szCs w:val="32"/>
    </w:rPr>
  </w:style>
  <w:style w:type="paragraph" w:customStyle="1" w:styleId="10">
    <w:name w:val="〖C01〗正文"/>
    <w:basedOn w:val="1"/>
    <w:qFormat/>
    <w:uiPriority w:val="0"/>
    <w:pPr>
      <w:topLinePunct/>
      <w:spacing w:line="600" w:lineRule="exact"/>
      <w:ind w:firstLine="64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2018年组织部本年收入</a:t>
            </a:r>
          </a:p>
        </c:rich>
      </c:tx>
      <c:layout>
        <c:manualLayout>
          <c:xMode val="edge"/>
          <c:yMode val="edge"/>
          <c:x val="0.276944444444444"/>
          <c:y val="0.0381944444444444"/>
        </c:manualLayout>
      </c:layout>
      <c:overlay val="0"/>
      <c:spPr>
        <a:noFill/>
        <a:ln>
          <a:noFill/>
        </a:ln>
        <a:effectLst/>
      </c:spPr>
    </c:title>
    <c:autoTitleDeleted val="0"/>
    <c:plotArea>
      <c:layout/>
      <c:pieChart>
        <c:varyColors val="1"/>
        <c:ser>
          <c:idx val="0"/>
          <c:order val="0"/>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[工作簿2]Sheet1!$A$3:$A$5</c:f>
              <c:strCache>
                <c:ptCount val="3"/>
                <c:pt idx="0">
                  <c:v>财政拨款收入</c:v>
                </c:pt>
                <c:pt idx="1">
                  <c:v>事业收入</c:v>
                </c:pt>
                <c:pt idx="2">
                  <c:v>其他收入</c:v>
                </c:pt>
              </c:strCache>
            </c:strRef>
          </c:cat>
          <c:val>
            <c:numRef>
              <c:f>[工作簿2]Sheet1!$B$3:$B$5</c:f>
              <c:numCache>
                <c:formatCode>General</c:formatCode>
                <c:ptCount val="3"/>
                <c:pt idx="0">
                  <c:v>1313.45</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2018年组织部本年支出</a:t>
            </a:r>
          </a:p>
        </c:rich>
      </c:tx>
      <c:layout>
        <c:manualLayout>
          <c:xMode val="edge"/>
          <c:yMode val="edge"/>
          <c:x val="0.318611111111111"/>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[工作簿2]Sheet1!$B$57:$B$58</c:f>
              <c:strCache>
                <c:ptCount val="2"/>
                <c:pt idx="0">
                  <c:v>基本支出
</c:v>
                </c:pt>
                <c:pt idx="1">
                  <c:v>项目支出</c:v>
                </c:pt>
              </c:strCache>
            </c:strRef>
          </c:cat>
          <c:val>
            <c:numRef>
              <c:f>[工作簿2]Sheet1!$C$57:$C$58</c:f>
              <c:numCache>
                <c:formatCode>General</c:formatCode>
                <c:ptCount val="2"/>
                <c:pt idx="0">
                  <c:v>586.55</c:v>
                </c:pt>
                <c:pt idx="1">
                  <c:v>720.47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113833333333333"/>
          <c:y val="0.22037037037037"/>
          <c:w val="0.88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[工作簿2]Sheet1!$B$89:$B$90</c:f>
              <c:strCache>
                <c:ptCount val="2"/>
                <c:pt idx="0">
                  <c:v>2017年收入总数</c:v>
                </c:pt>
                <c:pt idx="1">
                  <c:v>2018年收入总数</c:v>
                </c:pt>
              </c:strCache>
            </c:strRef>
          </c:cat>
          <c:val>
            <c:numRef>
              <c:f>[工作簿2]Sheet1!$C$89:$C$90</c:f>
              <c:numCache>
                <c:formatCode>General</c:formatCode>
                <c:ptCount val="2"/>
                <c:pt idx="0">
                  <c:v>1473.97</c:v>
                </c:pt>
                <c:pt idx="1">
                  <c:v>1273.25</c:v>
                </c:pt>
              </c:numCache>
            </c:numRef>
          </c:val>
        </c:ser>
        <c:dLbls>
          <c:showLegendKey val="0"/>
          <c:showVal val="0"/>
          <c:showCatName val="0"/>
          <c:showSerName val="0"/>
          <c:showPercent val="0"/>
          <c:showBubbleSize val="0"/>
        </c:dLbls>
        <c:gapWidth val="219"/>
        <c:overlap val="-27"/>
        <c:axId val="322358701"/>
        <c:axId val="284897030"/>
      </c:barChart>
      <c:catAx>
        <c:axId val="3223587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4897030"/>
        <c:crosses val="autoZero"/>
        <c:auto val="1"/>
        <c:lblAlgn val="ctr"/>
        <c:lblOffset val="100"/>
        <c:noMultiLvlLbl val="0"/>
      </c:catAx>
      <c:valAx>
        <c:axId val="2848970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3587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53249475891"/>
          <c:y val="0.112333333333333"/>
          <c:w val="0.88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[工作簿2]Sheet1!$B$97:$B$98</c:f>
              <c:strCache>
                <c:ptCount val="2"/>
                <c:pt idx="0">
                  <c:v>2017年度一般公共预算财政拨款支出</c:v>
                </c:pt>
                <c:pt idx="1">
                  <c:v>2018年度一般公共预算财政拨款支出</c:v>
                </c:pt>
              </c:strCache>
            </c:strRef>
          </c:cat>
          <c:val>
            <c:numRef>
              <c:f>[工作簿2]Sheet1!$C$97:$C$98</c:f>
              <c:numCache>
                <c:formatCode>General</c:formatCode>
                <c:ptCount val="2"/>
                <c:pt idx="0">
                  <c:v>1450.74</c:v>
                </c:pt>
                <c:pt idx="1">
                  <c:v>1266.82</c:v>
                </c:pt>
              </c:numCache>
            </c:numRef>
          </c:val>
        </c:ser>
        <c:dLbls>
          <c:showLegendKey val="0"/>
          <c:showVal val="0"/>
          <c:showCatName val="0"/>
          <c:showSerName val="0"/>
          <c:showPercent val="0"/>
          <c:showBubbleSize val="0"/>
        </c:dLbls>
        <c:gapWidth val="219"/>
        <c:overlap val="-27"/>
        <c:axId val="151136085"/>
        <c:axId val="891676805"/>
      </c:barChart>
      <c:catAx>
        <c:axId val="1511360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676805"/>
        <c:crosses val="autoZero"/>
        <c:auto val="1"/>
        <c:lblAlgn val="ctr"/>
        <c:lblOffset val="100"/>
        <c:noMultiLvlLbl val="0"/>
      </c:catAx>
      <c:valAx>
        <c:axId val="89167680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1360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2018年一般公共预算财政拨款支出1266.82万元</a:t>
            </a:r>
          </a:p>
        </c:rich>
      </c:tx>
      <c:layout/>
      <c:overlay val="0"/>
      <c:spPr>
        <a:noFill/>
        <a:ln>
          <a:noFill/>
        </a:ln>
        <a:effectLst/>
      </c:spPr>
    </c:title>
    <c:autoTitleDeleted val="0"/>
    <c:plotArea>
      <c:layout>
        <c:manualLayout>
          <c:layoutTarget val="inner"/>
          <c:xMode val="edge"/>
          <c:yMode val="edge"/>
          <c:x val="0.138543315991857"/>
          <c:y val="0.135135135135135"/>
          <c:w val="0.553947070798462"/>
          <c:h val="0.832568417474078"/>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[工作簿2]Sheet1!$B$102:$B$107</c:f>
              <c:strCache>
                <c:ptCount val="6"/>
                <c:pt idx="0">
                  <c:v>财政拨款支出</c:v>
                </c:pt>
                <c:pt idx="1">
                  <c:v>一般公共服务支出</c:v>
                </c:pt>
                <c:pt idx="2">
                  <c:v>社会保障和就业支出</c:v>
                </c:pt>
                <c:pt idx="3">
                  <c:v>医疗卫生支出</c:v>
                </c:pt>
                <c:pt idx="4">
                  <c:v>住房保障支出</c:v>
                </c:pt>
                <c:pt idx="5">
                  <c:v>农林水支出</c:v>
                </c:pt>
              </c:strCache>
            </c:strRef>
          </c:cat>
          <c:val>
            <c:numRef>
              <c:f>[工作簿2]Sheet1!$C$102:$C$107</c:f>
              <c:numCache>
                <c:formatCode>General</c:formatCode>
                <c:ptCount val="6"/>
                <c:pt idx="0">
                  <c:v>1266.82</c:v>
                </c:pt>
                <c:pt idx="1">
                  <c:v>1135.5</c:v>
                </c:pt>
                <c:pt idx="2">
                  <c:v>81.87</c:v>
                </c:pt>
                <c:pt idx="3">
                  <c:v>11.52</c:v>
                </c:pt>
                <c:pt idx="4">
                  <c:v>34.93</c:v>
                </c:pt>
                <c:pt idx="5">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2019-10-28T06:27:00Z</dcterms:created>
  <dc:creator>Administrator</dc:creator>
  <cp:lastModifiedBy>Administrator</cp:lastModifiedBy>
  <cp:lastPrinted>2019-10-28T06:47:00Z</cp:lastPrinted>
  <dcterms:modified xsi:type="dcterms:W3CDTF">2019-10-28T13:45:01Z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