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66"/>
        <w:pBdr/>
        <w:spacing w:line="580" w:lineRule="exact"/>
        <w:ind/>
        <w:rPr>
          <w:rFonts w:hint="eastAsia" w:ascii="黑体" w:hAnsi="宋体" w:eastAsia="黑体"/>
          <w:szCs w:val="32"/>
          <w:lang w:val="zh-CN"/>
        </w:rPr>
      </w:pPr>
      <w:r>
        <w:rPr>
          <w:rFonts w:hint="eastAsia" w:ascii="黑体" w:hAnsi="宋体" w:eastAsia="黑体"/>
          <w:szCs w:val="32"/>
          <w:lang w:val="zh-CN"/>
        </w:rPr>
      </w:r>
      <w:r>
        <w:rPr>
          <w:rFonts w:hint="eastAsia" w:ascii="黑体" w:hAnsi="宋体" w:eastAsia="黑体"/>
          <w:szCs w:val="32"/>
          <w:lang w:val="zh-CN"/>
        </w:rPr>
      </w:r>
    </w:p>
    <w:p>
      <w:pPr>
        <w:pStyle w:val="666"/>
        <w:pBdr/>
        <w:spacing w:line="580" w:lineRule="exact"/>
        <w:ind/>
        <w:rPr>
          <w:rFonts w:hint="eastAsia" w:ascii="黑体" w:hAnsi="宋体" w:eastAsia="黑体"/>
          <w:szCs w:val="32"/>
          <w:lang w:val="zh-CN"/>
        </w:rPr>
      </w:pPr>
      <w:r>
        <w:rPr>
          <w:rFonts w:hint="eastAsia" w:ascii="黑体" w:hAnsi="宋体" w:eastAsia="黑体"/>
          <w:szCs w:val="32"/>
          <w:lang w:val="zh-CN"/>
        </w:rPr>
      </w:r>
      <w:r>
        <w:rPr>
          <w:rFonts w:hint="eastAsia" w:ascii="黑体" w:hAnsi="宋体" w:eastAsia="黑体"/>
          <w:szCs w:val="32"/>
          <w:lang w:val="zh-CN"/>
        </w:rPr>
      </w:r>
    </w:p>
    <w:p>
      <w:pPr>
        <w:pStyle w:val="667"/>
        <w:pBdr/>
        <w:spacing/>
        <w:ind w:firstLine="442"/>
        <w:rPr>
          <w:rFonts w:hint="eastAsia"/>
        </w:rPr>
      </w:pPr>
      <w:r>
        <w:rPr>
          <w:rFonts w:hint="eastAsia"/>
        </w:rPr>
        <w:t xml:space="preserve">2018年峨眉山市</w:t>
      </w:r>
      <w:r>
        <w:rPr>
          <w:rFonts w:hint="eastAsia"/>
          <w:lang w:eastAsia="zh-CN"/>
        </w:rPr>
        <w:t xml:space="preserve">科协</w:t>
      </w:r>
      <w:r>
        <w:rPr>
          <w:rFonts w:hint="eastAsia"/>
        </w:rPr>
        <w:t xml:space="preserve">预算支出绩效报告</w:t>
      </w:r>
      <w:r>
        <w:rPr>
          <w:rFonts w:hint="eastAsia"/>
        </w:rPr>
      </w:r>
      <w:r>
        <w:rPr>
          <w:rFonts w:hint="eastAsia"/>
        </w:rPr>
      </w:r>
    </w:p>
    <w:p>
      <w:pPr>
        <w:pStyle w:val="666"/>
        <w:widowControl w:val="true"/>
        <w:pBdr/>
        <w:spacing w:line="580" w:lineRule="exact"/>
        <w:ind w:firstLine="72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80" w:lineRule="exact"/>
        <w:ind w:firstLine="72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一、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  <w:t xml:space="preserve">单位概况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</w:p>
    <w:p>
      <w:pPr>
        <w:pStyle w:val="666"/>
        <w:widowControl w:val="true"/>
        <w:pBdr/>
        <w:spacing w:line="580" w:lineRule="exact"/>
        <w:ind w:firstLine="72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  <w:t xml:space="preserve">（一）机构组成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</w:p>
    <w:p>
      <w:pPr>
        <w:pStyle w:val="666"/>
        <w:widowControl w:val="true"/>
        <w:pBdr/>
        <w:spacing w:line="560" w:lineRule="exact"/>
        <w:ind w:firstLine="964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峨眉山市科协内设机构有：1、办公室  2、普及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eastAsia="zh-CN"/>
        </w:rPr>
        <w:t xml:space="preserve">股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</w:p>
    <w:p>
      <w:pPr>
        <w:pStyle w:val="666"/>
        <w:numPr>
          <w:ilvl w:val="0"/>
          <w:numId w:val="1"/>
        </w:numPr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  <w:t xml:space="preserve">机构职能。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</w:p>
    <w:p>
      <w:pPr>
        <w:pStyle w:val="666"/>
        <w:numPr>
          <w:ilvl w:val="0"/>
          <w:numId w:val="0"/>
        </w:numPr>
        <w:pBdr/>
        <w:spacing w:line="560" w:lineRule="exact"/>
        <w:ind w:firstLine="964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峨眉山市科协的基本职能是开展学术交流，普及科学知识，维护科技工作者合法权益，表彰奖励优秀科技工作者，举荐人才，开展科学认证、咨询服务。对市级学会、协会进行管理，对乡镇科协和市属以上科协进行业务指导。承担市委、市政府和乐山市科协交办的其他事项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  <w:t xml:space="preserve">（三）人员概况。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市科协有在职人员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4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人：主席1人、副主席1人、办公室主任1人、普及股长1人。有退休人员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5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人。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80" w:lineRule="exact"/>
        <w:ind w:firstLine="72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二、部门财政资金收支情况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80" w:lineRule="exact"/>
        <w:ind w:firstLine="72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  <w:t xml:space="preserve">（一）部门财政资金收入情况。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</w:p>
    <w:p>
      <w:pPr>
        <w:pStyle w:val="666"/>
        <w:widowControl w:val="true"/>
        <w:pBdr/>
        <w:spacing w:line="580" w:lineRule="exact"/>
        <w:ind w:firstLine="720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2018年度年初结转和结余8.21万元，本年收入180.51万元。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r>
    </w:p>
    <w:p>
      <w:pPr>
        <w:pStyle w:val="666"/>
        <w:numPr>
          <w:ilvl w:val="0"/>
          <w:numId w:val="0"/>
        </w:numPr>
        <w:pBdr/>
        <w:spacing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  <w:t xml:space="preserve">（二）部门财政资金支出情况。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</w:p>
    <w:p>
      <w:pPr>
        <w:pStyle w:val="666"/>
        <w:numPr>
          <w:ilvl w:val="0"/>
          <w:numId w:val="0"/>
        </w:numPr>
        <w:pBdr/>
        <w:spacing/>
        <w:ind w:firstLine="964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 xml:space="preserve">本年支出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 xml:space="preserve">171.15万元，年末结转结余17.57万元。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三、部门财政支出管理情况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（一）预决算编制情况。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1、预决算编制。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部门财政资金收入和支出预算，按照财政局要求，结合单位人员和工作情况进行认真测算和编制，并报经财政局审核和市人大审批。按照预算管理有关规定，撰写201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9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年部门预算编制说明，并进行及时公开。部门财政资金收入和支出决算，根据资金支出情况开展认真的决算，并报财政局审批。如实撰写201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8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年部门决算编制说明，并进行及时公开。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2、绩效目标填报。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按照财政局要求，按时填报各项目支出绩效目标。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3、专项预算提前细化。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项目资金使用前，提前细化资金使用情况，并报经财政局审核同意后划拨使用。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4、结余结转资金管理。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 xml:space="preserve">年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 xml:space="preserve">末结转结余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 xml:space="preserve">12.7万元，比上年度增加8.36万元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，实行专款专用，并于201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9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年使用完毕。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（二）执行管理情况。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1、基本支出。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shd w:val="clear" w:color="auto" w:fill="ffffff"/>
        </w:rPr>
        <w:t xml:space="preserve">201</w:t>
      </w:r>
      <w:r>
        <w:rPr>
          <w:rFonts w:hint="eastAsia" w:ascii="宋体" w:hAnsi="宋体" w:eastAsia="宋体" w:cs="宋体"/>
          <w:b/>
          <w:bCs w:val="0"/>
          <w:sz w:val="32"/>
          <w:szCs w:val="32"/>
          <w:shd w:val="clear" w:color="auto" w:fill="ffffff"/>
          <w:lang w:val="en-US" w:eastAsia="zh-CN"/>
        </w:rPr>
        <w:t xml:space="preserve">8</w:t>
      </w:r>
      <w:r>
        <w:rPr>
          <w:rFonts w:hint="eastAsia" w:ascii="宋体" w:hAnsi="宋体" w:eastAsia="宋体" w:cs="宋体"/>
          <w:b/>
          <w:bCs w:val="0"/>
          <w:sz w:val="32"/>
          <w:szCs w:val="32"/>
          <w:shd w:val="clear" w:color="auto" w:fill="ffffff"/>
        </w:rPr>
        <w:t xml:space="preserve">年6月底前，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各项指标均支出达50%，到9月底前达75%，到12月底前，全部执行完毕。在资金使用过程中，不超标准、不超范围、不超额度使用。确保机关各项工作的顺利开展和各项目标任务的全面完成。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2、项目支出。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全市科普活动项目资金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35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万元，6月底前执行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12.85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万元达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36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%，到9月底前执行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24.5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万元达70%，到12月底前，全部执行完毕。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项目资金的使用，按照项目要求实行专款专用，不得挪用，确保了各项项目的顺利实施和完成。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</w:r>
    </w:p>
    <w:p>
      <w:pPr>
        <w:pStyle w:val="666"/>
        <w:pBdr/>
        <w:spacing w:line="560" w:lineRule="exact"/>
        <w:ind w:firstLine="79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四、支出绩效情况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79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1、部门支出绩效。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（1）行政运转保障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201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8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年，市科协紧紧围绕市委、市政府工作主题，强化“三服务一加强”工作。加强科协党建和党风廉政建设责任制，强化科协自身建设，转变工作作风，树立良好的机关形象，保障机关正常、良好地运转，确保了各项目标任务的全面完成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widowControl w:val="true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（2）机关厉行节约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市科协按照“中央八项规定”要求，严格控制和压缩机关因公出国（境）费用、会议费用、车辆购置及运行维护费用和公务接待费用等。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201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8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年，市科协机关无因公出国（境）费用和会议费。因公接待费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1636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元。无车辆购置费，公务用车运行维护费用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2.09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万元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 xml:space="preserve">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widowControl w:val="true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  <w:t xml:space="preserve">（3）机关节能降耗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市科协机关2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018年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电费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2812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元，较201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7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年的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3531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元，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 xml:space="preserve">减少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719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元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 xml:space="preserve">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2、专项预算项目支出绩效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</w:rPr>
      </w:r>
    </w:p>
    <w:p>
      <w:pPr>
        <w:pStyle w:val="666"/>
        <w:pBdr/>
        <w:spacing w:line="560" w:lineRule="exact"/>
        <w:ind w:firstLine="66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科普活动经费、金桥工作项目经费、全市老科协工作经费均由市科协严格管理，实行专款专用，保障各项目的顺利实施。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/>
        <w:ind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省级基层科普行动计划专项资金，由市科协严格管理，按照项目申报时资金使用计划严格实行专款专用，并由社区在市科协实行报账制，确保科普示范社区的规范建设和社区科普工作顺利开展。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/>
        <w:ind w:firstLine="64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1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、引才聚智，推动高端人才集聚。着力推进院士工作站建设，完成雪芽院士专家站评估验收，推进农博士院士专家站申报进程，突出专家科技引领、成果转化效益，发挥科技创新作用；开展科技人才库建设工作，目前已经有45名科技人才入库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br w:type="textWrapping" w:clear="all"/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    2、搭建平台，助力创新驱动发展。指导农技协、基地、申报科技项目4项、争取国家项目资金16万元。组织申报“金桥工程”4个，组织验收“金桥工程”2个。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br w:type="textWrapping" w:clear="all"/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    3、发挥才智，服务科学发展决策。根据党委政府的决策需要和产业发展需要，组织开展了重点课题调研、建言献策和学术交流。结合“大学习大讨论大调研”开展重点课题调研2项、重点学术活动1项、科技工作者沙龙3个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br w:type="textWrapping" w:clear="all"/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4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、全年针对科技之春、科技活动周、科技工作者日、防灾减灾日、全国科普日等重点节点，组织各成员单位开展公民科学素质培训、技能培训、防灾减灾培训2.1万余人次，举办专题宣传、实地演练、技能竞赛活动19场次，发放科普宣传、培训资料6万余份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br w:type="textWrapping" w:clear="all"/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5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、大力深化传统媒体科普，利用电视、报刊、网站开展科普、创新宣传，播放、刊发稿件45篇（次）（其中省科技报刊发稿件6篇、省经济日报发稿件5篇），宣传人群6万余人（次）；认真实施“互联网+科普”工程。推进科普信息化，利用网站报道峨眉山科普信息、宣传科普知识21篇、开设峨眉科普微信公众号发布科普知识16篇，宣传人群5万人（次）；新建科普乡村、学校E站3家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 xml:space="preserve">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br w:type="textWrapping" w:clear="all"/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  <w:t xml:space="preserve">（四）财务管理情况。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建立健全机关财务管理规章制度。按照《会计法》要求，严格执行会计、出纳岗位分设，并持证上岗。认真执行机关会计核算制度，搞好单位账务管理。固定资产购置和车辆维修维护等均按规定办理政府采购手续，认真执行政府采购制度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shd w:val="clear" w:color="auto" w:fill="ffffff"/>
          <w:lang w:val="zh-CN"/>
        </w:rPr>
        <w:t xml:space="preserve">（五）绩效管理工作开展情况。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根据峨眉山市财政局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 xml:space="preserve">要求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，市科协组织财务人员，对201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8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年度市科协财政支出绩效进行认真的自查评估，并按照财政局财政支出绩效评估要求，认真撰写自查评估报告。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五、评价结论及建设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（一）评价结论。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43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市科协科普活动经费，绩效评估自评结果均较好。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（二）存在的问题。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1、。社区科普经费短缺。近几年来社区科普工作越来越重要，但社区科普经费5万元基数指标，近两年来均被砍掉。因此社区科普工作的开展所需经费只能从科普活动经费中挤出，同时只能通过积极争取省级专项资金来弥补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2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、人员不足。市科协编制少，人员少，财务人员只能兼任，原本就工作量大，事务繁多，同时还要兼顾老科协的财务管理工作，特别是近几年来财政局要求的财务管理工作越来越细致，越来越规范，因此财务人员工作负荷大，常常感到力不从心，导致工作有不尽人意、不够完善之处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79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4、改进建议。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（1）增加社区科普经费，建议保留增加原社区科普经费5万元指标。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 w:line="560" w:lineRule="exact"/>
        <w:ind w:firstLine="630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（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2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 xml:space="preserve">）补充人员，建议采取借用和聘用方式补充人员。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</w:r>
    </w:p>
    <w:p>
      <w:pPr>
        <w:pStyle w:val="666"/>
        <w:pBdr/>
        <w:spacing/>
        <w:ind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</w:r>
    </w:p>
    <w:p>
      <w:pPr>
        <w:pStyle w:val="666"/>
        <w:pBdr/>
        <w:spacing/>
        <w:ind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</w:r>
    </w:p>
    <w:p>
      <w:pPr>
        <w:pStyle w:val="666"/>
        <w:pBdr/>
        <w:spacing/>
        <w:ind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</w:r>
    </w:p>
    <w:p>
      <w:pPr>
        <w:pStyle w:val="666"/>
        <w:pBdr/>
        <w:spacing/>
        <w:ind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</w:r>
    </w:p>
    <w:p>
      <w:pPr>
        <w:pStyle w:val="666"/>
        <w:pBdr/>
        <w:spacing/>
        <w:ind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</w:r>
    </w:p>
    <w:p>
      <w:pPr>
        <w:pStyle w:val="666"/>
        <w:pBdr/>
        <w:spacing w:line="560" w:lineRule="exact"/>
        <w:ind w:firstLine="66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</w:r>
    </w:p>
    <w:p>
      <w:pPr>
        <w:pStyle w:val="666"/>
        <w:pBdr/>
        <w:spacing w:line="560" w:lineRule="exact"/>
        <w:ind/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。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</w:rPr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shd w:val="clear" w:color="auto" w:fill="ffffff"/>
        </w:rPr>
      </w:r>
    </w:p>
    <w:p>
      <w:pPr>
        <w:pStyle w:val="666"/>
        <w:widowControl w:val="true"/>
        <w:pBdr/>
        <w:spacing w:line="580" w:lineRule="exact"/>
        <w:ind w:firstLine="720"/>
        <w:jc w:val="left"/>
        <w:rPr>
          <w:rFonts w:hint="eastAsia" w:ascii="仿宋_GB2312" w:hAnsi="宋体" w:cs="宋体"/>
          <w:b w:val="0"/>
          <w:bCs/>
          <w:color w:val="00000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b w:val="0"/>
          <w:bCs/>
          <w:color w:val="000000"/>
          <w:szCs w:val="32"/>
          <w:shd w:val="clear" w:color="auto" w:fill="ffffff"/>
          <w:lang w:val="zh-CN"/>
        </w:rPr>
      </w:r>
      <w:r>
        <w:rPr>
          <w:rFonts w:hint="eastAsia" w:ascii="仿宋_GB2312" w:hAnsi="宋体" w:cs="宋体"/>
          <w:b w:val="0"/>
          <w:bCs/>
          <w:color w:val="000000"/>
          <w:szCs w:val="32"/>
          <w:shd w:val="clear" w:color="auto" w:fill="ffffff"/>
          <w:lang w:val="zh-CN"/>
        </w:rPr>
      </w:r>
    </w:p>
    <w:p>
      <w:pPr>
        <w:pStyle w:val="666"/>
        <w:widowControl w:val="true"/>
        <w:pBdr/>
        <w:spacing w:line="580" w:lineRule="exact"/>
        <w:ind/>
        <w:jc w:val="left"/>
        <w:rPr>
          <w:rFonts w:hint="eastAsia" w:ascii="仿宋_GB2312" w:hAnsi="宋体" w:cs="宋体"/>
          <w:b w:val="0"/>
          <w:bCs/>
          <w:color w:val="00000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b w:val="0"/>
          <w:bCs/>
          <w:color w:val="000000"/>
          <w:szCs w:val="32"/>
          <w:shd w:val="clear" w:color="auto" w:fill="ffffff"/>
          <w:lang w:val="zh-CN"/>
        </w:rPr>
      </w:r>
      <w:r>
        <w:rPr>
          <w:rFonts w:hint="eastAsia" w:ascii="仿宋_GB2312" w:hAnsi="宋体" w:cs="宋体"/>
          <w:b w:val="0"/>
          <w:bCs/>
          <w:color w:val="000000"/>
          <w:szCs w:val="32"/>
          <w:shd w:val="clear" w:color="auto" w:fill="ffffff"/>
          <w:lang w:val="zh-CN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h="16838" w:orient="landscape" w:w="11906"/>
      <w:pgMar w:top="2098" w:right="1474" w:bottom="1928" w:left="1588" w:header="851" w:footer="1474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Symbol">
    <w:panose1 w:val="05050102010706020507"/>
  </w:font>
  <w:font w:name="Wingdings">
    <w:panose1 w:val="05000000000000000000"/>
  </w:font>
  <w:font w:name="仿宋_GB2312">
    <w:panose1 w:val="0201060903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pBdr/>
      <w:tabs>
        <w:tab w:val="center" w:leader="none" w:pos="4153"/>
        <w:tab w:val="right" w:leader="none" w:pos="8306"/>
      </w:tabs>
      <w:spacing/>
      <w:ind w:right="360"/>
      <w:jc w:val="right"/>
      <w:rPr>
        <w:rFonts w:hint="eastAsia" w:ascii="宋体" w:hAnsi="宋体"/>
        <w:sz w:val="28"/>
        <w:szCs w:val="28"/>
      </w:rPr>
    </w:pPr>
    <w:r>
      <w:rPr>
        <w:szCs w:val="21"/>
      </w:rPr>
      <w:tab/>
    </w:r>
    <w:r>
      <w:rPr>
        <w:rFonts w:hint="eastAsia" w:ascii="宋体" w:hAnsi="宋体"/>
        <w:sz w:val="28"/>
        <w:szCs w:val="28"/>
      </w:rPr>
      <w:t xml:space="preserve"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 xml:space="preserve"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—</w:t>
    </w:r>
    <w:r>
      <w:rPr>
        <w:rFonts w:hint="eastAsia" w:ascii="宋体" w:hAnsi="宋体"/>
        <w:sz w:val="28"/>
        <w:szCs w:val="28"/>
      </w:rPr>
    </w:r>
    <w:r>
      <w:rPr>
        <w:rFonts w:hint="eastAsia" w:ascii="宋体" w:hAnsi="宋体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pBdr/>
      <w:tabs>
        <w:tab w:val="center" w:leader="none" w:pos="4153"/>
        <w:tab w:val="right" w:leader="none" w:pos="8306"/>
      </w:tabs>
      <w:spacing/>
      <w:ind w:right="360" w:firstLine="28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 xml:space="preserve"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—</w:t>
    </w:r>
    <w:r>
      <w:rPr>
        <w:rFonts w:hint="eastAsia" w:ascii="宋体" w:hAnsi="宋体"/>
        <w:sz w:val="28"/>
        <w:szCs w:val="28"/>
      </w:rPr>
    </w:r>
    <w:r>
      <w:rPr>
        <w:rFonts w:hint="eastAsia" w:ascii="宋体" w:hAnsi="宋体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pBdr>
        <w:bottom w:val="none" w:color="000000" w:sz="0" w:space="0"/>
      </w:pBdr>
      <w:tabs>
        <w:tab w:val="center" w:leader="none" w:pos="4153"/>
        <w:tab w:val="right" w:leader="none" w:pos="8306"/>
      </w:tabs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chineseCounting"/>
      <w:pPr>
        <w:pBdr/>
        <w:spacing/>
        <w:ind/>
      </w:pPr>
      <w:rPr/>
      <w:start w:val="2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6"/>
    <w:next w:val="66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66"/>
    <w:next w:val="66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66"/>
    <w:next w:val="66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66"/>
    <w:next w:val="66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66"/>
    <w:next w:val="66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66"/>
    <w:next w:val="66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66"/>
    <w:next w:val="66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66"/>
    <w:next w:val="66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66"/>
    <w:next w:val="66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6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6"/>
    <w:next w:val="66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6"/>
    <w:next w:val="66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6"/>
    <w:next w:val="66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6"/>
    <w:next w:val="66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6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6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66"/>
    <w:next w:val="66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6"/>
    <w:next w:val="66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6"/>
    <w:next w:val="66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6"/>
    <w:next w:val="66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6"/>
    <w:next w:val="66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6"/>
    <w:next w:val="66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6"/>
    <w:next w:val="66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6"/>
    <w:next w:val="66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6"/>
    <w:next w:val="66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6"/>
    <w:next w:val="66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next w:val="666"/>
    <w:link w:val="666"/>
    <w:qFormat/>
    <w:pPr>
      <w:widowControl w:val="false"/>
      <w:pBdr/>
      <w:spacing/>
      <w:ind/>
      <w:jc w:val="both"/>
    </w:pPr>
    <w:rPr>
      <w:rFonts w:eastAsia="仿宋_GB2312"/>
      <w:sz w:val="32"/>
      <w:szCs w:val="24"/>
      <w:lang w:val="en-US" w:eastAsia="zh-CN" w:bidi="ar-SA"/>
    </w:rPr>
  </w:style>
  <w:style w:type="paragraph" w:styleId="667">
    <w:name w:val="标题 1"/>
    <w:basedOn w:val="666"/>
    <w:next w:val="666"/>
    <w:link w:val="666"/>
    <w:qFormat/>
    <w:pPr>
      <w:keepNext w:val="true"/>
      <w:keepLines w:val="true"/>
      <w:pBdr/>
      <w:spacing w:after="330" w:afterAutospacing="0" w:before="340" w:beforeAutospacing="0" w:line="576" w:lineRule="auto"/>
      <w:ind/>
      <w:outlineLvl w:val="0"/>
    </w:pPr>
    <w:rPr>
      <w:b/>
      <w:sz w:val="44"/>
    </w:rPr>
  </w:style>
  <w:style w:type="character" w:styleId="668">
    <w:name w:val="默认段落字体"/>
    <w:next w:val="668"/>
    <w:link w:val="666"/>
    <w:semiHidden/>
    <w:pPr>
      <w:pBdr/>
      <w:spacing/>
      <w:ind/>
    </w:pPr>
  </w:style>
  <w:style w:type="table" w:styleId="669">
    <w:name w:val="普通表格"/>
    <w:next w:val="669"/>
    <w:link w:val="66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0">
    <w:name w:val="15"/>
    <w:basedOn w:val="668"/>
    <w:next w:val="670"/>
    <w:link w:val="666"/>
    <w:qFormat/>
    <w:pPr>
      <w:pBdr/>
      <w:spacing/>
      <w:ind/>
    </w:pPr>
    <w:rPr>
      <w:rFonts w:ascii="Times New Roman" w:hAnsi="Times New Roman" w:cs="Times New Roman"/>
      <w:color w:val="0000ff"/>
      <w:u w:val="single"/>
    </w:rPr>
  </w:style>
  <w:style w:type="paragraph" w:styleId="671">
    <w:name w:val="页眉"/>
    <w:basedOn w:val="666"/>
    <w:next w:val="671"/>
    <w:link w:val="666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rFonts w:eastAsia="宋体"/>
      <w:sz w:val="18"/>
      <w:szCs w:val="18"/>
    </w:rPr>
  </w:style>
  <w:style w:type="paragraph" w:styleId="672">
    <w:name w:val="页脚"/>
    <w:basedOn w:val="666"/>
    <w:next w:val="672"/>
    <w:link w:val="666"/>
    <w:pPr>
      <w:pBdr/>
      <w:tabs>
        <w:tab w:val="center" w:leader="none" w:pos="4153"/>
        <w:tab w:val="right" w:leader="none" w:pos="8306"/>
      </w:tabs>
      <w:spacing/>
      <w:ind/>
      <w:jc w:val="left"/>
    </w:pPr>
    <w:rPr>
      <w:rFonts w:eastAsia="宋体"/>
      <w:sz w:val="18"/>
      <w:szCs w:val="18"/>
    </w:rPr>
  </w:style>
  <w:style w:type="character" w:styleId="1066" w:default="1">
    <w:name w:val="Default Paragraph Font"/>
    <w:uiPriority w:val="1"/>
    <w:semiHidden/>
    <w:unhideWhenUsed/>
    <w:pPr>
      <w:pBdr/>
      <w:spacing/>
      <w:ind/>
    </w:pPr>
  </w:style>
  <w:style w:type="numbering" w:styleId="1067" w:default="1">
    <w:name w:val="No List"/>
    <w:uiPriority w:val="99"/>
    <w:semiHidden/>
    <w:unhideWhenUsed/>
    <w:pPr>
      <w:pBdr/>
      <w:spacing/>
      <w:ind/>
    </w:pPr>
  </w:style>
  <w:style w:type="table" w:styleId="106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EM</dc:creator>
  <cp:lastModifiedBy>匿名</cp:lastModifiedBy>
  <cp:revision>6</cp:revision>
  <dcterms:created xsi:type="dcterms:W3CDTF">2019-09-25T02:09:00Z</dcterms:created>
  <dcterms:modified xsi:type="dcterms:W3CDTF">2025-07-11T08:09:56Z</dcterms:modified>
</cp:coreProperties>
</file>