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40" w:firstLineChars="100"/>
        <w:rPr>
          <w:rFonts w:ascii="黑体" w:hAnsi="黑体" w:eastAsia="黑体"/>
          <w:color w:val="000000"/>
          <w:sz w:val="44"/>
          <w:szCs w:val="44"/>
        </w:rPr>
      </w:pPr>
      <w:r>
        <w:rPr>
          <w:rFonts w:hint="eastAsia" w:ascii="黑体" w:hAnsi="黑体" w:eastAsia="黑体"/>
          <w:color w:val="000000"/>
          <w:sz w:val="44"/>
          <w:szCs w:val="44"/>
        </w:rPr>
        <w:t>四川省乐山市峨眉山市黄湾镇人民政府</w:t>
      </w:r>
    </w:p>
    <w:p>
      <w:pPr>
        <w:spacing w:line="600" w:lineRule="exact"/>
        <w:jc w:val="center"/>
        <w:rPr>
          <w:rFonts w:ascii="黑体" w:hAnsi="黑体" w:eastAsia="黑体"/>
          <w:color w:val="000000"/>
          <w:sz w:val="44"/>
          <w:szCs w:val="44"/>
        </w:rPr>
      </w:pPr>
      <w:r>
        <w:rPr>
          <w:rFonts w:hint="eastAsia" w:ascii="黑体" w:hAnsi="黑体" w:eastAsia="黑体"/>
          <w:color w:val="000000"/>
          <w:sz w:val="44"/>
          <w:szCs w:val="44"/>
        </w:rPr>
        <w:t>2018年部门决算编制说明</w:t>
      </w:r>
    </w:p>
    <w:p>
      <w:pPr>
        <w:spacing w:line="600" w:lineRule="exact"/>
        <w:ind w:firstLine="640" w:firstLineChars="200"/>
        <w:rPr>
          <w:rFonts w:ascii="仿宋" w:hAnsi="仿宋" w:eastAsia="仿宋"/>
          <w:color w:val="000000"/>
          <w:sz w:val="32"/>
          <w:szCs w:val="32"/>
        </w:rPr>
      </w:pPr>
      <w:bookmarkStart w:id="0" w:name="_GoBack"/>
      <w:bookmarkEnd w:id="0"/>
    </w:p>
    <w:p>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一、基本职能及主要工作</w:t>
      </w:r>
    </w:p>
    <w:p>
      <w:pPr>
        <w:pStyle w:val="15"/>
        <w:ind w:firstLine="640" w:firstLineChars="200"/>
        <w:rPr>
          <w:rFonts w:ascii="仿宋" w:hAnsi="仿宋" w:eastAsia="仿宋"/>
          <w:sz w:val="32"/>
          <w:szCs w:val="32"/>
        </w:rPr>
      </w:pPr>
      <w:r>
        <w:rPr>
          <w:rFonts w:hint="eastAsia" w:ascii="仿宋" w:hAnsi="仿宋" w:eastAsia="仿宋"/>
          <w:bCs/>
          <w:sz w:val="32"/>
          <w:szCs w:val="32"/>
        </w:rPr>
        <w:t>（一）主要职能。</w:t>
      </w:r>
      <w:r>
        <w:rPr>
          <w:rFonts w:hint="eastAsia" w:ascii="仿宋" w:hAnsi="仿宋" w:eastAsia="仿宋"/>
          <w:sz w:val="32"/>
          <w:szCs w:val="32"/>
        </w:rPr>
        <w:t>黄湾镇行政机构设置</w:t>
      </w:r>
      <w:r>
        <w:rPr>
          <w:rFonts w:ascii="仿宋" w:hAnsi="仿宋" w:eastAsia="仿宋"/>
          <w:sz w:val="32"/>
          <w:szCs w:val="32"/>
        </w:rPr>
        <w:t>3</w:t>
      </w:r>
      <w:r>
        <w:rPr>
          <w:rFonts w:hint="eastAsia" w:ascii="仿宋" w:hAnsi="仿宋" w:eastAsia="仿宋"/>
          <w:sz w:val="32"/>
          <w:szCs w:val="32"/>
        </w:rPr>
        <w:t>个综合性办公室：党政综合办公室，职责是负责党务、安全生产、文书档案、人事、机关后勤、社会治安综合治理和对突发事件的预警和管理、加强民事纠纷调解、化解农村社会矛盾等工作。</w:t>
      </w:r>
      <w:r>
        <w:rPr>
          <w:rFonts w:ascii="仿宋" w:hAnsi="仿宋" w:eastAsia="仿宋"/>
          <w:sz w:val="32"/>
          <w:szCs w:val="32"/>
        </w:rPr>
        <w:t xml:space="preserve"> </w:t>
      </w:r>
      <w:r>
        <w:rPr>
          <w:rFonts w:hint="eastAsia" w:ascii="仿宋" w:hAnsi="仿宋" w:eastAsia="仿宋"/>
          <w:sz w:val="32"/>
          <w:szCs w:val="32"/>
        </w:rPr>
        <w:t>社会事务办公室，职责是负责教科文卫管理、民政、法律服务、农村劳动力技能培训、转移、就业、计划生育工作。财政所办公室，职责是负责编报镇镇年度财政收支预算、决算并组织预算执行，负责各项强农惠农补贴资金的审核发放和项目建设资金的监督管理等。</w:t>
      </w:r>
    </w:p>
    <w:p>
      <w:pPr>
        <w:ind w:firstLine="640" w:firstLineChars="200"/>
        <w:rPr>
          <w:rFonts w:ascii="仿宋" w:hAnsi="仿宋" w:eastAsia="仿宋"/>
          <w:sz w:val="32"/>
          <w:szCs w:val="32"/>
        </w:rPr>
      </w:pPr>
      <w:r>
        <w:rPr>
          <w:rFonts w:hint="eastAsia" w:ascii="仿宋" w:hAnsi="仿宋" w:eastAsia="仿宋"/>
          <w:sz w:val="32"/>
          <w:szCs w:val="32"/>
        </w:rPr>
        <w:t>镇事业单位机构设置</w:t>
      </w:r>
      <w:r>
        <w:rPr>
          <w:rFonts w:ascii="仿宋" w:hAnsi="仿宋" w:eastAsia="仿宋"/>
          <w:sz w:val="32"/>
          <w:szCs w:val="32"/>
        </w:rPr>
        <w:t>2</w:t>
      </w:r>
      <w:r>
        <w:rPr>
          <w:rFonts w:hint="eastAsia" w:ascii="仿宋" w:hAnsi="仿宋" w:eastAsia="仿宋"/>
          <w:sz w:val="32"/>
          <w:szCs w:val="32"/>
        </w:rPr>
        <w:t>个：农业技术服务中心，职责：农林牧业生产中关键技术和新品种、新农具的引进、试验、示范；农作物和林木病虫害、及农业灾害的监测、预报防治和处置；镇村机耕道的规划、建设；农村集体资产财务管理等工作。社会事业服务中心，</w:t>
      </w:r>
      <w:r>
        <w:rPr>
          <w:rFonts w:ascii="仿宋" w:hAnsi="仿宋" w:eastAsia="仿宋"/>
          <w:sz w:val="32"/>
          <w:szCs w:val="32"/>
        </w:rPr>
        <w:t xml:space="preserve"> </w:t>
      </w:r>
      <w:r>
        <w:rPr>
          <w:rFonts w:hint="eastAsia" w:ascii="仿宋" w:hAnsi="仿宋" w:eastAsia="仿宋"/>
          <w:sz w:val="32"/>
          <w:szCs w:val="32"/>
        </w:rPr>
        <w:t>职责：城镇失业人员登记和农村劳动力转移就业人员的职业培训、劳务输出和就业管理服务；广播电视“村村通”工程的建设、运行、维护和节目的安全播出；开展多种形式的文娱体育活动和宣传教育活动。</w:t>
      </w:r>
    </w:p>
    <w:p>
      <w:pPr>
        <w:spacing w:beforeLines="100" w:afterLines="100" w:line="540" w:lineRule="exact"/>
        <w:ind w:firstLine="320" w:firstLineChars="100"/>
        <w:rPr>
          <w:rFonts w:ascii="仿宋" w:hAnsi="仿宋" w:eastAsia="仿宋"/>
          <w:bCs/>
          <w:color w:val="000000" w:themeColor="text1"/>
          <w:sz w:val="32"/>
          <w:szCs w:val="32"/>
        </w:rPr>
      </w:pPr>
      <w:r>
        <w:rPr>
          <w:rFonts w:hint="eastAsia" w:ascii="仿宋" w:hAnsi="仿宋" w:eastAsia="仿宋"/>
          <w:bCs/>
          <w:color w:val="000000" w:themeColor="text1"/>
          <w:sz w:val="32"/>
          <w:szCs w:val="32"/>
        </w:rPr>
        <w:t>（二）2018年重点工作完成情况。</w:t>
      </w:r>
    </w:p>
    <w:p>
      <w:pPr>
        <w:spacing w:beforeLines="100" w:afterLines="100" w:line="540" w:lineRule="exact"/>
        <w:rPr>
          <w:rFonts w:ascii="仿宋" w:hAnsi="仿宋" w:eastAsia="仿宋" w:cs="黑体"/>
          <w:color w:val="000000" w:themeColor="text1"/>
          <w:sz w:val="32"/>
          <w:szCs w:val="32"/>
        </w:rPr>
      </w:pPr>
      <w:r>
        <w:rPr>
          <w:rFonts w:hint="eastAsia" w:ascii="黑体" w:hAnsi="黑体" w:eastAsia="黑体" w:cs="黑体"/>
          <w:color w:val="000000" w:themeColor="text1"/>
          <w:sz w:val="32"/>
          <w:szCs w:val="32"/>
        </w:rPr>
        <w:t>（</w:t>
      </w:r>
      <w:r>
        <w:rPr>
          <w:rFonts w:hint="eastAsia" w:ascii="仿宋" w:hAnsi="仿宋" w:eastAsia="仿宋" w:cs="黑体"/>
          <w:color w:val="000000" w:themeColor="text1"/>
          <w:sz w:val="32"/>
          <w:szCs w:val="32"/>
        </w:rPr>
        <w:t>一）党建工作</w:t>
      </w:r>
    </w:p>
    <w:p>
      <w:pPr>
        <w:spacing w:beforeLines="100" w:afterLines="100" w:line="540" w:lineRule="exact"/>
        <w:ind w:firstLine="640" w:firstLineChars="200"/>
        <w:rPr>
          <w:rFonts w:ascii="仿宋" w:hAnsi="仿宋" w:eastAsia="仿宋" w:cs="仿宋_GB2312"/>
          <w:color w:val="000000" w:themeColor="text1"/>
          <w:sz w:val="32"/>
          <w:szCs w:val="32"/>
        </w:rPr>
      </w:pPr>
      <w:r>
        <w:rPr>
          <w:rFonts w:hint="eastAsia" w:ascii="仿宋" w:hAnsi="仿宋" w:eastAsia="仿宋" w:cs="楷体_GB2312"/>
          <w:bCs/>
          <w:color w:val="000000" w:themeColor="text1"/>
          <w:sz w:val="32"/>
          <w:szCs w:val="32"/>
        </w:rPr>
        <w:t>一是夯实工作职责，守好党建“主阵地”。</w:t>
      </w:r>
      <w:r>
        <w:rPr>
          <w:rFonts w:hint="eastAsia" w:ascii="仿宋" w:hAnsi="仿宋" w:eastAsia="仿宋" w:cs="仿宋_GB2312"/>
          <w:color w:val="000000" w:themeColor="text1"/>
          <w:sz w:val="32"/>
          <w:szCs w:val="32"/>
        </w:rPr>
        <w:t>制定《黄湾镇2018年基层党建工作重点任务清单》《黄湾镇贯彻落实&lt;加强新时代党的基层组织建设二十六条措施&gt;重点任务清单》，与各村签订党建工作目标责任书16份，明确任务，高标要求，抓好落实。积极推进扫黑除恶专项斗争。召开扫黑除恶工作部署会、宣讲会、院坝会和村民会议等20余次，进村入户共发放宣传手册4000余份，张帖宣传画200余张，制作宣传标语30余幅，启用LED显示屏15个，定期摸排线索，并结合村“两委”换届回头工作，对现任村（社区）“两委”干部进行了全面摸排。</w:t>
      </w:r>
      <w:r>
        <w:rPr>
          <w:rFonts w:hint="eastAsia" w:ascii="仿宋" w:hAnsi="仿宋" w:eastAsia="仿宋" w:cs="楷体_GB2312"/>
          <w:bCs/>
          <w:color w:val="000000" w:themeColor="text1"/>
          <w:sz w:val="32"/>
          <w:szCs w:val="32"/>
        </w:rPr>
        <w:t>二是规范组织运行，细耕党建“责任田”。</w:t>
      </w:r>
      <w:r>
        <w:rPr>
          <w:rFonts w:hint="eastAsia" w:ascii="仿宋" w:hAnsi="仿宋" w:eastAsia="仿宋" w:cs="仿宋_GB2312"/>
          <w:color w:val="000000" w:themeColor="text1"/>
          <w:sz w:val="32"/>
          <w:szCs w:val="32"/>
        </w:rPr>
        <w:t>投资5万余元建设党建墙，打造好基层战斗堡垒，在镇党委指导下，桅杆村采用引资入驻方式，投资30多万元将修建多年未使用的办公楼进行了规范化装修,目前已投入使用。明确整顿措施，实行台账管理，已按时完成整顿验收。改造提升村委会2个，新建党建墙3个，其中张坝、黄弯、新桥、梁坎为四村联建，与景区管委会对接万年、龙洞、茶场、茶地、大峨村阵地建设，开展前期规划设计工作，积极建成一批与景区发展水平相匹配的村级阵地。经组织部批复同意成立天景、报国社区党委，天景社区下设4个党支部、报国社区下设3个党支部，逐步提升社区党建水平。持续深化抓党建促集体经济发展意识，与集体经济“空壳”村签订《脱空目标责任书》和《脱空承诺书》。截止今年底，全镇集体经济收入1859400元。集体经济“空壳”村已全部完成脱空任务。同时稳步推进“护根”行动。始终将纪律和规矩挺在前面，今年党纪立案查处2人。深化党风廉政建设社会评价工作，入户发放宣传资料8000余份，辐射群众10000余人，</w:t>
      </w:r>
      <w:r>
        <w:rPr>
          <w:rFonts w:hint="eastAsia" w:ascii="仿宋" w:hAnsi="仿宋" w:eastAsia="仿宋" w:cs="楷体_GB2312"/>
          <w:bCs/>
          <w:color w:val="000000" w:themeColor="text1"/>
          <w:sz w:val="32"/>
          <w:szCs w:val="32"/>
        </w:rPr>
        <w:t>三是强化队伍建设，把稳党建“方向盘”。</w:t>
      </w:r>
      <w:r>
        <w:rPr>
          <w:rFonts w:hint="eastAsia" w:ascii="仿宋" w:hAnsi="仿宋" w:eastAsia="仿宋" w:cs="仿宋_GB2312"/>
          <w:color w:val="000000" w:themeColor="text1"/>
          <w:sz w:val="32"/>
          <w:szCs w:val="32"/>
        </w:rPr>
        <w:t>对38名后备干部进行动态更新管理，通过集中学习、实践锻炼等方式，提升后备干部综合素质及能力，现已有37名村级后备干部参加峨眉山市级培训，并推荐2名村级后备干部参加四川省委组织部村级后备力量培训班。持续擦亮党员义工服务招牌。完善《黄湾镇党员义工服务制度》，定期不定期组织党员义工服务队走访慰问老党员和困难群众、留守儿童，环境卫生保洁工作，节假日设立党员义工服务岗8个，做好游客接待、急救药品提供等服务，树立党员先锋模范形象。四是借力学习督查，解好党建“问题集”。借力本级交叉学习。通过组织下属党组织开展三个季度交叉学习督查，“互查互比”找准不足，“互学互促”提升质量。现已查找并整改各支部存在问题共计112个。二是借力上级督导检查。对标乐山督查通报、峨眉山市督查通报及点对点反馈问题，组织下属党组织深入自查，举一反三，逐一建立问题台账，明确整改措施、整改时限和整改责任人，实行销号管理，力争解决好每一个党建问题。</w:t>
      </w:r>
    </w:p>
    <w:p>
      <w:pPr>
        <w:spacing w:beforeLines="100" w:afterLines="100" w:line="540" w:lineRule="exact"/>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（二）宣传工作</w:t>
      </w:r>
    </w:p>
    <w:p>
      <w:pPr>
        <w:spacing w:beforeLines="100" w:afterLines="100" w:line="540" w:lineRule="exact"/>
        <w:ind w:firstLine="640" w:firstLineChars="200"/>
        <w:rPr>
          <w:rFonts w:ascii="仿宋" w:hAnsi="仿宋" w:eastAsia="仿宋" w:cs="仿宋_GB2312"/>
          <w:color w:val="000000" w:themeColor="text1"/>
          <w:sz w:val="32"/>
          <w:szCs w:val="32"/>
        </w:rPr>
      </w:pPr>
      <w:r>
        <w:rPr>
          <w:rFonts w:hint="eastAsia" w:ascii="仿宋" w:hAnsi="仿宋" w:eastAsia="仿宋" w:cs="楷体_GB2312"/>
          <w:bCs/>
          <w:color w:val="000000" w:themeColor="text1"/>
          <w:sz w:val="32"/>
          <w:szCs w:val="32"/>
        </w:rPr>
        <w:t>一是抓好思想政治工作。</w:t>
      </w:r>
      <w:r>
        <w:rPr>
          <w:rFonts w:hint="eastAsia" w:ascii="仿宋" w:hAnsi="仿宋" w:eastAsia="仿宋" w:cs="仿宋_GB2312"/>
          <w:color w:val="000000" w:themeColor="text1"/>
          <w:sz w:val="32"/>
          <w:szCs w:val="32"/>
        </w:rPr>
        <w:t>贯彻落实好意识形态领域各项工作任务，抓好中心组理论学习工作，全年开展学习12次，中心组成员参学率达95%以上；深入贯彻习近平总书记新时代中国特色社会主义思想、习总书记来川视察重要指示精神，积极开展市委务虚会及“大学习、大讨论、大调研”活动，认真学习省委十一届三次全会、乐山市委七届五次全会及峨眉山市委十四届七次全会和宪法等精神，并认真组织全体机关干部参与“峨眉微政务”考评。全年播放“先锋号”村级理论小广播十二期、《生财有道》栏目四期；积极配合市网络舆情中心和市长热线做好网络舆情处置和网络舆论引导，及时回复处置交办的网友问题45条；通过各种渠道及时报送镇镇信息200余篇；认真完成党报党刊征订工作。</w:t>
      </w:r>
      <w:r>
        <w:rPr>
          <w:rFonts w:hint="eastAsia" w:ascii="仿宋" w:hAnsi="仿宋" w:eastAsia="仿宋" w:cs="楷体_GB2312"/>
          <w:bCs/>
          <w:color w:val="000000" w:themeColor="text1"/>
          <w:sz w:val="32"/>
          <w:szCs w:val="32"/>
        </w:rPr>
        <w:t>二是做好精神文明建设工作。</w:t>
      </w:r>
      <w:r>
        <w:rPr>
          <w:rFonts w:hint="eastAsia" w:ascii="仿宋" w:hAnsi="仿宋" w:eastAsia="仿宋" w:cs="仿宋_GB2312"/>
          <w:color w:val="000000" w:themeColor="text1"/>
          <w:sz w:val="32"/>
          <w:szCs w:val="32"/>
        </w:rPr>
        <w:t>积极开展社会主义核心价值观和公民思想道德宣传教育，响应全市号召，做好创建四川省文明城市创建工作氛围营造和志愿服务活动；加强未成年人思想道德教育，主动关爱未成年人和留守儿童，积极宣扬道德模范；扎实开展新峨眉市民素质提升培训活动，完成必修课、选修课培训，积极宣传市民大讲堂，完成市民素质简报52期。</w:t>
      </w:r>
    </w:p>
    <w:p>
      <w:pPr>
        <w:spacing w:beforeLines="100" w:afterLines="100" w:line="540" w:lineRule="exact"/>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（三）生态搬迁稳步进行</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历时一年的时间，景区生态搬迁工作稳步推进，成效显著。目前已完成14个村82个组共计3.66万亩土地流转和1021栋农房测绘，测绘房屋建筑面积27.65万平米；完成1483户4563人“三方协议”签订；完成雷岩、张山、木瓜、新桥、梁坎、万年、茶地、龙门、黑水9个村的搬迁农房验收交房，累计让渡房屋772栋，支付搬迁资金7.93亿元。</w:t>
      </w:r>
    </w:p>
    <w:p>
      <w:pPr>
        <w:spacing w:beforeLines="100" w:afterLines="100" w:line="540" w:lineRule="exact"/>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（四）“三大活动”、“三次全会”和“双创”工作</w:t>
      </w:r>
    </w:p>
    <w:p>
      <w:pPr>
        <w:spacing w:line="54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sz w:val="32"/>
          <w:szCs w:val="32"/>
        </w:rPr>
        <w:t>召开各类专题工作会10余次，传达学习省、市“大学习、大讨论、大调研”会议精神，并结合当前工作实际迅速对工作进行安排部署，同步召开推进会、调研会、主题党日、三会一课、村民大会等活动200余次，2000余人次参加学习。转发宣传部《关于印发&lt;进一步深入开展“大讨论”活动的实施意见&gt;的通知》，同时利用各村市民学校、农民夜校，深入传达贯彻活动精神，对党的十九大精神、习总书记来川视察重要指示精神及省委十一届三次全会精神、认真将“大学习、大讨论、大调研”学习内容宣传到位，领会到位，真正入脑入心，并结合“大走访”走进群众，借此推动我镇生态搬迁、违建整治、改善和保障民生等工作顺利进行。</w:t>
      </w:r>
      <w:r>
        <w:rPr>
          <w:rFonts w:hint="eastAsia" w:ascii="仿宋" w:hAnsi="仿宋" w:eastAsia="仿宋" w:cs="仿宋_GB2312"/>
          <w:color w:val="000000" w:themeColor="text1"/>
          <w:sz w:val="32"/>
          <w:szCs w:val="32"/>
        </w:rPr>
        <w:t>积极响应市委、市政府“双创”号召，营造“双创”浓厚氛围，张贴“双创”举报电话，奋力打造和谐、文明旅游城市形象。</w:t>
      </w:r>
    </w:p>
    <w:p>
      <w:pPr>
        <w:spacing w:beforeLines="100" w:afterLines="100" w:line="540" w:lineRule="exact"/>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（五）违建整治持续有力</w:t>
      </w:r>
    </w:p>
    <w:p>
      <w:pPr>
        <w:spacing w:line="54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sz w:val="32"/>
          <w:szCs w:val="32"/>
        </w:rPr>
        <w:t xml:space="preserve"> 2018年，</w:t>
      </w:r>
      <w:r>
        <w:rPr>
          <w:rFonts w:hint="eastAsia" w:ascii="仿宋" w:hAnsi="仿宋" w:eastAsia="仿宋" w:cs="仿宋_GB2312"/>
          <w:color w:val="000000"/>
          <w:kern w:val="0"/>
          <w:sz w:val="32"/>
          <w:szCs w:val="32"/>
        </w:rPr>
        <w:t>全面启动全山违建整治工作，</w:t>
      </w:r>
      <w:r>
        <w:rPr>
          <w:rFonts w:hint="eastAsia" w:ascii="仿宋" w:hAnsi="仿宋" w:eastAsia="仿宋" w:cs="仿宋_GB2312"/>
          <w:sz w:val="32"/>
          <w:szCs w:val="32"/>
        </w:rPr>
        <w:t>严格落实每日巡违制度，巡查大队分高、中、低片区，严密对全山违建进行巡查工作。全年拆除违建共计205处，拆违面积共23116.83平方米，其中历史违建22220.33平方米（建新未拆旧旧房拆除8863.93平方米，棚房4282.98平方米，彩钢、PVC棚6950.64平方米，历史违建1119.29平方米，附属房949.39平方米，广告牌54.1平方米），新增违建896.5平方米</w:t>
      </w:r>
      <w:r>
        <w:rPr>
          <w:rFonts w:hint="eastAsia" w:ascii="仿宋" w:hAnsi="仿宋" w:eastAsia="仿宋" w:cs="仿宋_GB2312"/>
          <w:color w:val="000000"/>
          <w:kern w:val="0"/>
          <w:sz w:val="32"/>
          <w:szCs w:val="32"/>
        </w:rPr>
        <w:t>。</w:t>
      </w:r>
    </w:p>
    <w:p>
      <w:pPr>
        <w:spacing w:beforeLines="100" w:afterLines="100" w:line="540" w:lineRule="exact"/>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 xml:space="preserve">（六）“挂图作战”项目有序推进 </w:t>
      </w:r>
    </w:p>
    <w:p>
      <w:pPr>
        <w:spacing w:line="54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今年，我镇坚持稳中求进的工作基调，不断推动重大项目有序落地，坚持责任落实到人，政策宣讲入户，加强项目协调与沟通，强力推进项目建设。目前，我镇项目开展情况如下：</w:t>
      </w:r>
    </w:p>
    <w:p>
      <w:pPr>
        <w:spacing w:line="540" w:lineRule="exact"/>
        <w:ind w:firstLine="640" w:firstLineChars="200"/>
        <w:rPr>
          <w:rFonts w:ascii="仿宋" w:hAnsi="仿宋" w:eastAsia="仿宋"/>
          <w:sz w:val="32"/>
          <w:szCs w:val="32"/>
        </w:rPr>
      </w:pPr>
      <w:r>
        <w:rPr>
          <w:rFonts w:hint="eastAsia" w:ascii="仿宋" w:hAnsi="仿宋" w:eastAsia="仿宋" w:cs="楷体_GB2312"/>
          <w:bCs/>
          <w:color w:val="000000" w:themeColor="text1"/>
          <w:sz w:val="32"/>
          <w:szCs w:val="32"/>
        </w:rPr>
        <w:t>一是黄湾小镇安置工作。</w:t>
      </w:r>
      <w:r>
        <w:rPr>
          <w:rFonts w:hint="eastAsia" w:ascii="仿宋" w:hAnsi="仿宋" w:eastAsia="仿宋"/>
          <w:sz w:val="32"/>
          <w:szCs w:val="32"/>
        </w:rPr>
        <w:t>全面完成黄湾小镇9个村22个生产组房屋和门市安置。共安置1172户，3448人，安置住房3084套，门市1023间。</w:t>
      </w:r>
    </w:p>
    <w:p>
      <w:pPr>
        <w:spacing w:line="540" w:lineRule="exact"/>
        <w:ind w:firstLine="640" w:firstLineChars="200"/>
        <w:rPr>
          <w:rFonts w:ascii="仿宋" w:hAnsi="仿宋" w:eastAsia="仿宋" w:cs="仿宋_GB2312"/>
          <w:color w:val="000000" w:themeColor="text1"/>
          <w:sz w:val="32"/>
          <w:szCs w:val="32"/>
        </w:rPr>
      </w:pPr>
      <w:r>
        <w:rPr>
          <w:rFonts w:hint="eastAsia" w:ascii="仿宋" w:hAnsi="仿宋" w:eastAsia="仿宋" w:cs="楷体_GB2312"/>
          <w:bCs/>
          <w:sz w:val="32"/>
          <w:szCs w:val="32"/>
        </w:rPr>
        <w:t>二是</w:t>
      </w:r>
      <w:r>
        <w:rPr>
          <w:rFonts w:hint="eastAsia" w:ascii="仿宋" w:hAnsi="仿宋" w:eastAsia="仿宋" w:cs="楷体_GB2312"/>
          <w:bCs/>
          <w:color w:val="000000" w:themeColor="text1"/>
          <w:sz w:val="32"/>
          <w:szCs w:val="32"/>
        </w:rPr>
        <w:t>景区污水处理厂站项目。</w:t>
      </w:r>
      <w:r>
        <w:rPr>
          <w:rFonts w:hint="eastAsia" w:ascii="仿宋" w:hAnsi="仿宋" w:eastAsia="仿宋" w:cs="仿宋_GB2312"/>
          <w:color w:val="000000" w:themeColor="text1"/>
          <w:sz w:val="32"/>
          <w:szCs w:val="32"/>
        </w:rPr>
        <w:t>顺利完成了14个景区污水处理厂站项目建设征地工作，共计征地面积52.58亩，涉及龙门村、万年村、张山村、大峨村、黑水村、茶地村、龙洞村、雷岩村和茶场村9个村16个生产组。</w:t>
      </w:r>
    </w:p>
    <w:p>
      <w:pPr>
        <w:ind w:firstLine="640" w:firstLineChars="200"/>
        <w:rPr>
          <w:rFonts w:ascii="仿宋" w:hAnsi="仿宋" w:eastAsia="仿宋" w:cs="仿宋_GB2312"/>
          <w:color w:val="000000" w:themeColor="text1"/>
          <w:sz w:val="32"/>
          <w:szCs w:val="32"/>
        </w:rPr>
      </w:pPr>
      <w:r>
        <w:rPr>
          <w:rFonts w:hint="eastAsia" w:ascii="仿宋" w:hAnsi="仿宋" w:eastAsia="仿宋" w:cs="楷体_GB2312"/>
          <w:bCs/>
          <w:color w:val="000000" w:themeColor="text1"/>
          <w:sz w:val="32"/>
          <w:szCs w:val="32"/>
        </w:rPr>
        <w:t>三是景区公厕改扩建项目。</w:t>
      </w:r>
      <w:r>
        <w:rPr>
          <w:rFonts w:hint="eastAsia" w:ascii="仿宋" w:hAnsi="仿宋" w:eastAsia="仿宋" w:cs="仿宋_GB2312"/>
          <w:color w:val="000000" w:themeColor="text1"/>
          <w:sz w:val="32"/>
          <w:szCs w:val="32"/>
        </w:rPr>
        <w:t>截至目前</w:t>
      </w:r>
      <w:r>
        <w:rPr>
          <w:rFonts w:hint="eastAsia" w:ascii="仿宋" w:hAnsi="仿宋" w:eastAsia="仿宋" w:cs="宋体"/>
          <w:color w:val="000000" w:themeColor="text1"/>
          <w:kern w:val="0"/>
          <w:sz w:val="32"/>
          <w:szCs w:val="32"/>
        </w:rPr>
        <w:t>完成了13个景区公厕改扩建项目第一、二批征地工作，共计征地面积4.55亩，涉及报国村、大峨村、茶场村、张山村、龙门村5各村13个生产组，第三批项目征地正稳步推进中</w:t>
      </w:r>
      <w:r>
        <w:rPr>
          <w:rFonts w:hint="eastAsia" w:ascii="仿宋" w:hAnsi="仿宋" w:eastAsia="仿宋" w:cs="仿宋_GB2312"/>
          <w:color w:val="000000" w:themeColor="text1"/>
          <w:sz w:val="32"/>
          <w:szCs w:val="32"/>
        </w:rPr>
        <w:t>。</w:t>
      </w:r>
    </w:p>
    <w:p>
      <w:pPr>
        <w:ind w:firstLine="640" w:firstLineChars="200"/>
        <w:rPr>
          <w:rFonts w:ascii="仿宋" w:hAnsi="仿宋" w:eastAsia="仿宋" w:cs="仿宋_GB2312"/>
          <w:color w:val="000000" w:themeColor="text1"/>
          <w:kern w:val="0"/>
          <w:sz w:val="32"/>
          <w:szCs w:val="32"/>
        </w:rPr>
      </w:pPr>
      <w:r>
        <w:rPr>
          <w:rFonts w:hint="eastAsia" w:ascii="仿宋" w:hAnsi="仿宋" w:eastAsia="仿宋" w:cs="楷体_GB2312"/>
          <w:bCs/>
          <w:color w:val="000000" w:themeColor="text1"/>
          <w:sz w:val="32"/>
          <w:szCs w:val="32"/>
        </w:rPr>
        <w:t>四是景区第二救援疏散通道（木瓜至太阳段）公路工程。</w:t>
      </w:r>
      <w:r>
        <w:rPr>
          <w:rFonts w:hint="eastAsia" w:ascii="仿宋" w:hAnsi="仿宋" w:eastAsia="仿宋" w:cs="仿宋_GB2312"/>
          <w:color w:val="000000" w:themeColor="text1"/>
          <w:kern w:val="0"/>
          <w:sz w:val="32"/>
          <w:szCs w:val="32"/>
        </w:rPr>
        <w:t>完成了木太路项目范围内木瓜村5组新增2户的房屋拆迁安置协议签订工作。</w:t>
      </w:r>
    </w:p>
    <w:p>
      <w:pPr>
        <w:ind w:firstLine="640" w:firstLineChars="200"/>
        <w:rPr>
          <w:rFonts w:ascii="仿宋" w:hAnsi="仿宋" w:eastAsia="仿宋" w:cs="仿宋_GB2312"/>
          <w:color w:val="000000" w:themeColor="text1"/>
          <w:sz w:val="32"/>
          <w:szCs w:val="32"/>
        </w:rPr>
      </w:pPr>
      <w:r>
        <w:rPr>
          <w:rFonts w:hint="eastAsia" w:ascii="仿宋" w:hAnsi="仿宋" w:eastAsia="仿宋" w:cs="楷体_GB2312"/>
          <w:bCs/>
          <w:color w:val="000000" w:themeColor="text1"/>
          <w:sz w:val="32"/>
          <w:szCs w:val="32"/>
        </w:rPr>
        <w:t>五是名山南路交通提升工程。</w:t>
      </w:r>
      <w:r>
        <w:rPr>
          <w:rFonts w:hint="eastAsia" w:ascii="仿宋" w:hAnsi="仿宋" w:eastAsia="仿宋" w:cs="仿宋_GB2312"/>
          <w:color w:val="000000" w:themeColor="text1"/>
          <w:sz w:val="32"/>
          <w:szCs w:val="32"/>
        </w:rPr>
        <w:t>积极配合市土地和房屋征收局，做好名山南路交通提升工程的房屋和土地征收工作。截至目前，已完成涉及项目范围内的报国村5组和村委会的土地征收工作，共征收土地4.54亩，倒房3栋，货币安置4人。</w:t>
      </w:r>
    </w:p>
    <w:p>
      <w:pPr>
        <w:ind w:firstLine="640" w:firstLineChars="200"/>
        <w:rPr>
          <w:rFonts w:ascii="仿宋" w:hAnsi="仿宋" w:eastAsia="仿宋" w:cs="仿宋_GB2312"/>
          <w:color w:val="000000" w:themeColor="text1"/>
          <w:sz w:val="32"/>
          <w:szCs w:val="32"/>
        </w:rPr>
      </w:pPr>
      <w:r>
        <w:rPr>
          <w:rFonts w:hint="eastAsia" w:ascii="仿宋" w:hAnsi="仿宋" w:eastAsia="仿宋" w:cs="楷体_GB2312"/>
          <w:bCs/>
          <w:color w:val="000000" w:themeColor="text1"/>
          <w:sz w:val="32"/>
          <w:szCs w:val="32"/>
        </w:rPr>
        <w:t>六是积极协调报国村2组“峨眉时光项目”和报国村1组恒邦双林集团“见山府”项目进场事宜</w:t>
      </w:r>
      <w:r>
        <w:rPr>
          <w:rFonts w:hint="eastAsia" w:ascii="仿宋" w:hAnsi="仿宋" w:eastAsia="仿宋" w:cs="仿宋_GB2312"/>
          <w:color w:val="000000" w:themeColor="text1"/>
          <w:sz w:val="32"/>
          <w:szCs w:val="32"/>
        </w:rPr>
        <w:t>。</w:t>
      </w:r>
      <w:r>
        <w:rPr>
          <w:rFonts w:hint="eastAsia" w:ascii="仿宋" w:hAnsi="仿宋" w:eastAsia="仿宋" w:cs="楷体_GB2312"/>
          <w:bCs/>
          <w:sz w:val="32"/>
          <w:szCs w:val="32"/>
        </w:rPr>
        <w:t>完成了“零公里停车场”征地666.33亩；完成恒大国际旅游度假区项目涉及的梁坎村2、4组征地484.52亩。</w:t>
      </w:r>
    </w:p>
    <w:p>
      <w:pPr>
        <w:pStyle w:val="17"/>
        <w:numPr>
          <w:ilvl w:val="0"/>
          <w:numId w:val="1"/>
        </w:numPr>
        <w:spacing w:beforeLines="100" w:afterLines="100" w:line="540" w:lineRule="exact"/>
        <w:ind w:firstLineChars="0"/>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 xml:space="preserve">社会民生事业健康发展 </w:t>
      </w:r>
    </w:p>
    <w:p>
      <w:pPr>
        <w:spacing w:line="540" w:lineRule="exact"/>
        <w:ind w:firstLine="640" w:firstLineChars="200"/>
        <w:rPr>
          <w:rFonts w:ascii="仿宋" w:hAnsi="仿宋" w:eastAsia="仿宋" w:cs="仿宋_GB2312"/>
          <w:color w:val="000000" w:themeColor="text1"/>
          <w:sz w:val="32"/>
          <w:szCs w:val="32"/>
        </w:rPr>
      </w:pPr>
      <w:r>
        <w:rPr>
          <w:rFonts w:hint="eastAsia" w:ascii="仿宋" w:hAnsi="仿宋" w:eastAsia="仿宋" w:cs="楷体_GB2312"/>
          <w:bCs/>
          <w:color w:val="000000" w:themeColor="text1"/>
          <w:sz w:val="32"/>
          <w:szCs w:val="32"/>
        </w:rPr>
        <w:t>（一）地质灾害工作。</w:t>
      </w:r>
      <w:r>
        <w:rPr>
          <w:rFonts w:hint="eastAsia" w:ascii="仿宋" w:hAnsi="仿宋" w:eastAsia="仿宋" w:cs="仿宋_GB2312"/>
          <w:color w:val="000000" w:themeColor="text1"/>
          <w:sz w:val="32"/>
          <w:szCs w:val="32"/>
        </w:rPr>
        <w:t>完成全镇28个地灾点的人员信息核查及“一表两卡”上墙工作，并制定印发了《关于黄湾镇2018年地质灾害防御预案》、《黄湾镇2018年突发性地质灾害应急预案》等文件。组织全镇地质灾害专职监测员及责任人进行培训，并签定责任书。开展了全镇防汛应急演练。顺利完成5·21、6·26、7·31特大暴雨防汛工作，实施汛期临时搬迁避让22户67人。</w:t>
      </w:r>
      <w:r>
        <w:rPr>
          <w:rFonts w:hint="eastAsia" w:ascii="仿宋" w:hAnsi="仿宋" w:eastAsia="仿宋" w:cs="仿宋_GB2312"/>
          <w:color w:val="000000"/>
          <w:sz w:val="32"/>
          <w:szCs w:val="32"/>
        </w:rPr>
        <w:t>完成肖山、沙槽2个地灾点41户124人工程治理工作；完成异地搬迁自建房安置32户119人，待消地灾点12个。</w:t>
      </w:r>
      <w:r>
        <w:rPr>
          <w:rFonts w:hint="eastAsia" w:ascii="仿宋" w:hAnsi="仿宋" w:eastAsia="仿宋" w:cs="仿宋_GB2312"/>
          <w:color w:val="000000" w:themeColor="text1"/>
          <w:sz w:val="32"/>
          <w:szCs w:val="32"/>
        </w:rPr>
        <w:t>严格落实日常国土动态巡查制度，目前未发现私挖乱开采现象。</w:t>
      </w:r>
    </w:p>
    <w:p>
      <w:pPr>
        <w:spacing w:line="540" w:lineRule="exact"/>
        <w:ind w:firstLine="640" w:firstLineChars="200"/>
        <w:rPr>
          <w:rFonts w:ascii="仿宋" w:hAnsi="仿宋" w:eastAsia="仿宋" w:cs="仿宋_GB2312"/>
          <w:color w:val="000000" w:themeColor="text1"/>
          <w:sz w:val="32"/>
          <w:szCs w:val="32"/>
        </w:rPr>
      </w:pPr>
      <w:r>
        <w:rPr>
          <w:rFonts w:hint="eastAsia" w:ascii="仿宋" w:hAnsi="仿宋" w:eastAsia="仿宋" w:cs="楷体_GB2312"/>
          <w:bCs/>
          <w:color w:val="000000" w:themeColor="text1"/>
          <w:sz w:val="32"/>
          <w:szCs w:val="32"/>
        </w:rPr>
        <w:t>（二）安全生产。</w:t>
      </w:r>
      <w:r>
        <w:rPr>
          <w:rFonts w:hint="eastAsia" w:ascii="仿宋" w:hAnsi="仿宋" w:eastAsia="仿宋" w:cs="仿宋_GB2312"/>
          <w:color w:val="000000"/>
          <w:sz w:val="32"/>
          <w:szCs w:val="32"/>
        </w:rPr>
        <w:t>始终坚持“以人为本”和“安全第一、预防为主、综合治理”的方针，进一步统一思想，</w:t>
      </w:r>
      <w:r>
        <w:rPr>
          <w:rFonts w:hint="eastAsia" w:ascii="仿宋" w:hAnsi="仿宋" w:eastAsia="仿宋" w:cs="仿宋_GB2312"/>
          <w:color w:val="000000" w:themeColor="text1"/>
          <w:sz w:val="32"/>
          <w:szCs w:val="32"/>
        </w:rPr>
        <w:t>坚持每季度按时召</w:t>
      </w:r>
      <w:r>
        <w:rPr>
          <w:rFonts w:hint="eastAsia" w:ascii="仿宋" w:hAnsi="仿宋" w:eastAsia="仿宋" w:cs="仿宋_GB2312"/>
          <w:color w:val="000000"/>
          <w:sz w:val="32"/>
          <w:szCs w:val="32"/>
        </w:rPr>
        <w:t>开安全生产例</w:t>
      </w:r>
      <w:r>
        <w:rPr>
          <w:rFonts w:hint="eastAsia" w:ascii="仿宋" w:hAnsi="仿宋" w:eastAsia="仿宋" w:cs="仿宋_GB2312"/>
          <w:color w:val="000000" w:themeColor="text1"/>
          <w:sz w:val="32"/>
          <w:szCs w:val="32"/>
        </w:rPr>
        <w:t>会，截至目前已开展安全检查60余次，排查隐患26次，整改26次，发放安全宣传海报68份，宣传资料7000余份。同时，积极开展“岁末年初安全生产整治行动”、“安全生产进镇村”、“防灾减灾”、“安全生产月”宣传、综合安全应急演练、“安全生产大检查”及回头看等工作。定时不定时开展“打非治违”专项整治活动。为各村配备了16套“安全自救器”和18套“安全应急包”，进一步加强村民的安全意识和自救能力。</w:t>
      </w:r>
      <w:r>
        <w:rPr>
          <w:rFonts w:hint="eastAsia" w:ascii="仿宋" w:hAnsi="仿宋" w:eastAsia="仿宋" w:cs="楷体_GB2312"/>
          <w:bCs/>
          <w:color w:val="000000" w:themeColor="text1"/>
          <w:sz w:val="32"/>
          <w:szCs w:val="32"/>
        </w:rPr>
        <w:t>食品安全方面</w:t>
      </w:r>
      <w:r>
        <w:rPr>
          <w:rFonts w:hint="eastAsia" w:ascii="仿宋" w:hAnsi="仿宋" w:eastAsia="仿宋" w:cs="仿宋_GB2312"/>
          <w:color w:val="000000" w:themeColor="text1"/>
          <w:sz w:val="32"/>
          <w:szCs w:val="32"/>
        </w:rPr>
        <w:t>，严格落实“四证合一”制度，对辖区内群体性聚餐进行严格把关。全年来累计收到群体性聚餐申请128次；办理餐饮服务许可证35次；进行群体性聚餐督促119次；发现并整改问题9次。全镇全年来未发生一起群体性聚餐事件。</w:t>
      </w:r>
      <w:r>
        <w:rPr>
          <w:rFonts w:hint="eastAsia" w:ascii="仿宋" w:hAnsi="仿宋" w:eastAsia="仿宋" w:cs="楷体_GB2312"/>
          <w:bCs/>
          <w:color w:val="000000" w:themeColor="text1"/>
          <w:sz w:val="32"/>
          <w:szCs w:val="32"/>
        </w:rPr>
        <w:t>交通安全方面，</w:t>
      </w:r>
      <w:r>
        <w:rPr>
          <w:rFonts w:hint="eastAsia" w:ascii="仿宋" w:hAnsi="仿宋" w:eastAsia="仿宋" w:cs="仿宋_GB2312"/>
          <w:color w:val="000000" w:themeColor="text1"/>
          <w:sz w:val="32"/>
          <w:szCs w:val="32"/>
        </w:rPr>
        <w:t>全年来各村安全劝导员进行了1600余次安全劝导；发现无证驾驶15起；超载10起；摩托车没有戴安全帽50起；现场对驾驶员进行了批评教育；进行了面包车驾驶员、货车驾驶员安全培训，并签订《安全告知书》，对全镇10个危险路段增加了警示标志，确保车辆安全出行。</w:t>
      </w:r>
      <w:r>
        <w:rPr>
          <w:rFonts w:hint="eastAsia" w:ascii="仿宋" w:hAnsi="仿宋" w:eastAsia="仿宋" w:cs="楷体_GB2312"/>
          <w:bCs/>
          <w:color w:val="000000" w:themeColor="text1"/>
          <w:sz w:val="32"/>
          <w:szCs w:val="32"/>
        </w:rPr>
        <w:t>消防和森林防火方面，</w:t>
      </w:r>
      <w:r>
        <w:rPr>
          <w:rFonts w:hint="eastAsia" w:ascii="仿宋" w:hAnsi="仿宋" w:eastAsia="仿宋" w:cs="仿宋_GB2312"/>
          <w:color w:val="000000" w:themeColor="text1"/>
          <w:sz w:val="32"/>
          <w:szCs w:val="32"/>
        </w:rPr>
        <w:t xml:space="preserve">开展了今冬明春火灾防控安全大检查等一系列的专项行动，特别是在重要时节和时段，发动村组干部和义务消防队伍开展消防安全排查，从用电、用火、消防安全设施方面着手，查问题、查隐患，及时解决整改。进一步提高村民的消防安全意识和自救逃生能力。截止目前，我镇未出现安全生产事故。 </w:t>
      </w:r>
    </w:p>
    <w:p>
      <w:pPr>
        <w:spacing w:line="540" w:lineRule="exact"/>
        <w:ind w:firstLine="640" w:firstLineChars="200"/>
        <w:rPr>
          <w:rFonts w:ascii="仿宋" w:hAnsi="仿宋" w:eastAsia="仿宋" w:cs="仿宋_GB2312"/>
          <w:color w:val="000000" w:themeColor="text1"/>
          <w:sz w:val="32"/>
          <w:szCs w:val="32"/>
        </w:rPr>
      </w:pPr>
      <w:r>
        <w:rPr>
          <w:rFonts w:hint="eastAsia" w:ascii="仿宋" w:hAnsi="仿宋" w:eastAsia="仿宋" w:cs="楷体_GB2312"/>
          <w:bCs/>
          <w:color w:val="000000" w:themeColor="text1"/>
          <w:sz w:val="32"/>
          <w:szCs w:val="32"/>
        </w:rPr>
        <w:t>（三）生态环保。一是持续抓好秸秆禁烧工作。</w:t>
      </w:r>
      <w:r>
        <w:rPr>
          <w:rFonts w:hint="eastAsia" w:ascii="仿宋" w:hAnsi="仿宋" w:eastAsia="仿宋" w:cs="仿宋_GB2312"/>
          <w:color w:val="000000"/>
          <w:sz w:val="32"/>
          <w:szCs w:val="32"/>
        </w:rPr>
        <w:t>今年我镇全面禁止秸秆和垃圾焚烧，投入经费近5万元，人力千余人次，在重点的农作物收获季节全面宣传、全面监督，发放资料2000余份，横幅5幅，真正</w:t>
      </w:r>
      <w:r>
        <w:rPr>
          <w:rFonts w:hint="eastAsia" w:ascii="仿宋" w:hAnsi="仿宋" w:eastAsia="仿宋" w:cs="仿宋_GB2312"/>
          <w:color w:val="000000" w:themeColor="text1"/>
          <w:sz w:val="32"/>
          <w:szCs w:val="32"/>
        </w:rPr>
        <w:t>做到不见星火、不见黑斑、不见烟雾，全年无秸秆燃烧及</w:t>
      </w:r>
      <w:r>
        <w:rPr>
          <w:rFonts w:hint="eastAsia" w:ascii="仿宋" w:hAnsi="仿宋" w:eastAsia="仿宋" w:cs="仿宋_GB2312"/>
          <w:color w:val="000000"/>
          <w:sz w:val="32"/>
          <w:szCs w:val="32"/>
        </w:rPr>
        <w:t>垃圾焚烧</w:t>
      </w:r>
      <w:r>
        <w:rPr>
          <w:rFonts w:hint="eastAsia" w:ascii="仿宋" w:hAnsi="仿宋" w:eastAsia="仿宋" w:cs="仿宋_GB2312"/>
          <w:color w:val="000000" w:themeColor="text1"/>
          <w:sz w:val="32"/>
          <w:szCs w:val="32"/>
        </w:rPr>
        <w:t>现象。</w:t>
      </w:r>
      <w:r>
        <w:rPr>
          <w:rFonts w:hint="eastAsia" w:ascii="仿宋" w:hAnsi="仿宋" w:eastAsia="仿宋" w:cs="楷体_GB2312"/>
          <w:bCs/>
          <w:color w:val="000000" w:themeColor="text1"/>
          <w:sz w:val="32"/>
          <w:szCs w:val="32"/>
        </w:rPr>
        <w:t>二是加大河长制巡查。</w:t>
      </w:r>
      <w:r>
        <w:rPr>
          <w:rFonts w:hint="eastAsia" w:ascii="仿宋" w:hAnsi="仿宋" w:eastAsia="仿宋" w:cs="仿宋_GB2312"/>
          <w:color w:val="000000"/>
          <w:sz w:val="32"/>
          <w:szCs w:val="32"/>
        </w:rPr>
        <w:t>严格按要求完成巡河、黑臭水体治理等相关工作，成功将晚香楼、干溪沟支流等6处黑臭水体销号。全年</w:t>
      </w:r>
      <w:r>
        <w:rPr>
          <w:rFonts w:hint="eastAsia" w:ascii="仿宋" w:hAnsi="仿宋" w:eastAsia="仿宋" w:cs="仿宋_GB2312"/>
          <w:color w:val="000000" w:themeColor="text1"/>
          <w:sz w:val="32"/>
          <w:szCs w:val="32"/>
        </w:rPr>
        <w:t>开展镇级河长巡查130余次；村级河长巡查800余次，组织各村党员义工开展了200余次河道清理，</w:t>
      </w:r>
      <w:r>
        <w:rPr>
          <w:rFonts w:hint="eastAsia" w:ascii="仿宋" w:hAnsi="仿宋" w:eastAsia="仿宋" w:cs="仿宋"/>
          <w:color w:val="000000" w:themeColor="text1"/>
          <w:sz w:val="32"/>
          <w:szCs w:val="32"/>
        </w:rPr>
        <w:t>累计清理河道、沟渠40000余米，清理垃圾5余吨。</w:t>
      </w:r>
      <w:r>
        <w:rPr>
          <w:rFonts w:hint="eastAsia" w:ascii="仿宋" w:hAnsi="仿宋" w:eastAsia="仿宋" w:cs="楷体_GB2312"/>
          <w:bCs/>
          <w:color w:val="000000"/>
          <w:sz w:val="32"/>
          <w:szCs w:val="32"/>
        </w:rPr>
        <w:t>三是全面整治“散、乱、污”。</w:t>
      </w:r>
      <w:r>
        <w:rPr>
          <w:rFonts w:hint="eastAsia" w:ascii="仿宋" w:hAnsi="仿宋" w:eastAsia="仿宋" w:cs="仿宋_GB2312"/>
          <w:color w:val="000000"/>
          <w:sz w:val="32"/>
          <w:szCs w:val="32"/>
        </w:rPr>
        <w:t>加大省道306线沿线17家企业整改力度，并持续做好沿线楠木加工旅游纪念品作坊突出问题的日常监管工作</w:t>
      </w:r>
      <w:r>
        <w:rPr>
          <w:rFonts w:hint="eastAsia" w:ascii="仿宋" w:hAnsi="仿宋" w:eastAsia="仿宋" w:cs="宋体"/>
          <w:color w:val="000000"/>
          <w:kern w:val="0"/>
          <w:sz w:val="32"/>
          <w:szCs w:val="32"/>
        </w:rPr>
        <w:t>。</w:t>
      </w:r>
      <w:r>
        <w:rPr>
          <w:rFonts w:hint="eastAsia" w:ascii="仿宋" w:hAnsi="仿宋" w:eastAsia="仿宋" w:cs="楷体_GB2312"/>
          <w:bCs/>
          <w:color w:val="000000" w:themeColor="text1"/>
          <w:sz w:val="32"/>
          <w:szCs w:val="32"/>
        </w:rPr>
        <w:t>四是持续加强城镇环境综合治理。</w:t>
      </w:r>
      <w:r>
        <w:rPr>
          <w:rFonts w:hint="eastAsia" w:ascii="仿宋" w:hAnsi="仿宋" w:eastAsia="仿宋" w:cs="仿宋_GB2312"/>
          <w:color w:val="000000" w:themeColor="text1"/>
          <w:sz w:val="32"/>
          <w:szCs w:val="32"/>
        </w:rPr>
        <w:t>全力做好中央环保督察组回头来看迎检工作，不断加强全山日常环保巡查工作，累计清理陈年垃圾5余吨，废旧家具5余车，黄湾小镇建渣100立方。积极</w:t>
      </w:r>
      <w:r>
        <w:rPr>
          <w:rFonts w:hint="eastAsia" w:ascii="仿宋" w:hAnsi="仿宋" w:eastAsia="仿宋"/>
          <w:sz w:val="32"/>
          <w:szCs w:val="32"/>
        </w:rPr>
        <w:t>开展第二次全国污染源普查工作。对306线散乱污进行3次整顿，并和相关业主签订门前5包。</w:t>
      </w:r>
      <w:r>
        <w:rPr>
          <w:rFonts w:hint="eastAsia" w:ascii="仿宋" w:hAnsi="仿宋" w:eastAsia="仿宋" w:cs="仿宋_GB2312"/>
          <w:color w:val="000000" w:themeColor="text1"/>
          <w:sz w:val="32"/>
          <w:szCs w:val="32"/>
        </w:rPr>
        <w:t>集中开展农房拆迁后建筑垃圾清理工作，共清理46户、2.5万平方米，全镇环境持续转好。</w:t>
      </w:r>
    </w:p>
    <w:p>
      <w:pPr>
        <w:spacing w:line="540" w:lineRule="exact"/>
        <w:ind w:firstLine="640" w:firstLineChars="200"/>
        <w:rPr>
          <w:rFonts w:ascii="仿宋" w:hAnsi="仿宋" w:eastAsia="仿宋" w:cs="仿宋_GB2312"/>
          <w:color w:val="000000" w:themeColor="text1"/>
          <w:sz w:val="32"/>
          <w:szCs w:val="32"/>
        </w:rPr>
      </w:pPr>
      <w:r>
        <w:rPr>
          <w:rFonts w:hint="eastAsia" w:ascii="仿宋" w:hAnsi="仿宋" w:eastAsia="仿宋" w:cs="楷体_GB2312"/>
          <w:bCs/>
          <w:color w:val="000000" w:themeColor="text1"/>
          <w:sz w:val="32"/>
          <w:szCs w:val="32"/>
        </w:rPr>
        <w:t>（四）信访维稳。</w:t>
      </w:r>
      <w:r>
        <w:rPr>
          <w:rFonts w:hint="eastAsia" w:ascii="仿宋" w:hAnsi="仿宋" w:eastAsia="仿宋" w:cs="仿宋_GB2312"/>
          <w:color w:val="000000" w:themeColor="text1"/>
          <w:sz w:val="32"/>
          <w:szCs w:val="32"/>
        </w:rPr>
        <w:t>以新时代“枫桥经验”为引领，</w:t>
      </w:r>
      <w:r>
        <w:rPr>
          <w:rFonts w:hint="eastAsia" w:ascii="仿宋" w:hAnsi="仿宋" w:eastAsia="仿宋" w:cs="楷体_GB2312"/>
          <w:bCs/>
          <w:color w:val="000000"/>
          <w:sz w:val="32"/>
          <w:szCs w:val="32"/>
        </w:rPr>
        <w:t>始终坚持预防与化解相结合、疏导与教育相结合的原则，</w:t>
      </w:r>
      <w:r>
        <w:rPr>
          <w:rFonts w:hint="eastAsia" w:ascii="仿宋" w:hAnsi="仿宋" w:eastAsia="仿宋" w:cs="楷体_GB2312"/>
          <w:bCs/>
          <w:color w:val="000000" w:themeColor="text1"/>
          <w:sz w:val="32"/>
          <w:szCs w:val="32"/>
        </w:rPr>
        <w:t>扎实抓好</w:t>
      </w:r>
      <w:r>
        <w:rPr>
          <w:rFonts w:hint="eastAsia" w:ascii="仿宋" w:hAnsi="仿宋" w:eastAsia="仿宋" w:cs="仿宋_GB2312"/>
          <w:color w:val="000000" w:themeColor="text1"/>
          <w:sz w:val="32"/>
          <w:szCs w:val="32"/>
        </w:rPr>
        <w:t>矛盾纠纷排查、健全机制等基础工作，努力从源头上避免和消除各种不和谐、不稳定因素。截至目前，共排查不稳定因素25起，协调处理矛盾纠纷53次。办理中央第四巡视组交办件3件，国家信访局交办件2件，省、市信访办事项转办件32件，接待来访人员410余人，共计100余次。</w:t>
      </w:r>
      <w:r>
        <w:rPr>
          <w:rFonts w:hint="eastAsia" w:ascii="仿宋" w:hAnsi="仿宋" w:eastAsia="仿宋" w:cs="仿宋_GB2312"/>
          <w:color w:val="000000"/>
          <w:sz w:val="32"/>
          <w:szCs w:val="32"/>
        </w:rPr>
        <w:t>着力化解了骆小坪进京上访信访事项。圆满完成</w:t>
      </w:r>
      <w:r>
        <w:rPr>
          <w:rFonts w:hint="eastAsia" w:ascii="仿宋" w:hAnsi="仿宋" w:eastAsia="仿宋" w:cs="仿宋_GB2312"/>
          <w:sz w:val="32"/>
          <w:szCs w:val="32"/>
        </w:rPr>
        <w:t>全国“两会”期间信访维稳工作，</w:t>
      </w:r>
      <w:r>
        <w:rPr>
          <w:rFonts w:hint="eastAsia" w:ascii="仿宋" w:hAnsi="仿宋" w:eastAsia="仿宋" w:cs="仿宋_GB2312"/>
          <w:color w:val="000000"/>
          <w:sz w:val="32"/>
          <w:szCs w:val="32"/>
        </w:rPr>
        <w:t>重点对全山违建整治和“生态搬迁”工作引起的不稳定因素进行收集、化解、上报</w:t>
      </w:r>
      <w:r>
        <w:rPr>
          <w:rFonts w:hint="eastAsia" w:ascii="仿宋" w:hAnsi="仿宋" w:eastAsia="仿宋" w:cs="楷体_GB2312"/>
          <w:bCs/>
          <w:color w:val="000000"/>
          <w:sz w:val="32"/>
          <w:szCs w:val="32"/>
        </w:rPr>
        <w:t>，有效地维护了社会稳定</w:t>
      </w:r>
      <w:r>
        <w:rPr>
          <w:rFonts w:hint="eastAsia" w:ascii="仿宋" w:hAnsi="仿宋" w:eastAsia="仿宋" w:cs="仿宋_GB2312"/>
          <w:color w:val="000000"/>
          <w:sz w:val="32"/>
          <w:szCs w:val="32"/>
        </w:rPr>
        <w:t>。</w:t>
      </w:r>
    </w:p>
    <w:p>
      <w:pPr>
        <w:spacing w:line="540" w:lineRule="exact"/>
        <w:ind w:firstLine="640" w:firstLineChars="200"/>
        <w:rPr>
          <w:rFonts w:ascii="仿宋" w:hAnsi="仿宋" w:eastAsia="仿宋" w:cs="仿宋_GB2312"/>
          <w:sz w:val="32"/>
          <w:szCs w:val="32"/>
        </w:rPr>
      </w:pPr>
      <w:r>
        <w:rPr>
          <w:rFonts w:hint="eastAsia" w:ascii="仿宋" w:hAnsi="仿宋" w:eastAsia="仿宋" w:cs="楷体_GB2312"/>
          <w:bCs/>
          <w:color w:val="000000" w:themeColor="text1"/>
          <w:sz w:val="32"/>
          <w:szCs w:val="32"/>
        </w:rPr>
        <w:t>（五）民生事业。</w:t>
      </w:r>
      <w:r>
        <w:rPr>
          <w:rFonts w:hint="eastAsia" w:ascii="仿宋" w:hAnsi="仿宋" w:eastAsia="仿宋"/>
          <w:sz w:val="32"/>
          <w:szCs w:val="32"/>
        </w:rPr>
        <w:t>2018年，完成新农保参保缴费2860人，新农保到龄待遇申请50人，企业职工养老保险到龄待遇申请275人；完成新农保和企业职工养老保险、退休人员生存年检共计4000余人，年检率99%以上。注销新农保系统中因“生态搬迁”领取社保待遇人员431人。</w:t>
      </w:r>
      <w:r>
        <w:rPr>
          <w:rFonts w:hint="eastAsia" w:ascii="仿宋" w:hAnsi="仿宋" w:eastAsia="仿宋" w:cs="仿宋_GB2312"/>
          <w:sz w:val="32"/>
          <w:szCs w:val="32"/>
        </w:rPr>
        <w:t>严格按要求审核发放景区3.5%专项资金18022000元，景区养老补助费16156500元。</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完成管委会委托招聘录用19人；签订城镇居民大病补充医保代扣协议12881人，签订职工大病补充医保协议98人，完成新生儿城镇居民医疗保险122人。</w:t>
      </w:r>
    </w:p>
    <w:p>
      <w:pPr>
        <w:spacing w:line="54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截至目前发放城市低保资金330.2万元，农村低保资金26.6万元，残疾人困难生活补贴108880元，慰问困难群众171人，发放慰问金8.32万元，物质83份。采集退役军人和现役军人家属信息892人。</w:t>
      </w:r>
    </w:p>
    <w:p>
      <w:pPr>
        <w:spacing w:line="540" w:lineRule="exact"/>
        <w:ind w:firstLine="640" w:firstLineChars="200"/>
        <w:rPr>
          <w:rFonts w:ascii="仿宋" w:hAnsi="仿宋" w:eastAsia="仿宋" w:cs="仿宋_GB2312"/>
          <w:color w:val="000000" w:themeColor="text1"/>
          <w:sz w:val="32"/>
          <w:szCs w:val="32"/>
        </w:rPr>
      </w:pPr>
      <w:r>
        <w:rPr>
          <w:rFonts w:hint="eastAsia" w:ascii="仿宋" w:hAnsi="仿宋" w:eastAsia="仿宋" w:cs="楷体_GB2312"/>
          <w:bCs/>
          <w:color w:val="000000" w:themeColor="text1"/>
          <w:sz w:val="32"/>
          <w:szCs w:val="32"/>
        </w:rPr>
        <w:t>（六）党员义工及志愿者活动。</w:t>
      </w:r>
      <w:r>
        <w:rPr>
          <w:rFonts w:hint="eastAsia" w:ascii="仿宋" w:hAnsi="仿宋" w:eastAsia="仿宋" w:cs="仿宋_GB2312"/>
          <w:color w:val="000000" w:themeColor="text1"/>
          <w:sz w:val="32"/>
          <w:szCs w:val="32"/>
        </w:rPr>
        <w:t>引导各支部党员亮明身份、主动投身各类义工活动，先后参加佛光花海音乐节、节假日、黄金周、登山节、武术节等重大节假日的维稳安保工作，树立起黄湾党员干部的崭新形象，累计开展党员义工服务100余次，累计参加党员5000余人次，服务游客10万余人次。</w:t>
      </w:r>
    </w:p>
    <w:p>
      <w:pPr>
        <w:spacing w:line="600" w:lineRule="exact"/>
        <w:ind w:firstLine="321" w:firstLineChars="100"/>
        <w:rPr>
          <w:rFonts w:ascii="仿宋" w:hAnsi="仿宋" w:eastAsia="仿宋"/>
          <w:b/>
          <w:color w:val="000000"/>
          <w:sz w:val="32"/>
          <w:szCs w:val="32"/>
        </w:rPr>
      </w:pPr>
      <w:r>
        <w:rPr>
          <w:rFonts w:hint="eastAsia" w:ascii="仿宋" w:hAnsi="仿宋" w:eastAsia="仿宋"/>
          <w:b/>
          <w:color w:val="000000"/>
          <w:sz w:val="32"/>
          <w:szCs w:val="32"/>
        </w:rPr>
        <w:t>二、部门概况</w:t>
      </w:r>
    </w:p>
    <w:p>
      <w:pPr>
        <w:pStyle w:val="2"/>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黄湾镇政府属一级单位，下属二级单位2个，其中行政单位0个，参照公务员法管理的事业单位</w:t>
      </w:r>
      <w:r>
        <w:rPr>
          <w:rFonts w:hint="eastAsia" w:ascii="仿宋" w:hAnsi="仿宋" w:eastAsia="仿宋"/>
          <w:bCs/>
          <w:color w:val="000000"/>
          <w:sz w:val="32"/>
          <w:szCs w:val="32"/>
        </w:rPr>
        <w:t>0</w:t>
      </w:r>
      <w:r>
        <w:rPr>
          <w:rFonts w:hint="eastAsia" w:ascii="仿宋" w:hAnsi="仿宋" w:eastAsia="仿宋"/>
          <w:color w:val="000000"/>
          <w:sz w:val="32"/>
          <w:szCs w:val="32"/>
        </w:rPr>
        <w:t>个，其他事业单位2个:分别是黄湾镇农业技术服务中心、黄湾镇社会事业服务中心。</w:t>
      </w:r>
    </w:p>
    <w:p>
      <w:pPr>
        <w:spacing w:line="600" w:lineRule="exact"/>
        <w:rPr>
          <w:rFonts w:ascii="仿宋" w:hAnsi="仿宋" w:eastAsia="仿宋"/>
          <w:b/>
          <w:color w:val="000000"/>
          <w:sz w:val="32"/>
          <w:szCs w:val="32"/>
        </w:rPr>
      </w:pPr>
      <w:r>
        <w:rPr>
          <w:rFonts w:hint="eastAsia" w:ascii="仿宋" w:hAnsi="仿宋" w:eastAsia="仿宋"/>
          <w:b/>
          <w:color w:val="000000"/>
          <w:sz w:val="32"/>
          <w:szCs w:val="32"/>
        </w:rPr>
        <w:t>三、收支决算总体情况</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pict>
          <v:group id="_x0000_s2051" o:spid="_x0000_s2051" o:spt="203" style="position:absolute;left:0pt;margin-left:33.55pt;margin-top:98.55pt;height:258.75pt;width:441.75pt;z-index:251661312;mso-width-relative:page;mso-height-relative:page;" coordorigin="2145,5212" coordsize="8835,5175" editas="canvas">
            <o:lock v:ext="edit"/>
            <v:shape id="_x0000_s2052" o:spid="_x0000_s2052" o:spt="75" type="#_x0000_t75" style="position:absolute;left:2145;top:5212;height:5175;width:8835;" filled="f" o:preferrelative="f" stroked="f" coordsize="21600,21600">
              <v:fill on="f" focussize="0,0"/>
              <v:stroke on="f" joinstyle="miter"/>
              <v:imagedata o:title=""/>
              <o:lock v:ext="edit" text="t" aspectratio="t"/>
            </v:shape>
            <v:rect id="_x0000_s2053" o:spid="_x0000_s2053" o:spt="1" style="position:absolute;left:2284;top:5342;height:5045;width:8696;" fillcolor="#FFFFFF" filled="t" stroked="t" coordsize="21600,21600">
              <v:path/>
              <v:fill on="t" focussize="0,0"/>
              <v:stroke weight="1pt" color="#8064A2" dashstyle="dash"/>
              <v:imagedata o:title=""/>
              <o:lock v:ext="edit"/>
            </v:rect>
            <v:rect id="_x0000_s2056" o:spid="_x0000_s2056" o:spt="1" style="position:absolute;left:5750;top:5484;height:312;width:1751;mso-wrap-style:none;"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２０１8年收入决算</w:t>
                    </w:r>
                  </w:p>
                </w:txbxContent>
              </v:textbox>
            </v:rect>
            <v:rect id="_x0000_s2057" o:spid="_x0000_s2057" o:spt="1" style="position:absolute;left:6448;top:9233;height:312;width:1301;mso-wrap-style:none;" filled="f" stroked="f" coordsize="21600,21600">
              <v:path/>
              <v:fill on="f" focussize="0,0"/>
              <v:stroke on="f"/>
              <v:imagedata o:title=""/>
              <o:lock v:ext="edit"/>
              <v:textbox inset="0mm,0mm,0mm,0mm">
                <w:txbxContent>
                  <w:p>
                    <w:r>
                      <w:rPr>
                        <w:rFonts w:hint="eastAsia" w:ascii="宋体" w:cs="宋体"/>
                        <w:color w:val="000000"/>
                        <w:kern w:val="0"/>
                        <w:sz w:val="20"/>
                        <w:szCs w:val="20"/>
                      </w:rPr>
                      <w:t>财政拨款收入,</w:t>
                    </w:r>
                  </w:p>
                </w:txbxContent>
              </v:textbox>
            </v:rect>
            <v:rect id="_x0000_s2058" o:spid="_x0000_s2058" o:spt="1" style="position:absolute;left:6550;top:9479;height:312;width:1301;mso-wrap-style:none;" filled="f" stroked="f" coordsize="21600,21600">
              <v:path/>
              <v:fill on="f" focussize="0,0"/>
              <v:stroke on="f"/>
              <v:imagedata o:title=""/>
              <o:lock v:ext="edit"/>
              <v:textbox inset="0mm,0mm,0mm,0mm">
                <w:txbxContent>
                  <w:p>
                    <w:r>
                      <w:rPr>
                        <w:rFonts w:hint="eastAsia" w:ascii="宋体" w:cs="宋体"/>
                        <w:color w:val="000000"/>
                        <w:kern w:val="0"/>
                        <w:sz w:val="20"/>
                        <w:szCs w:val="20"/>
                      </w:rPr>
                      <w:t>6671.87，100</w:t>
                    </w:r>
                    <w:r>
                      <w:rPr>
                        <w:rFonts w:ascii="宋体" w:cs="宋体"/>
                        <w:color w:val="000000"/>
                        <w:kern w:val="0"/>
                        <w:sz w:val="20"/>
                        <w:szCs w:val="20"/>
                      </w:rPr>
                      <w:t>%</w:t>
                    </w:r>
                  </w:p>
                </w:txbxContent>
              </v:textbox>
            </v:rect>
            <v:rect id="_x0000_s2059" o:spid="_x0000_s2059" o:spt="1" style="position:absolute;left:4087;top:6431;height:312;width:181;mso-wrap-style:none;" filled="f" stroked="f" coordsize="21600,21600">
              <v:path/>
              <v:fill on="f" focussize="0,0"/>
              <v:stroke on="f"/>
              <v:imagedata o:title=""/>
              <o:lock v:ext="edit"/>
              <v:textbox inset="0mm,0mm,0mm,0mm" style="mso-fit-shape-to-text:t;">
                <w:txbxContent>
                  <w:p/>
                </w:txbxContent>
              </v:textbox>
            </v:rect>
            <v:rect id="_x0000_s2060" o:spid="_x0000_s2060" o:spt="1" style="position:absolute;left:3986;top:6678;height:312;width:181;mso-wrap-style:none;" filled="f" stroked="f" coordsize="21600,21600">
              <v:path/>
              <v:fill on="f" focussize="0,0"/>
              <v:stroke on="f"/>
              <v:imagedata o:title=""/>
              <o:lock v:ext="edit"/>
              <v:textbox inset="0mm,0mm,0mm,0mm" style="mso-fit-shape-to-text:t;">
                <w:txbxContent>
                  <w:p/>
                </w:txbxContent>
              </v:textbox>
            </v:rect>
            <v:rect id="_x0000_s2061" o:spid="_x0000_s2061" o:spt="1" style="position:absolute;left:8898;top:7767;height:558;width:1523;" stroked="f" coordsize="21600,21600">
              <v:path/>
              <v:fill focussize="0,0"/>
              <v:stroke on="f"/>
              <v:imagedata o:title=""/>
              <o:lock v:ext="edit"/>
            </v:rect>
            <v:rect id="_x0000_s2062" o:spid="_x0000_s2062" o:spt="1" style="position:absolute;left:8974;top:7871;height:117;width:115;" fillcolor="#9999FF" filled="t" coordsize="21600,21600">
              <v:path/>
              <v:fill on="t" focussize="0,0"/>
              <v:stroke weight="0.00102362204724409pt"/>
              <v:imagedata o:title=""/>
              <o:lock v:ext="edit"/>
            </v:rect>
            <v:rect id="_x0000_s2063" o:spid="_x0000_s2063" o:spt="1" style="position:absolute;left:9152;top:7819;height:312;width:120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0"/>
                        <w:szCs w:val="20"/>
                      </w:rPr>
                      <w:t>财政拨款收入</w:t>
                    </w:r>
                  </w:p>
                </w:txbxContent>
              </v:textbox>
            </v:rect>
            <v:rect id="_x0000_s2064" o:spid="_x0000_s2064" o:spt="1" style="position:absolute;left:8974;top:8143;height:117;width:115;" fillcolor="#FFCC00" filled="t" coordsize="21600,21600">
              <v:path/>
              <v:fill on="t" focussize="0,0"/>
              <v:stroke weight="0.00102362204724409pt"/>
              <v:imagedata o:title=""/>
              <o:lock v:ext="edit"/>
            </v:rect>
            <v:rect id="_x0000_s2065" o:spid="_x0000_s2065" o:spt="1" style="position:absolute;left:9152;top:8091;height:312;width:80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0"/>
                        <w:szCs w:val="20"/>
                      </w:rPr>
                      <w:t>其他收入</w:t>
                    </w:r>
                  </w:p>
                </w:txbxContent>
              </v:textbox>
            </v:rect>
            <v:rect id="_x0000_s2066" o:spid="_x0000_s2066" o:spt="1" style="position:absolute;left:2208;top:5277;height:5045;width:8696;" filled="f" coordsize="21600,21600">
              <v:path/>
              <v:fill on="f" focussize="0,0"/>
              <v:stroke weight="0.00102362204724409pt"/>
              <v:imagedata o:title=""/>
              <o:lock v:ext="edit"/>
            </v:rect>
            <v:shape id="_x0000_s2220" o:spid="_x0000_s2220" o:spt="3" type="#_x0000_t3" style="position:absolute;left:4950;top:6431;height:2404;width:2901;" fillcolor="#548DD4" filled="t" coordsize="21600,21600">
              <v:path/>
              <v:fill type="gradient" on="t" color2="fill darken(118)" opacity="7864f" focus="-50%" focussize="0,0" method="linear sigma" rotate="t"/>
              <v:stroke weight="0pt"/>
              <v:imagedata o:title=""/>
              <o:lock v:ext="edit"/>
              <v:textbox>
                <w:txbxContent>
                  <w:p>
                    <w:r>
                      <w:rPr>
                        <w:rFonts w:hint="eastAsia"/>
                      </w:rPr>
                      <w:t>财政拨款收入100%</w:t>
                    </w:r>
                  </w:p>
                </w:txbxContent>
              </v:textbox>
            </v:shape>
          </v:group>
        </w:pict>
      </w:r>
      <w:r>
        <w:rPr>
          <w:rFonts w:hint="eastAsia" w:ascii="仿宋" w:hAnsi="仿宋" w:eastAsia="仿宋"/>
          <w:color w:val="000000"/>
          <w:sz w:val="32"/>
          <w:szCs w:val="32"/>
        </w:rPr>
        <w:t>2018年度黄湾镇政府本年收入合计5484.04元，其中：财政拨款收入5484.04万元，占100%；无事业收入；无经营收入；无附属单位上缴收入；无其它收入。</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hint="eastAsia"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2018年度黄湾镇政府本年支出合计5328.9万元，其中：基本支出62.94万元，占11.6%；项目支出5265.96万元，占89.4%。</w: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pict>
          <v:group id="_x0000_s2067" o:spid="_x0000_s2067" o:spt="203" style="position:absolute;left:0pt;margin-left:38.45pt;margin-top:0pt;height:221.05pt;width:398.05pt;z-index:251662336;mso-width-relative:page;mso-height-relative:page;" coordorigin="2243,12241" coordsize="7961,4421" editas="canvas">
            <o:lock v:ext="edit"/>
            <v:shape id="_x0000_s2068" o:spid="_x0000_s2068" o:spt="75" type="#_x0000_t75" style="position:absolute;left:2243;top:12241;height:4421;width:7961;" filled="f" o:preferrelative="f" stroked="f" coordsize="21600,21600">
              <v:fill on="f" focussize="0,0"/>
              <v:stroke on="f" joinstyle="miter"/>
              <v:imagedata o:title=""/>
              <o:lock v:ext="edit" text="t" aspectratio="t"/>
            </v:shape>
            <v:rect id="_x0000_s2069" o:spid="_x0000_s2069" o:spt="1" style="position:absolute;left:2243;top:12241;height:4421;width:7961;" coordsize="21600,21600">
              <v:path/>
              <v:fill focussize="0,0"/>
              <v:stroke weight="0.00102362204724409pt"/>
              <v:imagedata o:title=""/>
              <o:lock v:ext="edit"/>
            </v:rect>
            <v:shape id="_x0000_s2070" o:spid="_x0000_s2070" style="position:absolute;left:6864;top:13050;height:2209;width:2079;" fillcolor="#9999FF" filled="t" coordsize="3360,1680" path="m1898,1680hdc2794,1512,3360,1269,3360,970c3360,451,1845,0,0,0hal0,928,1898,1680hdxe">
              <v:path arrowok="t"/>
              <v:fill on="t" focussize="0,0"/>
              <v:stroke weight="0.00102362204724409pt"/>
              <v:imagedata o:title=""/>
              <o:lock v:ext="edit"/>
            </v:shape>
            <v:shape id="_x0000_s2071" o:spid="_x0000_s2071" style="position:absolute;left:4183;top:13050;height:2450;width:4143;" fillcolor="#FFCC00" filled="t" coordsize="199,254" path="m126,0hdc56,0,0,56,0,126c0,197,56,254,127,254c153,254,178,245,199,230hal127,127,126,0hdxe">
              <v:path arrowok="t"/>
              <v:fill on="t" focussize="0,0"/>
              <v:stroke weight="0.00102362204724409pt"/>
              <v:imagedata o:title=""/>
              <o:lock v:ext="edit"/>
            </v:shape>
            <v:rect id="_x0000_s2072" o:spid="_x0000_s2072" o:spt="1" style="position:absolute;left:5417;top:12380;height:312;width:1551;mso-wrap-style:none;"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20"/>
                        <w:szCs w:val="20"/>
                      </w:rPr>
                      <w:t>２０１8支出情况</w:t>
                    </w:r>
                  </w:p>
                </w:txbxContent>
              </v:textbox>
            </v:rect>
            <v:rect id="_x0000_s2073" o:spid="_x0000_s2073" o:spt="1" style="position:absolute;left:4529;top:14947;height:312;width:90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0"/>
                        <w:szCs w:val="20"/>
                      </w:rPr>
                      <w:t>项目支出,</w:t>
                    </w:r>
                  </w:p>
                </w:txbxContent>
              </v:textbox>
            </v:rect>
            <v:rect id="_x0000_s2074" o:spid="_x0000_s2074" o:spt="1" style="position:absolute;left:4427;top:15188;height:312;width:140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0"/>
                        <w:szCs w:val="20"/>
                      </w:rPr>
                      <w:t>5265.96，89.4</w:t>
                    </w:r>
                    <w:r>
                      <w:rPr>
                        <w:rFonts w:ascii="宋体" w:cs="宋体"/>
                        <w:color w:val="000000"/>
                        <w:kern w:val="0"/>
                        <w:sz w:val="20"/>
                        <w:szCs w:val="20"/>
                      </w:rPr>
                      <w:t>%</w:t>
                    </w:r>
                  </w:p>
                </w:txbxContent>
              </v:textbox>
            </v:rect>
            <v:rect id="_x0000_s2075" o:spid="_x0000_s2075" o:spt="1" style="position:absolute;left:5963;top:14108;height:241;width:901;mso-wrap-style:none;" filled="f" stroked="f" coordsize="21600,21600">
              <v:path/>
              <v:fill on="f" focussize="0,0"/>
              <v:stroke on="f"/>
              <v:imagedata o:title=""/>
              <o:lock v:ext="edit"/>
              <v:textbox inset="0mm,0mm,0mm,0mm">
                <w:txbxContent>
                  <w:p>
                    <w:r>
                      <w:rPr>
                        <w:rFonts w:hint="eastAsia" w:ascii="宋体" w:cs="宋体"/>
                        <w:color w:val="000000"/>
                        <w:kern w:val="0"/>
                        <w:sz w:val="20"/>
                        <w:szCs w:val="20"/>
                      </w:rPr>
                      <w:t>基本支出,</w:t>
                    </w:r>
                  </w:p>
                </w:txbxContent>
              </v:textbox>
            </v:rect>
            <v:rect id="_x0000_s2076" o:spid="_x0000_s2076" o:spt="1" style="position:absolute;left:5862;top:14349;height:312;width:120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0"/>
                        <w:szCs w:val="20"/>
                      </w:rPr>
                      <w:t>62.94，11.6</w:t>
                    </w:r>
                    <w:r>
                      <w:rPr>
                        <w:rFonts w:ascii="宋体" w:cs="宋体"/>
                        <w:color w:val="000000"/>
                        <w:kern w:val="0"/>
                        <w:sz w:val="20"/>
                        <w:szCs w:val="20"/>
                      </w:rPr>
                      <w:t>%</w:t>
                    </w:r>
                  </w:p>
                </w:txbxContent>
              </v:textbox>
            </v:rect>
            <v:rect id="_x0000_s2077" o:spid="_x0000_s2077" o:spt="1" style="position:absolute;left:8490;top:14540;height:546;width:1117;" stroked="f" coordsize="21600,21600">
              <v:path/>
              <v:fill focussize="0,0"/>
              <v:stroke on="f"/>
              <v:imagedata o:title=""/>
              <o:lock v:ext="edit"/>
            </v:rect>
            <v:rect id="_x0000_s2078" o:spid="_x0000_s2078" o:spt="1" style="position:absolute;left:8566;top:14642;height:114;width:114;" fillcolor="#9999FF" filled="t" coordsize="21600,21600">
              <v:path/>
              <v:fill on="t" focussize="0,0"/>
              <v:stroke weight="0.00102362204724409pt"/>
              <v:imagedata o:title=""/>
              <o:lock v:ext="edit"/>
            </v:rect>
            <v:rect id="_x0000_s2079" o:spid="_x0000_s2079" o:spt="1" style="position:absolute;left:8744;top:14591;height:312;width:80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0"/>
                        <w:szCs w:val="20"/>
                      </w:rPr>
                      <w:t>基本支出</w:t>
                    </w:r>
                  </w:p>
                </w:txbxContent>
              </v:textbox>
            </v:rect>
            <v:rect id="_x0000_s2080" o:spid="_x0000_s2080" o:spt="1" style="position:absolute;left:8566;top:14908;height:115;width:114;" fillcolor="#FFCC00" filled="t" coordsize="21600,21600">
              <v:path/>
              <v:fill on="t" focussize="0,0"/>
              <v:stroke weight="0.00102362204724409pt"/>
              <v:imagedata o:title=""/>
              <o:lock v:ext="edit"/>
            </v:rect>
            <v:rect id="_x0000_s2081" o:spid="_x0000_s2081" o:spt="1" style="position:absolute;left:8744;top:14858;height:312;width:80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0"/>
                        <w:szCs w:val="20"/>
                      </w:rPr>
                      <w:t>项目支出</w:t>
                    </w:r>
                  </w:p>
                </w:txbxContent>
              </v:textbox>
            </v:rect>
            <v:rect id="_x0000_s2082" o:spid="_x0000_s2082" o:spt="1" style="position:absolute;left:2243;top:12241;height:4421;width:7961;" filled="f" coordsize="21600,21600">
              <v:path/>
              <v:fill on="f" focussize="0,0"/>
              <v:stroke weight="0.00102362204724409pt"/>
              <v:imagedata o:title=""/>
              <o:lock v:ext="edit"/>
            </v:rect>
          </v:group>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b/>
          <w:color w:val="000000"/>
          <w:sz w:val="32"/>
          <w:szCs w:val="32"/>
        </w:rPr>
      </w:pPr>
    </w:p>
    <w:p>
      <w:pPr>
        <w:spacing w:line="600" w:lineRule="exact"/>
        <w:rPr>
          <w:rFonts w:ascii="仿宋" w:hAnsi="仿宋" w:eastAsia="仿宋"/>
          <w:b/>
          <w:color w:val="000000"/>
          <w:sz w:val="32"/>
          <w:szCs w:val="32"/>
        </w:rPr>
      </w:pPr>
    </w:p>
    <w:p>
      <w:pPr>
        <w:spacing w:line="600" w:lineRule="exact"/>
        <w:rPr>
          <w:rFonts w:ascii="仿宋" w:hAnsi="仿宋" w:eastAsia="仿宋"/>
          <w:b/>
          <w:color w:val="000000"/>
          <w:sz w:val="32"/>
          <w:szCs w:val="32"/>
        </w:rPr>
      </w:pPr>
    </w:p>
    <w:p>
      <w:pPr>
        <w:spacing w:line="600" w:lineRule="exact"/>
        <w:rPr>
          <w:rFonts w:ascii="仿宋" w:hAnsi="仿宋" w:eastAsia="仿宋"/>
          <w:b/>
          <w:color w:val="000000"/>
          <w:sz w:val="32"/>
          <w:szCs w:val="32"/>
        </w:rPr>
      </w:pPr>
      <w:r>
        <w:rPr>
          <w:rFonts w:hint="eastAsia" w:ascii="仿宋" w:hAnsi="仿宋" w:eastAsia="仿宋"/>
          <w:b/>
          <w:color w:val="000000"/>
          <w:sz w:val="32"/>
          <w:szCs w:val="32"/>
        </w:rPr>
        <w:t>四、财政拨款收支决算情况</w:t>
      </w:r>
    </w:p>
    <w:p>
      <w:pPr>
        <w:spacing w:line="600" w:lineRule="exact"/>
        <w:ind w:firstLine="640" w:firstLineChars="200"/>
        <w:rPr>
          <w:rFonts w:ascii="仿宋" w:hAnsi="仿宋" w:eastAsia="仿宋"/>
        </w:rPr>
      </w:pPr>
      <w:r>
        <w:rPr>
          <w:rFonts w:hint="eastAsia" w:ascii="仿宋" w:hAnsi="仿宋" w:eastAsia="仿宋"/>
          <w:color w:val="000000"/>
          <w:sz w:val="32"/>
          <w:szCs w:val="32"/>
        </w:rPr>
        <w:t>黄湾镇政府2018年度财政拨款收支总决算5494.91万元。与2017年相比，财政拨款收、支总计各减少272.08万元，减少4.57%。（原因为煤矿关闭支出）</w:t>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r>
        <w:rPr>
          <w:rFonts w:ascii="仿宋" w:hAnsi="仿宋" w:eastAsia="仿宋"/>
        </w:rPr>
        <w:pict>
          <v:group id="_x0000_s2135" o:spid="_x0000_s2135" o:spt="203" style="position:absolute;left:0pt;margin-left:40.55pt;margin-top:21.5pt;height:345.45pt;width:406pt;z-index:251664384;mso-width-relative:page;mso-height-relative:page;" coordorigin="2078,6628" coordsize="8120,6909" editas="canvas">
            <o:lock v:ext="edit"/>
            <v:shape id="_x0000_s2136" o:spid="_x0000_s2136" o:spt="75" type="#_x0000_t75" style="position:absolute;left:2078;top:6628;height:6909;width:8120;" filled="f" o:preferrelative="f" stroked="f" coordsize="21600,21600">
              <v:fill on="f" focussize="0,0"/>
              <v:stroke on="f" joinstyle="miter"/>
              <v:imagedata o:title=""/>
              <o:lock v:ext="edit" text="t" aspectratio="t"/>
            </v:shape>
            <v:line id="_x0000_s2139" o:spid="_x0000_s2139" o:spt="20" style="position:absolute;left:3108;top:11855;height:1;width:6047;" coordsize="21600,21600">
              <v:path arrowok="t"/>
              <v:fill focussize="0,0"/>
              <v:stroke weight="0pt"/>
              <v:imagedata o:title=""/>
              <o:lock v:ext="edit"/>
            </v:line>
            <v:line id="_x0000_s2140" o:spid="_x0000_s2140" o:spt="20" style="position:absolute;left:3108;top:11261;height:1;width:6047;" coordsize="21600,21600">
              <v:path arrowok="t"/>
              <v:fill focussize="0,0"/>
              <v:stroke weight="0pt"/>
              <v:imagedata o:title=""/>
              <o:lock v:ext="edit"/>
            </v:line>
            <v:line id="_x0000_s2141" o:spid="_x0000_s2141" o:spt="20" style="position:absolute;left:3108;top:10651;height:1;width:6047;" coordsize="21600,21600">
              <v:path arrowok="t"/>
              <v:fill focussize="0,0"/>
              <v:stroke weight="0pt"/>
              <v:imagedata o:title=""/>
              <o:lock v:ext="edit"/>
            </v:line>
            <v:line id="_x0000_s2142" o:spid="_x0000_s2142" o:spt="20" style="position:absolute;left:3108;top:10041;height:1;width:6047;" coordsize="21600,21600">
              <v:path arrowok="t"/>
              <v:fill focussize="0,0"/>
              <v:stroke weight="0pt"/>
              <v:imagedata o:title=""/>
              <o:lock v:ext="edit"/>
            </v:line>
            <v:line id="_x0000_s2143" o:spid="_x0000_s2143" o:spt="20" style="position:absolute;left:3108;top:9431;height:1;width:6047;" coordsize="21600,21600">
              <v:path arrowok="t"/>
              <v:fill focussize="0,0"/>
              <v:stroke weight="0pt"/>
              <v:imagedata o:title=""/>
              <o:lock v:ext="edit"/>
            </v:line>
            <v:line id="_x0000_s2144" o:spid="_x0000_s2144" o:spt="20" style="position:absolute;left:3108;top:8838;height:1;width:6047;" coordsize="21600,21600">
              <v:path arrowok="t"/>
              <v:fill focussize="0,0"/>
              <v:stroke weight="0pt"/>
              <v:imagedata o:title=""/>
              <o:lock v:ext="edit"/>
            </v:line>
            <v:line id="_x0000_s2145" o:spid="_x0000_s2145" o:spt="20" style="position:absolute;left:3108;top:8228;height:1;width:6047;" coordsize="21600,21600">
              <v:path arrowok="t"/>
              <v:fill focussize="0,0"/>
              <v:stroke weight="0pt"/>
              <v:imagedata o:title=""/>
              <o:lock v:ext="edit"/>
            </v:line>
            <v:line id="_x0000_s2146" o:spid="_x0000_s2146" o:spt="20" style="position:absolute;left:3108;top:7618;height:1;width:6047;" coordsize="21600,21600">
              <v:path arrowok="t"/>
              <v:fill focussize="0,0"/>
              <v:stroke weight="0pt"/>
              <v:imagedata o:title=""/>
              <o:lock v:ext="edit"/>
            </v:line>
            <v:rect id="_x0000_s2147" o:spid="_x0000_s2147" o:spt="1" style="position:absolute;left:3108;top:7618;height:4847;width:6047;" filled="f" stroked="t" coordsize="21600,21600">
              <v:path/>
              <v:fill on="f" focussize="0,0"/>
              <v:stroke weight="0.00110236220472441pt" color="#808080"/>
              <v:imagedata o:title=""/>
              <o:lock v:ext="edit"/>
            </v:rect>
            <v:rect id="_x0000_s2148" o:spid="_x0000_s2148" o:spt="1" style="position:absolute;left:4016;top:7814;height:4651;width:1207;" fillcolor="#9999FF" filled="t" coordsize="21600,21600">
              <v:path/>
              <v:fill on="t" focussize="0,0"/>
              <v:stroke weight="0.00110236220472441pt"/>
              <v:imagedata o:title=""/>
              <o:lock v:ext="edit"/>
            </v:rect>
            <v:rect id="_x0000_s2149" o:spid="_x0000_s2149" o:spt="1" style="position:absolute;left:7040;top:7567;height:4899;width:1206;" fillcolor="#9999FF" filled="t" coordsize="21600,21600">
              <v:path/>
              <v:fill on="t" focussize="0,0"/>
              <v:stroke weight="0.00110236220472441pt"/>
              <v:imagedata o:title=""/>
              <o:lock v:ext="edit"/>
            </v:rect>
            <v:line id="_x0000_s2150" o:spid="_x0000_s2150" o:spt="20" style="position:absolute;left:3108;top:7618;height:4847;width:1;" coordsize="21600,21600">
              <v:path arrowok="t"/>
              <v:fill focussize="0,0"/>
              <v:stroke weight="0pt"/>
              <v:imagedata o:title=""/>
              <o:lock v:ext="edit"/>
            </v:line>
            <v:line id="_x0000_s2151" o:spid="_x0000_s2151" o:spt="20" style="position:absolute;left:3108;top:12465;height:1;width:68;" coordsize="21600,21600">
              <v:path arrowok="t"/>
              <v:fill focussize="0,0"/>
              <v:stroke weight="0pt"/>
              <v:imagedata o:title=""/>
              <o:lock v:ext="edit"/>
            </v:line>
            <v:line id="_x0000_s2152" o:spid="_x0000_s2152" o:spt="20" style="position:absolute;left:3108;top:11855;height:1;width:68;" coordsize="21600,21600">
              <v:path arrowok="t"/>
              <v:fill focussize="0,0"/>
              <v:stroke weight="0pt"/>
              <v:imagedata o:title=""/>
              <o:lock v:ext="edit"/>
            </v:line>
            <v:line id="_x0000_s2153" o:spid="_x0000_s2153" o:spt="20" style="position:absolute;left:3108;top:11261;height:1;width:68;" coordsize="21600,21600">
              <v:path arrowok="t"/>
              <v:fill focussize="0,0"/>
              <v:stroke weight="0pt"/>
              <v:imagedata o:title=""/>
              <o:lock v:ext="edit"/>
            </v:line>
            <v:line id="_x0000_s2154" o:spid="_x0000_s2154" o:spt="20" style="position:absolute;left:3108;top:10651;height:1;width:68;" coordsize="21600,21600">
              <v:path arrowok="t"/>
              <v:fill focussize="0,0"/>
              <v:stroke weight="0pt"/>
              <v:imagedata o:title=""/>
              <o:lock v:ext="edit"/>
            </v:line>
            <v:line id="_x0000_s2155" o:spid="_x0000_s2155" o:spt="20" style="position:absolute;left:3108;top:10041;height:1;width:68;" coordsize="21600,21600">
              <v:path arrowok="t"/>
              <v:fill focussize="0,0"/>
              <v:stroke weight="0pt"/>
              <v:imagedata o:title=""/>
              <o:lock v:ext="edit"/>
            </v:line>
            <v:line id="_x0000_s2156" o:spid="_x0000_s2156" o:spt="20" style="position:absolute;left:3108;top:9431;height:1;width:68;" coordsize="21600,21600">
              <v:path arrowok="t"/>
              <v:fill focussize="0,0"/>
              <v:stroke weight="0pt"/>
              <v:imagedata o:title=""/>
              <o:lock v:ext="edit"/>
            </v:line>
            <v:line id="_x0000_s2157" o:spid="_x0000_s2157" o:spt="20" style="position:absolute;left:3108;top:8838;height:1;width:68;" coordsize="21600,21600">
              <v:path arrowok="t"/>
              <v:fill focussize="0,0"/>
              <v:stroke weight="0pt"/>
              <v:imagedata o:title=""/>
              <o:lock v:ext="edit"/>
            </v:line>
            <v:line id="_x0000_s2158" o:spid="_x0000_s2158" o:spt="20" style="position:absolute;left:3108;top:8228;height:1;width:68;" coordsize="21600,21600">
              <v:path arrowok="t"/>
              <v:fill focussize="0,0"/>
              <v:stroke weight="0pt"/>
              <v:imagedata o:title=""/>
              <o:lock v:ext="edit"/>
            </v:line>
            <v:line id="_x0000_s2159" o:spid="_x0000_s2159" o:spt="20" style="position:absolute;left:3108;top:7618;height:1;width:68;" coordsize="21600,21600">
              <v:path arrowok="t"/>
              <v:fill focussize="0,0"/>
              <v:stroke weight="0pt"/>
              <v:imagedata o:title=""/>
              <o:lock v:ext="edit"/>
            </v:line>
            <v:line id="_x0000_s2160" o:spid="_x0000_s2160" o:spt="20" style="position:absolute;left:3108;top:12465;height:1;width:6047;" coordsize="21600,21600">
              <v:path arrowok="t"/>
              <v:fill focussize="0,0"/>
              <v:stroke weight="0pt"/>
              <v:imagedata o:title=""/>
              <o:lock v:ext="edit"/>
            </v:line>
            <v:line id="_x0000_s2161" o:spid="_x0000_s2161" o:spt="20" style="position:absolute;left:3108;top:12382;flip:y;height:83;width:1;" coordsize="21600,21600">
              <v:path arrowok="t"/>
              <v:fill focussize="0,0"/>
              <v:stroke weight="0pt"/>
              <v:imagedata o:title=""/>
              <o:lock v:ext="edit"/>
            </v:line>
            <v:line id="_x0000_s2162" o:spid="_x0000_s2162" o:spt="20" style="position:absolute;left:6131;top:12382;flip:y;height:83;width:1;" coordsize="21600,21600">
              <v:path arrowok="t"/>
              <v:fill focussize="0,0"/>
              <v:stroke weight="0pt"/>
              <v:imagedata o:title=""/>
              <o:lock v:ext="edit"/>
            </v:line>
            <v:line id="_x0000_s2163" o:spid="_x0000_s2163" o:spt="20" style="position:absolute;left:9155;top:12382;flip:y;height:83;width:1;" coordsize="21600,21600">
              <v:path arrowok="t"/>
              <v:fill focussize="0,0"/>
              <v:stroke weight="0pt"/>
              <v:imagedata o:title=""/>
              <o:lock v:ext="edit"/>
            </v:line>
            <v:rect id="_x0000_s2164" o:spid="_x0000_s2164" o:spt="1" style="position:absolute;left:3976;top:13108;height:312;width:4760;mso-wrap-style:none;" filled="f" stroked="f" coordsize="21600,21600">
              <v:path/>
              <v:fill on="f" focussize="0,0"/>
              <v:stroke on="f"/>
              <v:imagedata o:title=""/>
              <o:lock v:ext="edit"/>
              <v:textbox inset="0mm,0mm,0mm,0mm" style="mso-fit-shape-to-text:t;">
                <w:txbxContent>
                  <w:p>
                    <w:r>
                      <w:rPr>
                        <w:rFonts w:hint="eastAsia" w:ascii="楷体" w:eastAsia="楷体" w:cs="楷体"/>
                        <w:b/>
                        <w:bCs/>
                        <w:color w:val="000000"/>
                        <w:kern w:val="0"/>
                        <w:sz w:val="24"/>
                      </w:rPr>
                      <w:t>２０17、２０１8年财政拨款收支总计对比图</w:t>
                    </w:r>
                  </w:p>
                </w:txbxContent>
              </v:textbox>
            </v:rect>
            <v:rect id="_x0000_s2165" o:spid="_x0000_s2165" o:spt="1" style="position:absolute;left:4233;top:9120;height:312;width:84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5940.91</w:t>
                    </w:r>
                  </w:p>
                </w:txbxContent>
              </v:textbox>
            </v:rect>
            <v:rect id="_x0000_s2166" o:spid="_x0000_s2166" o:spt="1" style="position:absolute;left:7257;top:10238;height:298;width:721;mso-wrap-style:none;" filled="f" stroked="f" coordsize="21600,21600">
              <v:path/>
              <v:fill on="f" focussize="0,0"/>
              <v:stroke on="f"/>
              <v:imagedata o:title=""/>
              <o:lock v:ext="edit"/>
              <v:textbox inset="0mm,0mm,0mm,0mm">
                <w:txbxContent>
                  <w:p>
                    <w:r>
                      <w:rPr>
                        <w:rFonts w:hint="eastAsia" w:ascii="宋体" w:cs="宋体"/>
                        <w:color w:val="000000"/>
                        <w:kern w:val="0"/>
                        <w:sz w:val="24"/>
                      </w:rPr>
                      <w:t>6212.9</w:t>
                    </w:r>
                  </w:p>
                </w:txbxContent>
              </v:textbox>
            </v:rect>
            <v:rect id="_x0000_s2167" o:spid="_x0000_s2167" o:spt="1" style="position:absolute;left:2837;top:12349;height:312;width:121;mso-wrap-style:none;" filled="f" stroked="f" coordsize="21600,21600">
              <v:path/>
              <v:fill on="f" focussize="0,0"/>
              <v:stroke on="f"/>
              <v:imagedata o:title=""/>
              <o:lock v:ext="edit"/>
              <v:textbox inset="0mm,0mm,0mm,0mm" style="mso-fit-shape-to-text:t;">
                <w:txbxContent>
                  <w:p>
                    <w:r>
                      <w:rPr>
                        <w:rFonts w:ascii="宋体" w:cs="宋体"/>
                        <w:color w:val="000000"/>
                        <w:kern w:val="0"/>
                        <w:sz w:val="24"/>
                      </w:rPr>
                      <w:t>0</w:t>
                    </w:r>
                  </w:p>
                </w:txbxContent>
              </v:textbox>
            </v:rect>
            <v:rect id="_x0000_s2168" o:spid="_x0000_s2168" o:spt="1" style="position:absolute;left:2620;top:11739;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1200</w:t>
                    </w:r>
                  </w:p>
                </w:txbxContent>
              </v:textbox>
            </v:rect>
            <v:rect id="_x0000_s2169" o:spid="_x0000_s2169" o:spt="1" style="position:absolute;left:2620;top:11146;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1800</w:t>
                    </w:r>
                  </w:p>
                </w:txbxContent>
              </v:textbox>
            </v:rect>
            <v:rect id="_x0000_s2170" o:spid="_x0000_s2170" o:spt="1" style="position:absolute;left:2620;top:10536;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240</w:t>
                    </w:r>
                    <w:r>
                      <w:rPr>
                        <w:rFonts w:ascii="宋体" w:cs="宋体"/>
                        <w:color w:val="000000"/>
                        <w:kern w:val="0"/>
                        <w:sz w:val="24"/>
                      </w:rPr>
                      <w:t>0</w:t>
                    </w:r>
                  </w:p>
                </w:txbxContent>
              </v:textbox>
            </v:rect>
            <v:rect id="_x0000_s2171" o:spid="_x0000_s2171" o:spt="1" style="position:absolute;left:2620;top:9926;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32</w:t>
                    </w:r>
                    <w:r>
                      <w:rPr>
                        <w:rFonts w:ascii="宋体" w:cs="宋体"/>
                        <w:color w:val="000000"/>
                        <w:kern w:val="0"/>
                        <w:sz w:val="24"/>
                      </w:rPr>
                      <w:t>00</w:t>
                    </w:r>
                  </w:p>
                </w:txbxContent>
              </v:textbox>
            </v:rect>
            <v:rect id="_x0000_s2172" o:spid="_x0000_s2172" o:spt="1" style="position:absolute;left:2512;top:9316;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4200</w:t>
                    </w:r>
                  </w:p>
                </w:txbxContent>
              </v:textbox>
            </v:rect>
            <v:rect id="_x0000_s2173" o:spid="_x0000_s2173" o:spt="1" style="position:absolute;left:2512;top:8722;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480</w:t>
                    </w:r>
                    <w:r>
                      <w:rPr>
                        <w:rFonts w:ascii="宋体" w:cs="宋体"/>
                        <w:color w:val="000000"/>
                        <w:kern w:val="0"/>
                        <w:sz w:val="24"/>
                      </w:rPr>
                      <w:t>0</w:t>
                    </w:r>
                  </w:p>
                </w:txbxContent>
              </v:textbox>
            </v:rect>
            <v:rect id="_x0000_s2174" o:spid="_x0000_s2174" o:spt="1" style="position:absolute;left:2512;top:8112;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5400</w:t>
                    </w:r>
                  </w:p>
                </w:txbxContent>
              </v:textbox>
            </v:rect>
            <v:rect id="_x0000_s2175" o:spid="_x0000_s2175" o:spt="1" style="position:absolute;left:2512;top:7502;height:312;width:4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6000</w:t>
                    </w:r>
                  </w:p>
                </w:txbxContent>
              </v:textbox>
            </v:rect>
            <v:rect id="_x0000_s2176" o:spid="_x0000_s2176" o:spt="1" style="position:absolute;left:4315;top:12696;height:312;width:7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2018年</w:t>
                    </w:r>
                  </w:p>
                </w:txbxContent>
              </v:textbox>
            </v:rect>
            <v:rect id="_x0000_s2177" o:spid="_x0000_s2177" o:spt="1" style="position:absolute;left:7338;top:12696;height:312;width:78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4"/>
                      </w:rPr>
                      <w:t>2017年</w:t>
                    </w:r>
                  </w:p>
                </w:txbxContent>
              </v:textbox>
            </v:rect>
            <v:rect id="_x0000_s2178" o:spid="_x0000_s2178" o:spt="1" style="position:absolute;left:3273;top:12631;height:481;width:312;mso-wrap-style:none;rotation:17694720f;" filled="f" stroked="f" coordsize="21600,21600">
              <v:path/>
              <v:fill on="f" focussize="0,0"/>
              <v:stroke on="f"/>
              <v:imagedata o:title=""/>
              <o:lock v:ext="edit"/>
              <v:textbox inset="0mm,0mm,0mm,0mm" style="mso-fit-shape-to-text:t;">
                <w:txbxContent>
                  <w:p>
                    <w:r>
                      <w:rPr>
                        <w:rFonts w:hint="eastAsia" w:ascii="宋体" w:cs="宋体"/>
                        <w:color w:val="000000"/>
                        <w:kern w:val="0"/>
                        <w:sz w:val="24"/>
                      </w:rPr>
                      <w:t>年度</w:t>
                    </w:r>
                  </w:p>
                </w:txbxContent>
              </v:textbox>
            </v:rect>
            <v:rect id="_x0000_s2179" o:spid="_x0000_s2179" o:spt="1" style="position:absolute;left:2403;top:7008;height:312;width:1607;mso-wrap-style:none;" filled="f" stroked="f" coordsize="21600,21600">
              <v:path/>
              <v:fill on="f" focussize="0,0"/>
              <v:stroke on="f"/>
              <v:imagedata o:title=""/>
              <o:lock v:ext="edit"/>
              <v:textbox inset="0mm,0mm,0mm,0mm" style="mso-fit-shape-to-text:t;">
                <w:txbxContent>
                  <w:p>
                    <w:r>
                      <w:rPr>
                        <w:rFonts w:hint="eastAsia" w:ascii="仿宋" w:eastAsia="仿宋" w:cs="仿宋"/>
                        <w:b/>
                        <w:bCs/>
                        <w:color w:val="000000"/>
                        <w:kern w:val="0"/>
                        <w:sz w:val="20"/>
                        <w:szCs w:val="20"/>
                      </w:rPr>
                      <w:t>财政拨款收支合计</w:t>
                    </w:r>
                  </w:p>
                </w:txbxContent>
              </v:textbox>
            </v:rect>
            <v:rect id="_x0000_s2180" o:spid="_x0000_s2180" o:spt="1" style="position:absolute;left:2756;top:7255;height:312;width:804;mso-wrap-style:none;" filled="f" stroked="f" coordsize="21600,21600">
              <v:path/>
              <v:fill on="f" focussize="0,0"/>
              <v:stroke on="f"/>
              <v:imagedata o:title=""/>
              <o:lock v:ext="edit"/>
              <v:textbox inset="0mm,0mm,0mm,0mm" style="mso-fit-shape-to-text:t;">
                <w:txbxContent>
                  <w:p>
                    <w:r>
                      <w:rPr>
                        <w:rFonts w:hint="eastAsia" w:ascii="仿宋" w:eastAsia="仿宋" w:cs="仿宋"/>
                        <w:b/>
                        <w:bCs/>
                        <w:color w:val="000000"/>
                        <w:kern w:val="0"/>
                        <w:sz w:val="20"/>
                        <w:szCs w:val="20"/>
                      </w:rPr>
                      <w:t>（万元）</w:t>
                    </w:r>
                  </w:p>
                </w:txbxContent>
              </v:textbox>
            </v:rect>
            <v:rect id="_x0000_s2181" o:spid="_x0000_s2181" o:spt="1" style="position:absolute;left:2078;top:6628;height:6909;width:8120;" filled="f" coordsize="21600,21600">
              <v:path/>
              <v:fill on="f" focussize="0,0"/>
              <v:stroke weight="0.00110236220472441pt"/>
              <v:imagedata o:title=""/>
              <o:lock v:ext="edit"/>
            </v:rect>
          </v:group>
        </w:pict>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b/>
          <w:color w:val="000000"/>
          <w:sz w:val="30"/>
          <w:szCs w:val="30"/>
        </w:rPr>
      </w:pPr>
      <w:r>
        <w:rPr>
          <w:rFonts w:hint="eastAsia" w:ascii="仿宋" w:hAnsi="仿宋" w:eastAsia="仿宋"/>
          <w:b/>
          <w:color w:val="000000"/>
          <w:sz w:val="30"/>
          <w:szCs w:val="30"/>
        </w:rPr>
        <w:t>五、一般公共预算财政拨款支出决算情况</w:t>
      </w:r>
    </w:p>
    <w:p>
      <w:pPr>
        <w:spacing w:line="600" w:lineRule="exact"/>
        <w:ind w:firstLine="480" w:firstLineChars="200"/>
        <w:rPr>
          <w:rFonts w:ascii="仿宋" w:hAnsi="仿宋" w:eastAsia="仿宋"/>
          <w:color w:val="000000"/>
          <w:sz w:val="24"/>
          <w:szCs w:val="30"/>
        </w:rPr>
      </w:pPr>
      <w:r>
        <w:rPr>
          <w:rFonts w:hint="eastAsia" w:ascii="仿宋" w:hAnsi="仿宋" w:eastAsia="仿宋"/>
          <w:color w:val="000000"/>
          <w:sz w:val="24"/>
          <w:szCs w:val="30"/>
        </w:rPr>
        <w:t>（一）一般公共预算财政拨款支出决算总体情况</w:t>
      </w:r>
    </w:p>
    <w:p>
      <w:pPr>
        <w:spacing w:line="600" w:lineRule="exact"/>
        <w:ind w:firstLine="480" w:firstLineChars="200"/>
        <w:rPr>
          <w:rFonts w:ascii="仿宋" w:hAnsi="仿宋" w:eastAsia="仿宋"/>
          <w:color w:val="000000"/>
          <w:sz w:val="24"/>
          <w:szCs w:val="30"/>
        </w:rPr>
      </w:pPr>
      <w:r>
        <w:rPr>
          <w:rFonts w:hint="eastAsia" w:ascii="仿宋" w:hAnsi="仿宋" w:eastAsia="仿宋"/>
          <w:color w:val="000000"/>
          <w:sz w:val="24"/>
          <w:szCs w:val="30"/>
        </w:rPr>
        <w:t>黄湾镇政府2018年度一般公共预算财政拨款支出5328.9万元，占本年支出合计的97.17%。与2017年相比，一般公共预算财政拨款增加456.87万元，增长7.69%。</w:t>
      </w:r>
    </w:p>
    <w:p>
      <w:pPr>
        <w:spacing w:line="600" w:lineRule="exact"/>
        <w:rPr>
          <w:rFonts w:ascii="仿宋" w:hAnsi="仿宋" w:eastAsia="仿宋"/>
          <w:color w:val="000000"/>
          <w:sz w:val="36"/>
          <w:szCs w:val="32"/>
        </w:rPr>
      </w:pPr>
      <w:r>
        <w:rPr>
          <w:rFonts w:ascii="仿宋" w:hAnsi="仿宋" w:eastAsia="仿宋"/>
          <w:sz w:val="22"/>
        </w:rPr>
        <w:pict>
          <v:group id="_x0000_s2083" o:spid="_x0000_s2083" o:spt="203" style="position:absolute;left:0pt;margin-left:-13.75pt;margin-top:16pt;height:248.05pt;width:440.3pt;z-index:251663360;mso-width-relative:page;mso-height-relative:page;" coordorigin="1722,2956" coordsize="8806,4961" editas="canvas">
            <o:lock v:ext="edit"/>
            <v:shape id="_x0000_s2084" o:spid="_x0000_s2084" o:spt="75" type="#_x0000_t75" style="position:absolute;left:1722;top:2956;height:4961;width:8806;" filled="f" o:preferrelative="f" stroked="f" coordsize="21600,21600">
              <v:fill on="f" focussize="0,0"/>
              <v:stroke on="f" joinstyle="miter"/>
              <v:imagedata o:title=""/>
              <o:lock v:ext="edit" text="t" aspectratio="t"/>
            </v:shape>
            <v:rect id="_x0000_s2085" o:spid="_x0000_s2085" o:spt="1" style="position:absolute;left:1722;top:3385;height:4435;width:8804;" coordsize="21600,21600">
              <v:path/>
              <v:fill focussize="0,0"/>
              <v:stroke weight="0.00110236220472441pt"/>
              <v:imagedata o:title=""/>
              <o:lock v:ext="edit"/>
            </v:rect>
            <v:line id="_x0000_s2087" o:spid="_x0000_s2087" o:spt="20" style="position:absolute;left:2491;top:6849;height:1;width:5279;" coordsize="21600,21600">
              <v:path arrowok="t"/>
              <v:fill focussize="0,0"/>
              <v:stroke weight="0pt"/>
              <v:imagedata o:title=""/>
              <o:lock v:ext="edit"/>
            </v:line>
            <v:rect id="_x0000_s2086" o:spid="_x0000_s2086" o:spt="1" style="position:absolute;left:2492;top:3565;height:3847;width:5279;" fillcolor="#C0C0C0" filled="t" stroked="f" coordsize="21600,21600">
              <v:path/>
              <v:fill on="t" focussize="0,0"/>
              <v:stroke on="f"/>
              <v:imagedata o:title=""/>
              <o:lock v:ext="edit"/>
            </v:rect>
            <v:line id="_x0000_s2088" o:spid="_x0000_s2088" o:spt="20" style="position:absolute;left:2491;top:6370;height:1;width:5279;" coordsize="21600,21600">
              <v:path arrowok="t"/>
              <v:fill focussize="0,0"/>
              <v:stroke weight="0pt"/>
              <v:imagedata o:title=""/>
              <o:lock v:ext="edit"/>
            </v:line>
            <v:line id="_x0000_s2089" o:spid="_x0000_s2089" o:spt="20" style="position:absolute;left:2491;top:5890;height:1;width:5279;" coordsize="21600,21600">
              <v:path arrowok="t"/>
              <v:fill focussize="0,0"/>
              <v:stroke weight="0pt"/>
              <v:imagedata o:title=""/>
              <o:lock v:ext="edit"/>
            </v:line>
            <v:line id="_x0000_s2090" o:spid="_x0000_s2090" o:spt="20" style="position:absolute;left:2491;top:5411;height:1;width:5279;" coordsize="21600,21600">
              <v:path arrowok="t"/>
              <v:fill focussize="0,0"/>
              <v:stroke weight="0pt"/>
              <v:imagedata o:title=""/>
              <o:lock v:ext="edit"/>
            </v:line>
            <v:line id="_x0000_s2091" o:spid="_x0000_s2091" o:spt="20" style="position:absolute;left:2491;top:4918;height:1;width:5279;" coordsize="21600,21600">
              <v:path arrowok="t"/>
              <v:fill focussize="0,0"/>
              <v:stroke weight="0pt"/>
              <v:imagedata o:title=""/>
              <o:lock v:ext="edit"/>
            </v:line>
            <v:line id="_x0000_s2092" o:spid="_x0000_s2092" o:spt="20" style="position:absolute;left:2491;top:4439;height:1;width:5279;" coordsize="21600,21600">
              <v:path arrowok="t"/>
              <v:fill focussize="0,0"/>
              <v:stroke weight="0pt"/>
              <v:imagedata o:title=""/>
              <o:lock v:ext="edit"/>
            </v:line>
            <v:line id="_x0000_s2093" o:spid="_x0000_s2093" o:spt="20" style="position:absolute;left:2491;top:3960;height:1;width:5279;" coordsize="21600,21600">
              <v:path arrowok="t"/>
              <v:fill focussize="0,0"/>
              <v:stroke weight="0pt"/>
              <v:imagedata o:title=""/>
              <o:lock v:ext="edit"/>
            </v:line>
            <v:line id="_x0000_s2094" o:spid="_x0000_s2094" o:spt="20" style="position:absolute;left:2491;top:3481;height:1;width:5279;" coordsize="21600,21600">
              <v:path arrowok="t"/>
              <v:fill focussize="0,0"/>
              <v:stroke weight="0pt"/>
              <v:imagedata o:title=""/>
              <o:lock v:ext="edit"/>
            </v:line>
            <v:rect id="_x0000_s2095" o:spid="_x0000_s2095" o:spt="1" style="position:absolute;left:1887;top:2956;height:4456;width:5883;" filled="f" stroked="t" coordsize="21600,21600">
              <v:path/>
              <v:fill on="f" focussize="0,0"/>
              <v:stroke weight="0.00110236220472441pt" color="#808080"/>
              <v:imagedata o:title=""/>
              <o:lock v:ext="edit"/>
            </v:rect>
            <v:rect id="_x0000_s2096" o:spid="_x0000_s2096" o:spt="1" style="position:absolute;left:3053;top:2957;height:4371;width:768;" fillcolor="#9999FF" filled="t" coordsize="21600,21600">
              <v:path/>
              <v:fill on="t" focussize="0,0"/>
              <v:stroke weight="0.00110236220472441pt"/>
              <v:imagedata o:title=""/>
              <o:lock v:ext="edit"/>
            </v:rect>
            <v:rect id="_x0000_s2097" o:spid="_x0000_s2097" o:spt="1" style="position:absolute;left:5700;top:2956;height:4372;width:754;" fillcolor="#9999FF" filled="t" coordsize="21600,21600">
              <v:path/>
              <v:fill on="t" focussize="0,0"/>
              <v:stroke weight="0.00110236220472441pt"/>
              <v:imagedata o:title=""/>
              <o:lock v:ext="edit"/>
            </v:rect>
            <v:rect id="_x0000_s2098" o:spid="_x0000_s2098" o:spt="1" style="position:absolute;left:3824;top:4300;height:3029;width:754;" fillcolor="#FF9900" filled="t" coordsize="21600,21600">
              <v:path/>
              <v:fill on="t" focussize="0,0"/>
              <v:stroke weight="0.00110236220472441pt"/>
              <v:imagedata o:title=""/>
              <o:lock v:ext="edit"/>
              <v:textbox>
                <w:txbxContent>
                  <w:p>
                    <w:r>
                      <w:rPr>
                        <w:rFonts w:hint="eastAsia"/>
                      </w:rPr>
                      <w:t>5328.9</w:t>
                    </w:r>
                  </w:p>
                </w:txbxContent>
              </v:textbox>
            </v:rect>
            <v:rect id="_x0000_s2099" o:spid="_x0000_s2099" o:spt="1" style="position:absolute;left:6454;top:4090;height:3238;width:754;" fillcolor="#FF9900" filled="t" coordsize="21600,21600">
              <v:path/>
              <v:fill on="t" focussize="0,0"/>
              <v:stroke weight="0.00110236220472441pt"/>
              <v:imagedata o:title=""/>
              <o:lock v:ext="edit"/>
              <v:textbox>
                <w:txbxContent>
                  <w:p>
                    <w:r>
                      <w:rPr>
                        <w:rFonts w:hint="eastAsia"/>
                      </w:rPr>
                      <w:t>4401.31</w:t>
                    </w:r>
                  </w:p>
                </w:txbxContent>
              </v:textbox>
            </v:rect>
            <v:line id="_x0000_s2100" o:spid="_x0000_s2100" o:spt="20" style="position:absolute;left:2491;top:3481;height:3847;width:1;" coordsize="21600,21600">
              <v:path arrowok="t"/>
              <v:fill focussize="0,0"/>
              <v:stroke weight="0pt"/>
              <v:imagedata o:title=""/>
              <o:lock v:ext="edit"/>
            </v:line>
            <v:line id="_x0000_s2101" o:spid="_x0000_s2101" o:spt="20" style="position:absolute;left:2491;top:7328;height:1;width:68;" coordsize="21600,21600">
              <v:path arrowok="t"/>
              <v:fill focussize="0,0"/>
              <v:stroke weight="0pt"/>
              <v:imagedata o:title=""/>
              <o:lock v:ext="edit"/>
            </v:line>
            <v:line id="_x0000_s2102" o:spid="_x0000_s2102" o:spt="20" style="position:absolute;left:2491;top:6849;height:1;width:68;" coordsize="21600,21600">
              <v:path arrowok="t"/>
              <v:fill focussize="0,0"/>
              <v:stroke weight="0pt"/>
              <v:imagedata o:title=""/>
              <o:lock v:ext="edit"/>
            </v:line>
            <v:line id="_x0000_s2103" o:spid="_x0000_s2103" o:spt="20" style="position:absolute;left:2491;top:6370;height:1;width:68;" coordsize="21600,21600">
              <v:path arrowok="t"/>
              <v:fill focussize="0,0"/>
              <v:stroke weight="0pt"/>
              <v:imagedata o:title=""/>
              <o:lock v:ext="edit"/>
            </v:line>
            <v:line id="_x0000_s2104" o:spid="_x0000_s2104" o:spt="20" style="position:absolute;left:2491;top:5890;height:1;width:68;" coordsize="21600,21600">
              <v:path arrowok="t"/>
              <v:fill focussize="0,0"/>
              <v:stroke weight="0pt"/>
              <v:imagedata o:title=""/>
              <o:lock v:ext="edit"/>
            </v:line>
            <v:line id="_x0000_s2105" o:spid="_x0000_s2105" o:spt="20" style="position:absolute;left:2491;top:5411;height:1;width:68;" coordsize="21600,21600">
              <v:path arrowok="t"/>
              <v:fill focussize="0,0"/>
              <v:stroke weight="0pt"/>
              <v:imagedata o:title=""/>
              <o:lock v:ext="edit"/>
            </v:line>
            <v:line id="_x0000_s2106" o:spid="_x0000_s2106" o:spt="20" style="position:absolute;left:2491;top:4918;height:1;width:68;" coordsize="21600,21600">
              <v:path arrowok="t"/>
              <v:fill focussize="0,0"/>
              <v:stroke weight="0pt"/>
              <v:imagedata o:title=""/>
              <o:lock v:ext="edit"/>
            </v:line>
            <v:line id="_x0000_s2107" o:spid="_x0000_s2107" o:spt="20" style="position:absolute;left:2491;top:4439;height:1;width:68;" coordsize="21600,21600">
              <v:path arrowok="t"/>
              <v:fill focussize="0,0"/>
              <v:stroke weight="0pt"/>
              <v:imagedata o:title=""/>
              <o:lock v:ext="edit"/>
            </v:line>
            <v:line id="_x0000_s2108" o:spid="_x0000_s2108" o:spt="20" style="position:absolute;left:2491;top:3960;height:1;width:68;" coordsize="21600,21600">
              <v:path arrowok="t"/>
              <v:fill focussize="0,0"/>
              <v:stroke weight="0pt"/>
              <v:imagedata o:title=""/>
              <o:lock v:ext="edit"/>
            </v:line>
            <v:line id="_x0000_s2109" o:spid="_x0000_s2109" o:spt="20" style="position:absolute;left:2491;top:3481;height:1;width:68;" coordsize="21600,21600">
              <v:path arrowok="t"/>
              <v:fill focussize="0,0"/>
              <v:stroke weight="0pt"/>
              <v:imagedata o:title=""/>
              <o:lock v:ext="edit"/>
            </v:line>
            <v:line id="_x0000_s2110" o:spid="_x0000_s2110" o:spt="20" style="position:absolute;left:2491;top:7328;height:1;width:5279;" coordsize="21600,21600">
              <v:path arrowok="t"/>
              <v:fill focussize="0,0"/>
              <v:stroke weight="0pt"/>
              <v:imagedata o:title=""/>
              <o:lock v:ext="edit"/>
            </v:line>
            <v:line id="_x0000_s2111" o:spid="_x0000_s2111" o:spt="20" style="position:absolute;left:2491;top:7260;flip:y;height:68;width:1;" coordsize="21600,21600">
              <v:path arrowok="t"/>
              <v:fill focussize="0,0"/>
              <v:stroke weight="0pt"/>
              <v:imagedata o:title=""/>
              <o:lock v:ext="edit"/>
            </v:line>
            <v:line id="_x0000_s2112" o:spid="_x0000_s2112" o:spt="20" style="position:absolute;left:5137;top:7260;flip:y;height:68;width:1;" coordsize="21600,21600">
              <v:path arrowok="t"/>
              <v:fill focussize="0,0"/>
              <v:stroke weight="0pt"/>
              <v:imagedata o:title=""/>
              <o:lock v:ext="edit"/>
            </v:line>
            <v:line id="_x0000_s2113" o:spid="_x0000_s2113" o:spt="20" style="position:absolute;left:7770;top:7260;flip:y;height:68;width:1;" coordsize="21600,21600">
              <v:path arrowok="t"/>
              <v:fill focussize="0,0"/>
              <v:stroke weight="0pt"/>
              <v:imagedata o:title=""/>
              <o:lock v:ext="edit"/>
            </v:line>
            <v:rect id="_x0000_s2114" o:spid="_x0000_s2114" o:spt="1" style="position:absolute;left:3053;top:3135;height:1165;width:771;mso-wrap-style:none;" filled="f" stroked="f" coordsize="21600,21600">
              <v:path/>
              <v:fill on="f" focussize="0,0"/>
              <v:stroke on="f"/>
              <v:imagedata o:title=""/>
              <o:lock v:ext="edit"/>
              <v:textbox inset="0mm,0mm,0mm,0mm">
                <w:txbxContent>
                  <w:p>
                    <w:r>
                      <w:rPr>
                        <w:rFonts w:hint="eastAsia" w:ascii="宋体" w:cs="宋体"/>
                        <w:color w:val="000000"/>
                        <w:kern w:val="0"/>
                        <w:sz w:val="22"/>
                      </w:rPr>
                      <w:t>5490.91</w:t>
                    </w:r>
                  </w:p>
                </w:txbxContent>
              </v:textbox>
            </v:rect>
            <v:rect id="_x0000_s2115" o:spid="_x0000_s2115" o:spt="1" style="position:absolute;left:5826;top:2956;flip:y;height:525;width:628;" filled="f" stroked="f" coordsize="21600,21600">
              <v:path/>
              <v:fill on="f" focussize="0,0"/>
              <v:stroke on="f"/>
              <v:imagedata o:title=""/>
              <o:lock v:ext="edit"/>
              <v:textbox inset="0mm,0mm,0mm,0mm">
                <w:txbxContent>
                  <w:p>
                    <w:r>
                      <w:rPr>
                        <w:rFonts w:hint="eastAsia" w:ascii="宋体" w:cs="宋体"/>
                        <w:color w:val="000000"/>
                        <w:kern w:val="0"/>
                        <w:sz w:val="22"/>
                      </w:rPr>
                      <w:t>6212.99</w:t>
                    </w:r>
                  </w:p>
                </w:txbxContent>
              </v:textbox>
            </v:rect>
            <v:rect id="_x0000_s2118" o:spid="_x0000_s2118" o:spt="1" style="position:absolute;left:2216;top:7232;height:312;width:111;mso-wrap-style:none;" filled="f" stroked="f" coordsize="21600,21600">
              <v:path/>
              <v:fill on="f" focussize="0,0"/>
              <v:stroke on="f"/>
              <v:imagedata o:title=""/>
              <o:lock v:ext="edit"/>
              <v:textbox inset="0mm,0mm,0mm,0mm" style="mso-fit-shape-to-text:t;">
                <w:txbxContent>
                  <w:p>
                    <w:r>
                      <w:rPr>
                        <w:rFonts w:ascii="宋体" w:cs="宋体"/>
                        <w:color w:val="000000"/>
                        <w:kern w:val="0"/>
                        <w:sz w:val="22"/>
                      </w:rPr>
                      <w:t>0</w:t>
                    </w:r>
                  </w:p>
                </w:txbxContent>
              </v:textbox>
            </v:rect>
            <v:rect id="_x0000_s2119" o:spid="_x0000_s2119" o:spt="1" style="position:absolute;left:1997;top:6753;height:312;width:44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1000</w:t>
                    </w:r>
                  </w:p>
                </w:txbxContent>
              </v:textbox>
            </v:rect>
            <v:rect id="_x0000_s2120" o:spid="_x0000_s2120" o:spt="1" style="position:absolute;left:1997;top:6274;height:312;width:44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16</w:t>
                    </w:r>
                    <w:r>
                      <w:rPr>
                        <w:rFonts w:ascii="宋体" w:cs="宋体"/>
                        <w:color w:val="000000"/>
                        <w:kern w:val="0"/>
                        <w:sz w:val="22"/>
                      </w:rPr>
                      <w:t>00</w:t>
                    </w:r>
                  </w:p>
                </w:txbxContent>
              </v:textbox>
            </v:rect>
            <v:rect id="_x0000_s2121" o:spid="_x0000_s2121" o:spt="1" style="position:absolute;left:1997;top:5795;height:312;width:44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22</w:t>
                    </w:r>
                    <w:r>
                      <w:rPr>
                        <w:rFonts w:ascii="宋体" w:cs="宋体"/>
                        <w:color w:val="000000"/>
                        <w:kern w:val="0"/>
                        <w:sz w:val="22"/>
                      </w:rPr>
                      <w:t>00</w:t>
                    </w:r>
                  </w:p>
                </w:txbxContent>
              </v:textbox>
            </v:rect>
            <v:rect id="_x0000_s2122" o:spid="_x0000_s2122" o:spt="1" style="position:absolute;left:1997;top:5315;height:312;width:44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2800</w:t>
                    </w:r>
                  </w:p>
                </w:txbxContent>
              </v:textbox>
            </v:rect>
            <v:rect id="_x0000_s2123" o:spid="_x0000_s2123" o:spt="1" style="position:absolute;left:1887;top:4823;height:312;width:44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3400</w:t>
                    </w:r>
                  </w:p>
                </w:txbxContent>
              </v:textbox>
            </v:rect>
            <v:rect id="_x0000_s2124" o:spid="_x0000_s2124" o:spt="1" style="position:absolute;left:1887;top:4343;height:312;width:441;mso-wrap-style:none;" filled="f" stroked="f" coordsize="21600,21600">
              <v:path/>
              <v:fill on="f" focussize="0,0"/>
              <v:stroke on="f"/>
              <v:imagedata o:title=""/>
              <o:lock v:ext="edit"/>
              <v:textbox inset="0mm,0mm,0mm,0mm" style="mso-fit-shape-to-text:t;">
                <w:txbxContent>
                  <w:p>
                    <w:r>
                      <w:rPr>
                        <w:rFonts w:ascii="宋体" w:cs="宋体"/>
                        <w:color w:val="000000"/>
                        <w:kern w:val="0"/>
                        <w:sz w:val="22"/>
                      </w:rPr>
                      <w:t>4000</w:t>
                    </w:r>
                  </w:p>
                </w:txbxContent>
              </v:textbox>
            </v:rect>
            <v:rect id="_x0000_s2125" o:spid="_x0000_s2125" o:spt="1" style="position:absolute;left:1887;top:3864;height:312;width:44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4600</w:t>
                    </w:r>
                  </w:p>
                </w:txbxContent>
              </v:textbox>
            </v:rect>
            <v:rect id="_x0000_s2126" o:spid="_x0000_s2126" o:spt="1" style="position:absolute;left:1887;top:3385;height:312;width:441;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5200</w:t>
                    </w:r>
                  </w:p>
                </w:txbxContent>
              </v:textbox>
            </v:rect>
            <v:rect id="_x0000_s2127" o:spid="_x0000_s2127" o:spt="1" style="position:absolute;left:3478;top:7520;height:312;width:716;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2018年</w:t>
                    </w:r>
                  </w:p>
                </w:txbxContent>
              </v:textbox>
            </v:rect>
            <v:rect id="_x0000_s2128" o:spid="_x0000_s2128" o:spt="1" style="position:absolute;left:6125;top:7520;height:312;width:716;mso-wrap-style:none;" filled="f" stroked="f" coordsize="21600,21600">
              <v:path/>
              <v:fill on="f" focussize="0,0"/>
              <v:stroke on="f"/>
              <v:imagedata o:title=""/>
              <o:lock v:ext="edit"/>
              <v:textbox inset="0mm,0mm,0mm,0mm" style="mso-fit-shape-to-text:t;">
                <w:txbxContent>
                  <w:p>
                    <w:r>
                      <w:rPr>
                        <w:rFonts w:hint="eastAsia" w:ascii="宋体" w:cs="宋体"/>
                        <w:color w:val="000000"/>
                        <w:kern w:val="0"/>
                        <w:sz w:val="22"/>
                      </w:rPr>
                      <w:t>2017年</w:t>
                    </w:r>
                  </w:p>
                </w:txbxContent>
              </v:textbox>
            </v:rect>
            <v:rect id="_x0000_s2129" o:spid="_x0000_s2129" o:spt="1" style="position:absolute;left:7921;top:5151;height:507;width:2578;" stroked="f" coordsize="21600,21600">
              <v:path/>
              <v:fill focussize="0,0"/>
              <v:stroke on="f"/>
              <v:imagedata o:title=""/>
              <o:lock v:ext="edit"/>
            </v:rect>
            <v:rect id="_x0000_s2130" o:spid="_x0000_s2130" o:spt="1" style="position:absolute;left:7990;top:5247;height:96;width:96;" fillcolor="#9999FF" filled="t" coordsize="21600,21600">
              <v:path/>
              <v:fill on="t" focussize="0,0"/>
              <v:stroke weight="0.00110236220472441pt"/>
              <v:imagedata o:title=""/>
              <o:lock v:ext="edit"/>
            </v:rect>
            <v:rect id="_x0000_s2131" o:spid="_x0000_s2131" o:spt="1" style="position:absolute;left:8141;top:5206;height:312;width:1441;mso-wrap-style:none;"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18"/>
                        <w:szCs w:val="18"/>
                      </w:rPr>
                      <w:t>财政拨款本年支出</w:t>
                    </w:r>
                  </w:p>
                </w:txbxContent>
              </v:textbox>
            </v:rect>
            <v:rect id="_x0000_s2132" o:spid="_x0000_s2132" o:spt="1" style="position:absolute;left:7990;top:5493;height:96;width:96;" fillcolor="#FF9900" filled="t" coordsize="21600,21600">
              <v:path/>
              <v:fill on="t" focussize="0,0"/>
              <v:stroke weight="0.00110236220472441pt"/>
              <v:imagedata o:title=""/>
              <o:lock v:ext="edit"/>
            </v:rect>
            <v:rect id="_x0000_s2133" o:spid="_x0000_s2133" o:spt="1" style="position:absolute;left:8141;top:5452;height:312;width:2161;mso-wrap-style:none;" filled="f" stroked="f" coordsize="21600,21600">
              <v:path/>
              <v:fill on="f" focussize="0,0"/>
              <v:stroke on="f"/>
              <v:imagedata o:title=""/>
              <o:lock v:ext="edit"/>
              <v:textbox inset="0mm,0mm,0mm,0mm" style="mso-fit-shape-to-text:t;">
                <w:txbxContent>
                  <w:p>
                    <w:r>
                      <w:rPr>
                        <w:rFonts w:hint="eastAsia" w:ascii="仿宋" w:eastAsia="仿宋" w:cs="仿宋"/>
                        <w:color w:val="000000"/>
                        <w:kern w:val="0"/>
                        <w:sz w:val="18"/>
                        <w:szCs w:val="18"/>
                      </w:rPr>
                      <w:t>一般公共预算财政拨款支出</w:t>
                    </w:r>
                  </w:p>
                </w:txbxContent>
              </v:textbox>
            </v:rect>
            <v:rect id="_x0000_s2134" o:spid="_x0000_s2134" o:spt="1" style="position:absolute;left:1723;top:2957;height:4724;width:8804;" filled="f" coordsize="21600,21600">
              <v:path/>
              <v:fill on="f" focussize="0,0"/>
              <v:stroke weight="0.00110236220472441pt"/>
              <v:imagedata o:title=""/>
              <o:lock v:ext="edit"/>
            </v:rect>
          </v:group>
        </w:pict>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(二)一般公共预算财政拨款支出决算结构情况</w:t>
      </w:r>
    </w:p>
    <w:p>
      <w:pPr>
        <w:spacing w:line="600" w:lineRule="exact"/>
        <w:ind w:firstLine="560" w:firstLineChars="200"/>
        <w:rPr>
          <w:rFonts w:hint="eastAsia" w:ascii="仿宋" w:hAnsi="仿宋" w:eastAsia="仿宋"/>
          <w:color w:val="000000"/>
          <w:sz w:val="28"/>
          <w:szCs w:val="32"/>
        </w:rPr>
      </w:pPr>
      <w:r>
        <w:rPr>
          <w:rFonts w:hint="eastAsia" w:ascii="仿宋" w:hAnsi="仿宋" w:eastAsia="仿宋"/>
          <w:color w:val="000000"/>
          <w:sz w:val="28"/>
          <w:szCs w:val="32"/>
        </w:rPr>
        <w:t>黄湾镇政府2018年一般公共预算财政拨款支出5328.9万元，</w:t>
      </w:r>
      <w:r>
        <w:rPr>
          <w:rFonts w:hint="eastAsia" w:ascii="仿宋" w:hAnsi="仿宋" w:eastAsia="仿宋"/>
          <w:color w:val="000000"/>
          <w:sz w:val="32"/>
          <w:szCs w:val="32"/>
        </w:rPr>
        <w:t>主</w:t>
      </w:r>
      <w:r>
        <w:rPr>
          <w:rFonts w:hint="eastAsia" w:ascii="仿宋" w:hAnsi="仿宋" w:eastAsia="仿宋"/>
          <w:color w:val="000000"/>
          <w:sz w:val="28"/>
          <w:szCs w:val="32"/>
        </w:rPr>
        <w:t>要用于以下方面:一般公共服务支出620.94万元，占11.65%；文化与传媒支出101.1万元，占1.8%;教育支出0元，占0%；社会保障和就业支出71.1万元，占1.3%；医疗卫生支出18.05万元，占0.003%；住房保障支出43.63万元，占0.06%；农林水支出516.17万元，占9.7%；商业服务业等支出0万元，占0%；城镇社区支出3948.86万元，占74.18%；节能环保支出0万元，占 0%；国土海洋气象等支出6.84，占0.001%。</w:t>
      </w:r>
    </w:p>
    <w:p>
      <w:pPr>
        <w:spacing w:line="600" w:lineRule="exact"/>
        <w:ind w:firstLine="560" w:firstLineChars="200"/>
        <w:rPr>
          <w:rFonts w:hint="eastAsia" w:ascii="仿宋" w:hAnsi="仿宋" w:eastAsia="仿宋"/>
          <w:color w:val="000000"/>
          <w:sz w:val="28"/>
          <w:szCs w:val="32"/>
        </w:rPr>
      </w:pPr>
      <w:r>
        <w:rPr>
          <w:rFonts w:hint="eastAsia" w:ascii="仿宋" w:hAnsi="仿宋" w:eastAsia="仿宋"/>
          <w:color w:val="000000"/>
          <w:sz w:val="28"/>
          <w:szCs w:val="32"/>
        </w:rPr>
        <w:pict>
          <v:group id="_x0000_s2222" o:spid="_x0000_s2222" o:spt="203" style="position:absolute;left:0pt;margin-left:-40.9pt;margin-top:19.95pt;height:408.95pt;width:663.25pt;z-index:251668480;mso-width-relative:page;mso-height-relative:page;" coordorigin="321,3344" coordsize="13265,8179" editas="canvas">
            <o:lock v:ext="edit" aspectratio="f"/>
            <v:shape id="_x0000_s2223" o:spid="_x0000_s2223" o:spt="75" type="#_x0000_t75" style="position:absolute;left:321;top:3344;height:8179;width:13265;" filled="f" stroked="f" coordsize="21600,21600">
              <v:path/>
              <v:fill on="f" focussize="0,0"/>
              <v:stroke on="f"/>
              <v:imagedata o:title=""/>
              <o:lock v:ext="edit" text="t" aspectratio="t"/>
            </v:shape>
            <v:shape id="_x0000_s2224" o:spid="_x0000_s2224" style="position:absolute;left:5101;top:6492;height:2422;width:1307;" fillcolor="#9999FF" filled="t" stroked="t" coordsize="80,142" path="m50,142hdc69,126,80,104,80,80c80,36,44,1,0,1c0,0,0,1,0,1hal0,80,50,142hdxe">
              <v:path arrowok="t"/>
              <v:fill on="t" color2="#FFFFFF" focussize="0,0"/>
              <v:stroke weight="0.00149606299212598pt" color="#000000"/>
              <v:imagedata o:title=""/>
              <o:lock v:ext="edit" aspectratio="f"/>
            </v:shape>
            <v:shape id="_x0000_s2225" o:spid="_x0000_s2225" style="position:absolute;left:4957;top:7821;height:1093;width:955;" fillcolor="#993366" filled="t" stroked="t" coordsize="50,65" path="m45,65hdc47,64,49,63,50,62hal0,0,45,65hdxe">
              <v:path arrowok="t"/>
              <v:fill on="t" color2="#FFFFFF" focussize="0,0"/>
              <v:stroke weight="0.00149606299212598pt" color="#000000"/>
              <v:imagedata o:title=""/>
              <o:lock v:ext="edit" aspectratio="f"/>
            </v:shape>
            <v:shape id="_x0000_s2226" o:spid="_x0000_s2226" style="position:absolute;left:3904;top:7838;height:1346;width:1909;" fillcolor="#FFFFCC" filled="t" stroked="t" coordsize="100,80" path="m0,58hdc15,72,35,80,55,80c71,79,87,75,100,65hal55,0,0,58hdxe">
              <v:path arrowok="t"/>
              <v:fill on="t" color2="#FFFFFF" focussize="0,0"/>
              <v:stroke weight="0.00149606299212598pt" color="#000000"/>
              <v:imagedata o:title=""/>
              <o:lock v:ext="edit" aspectratio="f"/>
            </v:shape>
            <v:shape id="_x0000_s2227" o:spid="_x0000_s2227" style="position:absolute;left:3678;top:7821;height:976;width:1279;" fillcolor="#CCFFFF" filled="t" stroked="t" coordsize="67,58" path="m0,43hdc3,48,8,53,12,58hal67,0,0,43hdxe">
              <v:path arrowok="t"/>
              <v:fill on="t" color2="#FFFFFF" focussize="0,0"/>
              <v:stroke weight="0.00149606299212598pt" color="#000000"/>
              <v:imagedata o:title=""/>
              <o:lock v:ext="edit" aspectratio="f"/>
            </v:shape>
            <v:shape id="_x0000_s2228" o:spid="_x0000_s2228" style="position:absolute;left:3487;top:7821;height:723;width:1470;" fillcolor="#660066" filled="t" stroked="t" coordsize="77,43" path="m0,22hdc3,29,6,36,10,43hal77,0,0,22hdxe">
              <v:path arrowok="t"/>
              <v:fill on="t" color2="#FFFFFF" focussize="0,0"/>
              <v:stroke weight="0.00149606299212598pt" color="#000000"/>
              <v:imagedata o:title=""/>
              <o:lock v:ext="edit" aspectratio="f"/>
            </v:shape>
            <v:shape id="_x0000_s2229" o:spid="_x0000_s2229" style="position:absolute;left:3430;top:6468;height:1699;width:1527;" fillcolor="#FF8080" filled="t" stroked="t" coordsize="80,101" path="m69,0hdc30,5,1,39,1,79c0,86,1,94,3,101hal80,79,69,0hdxe">
              <v:path arrowok="t"/>
              <v:fill on="t" color2="#FFFFFF" focussize="0,0"/>
              <v:stroke weight="0.00149606299212598pt" color="#000000"/>
              <v:imagedata o:title=""/>
              <o:lock v:ext="edit" aspectratio="f"/>
            </v:shape>
            <v:shape id="_x0000_s2230" o:spid="_x0000_s2230" style="position:absolute;left:4659;top:6468;height:1329;width:397;" fillcolor="#0066CC" filled="t" stroked="t" coordsize="11,79" path="m7,0hdc4,0,2,0,0,0hal11,79,7,0hdxe">
              <v:path arrowok="t"/>
              <v:fill on="t" color2="#FFFFFF" focussize="0,0"/>
              <v:stroke weight="0.00149606299212598pt" color="#000000"/>
              <v:imagedata o:title=""/>
              <o:lock v:ext="edit" aspectratio="f"/>
            </v:shape>
            <v:rect id="_x0000_s2231" o:spid="_x0000_s2231" o:spt="1" style="position:absolute;left:4098;top:4112;height:600;width:4438;" filled="f" stroked="f" coordsize="21600,21600">
              <v:path/>
              <v:fill on="f" focussize="0,0"/>
              <v:stroke on="f"/>
              <v:imagedata o:title=""/>
              <o:lock v:ext="edit" aspectratio="f"/>
              <v:textbox inset="0mm,0mm,0mm,0mm">
                <w:txbxContent>
                  <w:p>
                    <w:r>
                      <w:rPr>
                        <w:rFonts w:hint="eastAsia" w:ascii="仿宋" w:eastAsia="仿宋" w:cs="仿宋"/>
                        <w:b/>
                        <w:bCs/>
                        <w:color w:val="000000"/>
                        <w:kern w:val="0"/>
                        <w:sz w:val="26"/>
                        <w:szCs w:val="26"/>
                      </w:rPr>
                      <w:t>２０１8年一般公共预算财政拨款支出</w:t>
                    </w:r>
                  </w:p>
                </w:txbxContent>
              </v:textbox>
            </v:rect>
            <v:shape id="_x0000_s2232" o:spid="_x0000_s2232" style="position:absolute;left:6408;top:7165;height:219;width:286;" filled="f" stroked="t" coordsize="15,13" path="m15,0l10,0,0,13e">
              <v:path arrowok="t"/>
              <v:fill on="f" focussize="0,0"/>
              <v:stroke weight="0pt" color="#000000"/>
              <v:imagedata o:title=""/>
              <o:lock v:ext="edit" aspectratio="f"/>
            </v:shape>
            <v:shape id="_x0000_s2233" o:spid="_x0000_s2233" style="position:absolute;left:5892;top:8914;height:320;width:420;" filled="f" stroked="t" coordsize="22,19" path="m22,19l17,19,0,0e">
              <v:path arrowok="t"/>
              <v:fill on="f" focussize="0,0"/>
              <v:stroke weight="0pt" color="#000000"/>
              <v:imagedata o:title=""/>
              <o:lock v:ext="edit" aspectratio="f"/>
            </v:shape>
            <v:shape id="_x0000_s2234" o:spid="_x0000_s2234" style="position:absolute;left:4633;top:9184;height:252;width:229;" filled="f" stroked="t" coordsize="12,15" path="m0,15l0,10,12,0e">
              <v:path arrowok="t"/>
              <v:fill on="f" focussize="0,0"/>
              <v:stroke weight="0pt" color="#000000"/>
              <v:imagedata o:title=""/>
              <o:lock v:ext="edit" aspectratio="f"/>
            </v:shape>
            <v:shape id="_x0000_s2235" o:spid="_x0000_s2235" style="position:absolute;left:3277;top:8696;height:370;width:535;" filled="f" stroked="t" coordsize="28,22" path="m0,22l5,22,28,0e">
              <v:path arrowok="t"/>
              <v:fill on="f" focussize="0,0"/>
              <v:stroke weight="0pt" color="#000000"/>
              <v:imagedata o:title=""/>
              <o:lock v:ext="edit" aspectratio="f"/>
            </v:shape>
            <v:shape id="_x0000_s2236" o:spid="_x0000_s2236" style="position:absolute;left:3163;top:8393;height:17;width:420;" filled="f" stroked="t" coordsize="22,1" path="m0,0l5,0,22,1e">
              <v:path arrowok="t"/>
              <v:fill on="f" focussize="0,0"/>
              <v:stroke weight="0pt" color="#000000"/>
              <v:imagedata o:title=""/>
              <o:lock v:ext="edit" aspectratio="f"/>
            </v:shape>
            <v:shape id="_x0000_s2237" o:spid="_x0000_s2237" style="position:absolute;left:3373;top:6896;height:202;width:324;" filled="f" stroked="t" coordsize="17,12" path="m0,0l5,0,17,12e">
              <v:path arrowok="t"/>
              <v:fill on="f" focussize="0,0"/>
              <v:stroke weight="0pt" color="#000000"/>
              <v:imagedata o:title=""/>
              <o:lock v:ext="edit" aspectratio="f"/>
            </v:shape>
            <v:shape id="_x0000_s2238" o:spid="_x0000_s2238" style="position:absolute;left:4652;top:6122;height:370;width:191;" filled="f" stroked="t" coordsize="10,22" path="m0,0l5,0,10,22e">
              <v:path arrowok="t"/>
              <v:fill on="f" focussize="0,0"/>
              <v:stroke weight="0pt" color="#000000"/>
              <v:imagedata o:title=""/>
              <o:lock v:ext="edit" aspectratio="f"/>
            </v:shape>
            <v:shape id="_x0000_s2239" o:spid="_x0000_s2239" style="position:absolute;left:4919;top:5701;height:791;width:439;" filled="f" stroked="t" coordsize="23,47" path="m23,0l23,5,0,47e">
              <v:path arrowok="t"/>
              <v:fill on="f" focussize="0,0"/>
              <v:stroke weight="0pt" color="#000000"/>
              <v:imagedata o:title=""/>
              <o:lock v:ext="edit" aspectratio="f"/>
            </v:shape>
            <v:rect id="_x0000_s2240" o:spid="_x0000_s2240" o:spt="1" style="position:absolute;left:2208;top:6677;height:312;width:1001;" filled="f" stroked="f" coordsize="21600,21600">
              <v:path/>
              <v:fill on="f" focussize="0,0"/>
              <v:stroke on="f"/>
              <v:imagedata o:title=""/>
              <o:lock v:ext="edit" aspectratio="f"/>
              <v:textbox inset="0mm,0mm,0mm,0mm" style="mso-fit-shape-to-text:t;">
                <w:txbxContent>
                  <w:p>
                    <w:r>
                      <w:rPr>
                        <w:rFonts w:hint="eastAsia" w:ascii="仿宋" w:eastAsia="仿宋" w:cs="仿宋"/>
                        <w:color w:val="000000"/>
                        <w:kern w:val="0"/>
                        <w:sz w:val="20"/>
                        <w:szCs w:val="20"/>
                      </w:rPr>
                      <w:t>农林水支出</w:t>
                    </w:r>
                  </w:p>
                </w:txbxContent>
              </v:textbox>
            </v:rect>
            <v:rect id="_x0000_s2241" o:spid="_x0000_s2241" o:spt="1" style="position:absolute;left:2609;top:6929;height:624;width:568;" filled="f" stroked="f" coordsize="21600,21600">
              <v:path/>
              <v:fill on="f" focussize="0,0"/>
              <v:stroke on="f"/>
              <v:imagedata o:title=""/>
              <o:lock v:ext="edit" aspectratio="f"/>
              <v:textbox inset="0mm,0mm,0mm,0mm" style="mso-fit-shape-to-text:t;">
                <w:txbxContent>
                  <w:p>
                    <w:r>
                      <w:rPr>
                        <w:rFonts w:hint="eastAsia" w:ascii="仿宋" w:eastAsia="仿宋" w:cs="仿宋"/>
                        <w:color w:val="000000"/>
                        <w:kern w:val="0"/>
                        <w:sz w:val="20"/>
                        <w:szCs w:val="20"/>
                      </w:rPr>
                      <w:t>21.54</w:t>
                    </w:r>
                    <w:r>
                      <w:rPr>
                        <w:rFonts w:ascii="仿宋" w:eastAsia="仿宋" w:cs="仿宋"/>
                        <w:color w:val="000000"/>
                        <w:kern w:val="0"/>
                        <w:sz w:val="20"/>
                        <w:szCs w:val="20"/>
                      </w:rPr>
                      <w:t>%</w:t>
                    </w:r>
                  </w:p>
                </w:txbxContent>
              </v:textbox>
            </v:rect>
            <v:rect id="_x0000_s2242" o:spid="_x0000_s2242" o:spt="1" style="position:absolute;left:2571;top:5903;height:312;width:1801;" filled="f" stroked="f" coordsize="21600,21600">
              <v:path/>
              <v:fill on="f" focussize="0,0"/>
              <v:stroke on="f"/>
              <v:imagedata o:title=""/>
              <o:lock v:ext="edit" aspectratio="f"/>
              <v:textbox inset="0mm,0mm,0mm,0mm" style="mso-fit-shape-to-text:t;">
                <w:txbxContent>
                  <w:p>
                    <w:r>
                      <w:rPr>
                        <w:rFonts w:hint="eastAsia" w:ascii="仿宋" w:eastAsia="仿宋" w:cs="仿宋"/>
                        <w:color w:val="000000"/>
                        <w:kern w:val="0"/>
                        <w:sz w:val="20"/>
                        <w:szCs w:val="20"/>
                      </w:rPr>
                      <w:t>国土海洋气象等支出</w:t>
                    </w:r>
                  </w:p>
                </w:txbxContent>
              </v:textbox>
            </v:rect>
            <v:rect id="_x0000_s2243" o:spid="_x0000_s2243" o:spt="1" style="position:absolute;left:3487;top:6156;height:312;width:952;" filled="f" stroked="f" coordsize="21600,21600">
              <v:path/>
              <v:fill on="f" focussize="0,0"/>
              <v:stroke on="f"/>
              <v:imagedata o:title=""/>
              <o:lock v:ext="edit" aspectratio="f"/>
              <v:textbox inset="0mm,0mm,0mm,0mm" style="mso-fit-shape-to-text:t;">
                <w:txbxContent>
                  <w:p>
                    <w:r>
                      <w:rPr>
                        <w:rFonts w:hint="eastAsia" w:ascii="仿宋" w:eastAsia="仿宋" w:cs="仿宋"/>
                        <w:color w:val="000000"/>
                        <w:kern w:val="0"/>
                        <w:sz w:val="20"/>
                        <w:szCs w:val="20"/>
                      </w:rPr>
                      <w:t>2.7%</w:t>
                    </w:r>
                  </w:p>
                </w:txbxContent>
              </v:textbox>
            </v:rect>
            <v:rect id="_x0000_s2244" o:spid="_x0000_s2244" o:spt="1" style="position:absolute;left:4900;top:5214;height:312;width:2990;" filled="f" stroked="f" coordsize="21600,21600">
              <v:path/>
              <v:fill on="f" focussize="0,0"/>
              <v:stroke on="f"/>
              <v:imagedata o:title=""/>
              <o:lock v:ext="edit" aspectratio="f"/>
              <v:textbox inset="0mm,0mm,0mm,0mm" style="mso-fit-shape-to-text:t;">
                <w:txbxContent>
                  <w:p>
                    <w:r>
                      <w:rPr>
                        <w:rFonts w:hint="eastAsia" w:ascii="仿宋" w:eastAsia="仿宋" w:cs="仿宋"/>
                        <w:color w:val="000000"/>
                        <w:kern w:val="0"/>
                        <w:sz w:val="20"/>
                        <w:szCs w:val="20"/>
                      </w:rPr>
                      <w:t>国土与海洋等支出</w:t>
                    </w:r>
                  </w:p>
                </w:txbxContent>
              </v:textbox>
            </v:rect>
            <v:rect id="_x0000_s2245" o:spid="_x0000_s2245" o:spt="1" style="position:absolute;left:5243;top:5466;height:312;width:669;" filled="f" stroked="f" coordsize="21600,21600">
              <v:path/>
              <v:fill on="f" focussize="0,0"/>
              <v:stroke on="f"/>
              <v:imagedata o:title=""/>
              <o:lock v:ext="edit" aspectratio="f"/>
              <v:textbox inset="0mm,0mm,0mm,0mm" style="mso-fit-shape-to-text:t;">
                <w:txbxContent>
                  <w:p>
                    <w:r>
                      <w:rPr>
                        <w:rFonts w:hint="eastAsia" w:ascii="仿宋" w:eastAsia="仿宋" w:cs="仿宋"/>
                        <w:color w:val="000000"/>
                        <w:kern w:val="0"/>
                        <w:sz w:val="20"/>
                        <w:szCs w:val="20"/>
                      </w:rPr>
                      <w:t>0.001</w:t>
                    </w:r>
                    <w:r>
                      <w:rPr>
                        <w:rFonts w:ascii="仿宋" w:eastAsia="仿宋" w:cs="仿宋"/>
                        <w:color w:val="000000"/>
                        <w:kern w:val="0"/>
                        <w:sz w:val="20"/>
                        <w:szCs w:val="20"/>
                      </w:rPr>
                      <w:t>%</w:t>
                    </w:r>
                  </w:p>
                </w:txbxContent>
              </v:textbox>
            </v:rect>
            <v:rect id="_x0000_s2246" o:spid="_x0000_s2246" o:spt="1" style="position:absolute;left:6351;top:9015;height:312;width:801;" filled="f" stroked="f" coordsize="21600,21600">
              <v:path/>
              <v:fill on="f" focussize="0,0"/>
              <v:stroke on="f"/>
              <v:imagedata o:title=""/>
              <o:lock v:ext="edit" aspectratio="f"/>
              <v:textbox inset="0mm,0mm,0mm,0mm" style="mso-fit-shape-to-text:t;">
                <w:txbxContent>
                  <w:p/>
                </w:txbxContent>
              </v:textbox>
            </v:rect>
            <v:rect id="_x0000_s2247" o:spid="_x0000_s2247" o:spt="1" style="position:absolute;left:6694;top:9268;height:624;width:876;" filled="f" stroked="f" coordsize="21600,21600">
              <v:path/>
              <v:fill on="f" focussize="0,0"/>
              <v:stroke on="f"/>
              <v:imagedata o:title=""/>
              <o:lock v:ext="edit" aspectratio="f"/>
              <v:textbox inset="0mm,0mm,0mm,0mm" style="mso-fit-shape-to-text:t;">
                <w:txbxContent>
                  <w:p>
                    <w:r>
                      <w:rPr>
                        <w:rFonts w:hint="eastAsia" w:ascii="仿宋" w:eastAsia="仿宋" w:cs="仿宋"/>
                        <w:color w:val="000000"/>
                        <w:kern w:val="0"/>
                        <w:sz w:val="20"/>
                        <w:szCs w:val="20"/>
                      </w:rPr>
                      <w:t>住房保障0.06</w:t>
                    </w:r>
                    <w:r>
                      <w:rPr>
                        <w:rFonts w:ascii="仿宋" w:eastAsia="仿宋" w:cs="仿宋"/>
                        <w:color w:val="000000"/>
                        <w:kern w:val="0"/>
                        <w:sz w:val="20"/>
                        <w:szCs w:val="20"/>
                      </w:rPr>
                      <w:t>%</w:t>
                    </w:r>
                  </w:p>
                </w:txbxContent>
              </v:textbox>
            </v:rect>
            <v:rect id="_x0000_s2248" o:spid="_x0000_s2248" o:spt="1" style="position:absolute;left:6732;top:6946;height:624;width:1601;" filled="f" stroked="f" coordsize="21600,21600">
              <v:path/>
              <v:fill on="f" focussize="0,0"/>
              <v:stroke on="f"/>
              <v:imagedata o:title=""/>
              <o:lock v:ext="edit" aspectratio="f"/>
              <v:textbox inset="0mm,0mm,0mm,0mm" style="mso-fit-shape-to-text:t;">
                <w:txbxContent>
                  <w:p>
                    <w:r>
                      <w:rPr>
                        <w:rFonts w:hint="eastAsia" w:ascii="仿宋" w:eastAsia="仿宋" w:cs="仿宋"/>
                        <w:color w:val="000000"/>
                        <w:kern w:val="0"/>
                        <w:sz w:val="20"/>
                        <w:szCs w:val="20"/>
                      </w:rPr>
                      <w:t>城镇社区支出</w:t>
                    </w:r>
                  </w:p>
                  <w:p/>
                </w:txbxContent>
              </v:textbox>
            </v:rect>
            <v:rect id="_x0000_s2249" o:spid="_x0000_s2249" o:spt="1" style="position:absolute;left:7477;top:7199;height:312;width:1153;" filled="f" stroked="f" coordsize="21600,21600">
              <v:path/>
              <v:fill on="f" focussize="0,0"/>
              <v:stroke on="f"/>
              <v:imagedata o:title=""/>
              <o:lock v:ext="edit" aspectratio="f"/>
              <v:textbox inset="0mm,0mm,0mm,0mm" style="mso-fit-shape-to-text:t;">
                <w:txbxContent>
                  <w:p>
                    <w:r>
                      <w:rPr>
                        <w:rFonts w:hint="eastAsia" w:ascii="仿宋" w:eastAsia="仿宋" w:cs="仿宋"/>
                        <w:color w:val="000000"/>
                        <w:kern w:val="0"/>
                        <w:sz w:val="20"/>
                        <w:szCs w:val="20"/>
                      </w:rPr>
                      <w:t>74.18</w:t>
                    </w:r>
                    <w:r>
                      <w:rPr>
                        <w:rFonts w:ascii="仿宋" w:eastAsia="仿宋" w:cs="仿宋"/>
                        <w:color w:val="000000"/>
                        <w:kern w:val="0"/>
                        <w:sz w:val="20"/>
                        <w:szCs w:val="20"/>
                      </w:rPr>
                      <w:t>%</w:t>
                    </w:r>
                  </w:p>
                </w:txbxContent>
              </v:textbox>
            </v:rect>
            <v:rect id="_x0000_s2250" o:spid="_x0000_s2250" o:spt="1" style="position:absolute;left:3602;top:9503;height:312;width:1801;" filled="f" stroked="f" coordsize="21600,21600">
              <v:path/>
              <v:fill on="f" focussize="0,0"/>
              <v:stroke on="f"/>
              <v:imagedata o:title=""/>
              <o:lock v:ext="edit" aspectratio="f"/>
              <v:textbox inset="0mm,0mm,0mm,0mm" style="mso-fit-shape-to-text:t;">
                <w:txbxContent>
                  <w:p>
                    <w:r>
                      <w:rPr>
                        <w:rFonts w:hint="eastAsia" w:ascii="仿宋" w:eastAsia="仿宋" w:cs="仿宋"/>
                        <w:color w:val="000000"/>
                        <w:kern w:val="0"/>
                        <w:sz w:val="20"/>
                        <w:szCs w:val="20"/>
                      </w:rPr>
                      <w:t>一般公共服务支出</w:t>
                    </w:r>
                  </w:p>
                </w:txbxContent>
              </v:textbox>
            </v:rect>
            <v:rect id="_x0000_s2251" o:spid="_x0000_s2251" o:spt="1" style="position:absolute;left:4461;top:9756;height:312;width:1078;" filled="f" stroked="f" coordsize="21600,21600">
              <v:path/>
              <v:fill on="f" focussize="0,0"/>
              <v:stroke on="f"/>
              <v:imagedata o:title=""/>
              <o:lock v:ext="edit" aspectratio="f"/>
              <v:textbox inset="0mm,0mm,0mm,0mm" style="mso-fit-shape-to-text:t;">
                <w:txbxContent>
                  <w:p>
                    <w:r>
                      <w:rPr>
                        <w:rFonts w:hint="eastAsia" w:ascii="仿宋" w:eastAsia="仿宋" w:cs="仿宋"/>
                        <w:color w:val="000000"/>
                        <w:kern w:val="0"/>
                        <w:sz w:val="20"/>
                        <w:szCs w:val="20"/>
                      </w:rPr>
                      <w:t>11.65</w:t>
                    </w:r>
                    <w:r>
                      <w:rPr>
                        <w:rFonts w:ascii="仿宋" w:eastAsia="仿宋" w:cs="仿宋"/>
                        <w:color w:val="000000"/>
                        <w:kern w:val="0"/>
                        <w:sz w:val="20"/>
                        <w:szCs w:val="20"/>
                      </w:rPr>
                      <w:t>%</w:t>
                    </w:r>
                  </w:p>
                </w:txbxContent>
              </v:textbox>
            </v:rect>
            <v:rect id="_x0000_s2252" o:spid="_x0000_s2252" o:spt="1" style="position:absolute;left:1769;top:8174;height:312;width:1201;" filled="f" stroked="f" coordsize="21600,21600">
              <v:path/>
              <v:fill on="f" focussize="0,0"/>
              <v:stroke on="f"/>
              <v:imagedata o:title=""/>
              <o:lock v:ext="edit" aspectratio="f"/>
              <v:textbox inset="0mm,0mm,0mm,0mm" style="mso-fit-shape-to-text:t;">
                <w:txbxContent>
                  <w:p>
                    <w:r>
                      <w:rPr>
                        <w:rFonts w:hint="eastAsia" w:ascii="仿宋" w:eastAsia="仿宋" w:cs="仿宋"/>
                        <w:color w:val="000000"/>
                        <w:kern w:val="0"/>
                        <w:sz w:val="20"/>
                        <w:szCs w:val="20"/>
                      </w:rPr>
                      <w:t>社会保障支出</w:t>
                    </w:r>
                  </w:p>
                </w:txbxContent>
              </v:textbox>
            </v:rect>
            <v:rect id="_x0000_s2253" o:spid="_x0000_s2253" o:spt="1" style="position:absolute;left:2342;top:8476;height:312;width:1088;" filled="f" stroked="f" coordsize="21600,21600">
              <v:path/>
              <v:fill on="f" focussize="0,0"/>
              <v:stroke on="f"/>
              <v:imagedata o:title=""/>
              <o:lock v:ext="edit" aspectratio="f"/>
              <v:textbox inset="0mm,0mm,0mm,0mm" style="mso-fit-shape-to-text:t;">
                <w:txbxContent>
                  <w:p>
                    <w:r>
                      <w:rPr>
                        <w:rFonts w:hint="eastAsia" w:ascii="仿宋" w:eastAsia="仿宋" w:cs="仿宋"/>
                        <w:color w:val="000000"/>
                        <w:kern w:val="0"/>
                        <w:sz w:val="20"/>
                        <w:szCs w:val="20"/>
                      </w:rPr>
                      <w:t>1.3</w:t>
                    </w:r>
                  </w:p>
                </w:txbxContent>
              </v:textbox>
            </v:rect>
            <v:rect id="_x0000_s2254" o:spid="_x0000_s2254" o:spt="1" style="position:absolute;left:1884;top:8847;height:624;width:1201;" filled="f" stroked="f" coordsize="21600,21600">
              <v:path/>
              <v:fill on="f" focussize="0,0"/>
              <v:stroke on="f"/>
              <v:imagedata o:title=""/>
              <o:lock v:ext="edit" aspectratio="f"/>
              <v:textbox inset="0mm,0mm,0mm,0mm" style="mso-fit-shape-to-text:t;">
                <w:txbxContent>
                  <w:p>
                    <w:r>
                      <w:rPr>
                        <w:rFonts w:hint="eastAsia" w:ascii="仿宋" w:eastAsia="仿宋" w:cs="仿宋"/>
                        <w:color w:val="000000"/>
                        <w:kern w:val="0"/>
                        <w:sz w:val="20"/>
                        <w:szCs w:val="20"/>
                      </w:rPr>
                      <w:t>文化与传媒支出</w:t>
                    </w:r>
                  </w:p>
                </w:txbxContent>
              </v:textbox>
            </v:rect>
            <v:rect id="_x0000_s2255" o:spid="_x0000_s2255" o:spt="1" style="position:absolute;left:2456;top:9100;height:624;width:201;" filled="f" stroked="f" coordsize="21600,21600">
              <v:path/>
              <v:fill on="f" focussize="0,0"/>
              <v:stroke on="f"/>
              <v:imagedata o:title=""/>
              <o:lock v:ext="edit" aspectratio="f"/>
              <v:textbox inset="0mm,0mm,0mm,0mm" style="mso-fit-shape-to-text:t;">
                <w:txbxContent>
                  <w:p>
                    <w:r>
                      <w:rPr>
                        <w:rFonts w:hint="eastAsia" w:ascii="仿宋" w:eastAsia="仿宋" w:cs="仿宋"/>
                        <w:color w:val="000000"/>
                        <w:kern w:val="0"/>
                        <w:sz w:val="20"/>
                        <w:szCs w:val="20"/>
                      </w:rPr>
                      <w:t>1.8</w:t>
                    </w:r>
                    <w:r>
                      <w:rPr>
                        <w:rFonts w:ascii="仿宋" w:eastAsia="仿宋" w:cs="仿宋"/>
                        <w:color w:val="000000"/>
                        <w:kern w:val="0"/>
                        <w:sz w:val="20"/>
                        <w:szCs w:val="20"/>
                      </w:rPr>
                      <w:t>%</w:t>
                    </w:r>
                  </w:p>
                </w:txbxContent>
              </v:textbox>
            </v:rect>
            <v:rect id="_x0000_s2256" o:spid="_x0000_s2256" o:spt="1" style="position:absolute;left:321;top:3477;height:8046;width:10319;" filled="f" stroked="t" coordsize="21600,21600">
              <v:path/>
              <v:fill on="f" focussize="0,0"/>
              <v:stroke weight="0.00149606299212598pt" color="#000000" joinstyle="miter"/>
              <v:imagedata o:title=""/>
              <o:lock v:ext="edit" aspectratio="f"/>
            </v:rect>
            <v:shape id="_x0000_s2257" o:spid="_x0000_s2257" style="position:absolute;left:4919;top:6492;height:1329;width:182;" fillcolor="#CCCCFF" filled="t" stroked="t" coordsize="4,79" path="m4,0hdc2,0,1,0,0,0hal4,79,4,0hdxe">
              <v:path arrowok="t"/>
              <v:fill on="t" color2="#FFFFFF" focussize="0,0"/>
              <v:stroke weight="0.00149606299212598pt" color="#000000"/>
              <v:imagedata o:title=""/>
              <o:lock v:ext="edit" aspectratio="f"/>
            </v:shape>
          </v:group>
        </w:pict>
      </w:r>
    </w:p>
    <w:p>
      <w:pPr>
        <w:spacing w:line="600" w:lineRule="exact"/>
        <w:ind w:firstLine="560" w:firstLineChars="200"/>
        <w:rPr>
          <w:rFonts w:hint="eastAsia" w:ascii="仿宋" w:hAnsi="仿宋" w:eastAsia="仿宋"/>
          <w:color w:val="000000"/>
          <w:sz w:val="28"/>
          <w:szCs w:val="32"/>
        </w:rPr>
      </w:pPr>
    </w:p>
    <w:p>
      <w:pPr>
        <w:spacing w:line="600" w:lineRule="exact"/>
        <w:ind w:firstLine="560" w:firstLineChars="200"/>
        <w:rPr>
          <w:rFonts w:hint="eastAsia" w:ascii="仿宋" w:hAnsi="仿宋" w:eastAsia="仿宋"/>
          <w:color w:val="000000"/>
          <w:sz w:val="28"/>
          <w:szCs w:val="32"/>
        </w:rPr>
      </w:pPr>
    </w:p>
    <w:p>
      <w:pPr>
        <w:spacing w:line="600" w:lineRule="exact"/>
        <w:ind w:firstLine="560" w:firstLineChars="200"/>
        <w:rPr>
          <w:rFonts w:hint="eastAsia" w:ascii="仿宋" w:hAnsi="仿宋" w:eastAsia="仿宋"/>
          <w:color w:val="000000"/>
          <w:sz w:val="28"/>
          <w:szCs w:val="32"/>
        </w:rPr>
      </w:pPr>
    </w:p>
    <w:p>
      <w:pPr>
        <w:spacing w:line="600" w:lineRule="exact"/>
        <w:ind w:firstLine="560" w:firstLineChars="200"/>
        <w:rPr>
          <w:rFonts w:hint="eastAsia" w:ascii="仿宋" w:hAnsi="仿宋" w:eastAsia="仿宋"/>
          <w:color w:val="000000"/>
          <w:sz w:val="28"/>
          <w:szCs w:val="32"/>
        </w:rPr>
      </w:pPr>
    </w:p>
    <w:p>
      <w:pPr>
        <w:spacing w:line="600" w:lineRule="exact"/>
        <w:ind w:firstLine="560" w:firstLineChars="200"/>
        <w:rPr>
          <w:rFonts w:hint="eastAsia" w:ascii="仿宋" w:hAnsi="仿宋" w:eastAsia="仿宋"/>
          <w:color w:val="000000"/>
          <w:sz w:val="28"/>
          <w:szCs w:val="32"/>
        </w:rPr>
      </w:pPr>
    </w:p>
    <w:p>
      <w:pPr>
        <w:spacing w:line="600" w:lineRule="exact"/>
        <w:ind w:firstLine="560" w:firstLineChars="200"/>
        <w:rPr>
          <w:rFonts w:hint="eastAsia" w:ascii="仿宋" w:hAnsi="仿宋" w:eastAsia="仿宋"/>
          <w:color w:val="000000"/>
          <w:sz w:val="28"/>
          <w:szCs w:val="32"/>
        </w:rPr>
      </w:pPr>
    </w:p>
    <w:p>
      <w:pPr>
        <w:spacing w:line="600" w:lineRule="exact"/>
        <w:ind w:firstLine="560" w:firstLineChars="200"/>
        <w:rPr>
          <w:rFonts w:hint="eastAsia" w:ascii="仿宋" w:hAnsi="仿宋" w:eastAsia="仿宋"/>
          <w:color w:val="000000"/>
          <w:sz w:val="28"/>
          <w:szCs w:val="32"/>
        </w:rPr>
      </w:pPr>
    </w:p>
    <w:p>
      <w:pPr>
        <w:spacing w:line="600" w:lineRule="exact"/>
        <w:ind w:firstLine="560" w:firstLineChars="200"/>
        <w:rPr>
          <w:rFonts w:hint="eastAsia" w:ascii="仿宋" w:hAnsi="仿宋" w:eastAsia="仿宋"/>
          <w:color w:val="000000"/>
          <w:sz w:val="28"/>
          <w:szCs w:val="32"/>
        </w:rPr>
      </w:pPr>
    </w:p>
    <w:p>
      <w:pPr>
        <w:spacing w:line="600" w:lineRule="exact"/>
        <w:ind w:firstLine="560" w:firstLineChars="200"/>
        <w:rPr>
          <w:rFonts w:hint="eastAsia" w:ascii="仿宋" w:hAnsi="仿宋" w:eastAsia="仿宋"/>
          <w:color w:val="000000"/>
          <w:sz w:val="28"/>
          <w:szCs w:val="32"/>
        </w:rPr>
      </w:pPr>
    </w:p>
    <w:p>
      <w:pPr>
        <w:spacing w:line="600" w:lineRule="exact"/>
        <w:ind w:firstLine="560" w:firstLineChars="200"/>
        <w:rPr>
          <w:rFonts w:hint="eastAsia" w:ascii="仿宋" w:hAnsi="仿宋" w:eastAsia="仿宋"/>
          <w:color w:val="000000"/>
          <w:sz w:val="28"/>
          <w:szCs w:val="32"/>
        </w:rPr>
      </w:pPr>
    </w:p>
    <w:p>
      <w:pPr>
        <w:spacing w:line="600" w:lineRule="exact"/>
        <w:ind w:firstLine="560" w:firstLineChars="200"/>
        <w:rPr>
          <w:rFonts w:hint="eastAsia" w:ascii="仿宋" w:hAnsi="仿宋" w:eastAsia="仿宋"/>
          <w:color w:val="000000"/>
          <w:sz w:val="28"/>
          <w:szCs w:val="32"/>
        </w:rPr>
      </w:pPr>
    </w:p>
    <w:p>
      <w:pPr>
        <w:spacing w:line="600" w:lineRule="exact"/>
        <w:ind w:firstLine="560" w:firstLineChars="200"/>
        <w:rPr>
          <w:rFonts w:hint="eastAsia" w:ascii="仿宋" w:hAnsi="仿宋" w:eastAsia="仿宋"/>
          <w:color w:val="000000"/>
          <w:sz w:val="28"/>
          <w:szCs w:val="32"/>
        </w:rPr>
      </w:pPr>
    </w:p>
    <w:p>
      <w:pPr>
        <w:spacing w:line="600" w:lineRule="exact"/>
        <w:ind w:firstLine="560" w:firstLineChars="200"/>
        <w:rPr>
          <w:rFonts w:hint="eastAsia" w:ascii="仿宋" w:hAnsi="仿宋" w:eastAsia="仿宋"/>
          <w:color w:val="000000"/>
          <w:sz w:val="28"/>
          <w:szCs w:val="32"/>
        </w:rPr>
      </w:pP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（三）一般公共预算财政拨款支出决算具体情况</w:t>
      </w:r>
    </w:p>
    <w:p>
      <w:pPr>
        <w:spacing w:line="600" w:lineRule="exact"/>
        <w:ind w:firstLine="643" w:firstLineChars="200"/>
        <w:rPr>
          <w:rStyle w:val="7"/>
          <w:rFonts w:ascii="仿宋" w:hAnsi="仿宋" w:eastAsia="仿宋"/>
          <w:color w:val="000000" w:themeColor="text1"/>
          <w:sz w:val="32"/>
          <w:szCs w:val="32"/>
        </w:rPr>
      </w:pPr>
      <w:r>
        <w:rPr>
          <w:rStyle w:val="7"/>
          <w:rFonts w:hint="eastAsia" w:ascii="仿宋" w:hAnsi="仿宋" w:eastAsia="仿宋"/>
          <w:color w:val="000000" w:themeColor="text1"/>
          <w:sz w:val="32"/>
          <w:szCs w:val="32"/>
        </w:rPr>
        <w:t>1、一般公共服务（类）政府办公厅及相关机构事务　（款）</w:t>
      </w:r>
    </w:p>
    <w:p>
      <w:pPr>
        <w:spacing w:line="600" w:lineRule="exact"/>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行政运行（项）:</w:t>
      </w:r>
      <w:r>
        <w:rPr>
          <w:rFonts w:hint="eastAsia" w:ascii="仿宋" w:hAnsi="仿宋" w:eastAsia="仿宋"/>
          <w:color w:val="000000" w:themeColor="text1"/>
          <w:sz w:val="32"/>
          <w:szCs w:val="32"/>
        </w:rPr>
        <w:t>2018年决算数为399.03万元，完成预算100%。</w:t>
      </w:r>
    </w:p>
    <w:p>
      <w:pPr>
        <w:spacing w:line="600" w:lineRule="exact"/>
        <w:ind w:firstLine="643" w:firstLineChars="200"/>
        <w:rPr>
          <w:rFonts w:ascii="仿宋" w:hAnsi="仿宋" w:eastAsia="仿宋"/>
          <w:color w:val="000000" w:themeColor="text1"/>
          <w:sz w:val="32"/>
          <w:szCs w:val="32"/>
        </w:rPr>
      </w:pPr>
      <w:r>
        <w:rPr>
          <w:rStyle w:val="7"/>
          <w:rFonts w:hint="eastAsia" w:ascii="仿宋" w:hAnsi="仿宋" w:eastAsia="仿宋"/>
          <w:color w:val="000000" w:themeColor="text1"/>
          <w:sz w:val="32"/>
          <w:szCs w:val="32"/>
        </w:rPr>
        <w:t>2、一般公共服务（类）政府办公厅及相关机构事务（款）</w:t>
      </w:r>
      <w:r>
        <w:rPr>
          <w:rStyle w:val="7"/>
          <w:rFonts w:hint="eastAsia" w:ascii="仿宋" w:hAnsi="仿宋" w:eastAsia="仿宋"/>
          <w:b w:val="0"/>
          <w:color w:val="000000" w:themeColor="text1"/>
          <w:sz w:val="32"/>
          <w:szCs w:val="32"/>
        </w:rPr>
        <w:t>一般行政管理事务（项）:</w:t>
      </w:r>
      <w:r>
        <w:rPr>
          <w:rFonts w:hint="eastAsia" w:ascii="仿宋" w:hAnsi="仿宋" w:eastAsia="仿宋"/>
          <w:color w:val="000000" w:themeColor="text1"/>
          <w:sz w:val="32"/>
          <w:szCs w:val="32"/>
        </w:rPr>
        <w:t>2018年决算数为236.34万元，完成预算100%。</w:t>
      </w:r>
    </w:p>
    <w:p>
      <w:pPr>
        <w:spacing w:line="600" w:lineRule="exact"/>
        <w:ind w:firstLine="643" w:firstLineChars="200"/>
        <w:rPr>
          <w:rFonts w:ascii="仿宋" w:hAnsi="仿宋" w:eastAsia="仿宋"/>
          <w:color w:val="000000" w:themeColor="text1"/>
          <w:sz w:val="32"/>
          <w:szCs w:val="32"/>
        </w:rPr>
      </w:pPr>
      <w:r>
        <w:rPr>
          <w:rStyle w:val="7"/>
          <w:rFonts w:hint="eastAsia" w:ascii="仿宋" w:hAnsi="仿宋" w:eastAsia="仿宋"/>
          <w:color w:val="000000" w:themeColor="text1"/>
          <w:sz w:val="32"/>
          <w:szCs w:val="32"/>
        </w:rPr>
        <w:t>3、一般公共服务（类）人力资源事务（款）其他人力资源事务支出（项）</w:t>
      </w:r>
      <w:r>
        <w:rPr>
          <w:rStyle w:val="7"/>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2018年决算数为5.13万元，完成预算100%。</w:t>
      </w:r>
    </w:p>
    <w:p>
      <w:pPr>
        <w:spacing w:line="600" w:lineRule="exact"/>
        <w:ind w:firstLine="643" w:firstLineChars="200"/>
        <w:rPr>
          <w:rFonts w:ascii="仿宋" w:hAnsi="仿宋" w:eastAsia="仿宋"/>
          <w:color w:val="000000" w:themeColor="text1"/>
          <w:sz w:val="32"/>
          <w:szCs w:val="32"/>
        </w:rPr>
      </w:pPr>
      <w:r>
        <w:rPr>
          <w:rStyle w:val="7"/>
          <w:rFonts w:hint="eastAsia" w:ascii="仿宋" w:hAnsi="仿宋" w:eastAsia="仿宋"/>
          <w:color w:val="000000" w:themeColor="text1"/>
          <w:sz w:val="32"/>
          <w:szCs w:val="32"/>
        </w:rPr>
        <w:t>4、文化体育与传媒（类）文化（款）国防支出（项）</w:t>
      </w:r>
      <w:r>
        <w:rPr>
          <w:rStyle w:val="7"/>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2018年决算数为2.2万元，完成预算100%。</w:t>
      </w:r>
    </w:p>
    <w:p>
      <w:pPr>
        <w:spacing w:line="600" w:lineRule="exact"/>
        <w:ind w:firstLine="643" w:firstLineChars="200"/>
        <w:rPr>
          <w:rFonts w:ascii="仿宋" w:hAnsi="仿宋" w:eastAsia="仿宋"/>
          <w:color w:val="000000" w:themeColor="text1"/>
          <w:sz w:val="32"/>
          <w:szCs w:val="32"/>
        </w:rPr>
      </w:pPr>
      <w:r>
        <w:rPr>
          <w:rStyle w:val="7"/>
          <w:rFonts w:hint="eastAsia" w:ascii="仿宋" w:hAnsi="仿宋" w:eastAsia="仿宋"/>
          <w:color w:val="000000" w:themeColor="text1"/>
          <w:sz w:val="32"/>
          <w:szCs w:val="32"/>
        </w:rPr>
        <w:t>5、文化体育与传媒（类）文化（款）群众文化支出（项）</w:t>
      </w:r>
      <w:r>
        <w:rPr>
          <w:rStyle w:val="7"/>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2018年决算数为90.36万元，完成预算100%。</w:t>
      </w:r>
    </w:p>
    <w:p>
      <w:pPr>
        <w:spacing w:line="600" w:lineRule="exact"/>
        <w:ind w:firstLine="643" w:firstLineChars="200"/>
        <w:rPr>
          <w:rFonts w:ascii="仿宋" w:hAnsi="仿宋" w:eastAsia="仿宋"/>
          <w:color w:val="000000" w:themeColor="text1"/>
          <w:sz w:val="32"/>
          <w:szCs w:val="32"/>
        </w:rPr>
      </w:pPr>
      <w:r>
        <w:rPr>
          <w:rStyle w:val="7"/>
          <w:rFonts w:hint="eastAsia" w:ascii="仿宋" w:hAnsi="仿宋" w:eastAsia="仿宋"/>
          <w:color w:val="000000" w:themeColor="text1"/>
          <w:sz w:val="32"/>
          <w:szCs w:val="32"/>
        </w:rPr>
        <w:t>6、文化体育与传媒（类）文化（款）其他文化支出（项）</w:t>
      </w:r>
      <w:r>
        <w:rPr>
          <w:rStyle w:val="7"/>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2018年决算数为10.1万元，完成预算100%。</w:t>
      </w:r>
    </w:p>
    <w:p>
      <w:pPr>
        <w:spacing w:line="600" w:lineRule="exact"/>
        <w:ind w:firstLine="643" w:firstLineChars="200"/>
        <w:rPr>
          <w:rFonts w:ascii="仿宋" w:hAnsi="仿宋" w:eastAsia="仿宋"/>
          <w:color w:val="000000" w:themeColor="text1"/>
          <w:sz w:val="32"/>
          <w:szCs w:val="32"/>
        </w:rPr>
      </w:pPr>
      <w:r>
        <w:rPr>
          <w:rStyle w:val="7"/>
          <w:rFonts w:hint="eastAsia" w:ascii="仿宋" w:hAnsi="仿宋" w:eastAsia="仿宋"/>
          <w:color w:val="000000" w:themeColor="text1"/>
          <w:sz w:val="32"/>
          <w:szCs w:val="32"/>
        </w:rPr>
        <w:t>7、社会保障和就业（类）行政事业单位离退休（款）机关事业单位基本养老保险缴费支出（项）</w:t>
      </w:r>
      <w:r>
        <w:rPr>
          <w:rStyle w:val="7"/>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2018年决算数为36.41元，完成预算100%。</w:t>
      </w:r>
    </w:p>
    <w:p>
      <w:pPr>
        <w:spacing w:line="600" w:lineRule="exact"/>
        <w:ind w:firstLine="643" w:firstLineChars="200"/>
        <w:rPr>
          <w:rFonts w:ascii="仿宋" w:hAnsi="仿宋" w:eastAsia="仿宋"/>
          <w:color w:val="000000" w:themeColor="text1"/>
          <w:sz w:val="32"/>
          <w:szCs w:val="32"/>
        </w:rPr>
      </w:pPr>
      <w:r>
        <w:rPr>
          <w:rStyle w:val="7"/>
          <w:rFonts w:hint="eastAsia" w:ascii="仿宋" w:hAnsi="仿宋" w:eastAsia="仿宋"/>
          <w:color w:val="000000" w:themeColor="text1"/>
          <w:sz w:val="32"/>
          <w:szCs w:val="32"/>
        </w:rPr>
        <w:t>9、社会保障和就业（类）行政事业单位离退休（款）机关事业单位职业年金缴费支出（项）</w:t>
      </w:r>
      <w:r>
        <w:rPr>
          <w:rStyle w:val="7"/>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2018年决算数为21.5元，完成预算100%。</w:t>
      </w:r>
    </w:p>
    <w:p>
      <w:pPr>
        <w:spacing w:line="600" w:lineRule="exact"/>
        <w:ind w:firstLine="643" w:firstLineChars="200"/>
        <w:rPr>
          <w:rFonts w:ascii="仿宋" w:hAnsi="仿宋" w:eastAsia="仿宋"/>
          <w:color w:val="000000" w:themeColor="text1"/>
          <w:sz w:val="32"/>
          <w:szCs w:val="32"/>
        </w:rPr>
      </w:pPr>
      <w:r>
        <w:rPr>
          <w:rStyle w:val="7"/>
          <w:rFonts w:hint="eastAsia" w:ascii="仿宋" w:hAnsi="仿宋" w:eastAsia="仿宋"/>
          <w:color w:val="000000" w:themeColor="text1"/>
          <w:sz w:val="32"/>
          <w:szCs w:val="32"/>
        </w:rPr>
        <w:t>10、社会保障和就业（类）抚恤（款）死亡抚恤（项）</w:t>
      </w:r>
      <w:r>
        <w:rPr>
          <w:rStyle w:val="7"/>
          <w:rFonts w:hint="eastAsia" w:ascii="仿宋" w:hAnsi="仿宋" w:eastAsia="仿宋"/>
          <w:b w:val="0"/>
          <w:color w:val="000000" w:themeColor="text1"/>
          <w:sz w:val="32"/>
          <w:szCs w:val="32"/>
        </w:rPr>
        <w:t>其他残疾人支出:</w:t>
      </w:r>
      <w:r>
        <w:rPr>
          <w:rFonts w:hint="eastAsia" w:ascii="仿宋" w:hAnsi="仿宋" w:eastAsia="仿宋"/>
          <w:color w:val="000000" w:themeColor="text1"/>
          <w:sz w:val="32"/>
          <w:szCs w:val="32"/>
        </w:rPr>
        <w:t>2018年决算数为2.05万元，完成预算100%。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themeColor="text1"/>
          <w:sz w:val="32"/>
          <w:szCs w:val="32"/>
        </w:rPr>
        <w:t>11、</w:t>
      </w:r>
      <w:r>
        <w:rPr>
          <w:rStyle w:val="7"/>
          <w:rFonts w:hint="eastAsia" w:ascii="仿宋" w:hAnsi="仿宋" w:eastAsia="仿宋"/>
          <w:color w:val="000000" w:themeColor="text1"/>
          <w:sz w:val="32"/>
          <w:szCs w:val="32"/>
        </w:rPr>
        <w:t>社会保障和就业（类）抚恤（款）其他</w:t>
      </w:r>
      <w:r>
        <w:rPr>
          <w:rStyle w:val="7"/>
          <w:rFonts w:hint="eastAsia" w:ascii="仿宋" w:hAnsi="仿宋" w:eastAsia="仿宋"/>
          <w:color w:val="000000"/>
          <w:sz w:val="32"/>
          <w:szCs w:val="32"/>
        </w:rPr>
        <w:t>优抚支出（项）</w:t>
      </w:r>
      <w:r>
        <w:rPr>
          <w:rStyle w:val="7"/>
          <w:rFonts w:hint="eastAsia" w:ascii="仿宋" w:hAnsi="仿宋" w:eastAsia="仿宋"/>
          <w:b w:val="0"/>
          <w:color w:val="000000"/>
          <w:sz w:val="32"/>
          <w:szCs w:val="32"/>
        </w:rPr>
        <w:t>:</w:t>
      </w:r>
      <w:r>
        <w:rPr>
          <w:rFonts w:hint="eastAsia" w:ascii="仿宋" w:hAnsi="仿宋" w:eastAsia="仿宋"/>
          <w:color w:val="000000"/>
          <w:sz w:val="32"/>
          <w:szCs w:val="32"/>
        </w:rPr>
        <w:t>2018年决算数为6.16元，完成预算100%。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　　12、</w:t>
      </w:r>
      <w:r>
        <w:rPr>
          <w:rStyle w:val="7"/>
          <w:rFonts w:hint="eastAsia" w:ascii="仿宋" w:hAnsi="仿宋" w:eastAsia="仿宋"/>
          <w:color w:val="000000"/>
          <w:sz w:val="32"/>
          <w:szCs w:val="32"/>
        </w:rPr>
        <w:t>社会保障和就业（类）自然灾害生活救助（款）中央自然灾害生活补助（项）</w:t>
      </w:r>
      <w:r>
        <w:rPr>
          <w:rStyle w:val="7"/>
          <w:rFonts w:hint="eastAsia" w:ascii="仿宋" w:hAnsi="仿宋" w:eastAsia="仿宋"/>
          <w:b w:val="0"/>
          <w:color w:val="000000"/>
          <w:sz w:val="32"/>
          <w:szCs w:val="32"/>
        </w:rPr>
        <w:t>:</w:t>
      </w:r>
      <w:r>
        <w:rPr>
          <w:rFonts w:hint="eastAsia" w:ascii="仿宋" w:hAnsi="仿宋" w:eastAsia="仿宋"/>
          <w:color w:val="000000"/>
          <w:sz w:val="32"/>
          <w:szCs w:val="32"/>
        </w:rPr>
        <w:t>2018年决算数为3.7元，完成预算100%。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w:t>
      </w:r>
      <w:r>
        <w:rPr>
          <w:rFonts w:hint="eastAsia" w:ascii="仿宋" w:hAnsi="仿宋" w:eastAsia="仿宋"/>
          <w:b/>
          <w:color w:val="000000"/>
          <w:sz w:val="32"/>
          <w:szCs w:val="32"/>
        </w:rPr>
        <w:t>13、</w:t>
      </w:r>
      <w:r>
        <w:rPr>
          <w:rStyle w:val="7"/>
          <w:rFonts w:hint="eastAsia" w:ascii="仿宋" w:hAnsi="仿宋" w:eastAsia="仿宋"/>
          <w:b w:val="0"/>
          <w:color w:val="000000"/>
          <w:sz w:val="32"/>
          <w:szCs w:val="32"/>
        </w:rPr>
        <w:t>社会保障和就业（类）自然灾害生活救助（款）地方自然灾害生活补助（项）:</w:t>
      </w:r>
      <w:r>
        <w:rPr>
          <w:rFonts w:hint="eastAsia" w:ascii="仿宋" w:hAnsi="仿宋" w:eastAsia="仿宋"/>
          <w:color w:val="000000"/>
          <w:sz w:val="32"/>
          <w:szCs w:val="32"/>
        </w:rPr>
        <w:t>2018年决算数为0.8元，完成预算100%。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　　</w:t>
      </w:r>
      <w:r>
        <w:rPr>
          <w:rStyle w:val="7"/>
          <w:rFonts w:hint="eastAsia" w:ascii="仿宋" w:hAnsi="仿宋" w:eastAsia="仿宋"/>
          <w:color w:val="000000"/>
          <w:sz w:val="32"/>
          <w:szCs w:val="32"/>
        </w:rPr>
        <w:t>14、医疗卫生与计划生育（类）医疗保障（款）行政单位医疗（项）</w:t>
      </w:r>
      <w:r>
        <w:rPr>
          <w:rStyle w:val="7"/>
          <w:rFonts w:hint="eastAsia" w:ascii="仿宋" w:hAnsi="仿宋" w:eastAsia="仿宋"/>
          <w:b w:val="0"/>
          <w:color w:val="000000"/>
          <w:sz w:val="32"/>
          <w:szCs w:val="32"/>
        </w:rPr>
        <w:t>:</w:t>
      </w:r>
      <w:r>
        <w:rPr>
          <w:rFonts w:hint="eastAsia" w:ascii="仿宋" w:hAnsi="仿宋" w:eastAsia="仿宋"/>
          <w:color w:val="000000"/>
          <w:sz w:val="32"/>
          <w:szCs w:val="32"/>
        </w:rPr>
        <w:t>2018年决算数为13.56万元，完成预算100%。</w:t>
      </w:r>
    </w:p>
    <w:p>
      <w:pPr>
        <w:spacing w:line="600" w:lineRule="exact"/>
        <w:ind w:firstLine="643" w:firstLineChars="200"/>
        <w:rPr>
          <w:rFonts w:ascii="仿宋" w:hAnsi="仿宋" w:eastAsia="仿宋"/>
          <w:color w:val="000000"/>
          <w:sz w:val="32"/>
          <w:szCs w:val="32"/>
        </w:rPr>
      </w:pPr>
      <w:r>
        <w:rPr>
          <w:rStyle w:val="7"/>
          <w:rFonts w:hint="eastAsia" w:ascii="仿宋" w:hAnsi="仿宋" w:eastAsia="仿宋"/>
          <w:color w:val="000000"/>
          <w:sz w:val="32"/>
          <w:szCs w:val="32"/>
        </w:rPr>
        <w:t>15、医疗卫生与计划生育（类）计划生育事务（款）其他计划生育事务支出（项）</w:t>
      </w:r>
      <w:r>
        <w:rPr>
          <w:rStyle w:val="7"/>
          <w:rFonts w:hint="eastAsia" w:ascii="仿宋" w:hAnsi="仿宋" w:eastAsia="仿宋"/>
          <w:b w:val="0"/>
          <w:color w:val="000000"/>
          <w:sz w:val="32"/>
          <w:szCs w:val="32"/>
        </w:rPr>
        <w:t>:</w:t>
      </w:r>
      <w:r>
        <w:rPr>
          <w:rFonts w:hint="eastAsia" w:ascii="仿宋" w:hAnsi="仿宋" w:eastAsia="仿宋"/>
          <w:color w:val="000000"/>
          <w:sz w:val="32"/>
          <w:szCs w:val="32"/>
        </w:rPr>
        <w:t>2018年决算数为4.49万元，完成预算0%。</w:t>
      </w:r>
    </w:p>
    <w:p>
      <w:pPr>
        <w:spacing w:line="600" w:lineRule="exact"/>
        <w:ind w:firstLine="643" w:firstLineChars="200"/>
        <w:rPr>
          <w:rStyle w:val="7"/>
          <w:rFonts w:ascii="仿宋" w:hAnsi="仿宋" w:eastAsia="仿宋"/>
          <w:b w:val="0"/>
          <w:color w:val="000000" w:themeColor="text1"/>
          <w:sz w:val="32"/>
          <w:szCs w:val="32"/>
        </w:rPr>
      </w:pPr>
      <w:r>
        <w:rPr>
          <w:rStyle w:val="7"/>
          <w:rFonts w:hint="eastAsia" w:ascii="仿宋" w:hAnsi="仿宋" w:eastAsia="仿宋"/>
          <w:color w:val="000000"/>
          <w:sz w:val="32"/>
          <w:szCs w:val="32"/>
        </w:rPr>
        <w:t>16、城镇社区支出（类）城镇社区环境卫生（款）环境保洁</w:t>
      </w:r>
      <w:r>
        <w:rPr>
          <w:rStyle w:val="7"/>
          <w:rFonts w:hint="eastAsia" w:ascii="仿宋" w:hAnsi="仿宋" w:eastAsia="仿宋"/>
          <w:color w:val="000000" w:themeColor="text1"/>
          <w:sz w:val="32"/>
          <w:szCs w:val="32"/>
        </w:rPr>
        <w:t>支出（项）</w:t>
      </w:r>
      <w:r>
        <w:rPr>
          <w:rStyle w:val="7"/>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 xml:space="preserve"> 2018年决算数</w:t>
      </w:r>
      <w:r>
        <w:rPr>
          <w:rStyle w:val="7"/>
          <w:rFonts w:hint="eastAsia" w:ascii="仿宋" w:hAnsi="仿宋" w:eastAsia="仿宋"/>
          <w:b w:val="0"/>
          <w:color w:val="000000" w:themeColor="text1"/>
          <w:sz w:val="32"/>
          <w:szCs w:val="32"/>
        </w:rPr>
        <w:t>10万元，无成预算100%。</w:t>
      </w:r>
    </w:p>
    <w:p>
      <w:pPr>
        <w:spacing w:line="600" w:lineRule="exact"/>
        <w:ind w:firstLine="643" w:firstLineChars="200"/>
        <w:rPr>
          <w:rFonts w:ascii="仿宋" w:hAnsi="仿宋" w:eastAsia="仿宋"/>
          <w:color w:val="000000" w:themeColor="text1"/>
          <w:sz w:val="32"/>
          <w:szCs w:val="32"/>
        </w:rPr>
      </w:pPr>
      <w:r>
        <w:rPr>
          <w:rStyle w:val="7"/>
          <w:rFonts w:hint="eastAsia" w:ascii="仿宋" w:hAnsi="仿宋" w:eastAsia="仿宋"/>
          <w:color w:val="000000" w:themeColor="text1"/>
          <w:sz w:val="32"/>
          <w:szCs w:val="32"/>
        </w:rPr>
        <w:t>17、农林水（类）农业（款）事业运行（项）</w:t>
      </w:r>
      <w:r>
        <w:rPr>
          <w:rStyle w:val="7"/>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2018年决算数为92.2万元，完成预算100%。</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xml:space="preserve">  </w:t>
      </w:r>
      <w:r>
        <w:rPr>
          <w:rFonts w:hint="eastAsia" w:ascii="仿宋" w:hAnsi="仿宋" w:eastAsia="仿宋"/>
          <w:b/>
          <w:color w:val="000000" w:themeColor="text1"/>
          <w:sz w:val="32"/>
          <w:szCs w:val="32"/>
        </w:rPr>
        <w:t xml:space="preserve">  18</w:t>
      </w:r>
      <w:r>
        <w:rPr>
          <w:rFonts w:hint="eastAsia" w:ascii="仿宋" w:hAnsi="仿宋" w:eastAsia="仿宋"/>
          <w:color w:val="000000" w:themeColor="text1"/>
          <w:sz w:val="32"/>
          <w:szCs w:val="32"/>
        </w:rPr>
        <w:t>、</w:t>
      </w:r>
      <w:r>
        <w:rPr>
          <w:rStyle w:val="7"/>
          <w:rFonts w:hint="eastAsia" w:ascii="仿宋" w:hAnsi="仿宋" w:eastAsia="仿宋"/>
          <w:color w:val="000000" w:themeColor="text1"/>
          <w:sz w:val="32"/>
          <w:szCs w:val="32"/>
        </w:rPr>
        <w:t>农林水（类）农业（款）农村道路建设（项）</w:t>
      </w:r>
      <w:r>
        <w:rPr>
          <w:rStyle w:val="7"/>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2018年决算数为5万元，完成预算100%。</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xml:space="preserve">   </w:t>
      </w:r>
      <w:r>
        <w:rPr>
          <w:rFonts w:hint="eastAsia" w:ascii="仿宋" w:hAnsi="仿宋" w:eastAsia="仿宋"/>
          <w:b/>
          <w:color w:val="000000" w:themeColor="text1"/>
          <w:sz w:val="32"/>
          <w:szCs w:val="32"/>
        </w:rPr>
        <w:t xml:space="preserve"> 19</w:t>
      </w:r>
      <w:r>
        <w:rPr>
          <w:rFonts w:hint="eastAsia" w:ascii="仿宋" w:hAnsi="仿宋" w:eastAsia="仿宋"/>
          <w:color w:val="000000" w:themeColor="text1"/>
          <w:sz w:val="32"/>
          <w:szCs w:val="32"/>
        </w:rPr>
        <w:t>、</w:t>
      </w:r>
      <w:r>
        <w:rPr>
          <w:rStyle w:val="7"/>
          <w:rFonts w:hint="eastAsia" w:ascii="仿宋" w:hAnsi="仿宋" w:eastAsia="仿宋"/>
          <w:color w:val="000000" w:themeColor="text1"/>
          <w:sz w:val="32"/>
          <w:szCs w:val="32"/>
        </w:rPr>
        <w:t>农林水（类）农业（款）对高校毕业生到基层任职补助（项）</w:t>
      </w:r>
      <w:r>
        <w:rPr>
          <w:rStyle w:val="7"/>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2018年决算数为3.21万元，完成预算100%。</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w:t>
      </w:r>
      <w:r>
        <w:rPr>
          <w:rFonts w:hint="eastAsia" w:ascii="仿宋" w:hAnsi="仿宋" w:eastAsia="仿宋"/>
          <w:b/>
          <w:color w:val="000000" w:themeColor="text1"/>
          <w:sz w:val="32"/>
          <w:szCs w:val="32"/>
        </w:rPr>
        <w:t xml:space="preserve">  20</w:t>
      </w:r>
      <w:r>
        <w:rPr>
          <w:rFonts w:hint="eastAsia" w:ascii="仿宋" w:hAnsi="仿宋" w:eastAsia="仿宋"/>
          <w:color w:val="000000" w:themeColor="text1"/>
          <w:sz w:val="32"/>
          <w:szCs w:val="32"/>
        </w:rPr>
        <w:t>、</w:t>
      </w:r>
      <w:r>
        <w:rPr>
          <w:rStyle w:val="7"/>
          <w:rFonts w:hint="eastAsia" w:ascii="仿宋" w:hAnsi="仿宋" w:eastAsia="仿宋"/>
          <w:color w:val="000000" w:themeColor="text1"/>
          <w:sz w:val="32"/>
          <w:szCs w:val="32"/>
        </w:rPr>
        <w:t>农林水（类）扶贫（款）其他农业支出（项）</w:t>
      </w:r>
      <w:r>
        <w:rPr>
          <w:rStyle w:val="7"/>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2018年决算数为0.3万元，完成预算100%.</w:t>
      </w:r>
    </w:p>
    <w:p>
      <w:pPr>
        <w:spacing w:line="600" w:lineRule="exact"/>
        <w:ind w:firstLine="643" w:firstLineChars="200"/>
        <w:rPr>
          <w:rFonts w:ascii="仿宋" w:hAnsi="仿宋" w:eastAsia="仿宋"/>
          <w:color w:val="000000" w:themeColor="text1"/>
          <w:sz w:val="32"/>
          <w:szCs w:val="32"/>
        </w:rPr>
      </w:pPr>
      <w:r>
        <w:rPr>
          <w:rStyle w:val="7"/>
          <w:rFonts w:hint="eastAsia" w:ascii="仿宋" w:hAnsi="仿宋" w:eastAsia="仿宋"/>
          <w:color w:val="000000" w:themeColor="text1"/>
          <w:sz w:val="32"/>
          <w:szCs w:val="32"/>
        </w:rPr>
        <w:t>21、农林水（类）农村综合改革（款）对村民委员会和村党支部的补助（项）</w:t>
      </w:r>
      <w:r>
        <w:rPr>
          <w:rStyle w:val="7"/>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2018年决算数为285.74万元，完成预算100%。</w:t>
      </w:r>
    </w:p>
    <w:p>
      <w:pPr>
        <w:spacing w:line="600" w:lineRule="exact"/>
        <w:ind w:firstLine="643" w:firstLineChars="200"/>
        <w:rPr>
          <w:rFonts w:ascii="仿宋" w:hAnsi="仿宋" w:eastAsia="仿宋"/>
          <w:color w:val="000000" w:themeColor="text1"/>
          <w:sz w:val="32"/>
          <w:szCs w:val="32"/>
        </w:rPr>
      </w:pPr>
      <w:r>
        <w:rPr>
          <w:rStyle w:val="7"/>
          <w:rFonts w:hint="eastAsia" w:ascii="仿宋" w:hAnsi="仿宋" w:eastAsia="仿宋"/>
          <w:color w:val="000000" w:themeColor="text1"/>
          <w:sz w:val="32"/>
          <w:szCs w:val="32"/>
        </w:rPr>
        <w:t>22、农林水（类）农村综合改革（款）农村综合改革示范试点补助（项）</w:t>
      </w:r>
      <w:r>
        <w:rPr>
          <w:rStyle w:val="7"/>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2018年决算数为129.63万元，完成预算100%。</w:t>
      </w:r>
    </w:p>
    <w:p>
      <w:pPr>
        <w:spacing w:line="600" w:lineRule="exact"/>
        <w:ind w:firstLine="643" w:firstLineChars="200"/>
        <w:rPr>
          <w:rFonts w:ascii="仿宋" w:hAnsi="仿宋" w:eastAsia="仿宋"/>
          <w:color w:val="000000" w:themeColor="text1"/>
          <w:sz w:val="32"/>
          <w:szCs w:val="32"/>
        </w:rPr>
      </w:pPr>
      <w:r>
        <w:rPr>
          <w:rStyle w:val="7"/>
          <w:rFonts w:hint="eastAsia" w:ascii="仿宋" w:hAnsi="仿宋" w:eastAsia="仿宋"/>
          <w:color w:val="000000" w:themeColor="text1"/>
          <w:sz w:val="32"/>
          <w:szCs w:val="32"/>
        </w:rPr>
        <w:t>23、国土海洋气象等出（类）国土资源事务（款）地质灾害防治（项）</w:t>
      </w:r>
      <w:r>
        <w:rPr>
          <w:rStyle w:val="7"/>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2018年决算数为6.84万元，完成预算100%。</w:t>
      </w:r>
    </w:p>
    <w:p>
      <w:pPr>
        <w:spacing w:line="600" w:lineRule="exact"/>
        <w:ind w:firstLine="643" w:firstLineChars="200"/>
        <w:rPr>
          <w:rFonts w:ascii="仿宋" w:hAnsi="仿宋" w:eastAsia="仿宋"/>
          <w:b/>
          <w:color w:val="000000" w:themeColor="text1"/>
          <w:sz w:val="32"/>
          <w:szCs w:val="32"/>
        </w:rPr>
      </w:pPr>
      <w:r>
        <w:rPr>
          <w:rStyle w:val="7"/>
          <w:rFonts w:hint="eastAsia" w:ascii="仿宋" w:hAnsi="仿宋" w:eastAsia="仿宋"/>
          <w:color w:val="000000" w:themeColor="text1"/>
          <w:sz w:val="32"/>
          <w:szCs w:val="32"/>
        </w:rPr>
        <w:t>24、住房保障支出（类）住房改革支出（款）住房公积金（项）</w:t>
      </w:r>
      <w:r>
        <w:rPr>
          <w:rStyle w:val="7"/>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2018年决算数为43.63万元，完成预算100%。</w:t>
      </w:r>
      <w:r>
        <w:rPr>
          <w:rFonts w:hint="eastAsia" w:ascii="仿宋" w:hAnsi="仿宋" w:eastAsia="仿宋"/>
          <w:color w:val="000000" w:themeColor="text1"/>
          <w:sz w:val="32"/>
          <w:szCs w:val="32"/>
        </w:rPr>
        <w:br w:type="textWrapping"/>
      </w:r>
      <w:r>
        <w:rPr>
          <w:rFonts w:hint="eastAsia" w:asciiTheme="minorEastAsia" w:hAnsiTheme="minorEastAsia" w:eastAsiaTheme="minorEastAsia"/>
          <w:color w:val="000000" w:themeColor="text1"/>
          <w:sz w:val="32"/>
          <w:szCs w:val="32"/>
        </w:rPr>
        <w:t xml:space="preserve">    </w:t>
      </w:r>
      <w:r>
        <w:rPr>
          <w:rFonts w:hint="eastAsia" w:asciiTheme="minorEastAsia" w:hAnsiTheme="minorEastAsia" w:eastAsiaTheme="minorEastAsia"/>
          <w:b/>
          <w:color w:val="000000" w:themeColor="text1"/>
          <w:sz w:val="32"/>
          <w:szCs w:val="32"/>
        </w:rPr>
        <w:t xml:space="preserve"> 六、一般公共预算财政拨款基本支出决算情况</w:t>
      </w:r>
    </w:p>
    <w:p>
      <w:pPr>
        <w:spacing w:line="60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黄湾镇政府2018年一般公共预算财政拨款基本支出702.85万元，其中：</w:t>
      </w:r>
    </w:p>
    <w:p>
      <w:pPr>
        <w:spacing w:line="600" w:lineRule="exact"/>
        <w:ind w:firstLine="645"/>
        <w:rPr>
          <w:rFonts w:ascii="仿宋" w:hAnsi="仿宋" w:eastAsia="仿宋"/>
          <w:color w:val="000000" w:themeColor="text1"/>
          <w:sz w:val="32"/>
          <w:szCs w:val="32"/>
        </w:rPr>
      </w:pPr>
      <w:r>
        <w:rPr>
          <w:rFonts w:hint="eastAsia" w:ascii="仿宋" w:hAnsi="仿宋" w:eastAsia="仿宋"/>
          <w:color w:val="000000" w:themeColor="text1"/>
          <w:sz w:val="32"/>
          <w:szCs w:val="32"/>
        </w:rPr>
        <w:t>人员经费611.89万元，主要包括：基本工资、津贴补贴、奖金、其他社会保障缴费、伙食补助费、绩效工资、机关事业单位基本养老保险缴费、其他工资福利支出、生活补助、住房公积金。</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公用经费90.96万元，主要包括：办公费、水费、电费、邮电费、差旅费、会议费、培训费、劳务费、公务用车运行维护费、其他交通费、其他商品和服务支出。</w:t>
      </w:r>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themeColor="text1"/>
          <w:sz w:val="32"/>
          <w:szCs w:val="32"/>
        </w:rPr>
        <w:t>七、“三公”经费财政拨款支出决算情况</w:t>
      </w:r>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themeColor="text1"/>
          <w:sz w:val="32"/>
          <w:szCs w:val="32"/>
        </w:rPr>
        <w:t>（一）“三公”经费财政拨款支出决算总体情况说明</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黄湾政府2018年度“三公”经费财政拨款支出决算为3万元，完成预算100%，其中：因公出国（境）费支出决算为0万元，完成预算100%；公务用车购置及运行维护费支出决算为10万元，完成预算100%；公务接待费支出决算为0万元，完成预算0%。2018年度“三公”经费支出决算数小于预算数的主要原因是我镇继续认真贯彻落实中央八项规定及省委省政府十项规定要求，公车改革，加强“三公”经费管理。</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2018年度“三公”经费财政拨款支出决算数比2017年增加7万，其中：公务用车购置及运行维护费支出决算增7万元，增加23%；公务接待费支出决算与2017年持平，。增减变动的主要原因与2017年相比公车维护费增加，原因是市政府加大全山违建整治巡查，增加巡查车辆3台，因此公车维护经费相对增加。黄湾镇自中央八项禁令出台后，严格把关公务接待，整个2018年没有发生一笔公务接待支出。</w:t>
      </w:r>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themeColor="text1"/>
          <w:sz w:val="32"/>
          <w:szCs w:val="32"/>
        </w:rPr>
        <w:t>（二）“三公”经费财政拨款支出决算具体情况说明</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2017年度“三公”经费财政拨款支出决算中，因公出国（境）费支出决算0万元；公务用车购置及运行维护费支出决算10万元，占100%；公务接待费支出决算0万元。具体情况如下：</w:t>
      </w:r>
    </w:p>
    <w:p>
      <w:pPr>
        <w:spacing w:line="600" w:lineRule="exact"/>
        <w:rPr>
          <w:rFonts w:ascii="仿宋" w:hAnsi="仿宋" w:eastAsia="仿宋"/>
          <w:b/>
          <w:color w:val="000000" w:themeColor="text1"/>
          <w:sz w:val="32"/>
          <w:szCs w:val="32"/>
        </w:rPr>
      </w:pPr>
    </w:p>
    <w:p>
      <w:pPr>
        <w:spacing w:line="600" w:lineRule="exact"/>
        <w:rPr>
          <w:rFonts w:ascii="仿宋" w:hAnsi="仿宋" w:eastAsia="仿宋"/>
          <w:b/>
          <w:color w:val="000000" w:themeColor="text1"/>
          <w:sz w:val="32"/>
          <w:szCs w:val="32"/>
        </w:rPr>
      </w:pPr>
      <w:r>
        <w:rPr>
          <w:rFonts w:ascii="仿宋" w:hAnsi="仿宋" w:eastAsia="仿宋"/>
          <w:color w:val="000000" w:themeColor="text1"/>
        </w:rPr>
        <w:drawing>
          <wp:anchor distT="0" distB="0" distL="114300" distR="114300" simplePos="0" relativeHeight="251660288" behindDoc="0" locked="0" layoutInCell="1" allowOverlap="1">
            <wp:simplePos x="0" y="0"/>
            <wp:positionH relativeFrom="column">
              <wp:posOffset>914400</wp:posOffset>
            </wp:positionH>
            <wp:positionV relativeFrom="paragraph">
              <wp:posOffset>-99060</wp:posOffset>
            </wp:positionV>
            <wp:extent cx="3771900" cy="3016250"/>
            <wp:effectExtent l="19050" t="0" r="0" b="0"/>
            <wp:wrapNone/>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noChangeArrowheads="1"/>
                    </pic:cNvPicPr>
                  </pic:nvPicPr>
                  <pic:blipFill>
                    <a:blip r:embed="rId8"/>
                    <a:srcRect l="28197" t="11223" r="28085" b="8870"/>
                    <a:stretch>
                      <a:fillRect/>
                    </a:stretch>
                  </pic:blipFill>
                  <pic:spPr>
                    <a:xfrm>
                      <a:off x="0" y="0"/>
                      <a:ext cx="3771900" cy="3016250"/>
                    </a:xfrm>
                    <a:prstGeom prst="rect">
                      <a:avLst/>
                    </a:prstGeom>
                    <a:noFill/>
                    <a:ln w="9525">
                      <a:noFill/>
                      <a:miter lim="800000"/>
                      <a:headEnd/>
                      <a:tailEnd/>
                    </a:ln>
                  </pic:spPr>
                </pic:pic>
              </a:graphicData>
            </a:graphic>
          </wp:anchor>
        </w:drawing>
      </w:r>
    </w:p>
    <w:p>
      <w:pPr>
        <w:spacing w:line="600" w:lineRule="exact"/>
        <w:rPr>
          <w:rFonts w:ascii="仿宋" w:hAnsi="仿宋" w:eastAsia="仿宋"/>
          <w:b/>
          <w:color w:val="000000" w:themeColor="text1"/>
          <w:sz w:val="32"/>
          <w:szCs w:val="32"/>
        </w:rPr>
      </w:pPr>
    </w:p>
    <w:p>
      <w:pPr>
        <w:spacing w:line="600" w:lineRule="exact"/>
        <w:rPr>
          <w:rFonts w:ascii="仿宋" w:hAnsi="仿宋" w:eastAsia="仿宋"/>
          <w:b/>
          <w:color w:val="000000" w:themeColor="text1"/>
          <w:sz w:val="32"/>
          <w:szCs w:val="32"/>
        </w:rPr>
      </w:pPr>
    </w:p>
    <w:p>
      <w:pPr>
        <w:spacing w:line="600" w:lineRule="exact"/>
        <w:rPr>
          <w:rFonts w:ascii="仿宋" w:hAnsi="仿宋" w:eastAsia="仿宋"/>
          <w:b/>
          <w:color w:val="000000" w:themeColor="text1"/>
          <w:sz w:val="32"/>
          <w:szCs w:val="32"/>
        </w:rPr>
      </w:pPr>
    </w:p>
    <w:p>
      <w:pPr>
        <w:spacing w:line="600" w:lineRule="exact"/>
        <w:rPr>
          <w:rFonts w:ascii="仿宋" w:hAnsi="仿宋" w:eastAsia="仿宋"/>
          <w:b/>
          <w:color w:val="000000" w:themeColor="text1"/>
          <w:sz w:val="32"/>
          <w:szCs w:val="32"/>
        </w:rPr>
      </w:pPr>
    </w:p>
    <w:p>
      <w:pPr>
        <w:spacing w:line="600" w:lineRule="exact"/>
        <w:rPr>
          <w:rFonts w:ascii="仿宋" w:hAnsi="仿宋" w:eastAsia="仿宋"/>
          <w:b/>
          <w:color w:val="000000" w:themeColor="text1"/>
          <w:sz w:val="32"/>
          <w:szCs w:val="32"/>
        </w:rPr>
      </w:pPr>
    </w:p>
    <w:p>
      <w:pPr>
        <w:spacing w:line="600" w:lineRule="exact"/>
        <w:ind w:firstLine="470" w:firstLineChars="147"/>
        <w:rPr>
          <w:rFonts w:ascii="仿宋" w:hAnsi="仿宋" w:eastAsia="仿宋"/>
          <w:color w:val="000000" w:themeColor="text1"/>
          <w:sz w:val="32"/>
          <w:szCs w:val="32"/>
        </w:rPr>
      </w:pPr>
      <w:r>
        <w:rPr>
          <w:rFonts w:hint="eastAsia" w:ascii="仿宋" w:hAnsi="仿宋" w:eastAsia="仿宋"/>
          <w:color w:val="000000" w:themeColor="text1"/>
          <w:sz w:val="32"/>
          <w:szCs w:val="32"/>
        </w:rPr>
        <w:t>1.因公出国（境）经费</w:t>
      </w:r>
    </w:p>
    <w:p>
      <w:pPr>
        <w:spacing w:line="600" w:lineRule="exact"/>
        <w:ind w:firstLine="64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8年因公出国（境）费0万元。</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2.公务用车购置及运行维护费</w:t>
      </w:r>
    </w:p>
    <w:p>
      <w:pPr>
        <w:spacing w:line="600" w:lineRule="exact"/>
        <w:ind w:firstLine="64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8年公务用车购置及运行维护费10万元,其中：</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公务用车购置支出0万元。截至2018年12月底，单位共有公务用车5辆，其中：轿车3辆，小型载客汽车2辆。</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公务用车运行维护费支出10万元。主要用于政府日常工作、违建整治、环境整治、征地拆迁、安全、社会治安综合治理、环保、防汛、农村基础设施建设等工作所需的公务用车燃料费、维修费、过路过桥费、保险费等支出。</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3.公务接待费</w:t>
      </w:r>
    </w:p>
    <w:p>
      <w:pPr>
        <w:spacing w:line="600" w:lineRule="exact"/>
        <w:ind w:firstLine="64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8年公务接待费0万元，黄湾镇自中央八项禁令出台后，严格把关公务接待，整个2018年没有发生一笔公务接待支出。</w:t>
      </w:r>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themeColor="text1"/>
          <w:sz w:val="32"/>
          <w:szCs w:val="32"/>
        </w:rPr>
        <w:t>八、政府性基金预算财政拨款支出决算情况</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黄湾镇政府2018年使用政府性基金预算财政拨款支出4063.17万元。主要用于名山南路提升工程、峨眉时光、征拆经费、零公里停车场征地、环境整治、违建整治、黄湾小镇安置回迁工作、村级组织活动场所建设、关闭煤矿职工安置费、木太路征地拆迁等工作支出。</w:t>
      </w:r>
    </w:p>
    <w:p>
      <w:pPr>
        <w:spacing w:line="60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九、其他重要事项的情况说明</w:t>
      </w:r>
    </w:p>
    <w:p>
      <w:pPr>
        <w:spacing w:line="600" w:lineRule="exact"/>
        <w:ind w:firstLine="643" w:firstLineChars="200"/>
        <w:rPr>
          <w:rFonts w:ascii="仿宋" w:hAnsi="仿宋" w:eastAsia="仿宋"/>
          <w:color w:val="000000" w:themeColor="text1"/>
          <w:sz w:val="32"/>
          <w:szCs w:val="32"/>
        </w:rPr>
      </w:pPr>
      <w:r>
        <w:rPr>
          <w:rFonts w:hint="eastAsia" w:ascii="仿宋" w:hAnsi="仿宋" w:eastAsia="仿宋"/>
          <w:b/>
          <w:color w:val="000000" w:themeColor="text1"/>
          <w:sz w:val="32"/>
          <w:szCs w:val="32"/>
        </w:rPr>
        <w:t>（一）机关运行经费支出情况</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2018年度，黄湾镇政府机关运行经费支出90.96万元，比2017年减少0.93万元，减少0.1%。</w:t>
      </w:r>
    </w:p>
    <w:p>
      <w:pPr>
        <w:autoSpaceDE w:val="0"/>
        <w:autoSpaceDN w:val="0"/>
        <w:adjustRightInd w:val="0"/>
        <w:spacing w:line="600" w:lineRule="exact"/>
        <w:ind w:firstLine="643" w:firstLineChars="200"/>
        <w:jc w:val="left"/>
        <w:rPr>
          <w:rFonts w:ascii="仿宋" w:hAnsi="仿宋" w:eastAsia="仿宋"/>
          <w:b/>
          <w:color w:val="000000" w:themeColor="text1"/>
          <w:sz w:val="32"/>
          <w:szCs w:val="32"/>
        </w:rPr>
      </w:pPr>
      <w:r>
        <w:rPr>
          <w:rFonts w:hint="eastAsia" w:ascii="仿宋" w:hAnsi="仿宋" w:eastAsia="仿宋"/>
          <w:b/>
          <w:color w:val="000000" w:themeColor="text1"/>
          <w:sz w:val="32"/>
          <w:szCs w:val="32"/>
        </w:rPr>
        <w:t>（二）政府采购支出情况</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2018年度，黄湾镇政府政府采购支出总额21.2万元，其中：政府采购货物支出21.2万元、政府采购工程支出0万元、政府采购服务支出0万元。没有对小微企业的政府采购情况。</w:t>
      </w:r>
    </w:p>
    <w:p>
      <w:pPr>
        <w:autoSpaceDE w:val="0"/>
        <w:autoSpaceDN w:val="0"/>
        <w:adjustRightInd w:val="0"/>
        <w:spacing w:line="600" w:lineRule="exact"/>
        <w:ind w:firstLine="643" w:firstLineChars="200"/>
        <w:jc w:val="left"/>
        <w:rPr>
          <w:rFonts w:ascii="仿宋" w:hAnsi="仿宋" w:eastAsia="仿宋"/>
          <w:b/>
          <w:color w:val="000000" w:themeColor="text1"/>
          <w:sz w:val="32"/>
          <w:szCs w:val="32"/>
        </w:rPr>
      </w:pPr>
      <w:r>
        <w:rPr>
          <w:rFonts w:hint="eastAsia" w:ascii="仿宋" w:hAnsi="仿宋" w:eastAsia="仿宋"/>
          <w:b/>
          <w:color w:val="000000" w:themeColor="text1"/>
          <w:sz w:val="32"/>
          <w:szCs w:val="32"/>
        </w:rPr>
        <w:t>（三）国有资产占有使用情况</w:t>
      </w:r>
    </w:p>
    <w:p>
      <w:pPr>
        <w:autoSpaceDE w:val="0"/>
        <w:autoSpaceDN w:val="0"/>
        <w:adjustRightInd w:val="0"/>
        <w:spacing w:line="600" w:lineRule="exact"/>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rPr>
        <w:t>截至2018年12月31日，黄湾镇政府公有车辆3辆，其中：省部级领导干部用车0辆、一般公务用车3辆；单价50万元以上通用设备0台（套），单价100万元以上专用设备0台（套）。</w:t>
      </w:r>
    </w:p>
    <w:p>
      <w:pPr>
        <w:autoSpaceDE w:val="0"/>
        <w:autoSpaceDN w:val="0"/>
        <w:adjustRightInd w:val="0"/>
        <w:spacing w:line="600" w:lineRule="exact"/>
        <w:ind w:firstLine="643" w:firstLineChars="200"/>
        <w:jc w:val="left"/>
        <w:rPr>
          <w:rFonts w:ascii="仿宋" w:hAnsi="仿宋" w:eastAsia="仿宋"/>
          <w:b/>
          <w:color w:val="000000" w:themeColor="text1"/>
          <w:sz w:val="32"/>
          <w:szCs w:val="32"/>
        </w:rPr>
      </w:pPr>
      <w:r>
        <w:rPr>
          <w:rFonts w:hint="eastAsia" w:ascii="仿宋" w:hAnsi="仿宋" w:eastAsia="仿宋"/>
          <w:b/>
          <w:color w:val="000000" w:themeColor="text1"/>
          <w:sz w:val="32"/>
          <w:szCs w:val="32"/>
        </w:rPr>
        <w:t>（四）预算绩效情况</w:t>
      </w:r>
    </w:p>
    <w:p>
      <w:pPr>
        <w:spacing w:line="600" w:lineRule="atLeas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按照预算绩效管理要求，本部门对2018年一般公共预算项目支出开展了绩效目标管理，共编制绩效目标21个，涉及财政资金5540.22万元，覆盖率达到100%。</w:t>
      </w:r>
    </w:p>
    <w:p>
      <w:pPr>
        <w:autoSpaceDE w:val="0"/>
        <w:autoSpaceDN w:val="0"/>
        <w:adjustRightInd w:val="0"/>
        <w:spacing w:line="600" w:lineRule="exact"/>
        <w:ind w:firstLine="643" w:firstLineChars="200"/>
        <w:jc w:val="left"/>
        <w:rPr>
          <w:rFonts w:ascii="仿宋" w:hAnsi="仿宋" w:eastAsia="仿宋"/>
          <w:b/>
          <w:color w:val="000000" w:themeColor="text1"/>
          <w:sz w:val="32"/>
          <w:szCs w:val="32"/>
        </w:rPr>
      </w:pPr>
      <w:r>
        <w:rPr>
          <w:rFonts w:hint="eastAsia" w:ascii="仿宋" w:hAnsi="仿宋" w:eastAsia="仿宋"/>
          <w:b/>
          <w:color w:val="000000" w:themeColor="text1"/>
          <w:sz w:val="32"/>
          <w:szCs w:val="32"/>
        </w:rPr>
        <w:t>十、名词解释</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 xml:space="preserve">1.财政拨款收入：指市级财政当年拨付的资金。 </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2.事业收入：指事业单位开展专业业务活动及辅助活动所取得的收入。</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3.经营收入：指事业单位在专业业务活动及其辅助活动之外开展非独立核算经营活动取得的收入。</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 xml:space="preserve">4.其他收入：指除上述“财政拨款收入”、“事业收入”、“经营收入”等以外的收入。主要是征地拆迁上级主管部门拔的工作经费等。 </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 xml:space="preserve">6.年初结转和结余：指以前年度尚未完成、结转到本年按有关规定继续使用的资金。 </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7、一般公共服务（类）政府办公厅及相关机构事务　（款）行政运行（项）:指</w:t>
      </w:r>
      <w:r>
        <w:rPr>
          <w:rFonts w:hint="eastAsia" w:ascii="仿宋" w:hAnsi="仿宋" w:eastAsia="仿宋"/>
          <w:color w:val="000000" w:themeColor="text1"/>
          <w:sz w:val="32"/>
          <w:szCs w:val="32"/>
        </w:rPr>
        <w:t>镇政府行政人员的工资津贴等人员支出和政府正常运转提供保障服务的支出。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8、一般公共服务（类）政府办公厅及相关机构事务（款）一般行政管理事务（项）:</w:t>
      </w:r>
      <w:r>
        <w:rPr>
          <w:rFonts w:hint="eastAsia" w:ascii="仿宋" w:hAnsi="仿宋" w:eastAsia="仿宋"/>
          <w:color w:val="000000" w:themeColor="text1"/>
          <w:sz w:val="32"/>
          <w:szCs w:val="32"/>
        </w:rPr>
        <w:t>指政府常规项目如团委、武装、妇联、食品药品监管等工作支出。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3、一般公共服务（类）财政事务（款）事业运行（项）:</w:t>
      </w:r>
      <w:r>
        <w:rPr>
          <w:rFonts w:hint="eastAsia" w:ascii="仿宋" w:hAnsi="仿宋" w:eastAsia="仿宋"/>
          <w:color w:val="000000" w:themeColor="text1"/>
          <w:sz w:val="32"/>
          <w:szCs w:val="32"/>
        </w:rPr>
        <w:t>指政府财政事业人员和财政事务工作正常开展的支出。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4、一般公共服务（类）人力资源事务（款）其他人力资源事务支出（项）:</w:t>
      </w:r>
      <w:r>
        <w:rPr>
          <w:rFonts w:hint="eastAsia" w:ascii="仿宋" w:hAnsi="仿宋" w:eastAsia="仿宋"/>
          <w:color w:val="000000" w:themeColor="text1"/>
          <w:sz w:val="32"/>
          <w:szCs w:val="32"/>
        </w:rPr>
        <w:t>指三支一扶人员的工资和社保单位部份支出。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5、一般公共服务（类）组织事务（款）一般行政管理事务（项）:</w:t>
      </w:r>
      <w:r>
        <w:rPr>
          <w:rFonts w:hint="eastAsia" w:ascii="仿宋" w:hAnsi="仿宋" w:eastAsia="仿宋"/>
          <w:color w:val="000000" w:themeColor="text1"/>
          <w:sz w:val="32"/>
          <w:szCs w:val="32"/>
        </w:rPr>
        <w:t>指省市两优一先奖励支出。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6、文化体育与传媒（类）文化（款）其他文化支出（项）:</w:t>
      </w:r>
      <w:r>
        <w:rPr>
          <w:rFonts w:hint="eastAsia" w:ascii="仿宋" w:hAnsi="仿宋" w:eastAsia="仿宋"/>
          <w:color w:val="000000" w:themeColor="text1"/>
          <w:sz w:val="32"/>
          <w:szCs w:val="32"/>
        </w:rPr>
        <w:t>指文化工作方面的支出。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7、文化体育与传媒（类）新闻出版广播影视（款）其他新闻出版与广播影视支出（项）:</w:t>
      </w:r>
      <w:r>
        <w:rPr>
          <w:rFonts w:hint="eastAsia" w:ascii="仿宋" w:hAnsi="仿宋" w:eastAsia="仿宋"/>
          <w:color w:val="000000" w:themeColor="text1"/>
          <w:sz w:val="32"/>
          <w:szCs w:val="32"/>
        </w:rPr>
        <w:t>指广播工作方面的支出。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8、文化体育与传媒（类）其他文化体育与传媒支出（款）其他文化体育与传媒支出（项）:</w:t>
      </w:r>
      <w:r>
        <w:rPr>
          <w:rFonts w:hint="eastAsia" w:ascii="仿宋" w:hAnsi="仿宋" w:eastAsia="仿宋"/>
          <w:color w:val="000000" w:themeColor="text1"/>
          <w:sz w:val="32"/>
          <w:szCs w:val="32"/>
        </w:rPr>
        <w:t>指免费文化站开放工作支出。</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w:t>
      </w:r>
      <w:r>
        <w:rPr>
          <w:rStyle w:val="7"/>
          <w:rFonts w:hint="eastAsia" w:ascii="仿宋" w:hAnsi="仿宋" w:eastAsia="仿宋"/>
          <w:b w:val="0"/>
          <w:color w:val="000000" w:themeColor="text1"/>
          <w:sz w:val="32"/>
          <w:szCs w:val="32"/>
        </w:rPr>
        <w:t>9、社会保障和就业（类）人力资源与社会保障管理事务（款）劳动保障监察（项）:</w:t>
      </w:r>
      <w:r>
        <w:rPr>
          <w:rFonts w:hint="eastAsia" w:ascii="仿宋" w:hAnsi="仿宋" w:eastAsia="仿宋"/>
          <w:color w:val="000000" w:themeColor="text1"/>
          <w:sz w:val="32"/>
          <w:szCs w:val="32"/>
        </w:rPr>
        <w:t>镇劳保人员的工资津贴和劳保工作正常运转支出。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10、社会保障和就业（类）民政管理各务（款）基层政权和社区建设（项）:</w:t>
      </w:r>
      <w:r>
        <w:rPr>
          <w:rFonts w:hint="eastAsia" w:ascii="仿宋" w:hAnsi="仿宋" w:eastAsia="仿宋"/>
          <w:color w:val="000000" w:themeColor="text1"/>
          <w:sz w:val="32"/>
          <w:szCs w:val="32"/>
        </w:rPr>
        <w:t>指社区工作人员的报酬的社保、社区办公经费等支出。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11、社会保障和就业（类）行政事业单位离退休（款）未归口管理的行政单位离退休（项）:</w:t>
      </w:r>
      <w:r>
        <w:rPr>
          <w:rFonts w:hint="eastAsia" w:ascii="仿宋" w:hAnsi="仿宋" w:eastAsia="仿宋"/>
          <w:color w:val="000000" w:themeColor="text1"/>
          <w:sz w:val="32"/>
          <w:szCs w:val="32"/>
        </w:rPr>
        <w:t>指退休行政人员慰问费支出。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12、社会保障和就业（类）行政事业单位离退休（款）机关事业单位基本养老保险缴费支出（项）:</w:t>
      </w:r>
      <w:r>
        <w:rPr>
          <w:rFonts w:hint="eastAsia" w:ascii="仿宋" w:hAnsi="仿宋" w:eastAsia="仿宋"/>
          <w:color w:val="000000" w:themeColor="text1"/>
          <w:sz w:val="32"/>
          <w:szCs w:val="32"/>
        </w:rPr>
        <w:t>指镇政府在职人员的基本养老保险单位部份支出。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13、社会保障和就业（类）行政事业单位离退休（款）其他行政事业单位离退休支出（项）:</w:t>
      </w:r>
      <w:r>
        <w:rPr>
          <w:rFonts w:hint="eastAsia" w:ascii="仿宋" w:hAnsi="仿宋" w:eastAsia="仿宋"/>
          <w:color w:val="000000" w:themeColor="text1"/>
          <w:sz w:val="32"/>
          <w:szCs w:val="32"/>
        </w:rPr>
        <w:t>指退休事业人员的慰问费支出。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14、社会保障和就业（类）抚恤（款）死亡抚恤（项）:</w:t>
      </w:r>
      <w:r>
        <w:rPr>
          <w:rFonts w:hint="eastAsia" w:ascii="仿宋" w:hAnsi="仿宋" w:eastAsia="仿宋"/>
          <w:color w:val="000000" w:themeColor="text1"/>
          <w:sz w:val="32"/>
          <w:szCs w:val="32"/>
        </w:rPr>
        <w:t>指退休人员死亡后的扶恤金和丧葬费支出。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15、社会保障和就业（类）抚恤（款）在镇复员退伍军人生活补助（项）:</w:t>
      </w:r>
      <w:r>
        <w:rPr>
          <w:rFonts w:hint="eastAsia" w:ascii="仿宋" w:hAnsi="仿宋" w:eastAsia="仿宋"/>
          <w:color w:val="000000" w:themeColor="text1"/>
          <w:sz w:val="32"/>
          <w:szCs w:val="32"/>
        </w:rPr>
        <w:t>指在镇复员退伍军人的一次性生活补贴支出。</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16、</w:t>
      </w:r>
      <w:r>
        <w:rPr>
          <w:rStyle w:val="7"/>
          <w:rFonts w:hint="eastAsia" w:ascii="仿宋" w:hAnsi="仿宋" w:eastAsia="仿宋"/>
          <w:b w:val="0"/>
          <w:color w:val="000000" w:themeColor="text1"/>
          <w:sz w:val="32"/>
          <w:szCs w:val="32"/>
        </w:rPr>
        <w:t>社会保障和就业（类）抚恤（款）其他优抚支出（项）:</w:t>
      </w:r>
      <w:r>
        <w:rPr>
          <w:rFonts w:hint="eastAsia" w:ascii="仿宋" w:hAnsi="仿宋" w:eastAsia="仿宋"/>
          <w:color w:val="000000" w:themeColor="text1"/>
          <w:sz w:val="32"/>
          <w:szCs w:val="32"/>
        </w:rPr>
        <w:t>遗嘱补助支出。</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17、</w:t>
      </w:r>
      <w:r>
        <w:rPr>
          <w:rStyle w:val="7"/>
          <w:rFonts w:hint="eastAsia" w:ascii="仿宋" w:hAnsi="仿宋" w:eastAsia="仿宋"/>
          <w:b w:val="0"/>
          <w:color w:val="000000" w:themeColor="text1"/>
          <w:sz w:val="32"/>
          <w:szCs w:val="32"/>
        </w:rPr>
        <w:t>社会保障和就业（类）自然灾害生活救助（款）地方自然灾害生活补助（项）:</w:t>
      </w:r>
      <w:r>
        <w:rPr>
          <w:rFonts w:hint="eastAsia" w:ascii="仿宋" w:hAnsi="仿宋" w:eastAsia="仿宋"/>
          <w:color w:val="000000" w:themeColor="text1"/>
          <w:sz w:val="32"/>
          <w:szCs w:val="32"/>
        </w:rPr>
        <w:t>指地方自然灾害生活救助支出。</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w:t>
      </w:r>
      <w:r>
        <w:rPr>
          <w:rStyle w:val="7"/>
          <w:rFonts w:hint="eastAsia" w:ascii="仿宋" w:hAnsi="仿宋" w:eastAsia="仿宋"/>
          <w:b w:val="0"/>
          <w:color w:val="000000" w:themeColor="text1"/>
          <w:sz w:val="32"/>
          <w:szCs w:val="32"/>
        </w:rPr>
        <w:t>18、医疗卫生与计划生育（类）医疗保障（款）行政单位医疗（项）:</w:t>
      </w:r>
      <w:r>
        <w:rPr>
          <w:rFonts w:hint="eastAsia" w:ascii="仿宋" w:hAnsi="仿宋" w:eastAsia="仿宋"/>
          <w:color w:val="000000" w:themeColor="text1"/>
          <w:sz w:val="32"/>
          <w:szCs w:val="32"/>
        </w:rPr>
        <w:t>指在职人员的医保单位部份支出。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19、医疗卫生与计划生育（类）计划生育事务（款）其他计划生育事务支出（项）:</w:t>
      </w:r>
      <w:r>
        <w:rPr>
          <w:rFonts w:hint="eastAsia" w:ascii="仿宋" w:hAnsi="仿宋" w:eastAsia="仿宋"/>
          <w:color w:val="000000" w:themeColor="text1"/>
          <w:sz w:val="32"/>
          <w:szCs w:val="32"/>
        </w:rPr>
        <w:t>指计生人员的工资津贴支出和计生工作正常开展支出。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20、农林水（类）农业（款）事业运行（项）:</w:t>
      </w:r>
      <w:r>
        <w:rPr>
          <w:rFonts w:hint="eastAsia" w:ascii="仿宋" w:hAnsi="仿宋" w:eastAsia="仿宋"/>
          <w:color w:val="000000" w:themeColor="text1"/>
          <w:sz w:val="32"/>
          <w:szCs w:val="32"/>
        </w:rPr>
        <w:t>指农林水人员的工资津贴支出和农业工作正常开展支出。</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21、</w:t>
      </w:r>
      <w:r>
        <w:rPr>
          <w:rStyle w:val="7"/>
          <w:rFonts w:hint="eastAsia" w:ascii="仿宋" w:hAnsi="仿宋" w:eastAsia="仿宋"/>
          <w:b w:val="0"/>
          <w:color w:val="000000" w:themeColor="text1"/>
          <w:sz w:val="32"/>
          <w:szCs w:val="32"/>
        </w:rPr>
        <w:t>农林水（类）农业（款）农村道路建设（项）:</w:t>
      </w:r>
      <w:r>
        <w:rPr>
          <w:rFonts w:hint="eastAsia" w:ascii="仿宋" w:hAnsi="仿宋" w:eastAsia="仿宋"/>
          <w:color w:val="000000" w:themeColor="text1"/>
          <w:sz w:val="32"/>
          <w:szCs w:val="32"/>
        </w:rPr>
        <w:t>指镇交通管理站工作支出和交通协管员补助支出。</w:t>
      </w:r>
      <w:r>
        <w:rPr>
          <w:rFonts w:hint="eastAsia" w:ascii="仿宋" w:hAnsi="仿宋" w:eastAsia="仿宋"/>
          <w:color w:val="000000" w:themeColor="text1"/>
          <w:sz w:val="32"/>
          <w:szCs w:val="32"/>
        </w:rPr>
        <w:br w:type="textWrapping"/>
      </w:r>
      <w:r>
        <w:rPr>
          <w:rFonts w:hint="eastAsia" w:ascii="仿宋" w:hAnsi="仿宋" w:eastAsia="仿宋"/>
          <w:color w:val="000000" w:themeColor="text1"/>
          <w:sz w:val="32"/>
          <w:szCs w:val="32"/>
        </w:rPr>
        <w:t>　　22、</w:t>
      </w:r>
      <w:r>
        <w:rPr>
          <w:rStyle w:val="7"/>
          <w:rFonts w:hint="eastAsia" w:ascii="仿宋" w:hAnsi="仿宋" w:eastAsia="仿宋"/>
          <w:b w:val="0"/>
          <w:color w:val="000000" w:themeColor="text1"/>
          <w:sz w:val="32"/>
          <w:szCs w:val="32"/>
        </w:rPr>
        <w:t>农林水（类）农业（款）对高校毕业生到基层任职补助（项）:</w:t>
      </w:r>
      <w:r>
        <w:rPr>
          <w:rFonts w:hint="eastAsia" w:ascii="仿宋" w:hAnsi="仿宋" w:eastAsia="仿宋"/>
          <w:color w:val="000000" w:themeColor="text1"/>
          <w:sz w:val="32"/>
          <w:szCs w:val="32"/>
        </w:rPr>
        <w:t>指大学生村官到村任职生活补助支出和社保支出。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23、农林水（类）扶贫（款）其他扶贫支出（项）:</w:t>
      </w:r>
      <w:r>
        <w:rPr>
          <w:rFonts w:hint="eastAsia" w:ascii="仿宋" w:hAnsi="仿宋" w:eastAsia="仿宋"/>
          <w:color w:val="000000" w:themeColor="text1"/>
          <w:sz w:val="32"/>
          <w:szCs w:val="32"/>
        </w:rPr>
        <w:t>指精准扶贫易地搬迁贫困户补助支出。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24、农林水（类）农村综合改革（款）对村级一事一议补助（项）:</w:t>
      </w:r>
      <w:r>
        <w:rPr>
          <w:rFonts w:hint="eastAsia" w:ascii="仿宋" w:hAnsi="仿宋" w:eastAsia="仿宋"/>
          <w:color w:val="000000" w:themeColor="text1"/>
          <w:sz w:val="32"/>
          <w:szCs w:val="32"/>
        </w:rPr>
        <w:t>指对村通过一事一议硬化机耕道的补助支出。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25、农林水（类）农村综合改革（款）对村民委员会和村党支部的补助（项）:</w:t>
      </w:r>
      <w:r>
        <w:rPr>
          <w:rFonts w:hint="eastAsia" w:ascii="仿宋" w:hAnsi="仿宋" w:eastAsia="仿宋"/>
          <w:color w:val="000000" w:themeColor="text1"/>
          <w:sz w:val="32"/>
          <w:szCs w:val="32"/>
        </w:rPr>
        <w:t>指村组干部报酬支出。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26、农林水（类）农村综合改革（款）农村综合改革示范试点补助（项）:指</w:t>
      </w:r>
      <w:r>
        <w:rPr>
          <w:rFonts w:hint="eastAsia" w:ascii="仿宋" w:hAnsi="仿宋" w:eastAsia="仿宋"/>
          <w:color w:val="000000" w:themeColor="text1"/>
          <w:sz w:val="32"/>
          <w:szCs w:val="32"/>
        </w:rPr>
        <w:t>用于农村公共设施运行维护支出。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27、资源勘探信息等支出（类）安全生产监管（款）安全监管监察专项（项）:</w:t>
      </w:r>
      <w:r>
        <w:rPr>
          <w:rFonts w:hint="eastAsia" w:ascii="仿宋" w:hAnsi="仿宋" w:eastAsia="仿宋"/>
          <w:color w:val="000000" w:themeColor="text1"/>
          <w:sz w:val="32"/>
          <w:szCs w:val="32"/>
        </w:rPr>
        <w:t>指安监员生活补助及开展安全工作支出。</w:t>
      </w:r>
    </w:p>
    <w:p>
      <w:pPr>
        <w:spacing w:line="600" w:lineRule="exact"/>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28、资源勘探信息等支出（类）安全生产监管（款）其他安全生产监管支出（项）:</w:t>
      </w:r>
      <w:r>
        <w:rPr>
          <w:rFonts w:hint="eastAsia" w:ascii="仿宋" w:hAnsi="仿宋" w:eastAsia="仿宋"/>
          <w:color w:val="000000" w:themeColor="text1"/>
          <w:sz w:val="32"/>
          <w:szCs w:val="32"/>
        </w:rPr>
        <w:t>指用于社区安全建设支出。</w:t>
      </w:r>
    </w:p>
    <w:p>
      <w:pPr>
        <w:ind w:firstLine="640" w:firstLineChars="200"/>
        <w:rPr>
          <w:rFonts w:ascii="仿宋" w:hAnsi="仿宋" w:eastAsia="仿宋"/>
          <w:color w:val="000000" w:themeColor="text1"/>
          <w:sz w:val="32"/>
          <w:szCs w:val="32"/>
        </w:rPr>
      </w:pPr>
      <w:r>
        <w:rPr>
          <w:rStyle w:val="7"/>
          <w:rFonts w:hint="eastAsia" w:ascii="仿宋" w:hAnsi="仿宋" w:eastAsia="仿宋"/>
          <w:b w:val="0"/>
          <w:color w:val="000000" w:themeColor="text1"/>
          <w:sz w:val="32"/>
          <w:szCs w:val="32"/>
        </w:rPr>
        <w:t>29、住房保障支出（类）住房改革支出（款）住房公积金（项）:</w:t>
      </w:r>
      <w:r>
        <w:rPr>
          <w:rFonts w:hint="eastAsia" w:ascii="仿宋" w:hAnsi="仿宋" w:eastAsia="仿宋"/>
          <w:color w:val="000000" w:themeColor="text1"/>
          <w:sz w:val="32"/>
          <w:szCs w:val="32"/>
        </w:rPr>
        <w:t>指用于职工的住房公积金单位部份支出。</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30.结余分配：指事业单位按规定提取的职工福利基金、事业基金和缴纳的所得税，以及建设单位按规定应交回的基本建设竣工项目结余资金。</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31.年末结转和结余：指本年度或以前年度预算安排、因客观条件发生变化无法按原计划实施，需延迟到以后年度按有关规定继续使用的资金。</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32.基本支出：指为保障机构正常运转、完成日常工作任务而发生的人员支出和公用支出。</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33.项目支出：指在基本支出之外为完成特定行政任务和事业发展目标所发生的支出。 </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34.经营支出：指事业单位在专业业务活动及其辅助活动之外开展非独立核算经营活动发生的支出。</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35.“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4"/>
        <w:spacing w:line="560" w:lineRule="exact"/>
        <w:ind w:firstLine="640" w:firstLineChars="200"/>
        <w:rPr>
          <w:rFonts w:hAnsi="仿宋"/>
          <w:color w:val="000000" w:themeColor="text1"/>
          <w:sz w:val="32"/>
          <w:szCs w:val="32"/>
        </w:rPr>
      </w:pPr>
      <w:r>
        <w:rPr>
          <w:rFonts w:hint="eastAsia" w:hAnsi="仿宋"/>
          <w:color w:val="000000" w:themeColor="text1"/>
          <w:sz w:val="32"/>
          <w:szCs w:val="32"/>
        </w:rPr>
        <w:t>36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2"/>
        <w:rPr>
          <w:rFonts w:ascii="仿宋" w:hAnsi="仿宋" w:eastAsia="仿宋"/>
          <w:color w:val="000000" w:themeColor="text1"/>
        </w:rPr>
      </w:pPr>
      <w:r>
        <w:rPr>
          <w:rFonts w:ascii="仿宋" w:hAnsi="仿宋" w:eastAsia="仿宋"/>
          <w:color w:val="FF0000"/>
        </w:rPr>
        <w:br w:type="page"/>
      </w:r>
      <w:r>
        <w:rPr>
          <w:rFonts w:hint="eastAsia" w:ascii="仿宋" w:hAnsi="仿宋" w:eastAsia="仿宋"/>
          <w:color w:val="000000" w:themeColor="text1"/>
        </w:rPr>
        <w:t>附件5</w:t>
      </w:r>
    </w:p>
    <w:p>
      <w:pPr>
        <w:pStyle w:val="11"/>
        <w:spacing w:beforeLines="100"/>
        <w:rPr>
          <w:rFonts w:ascii="仿宋" w:hAnsi="仿宋" w:eastAsia="仿宋"/>
          <w:color w:val="000000" w:themeColor="text1"/>
          <w:sz w:val="32"/>
          <w:szCs w:val="32"/>
        </w:rPr>
      </w:pPr>
      <w:r>
        <w:rPr>
          <w:rFonts w:hint="eastAsia" w:ascii="仿宋" w:hAnsi="仿宋" w:eastAsia="仿宋"/>
          <w:color w:val="000000" w:themeColor="text1"/>
          <w:sz w:val="32"/>
          <w:szCs w:val="32"/>
        </w:rPr>
        <w:t>黄湾镇人民政府</w:t>
      </w:r>
      <w:r>
        <w:rPr>
          <w:rFonts w:ascii="仿宋" w:hAnsi="仿宋" w:eastAsia="仿宋"/>
          <w:color w:val="000000" w:themeColor="text1"/>
          <w:sz w:val="32"/>
          <w:szCs w:val="32"/>
        </w:rPr>
        <w:t>201</w:t>
      </w:r>
      <w:r>
        <w:rPr>
          <w:rFonts w:hint="eastAsia" w:ascii="仿宋" w:hAnsi="仿宋" w:eastAsia="仿宋"/>
          <w:color w:val="000000" w:themeColor="text1"/>
          <w:sz w:val="32"/>
          <w:szCs w:val="32"/>
        </w:rPr>
        <w:t>8</w:t>
      </w:r>
      <w:r>
        <w:rPr>
          <w:rFonts w:ascii="仿宋" w:hAnsi="仿宋" w:eastAsia="仿宋"/>
          <w:color w:val="000000" w:themeColor="text1"/>
          <w:sz w:val="32"/>
          <w:szCs w:val="32"/>
        </w:rPr>
        <w:t>年部门决算公开表</w:t>
      </w:r>
    </w:p>
    <w:p>
      <w:pPr>
        <w:pStyle w:val="10"/>
        <w:rPr>
          <w:rFonts w:ascii="仿宋" w:hAnsi="仿宋" w:eastAsia="仿宋"/>
          <w:color w:val="000000" w:themeColor="text1"/>
        </w:rPr>
      </w:pPr>
    </w:p>
    <w:p>
      <w:pPr>
        <w:pStyle w:val="10"/>
        <w:rPr>
          <w:rFonts w:ascii="仿宋" w:hAnsi="仿宋" w:eastAsia="仿宋"/>
          <w:color w:val="000000" w:themeColor="text1"/>
        </w:rPr>
      </w:pPr>
      <w:r>
        <w:rPr>
          <w:rFonts w:hint="eastAsia" w:ascii="仿宋" w:hAnsi="仿宋" w:eastAsia="仿宋"/>
          <w:color w:val="000000" w:themeColor="text1"/>
        </w:rPr>
        <w:t>表1：收入支出决算总表</w:t>
      </w:r>
    </w:p>
    <w:p>
      <w:pPr>
        <w:pStyle w:val="10"/>
        <w:rPr>
          <w:rFonts w:ascii="仿宋" w:hAnsi="仿宋" w:eastAsia="仿宋"/>
          <w:color w:val="000000" w:themeColor="text1"/>
        </w:rPr>
      </w:pPr>
      <w:r>
        <w:rPr>
          <w:rFonts w:ascii="仿宋" w:hAnsi="仿宋" w:eastAsia="仿宋"/>
          <w:color w:val="000000" w:themeColor="text1"/>
        </w:rPr>
        <w:t>表</w:t>
      </w:r>
      <w:r>
        <w:rPr>
          <w:rFonts w:hint="eastAsia" w:ascii="仿宋" w:hAnsi="仿宋" w:eastAsia="仿宋"/>
          <w:color w:val="000000" w:themeColor="text1"/>
        </w:rPr>
        <w:t>2</w:t>
      </w:r>
      <w:r>
        <w:rPr>
          <w:rFonts w:ascii="仿宋" w:hAnsi="仿宋" w:eastAsia="仿宋"/>
          <w:color w:val="000000" w:themeColor="text1"/>
        </w:rPr>
        <w:t>：</w:t>
      </w:r>
      <w:r>
        <w:rPr>
          <w:rFonts w:hint="eastAsia" w:ascii="仿宋" w:hAnsi="仿宋" w:eastAsia="仿宋"/>
          <w:color w:val="000000" w:themeColor="text1"/>
        </w:rPr>
        <w:t>收入决算表</w:t>
      </w:r>
    </w:p>
    <w:p>
      <w:pPr>
        <w:pStyle w:val="10"/>
        <w:rPr>
          <w:rFonts w:ascii="仿宋" w:hAnsi="仿宋" w:eastAsia="仿宋"/>
          <w:color w:val="000000" w:themeColor="text1"/>
        </w:rPr>
      </w:pPr>
      <w:r>
        <w:rPr>
          <w:rFonts w:ascii="仿宋" w:hAnsi="仿宋" w:eastAsia="仿宋"/>
          <w:color w:val="000000" w:themeColor="text1"/>
        </w:rPr>
        <w:t>表</w:t>
      </w:r>
      <w:r>
        <w:rPr>
          <w:rFonts w:hint="eastAsia" w:ascii="仿宋" w:hAnsi="仿宋" w:eastAsia="仿宋"/>
          <w:color w:val="000000" w:themeColor="text1"/>
        </w:rPr>
        <w:t>3</w:t>
      </w:r>
      <w:r>
        <w:rPr>
          <w:rFonts w:ascii="仿宋" w:hAnsi="仿宋" w:eastAsia="仿宋"/>
          <w:color w:val="000000" w:themeColor="text1"/>
        </w:rPr>
        <w:t>：</w:t>
      </w:r>
      <w:r>
        <w:rPr>
          <w:rFonts w:hint="eastAsia" w:ascii="仿宋" w:hAnsi="仿宋" w:eastAsia="仿宋"/>
          <w:color w:val="000000" w:themeColor="text1"/>
        </w:rPr>
        <w:t>支出决算表</w:t>
      </w:r>
    </w:p>
    <w:p>
      <w:pPr>
        <w:pStyle w:val="10"/>
        <w:rPr>
          <w:rFonts w:ascii="仿宋" w:hAnsi="仿宋" w:eastAsia="仿宋"/>
          <w:color w:val="000000" w:themeColor="text1"/>
        </w:rPr>
      </w:pPr>
      <w:r>
        <w:rPr>
          <w:rFonts w:ascii="仿宋" w:hAnsi="仿宋" w:eastAsia="仿宋"/>
          <w:color w:val="000000" w:themeColor="text1"/>
        </w:rPr>
        <w:t>表</w:t>
      </w:r>
      <w:r>
        <w:rPr>
          <w:rFonts w:hint="eastAsia" w:ascii="仿宋" w:hAnsi="仿宋" w:eastAsia="仿宋"/>
          <w:color w:val="000000" w:themeColor="text1"/>
        </w:rPr>
        <w:t>4</w:t>
      </w:r>
      <w:r>
        <w:rPr>
          <w:rFonts w:ascii="仿宋" w:hAnsi="仿宋" w:eastAsia="仿宋"/>
          <w:color w:val="000000" w:themeColor="text1"/>
        </w:rPr>
        <w:t>：</w:t>
      </w:r>
      <w:r>
        <w:rPr>
          <w:rFonts w:hint="eastAsia" w:ascii="仿宋" w:hAnsi="仿宋" w:eastAsia="仿宋"/>
          <w:color w:val="000000" w:themeColor="text1"/>
        </w:rPr>
        <w:t>财政拨款收入支出决算表</w:t>
      </w:r>
    </w:p>
    <w:p>
      <w:pPr>
        <w:pStyle w:val="10"/>
        <w:rPr>
          <w:rFonts w:ascii="仿宋" w:hAnsi="仿宋" w:eastAsia="仿宋"/>
          <w:color w:val="000000" w:themeColor="text1"/>
        </w:rPr>
      </w:pPr>
      <w:r>
        <w:rPr>
          <w:rFonts w:ascii="仿宋" w:hAnsi="仿宋" w:eastAsia="仿宋"/>
          <w:color w:val="000000" w:themeColor="text1"/>
        </w:rPr>
        <w:t>表</w:t>
      </w:r>
      <w:r>
        <w:rPr>
          <w:rFonts w:hint="eastAsia" w:ascii="仿宋" w:hAnsi="仿宋" w:eastAsia="仿宋"/>
          <w:color w:val="000000" w:themeColor="text1"/>
        </w:rPr>
        <w:t>5</w:t>
      </w:r>
      <w:r>
        <w:rPr>
          <w:rFonts w:ascii="仿宋" w:hAnsi="仿宋" w:eastAsia="仿宋"/>
          <w:color w:val="000000" w:themeColor="text1"/>
        </w:rPr>
        <w:t>：</w:t>
      </w:r>
      <w:r>
        <w:rPr>
          <w:rFonts w:hint="eastAsia" w:ascii="仿宋" w:hAnsi="仿宋" w:eastAsia="仿宋"/>
          <w:color w:val="000000" w:themeColor="text1"/>
        </w:rPr>
        <w:t>一般公共预算财政拨款支出决算表</w:t>
      </w:r>
    </w:p>
    <w:p>
      <w:pPr>
        <w:pStyle w:val="10"/>
        <w:rPr>
          <w:rFonts w:ascii="仿宋" w:hAnsi="仿宋" w:eastAsia="仿宋"/>
          <w:color w:val="000000" w:themeColor="text1"/>
        </w:rPr>
      </w:pPr>
      <w:r>
        <w:rPr>
          <w:rFonts w:ascii="仿宋" w:hAnsi="仿宋" w:eastAsia="仿宋"/>
          <w:color w:val="000000" w:themeColor="text1"/>
        </w:rPr>
        <w:t>表</w:t>
      </w:r>
      <w:r>
        <w:rPr>
          <w:rFonts w:hint="eastAsia" w:ascii="仿宋" w:hAnsi="仿宋" w:eastAsia="仿宋"/>
          <w:color w:val="000000" w:themeColor="text1"/>
        </w:rPr>
        <w:t>6</w:t>
      </w:r>
      <w:r>
        <w:rPr>
          <w:rFonts w:ascii="仿宋" w:hAnsi="仿宋" w:eastAsia="仿宋"/>
          <w:color w:val="000000" w:themeColor="text1"/>
        </w:rPr>
        <w:t>：</w:t>
      </w:r>
      <w:r>
        <w:rPr>
          <w:rFonts w:hint="eastAsia" w:ascii="仿宋" w:hAnsi="仿宋" w:eastAsia="仿宋"/>
          <w:color w:val="000000" w:themeColor="text1"/>
        </w:rPr>
        <w:t>一般公共预算财政拨款支出决算明细表</w:t>
      </w:r>
    </w:p>
    <w:p>
      <w:pPr>
        <w:pStyle w:val="10"/>
        <w:rPr>
          <w:rFonts w:ascii="仿宋" w:hAnsi="仿宋" w:eastAsia="仿宋"/>
          <w:color w:val="000000" w:themeColor="text1"/>
        </w:rPr>
      </w:pPr>
      <w:r>
        <w:rPr>
          <w:rFonts w:ascii="仿宋" w:hAnsi="仿宋" w:eastAsia="仿宋"/>
          <w:color w:val="000000" w:themeColor="text1"/>
        </w:rPr>
        <w:t>表</w:t>
      </w:r>
      <w:r>
        <w:rPr>
          <w:rFonts w:hint="eastAsia" w:ascii="仿宋" w:hAnsi="仿宋" w:eastAsia="仿宋"/>
          <w:color w:val="000000" w:themeColor="text1"/>
        </w:rPr>
        <w:t>7</w:t>
      </w:r>
      <w:r>
        <w:rPr>
          <w:rFonts w:ascii="仿宋" w:hAnsi="仿宋" w:eastAsia="仿宋"/>
          <w:color w:val="000000" w:themeColor="text1"/>
        </w:rPr>
        <w:t>：</w:t>
      </w:r>
      <w:r>
        <w:rPr>
          <w:rFonts w:hint="eastAsia" w:ascii="仿宋" w:hAnsi="仿宋" w:eastAsia="仿宋"/>
          <w:color w:val="000000" w:themeColor="text1"/>
        </w:rPr>
        <w:t>一般公共预算财政拨款基本支出决算表</w:t>
      </w:r>
    </w:p>
    <w:p>
      <w:pPr>
        <w:pStyle w:val="10"/>
        <w:rPr>
          <w:rFonts w:ascii="仿宋" w:hAnsi="仿宋" w:eastAsia="仿宋"/>
          <w:color w:val="000000" w:themeColor="text1"/>
        </w:rPr>
      </w:pPr>
      <w:r>
        <w:rPr>
          <w:rFonts w:ascii="仿宋" w:hAnsi="仿宋" w:eastAsia="仿宋"/>
          <w:color w:val="000000" w:themeColor="text1"/>
        </w:rPr>
        <w:t>表</w:t>
      </w:r>
      <w:r>
        <w:rPr>
          <w:rFonts w:hint="eastAsia" w:ascii="仿宋" w:hAnsi="仿宋" w:eastAsia="仿宋"/>
          <w:color w:val="000000" w:themeColor="text1"/>
        </w:rPr>
        <w:t>8</w:t>
      </w:r>
      <w:r>
        <w:rPr>
          <w:rFonts w:ascii="仿宋" w:hAnsi="仿宋" w:eastAsia="仿宋"/>
          <w:color w:val="000000" w:themeColor="text1"/>
        </w:rPr>
        <w:t>：</w:t>
      </w:r>
      <w:r>
        <w:rPr>
          <w:rFonts w:hint="eastAsia" w:ascii="仿宋" w:hAnsi="仿宋" w:eastAsia="仿宋"/>
          <w:color w:val="000000" w:themeColor="text1"/>
        </w:rPr>
        <w:t>一般公共预算财政拨款项目支出决算表</w:t>
      </w:r>
    </w:p>
    <w:p>
      <w:pPr>
        <w:pStyle w:val="10"/>
        <w:rPr>
          <w:rFonts w:ascii="仿宋" w:hAnsi="仿宋" w:eastAsia="仿宋"/>
          <w:color w:val="000000" w:themeColor="text1"/>
        </w:rPr>
      </w:pPr>
      <w:r>
        <w:rPr>
          <w:rFonts w:ascii="仿宋" w:hAnsi="仿宋" w:eastAsia="仿宋"/>
          <w:color w:val="000000" w:themeColor="text1"/>
        </w:rPr>
        <w:t>表9：</w:t>
      </w:r>
      <w:r>
        <w:rPr>
          <w:rFonts w:hint="eastAsia" w:ascii="仿宋" w:hAnsi="仿宋" w:eastAsia="仿宋"/>
          <w:color w:val="000000" w:themeColor="text1"/>
        </w:rPr>
        <w:t>一般公共预算财政拨款“三公”经费支出决算表</w:t>
      </w:r>
    </w:p>
    <w:p>
      <w:pPr>
        <w:pStyle w:val="10"/>
        <w:rPr>
          <w:rFonts w:ascii="仿宋" w:hAnsi="仿宋" w:eastAsia="仿宋"/>
          <w:color w:val="000000" w:themeColor="text1"/>
        </w:rPr>
      </w:pPr>
      <w:r>
        <w:rPr>
          <w:rFonts w:ascii="仿宋" w:hAnsi="仿宋" w:eastAsia="仿宋"/>
          <w:color w:val="000000" w:themeColor="text1"/>
        </w:rPr>
        <w:t>表10：</w:t>
      </w:r>
      <w:r>
        <w:rPr>
          <w:rFonts w:hint="eastAsia" w:ascii="仿宋" w:hAnsi="仿宋" w:eastAsia="仿宋"/>
          <w:color w:val="000000" w:themeColor="text1"/>
        </w:rPr>
        <w:t>政府性基金预算财政拨款收入支出决算表</w:t>
      </w:r>
    </w:p>
    <w:p>
      <w:pPr>
        <w:pStyle w:val="10"/>
        <w:rPr>
          <w:rFonts w:ascii="仿宋" w:hAnsi="仿宋" w:eastAsia="仿宋"/>
          <w:color w:val="000000" w:themeColor="text1"/>
        </w:rPr>
      </w:pPr>
      <w:r>
        <w:rPr>
          <w:rFonts w:ascii="仿宋" w:hAnsi="仿宋" w:eastAsia="仿宋"/>
          <w:color w:val="000000" w:themeColor="text1"/>
        </w:rPr>
        <w:t>表11：</w:t>
      </w:r>
      <w:r>
        <w:rPr>
          <w:rFonts w:hint="eastAsia" w:ascii="仿宋" w:hAnsi="仿宋" w:eastAsia="仿宋"/>
          <w:color w:val="000000" w:themeColor="text1"/>
        </w:rPr>
        <w:t>政府性基金预算财政拨款“三公”经费支出决算表</w:t>
      </w:r>
    </w:p>
    <w:p>
      <w:pPr>
        <w:pStyle w:val="10"/>
        <w:rPr>
          <w:rFonts w:ascii="仿宋" w:hAnsi="仿宋" w:eastAsia="仿宋"/>
          <w:color w:val="000000" w:themeColor="text1"/>
        </w:rPr>
      </w:pPr>
      <w:r>
        <w:rPr>
          <w:rFonts w:ascii="仿宋" w:hAnsi="仿宋" w:eastAsia="仿宋"/>
          <w:color w:val="000000" w:themeColor="text1"/>
        </w:rPr>
        <w:t>表12：</w:t>
      </w:r>
      <w:r>
        <w:rPr>
          <w:rFonts w:hint="eastAsia" w:ascii="仿宋" w:hAnsi="仿宋" w:eastAsia="仿宋"/>
          <w:color w:val="000000" w:themeColor="text1"/>
        </w:rPr>
        <w:t>国有资本经营预算支出决算表</w:t>
      </w:r>
    </w:p>
    <w:p>
      <w:pPr>
        <w:rPr>
          <w:rFonts w:ascii="仿宋" w:hAnsi="仿宋" w:eastAsia="仿宋"/>
          <w:color w:val="FF0000"/>
        </w:rPr>
      </w:pPr>
    </w:p>
    <w:p>
      <w:pPr>
        <w:rPr>
          <w:rFonts w:ascii="仿宋" w:hAnsi="仿宋" w:eastAsia="仿宋"/>
          <w:color w:val="FF0000"/>
        </w:rPr>
      </w:pPr>
    </w:p>
    <w:p>
      <w:pPr>
        <w:rPr>
          <w:color w:val="FF0000"/>
        </w:rPr>
      </w:pPr>
      <w:r>
        <w:rPr>
          <w:color w:val="FF0000"/>
        </w:rPr>
        <w:drawing>
          <wp:anchor distT="0" distB="0" distL="114300" distR="114300" simplePos="0" relativeHeight="251666432" behindDoc="0" locked="0" layoutInCell="1" allowOverlap="1">
            <wp:simplePos x="0" y="0"/>
            <wp:positionH relativeFrom="column">
              <wp:posOffset>1275080</wp:posOffset>
            </wp:positionH>
            <wp:positionV relativeFrom="paragraph">
              <wp:posOffset>7961630</wp:posOffset>
            </wp:positionV>
            <wp:extent cx="5615940" cy="2362200"/>
            <wp:effectExtent l="0" t="0" r="0" b="0"/>
            <wp:wrapNone/>
            <wp:docPr id="17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0"/>
                    <pic:cNvPicPr>
                      <a:picLocks noChangeAspect="1" noChangeArrowheads="1"/>
                    </pic:cNvPicPr>
                  </pic:nvPicPr>
                  <pic:blipFill>
                    <a:blip r:embed="rId9"/>
                    <a:srcRect/>
                    <a:stretch>
                      <a:fillRect/>
                    </a:stretch>
                  </pic:blipFill>
                  <pic:spPr>
                    <a:xfrm>
                      <a:off x="0" y="0"/>
                      <a:ext cx="5615940" cy="2362200"/>
                    </a:xfrm>
                    <a:prstGeom prst="rect">
                      <a:avLst/>
                    </a:prstGeom>
                    <a:noFill/>
                    <a:ln w="9525" cmpd="sng">
                      <a:noFill/>
                      <a:miter lim="800000"/>
                      <a:headEnd/>
                      <a:tailEnd/>
                    </a:ln>
                  </pic:spPr>
                </pic:pic>
              </a:graphicData>
            </a:graphic>
          </wp:anchor>
        </w:drawing>
      </w:r>
    </w:p>
    <w:sectPr>
      <w:headerReference r:id="rId3" w:type="default"/>
      <w:footerReference r:id="rId5" w:type="default"/>
      <w:headerReference r:id="rId4" w:type="even"/>
      <w:footerReference r:id="rId6" w:type="even"/>
      <w:pgSz w:w="11906" w:h="16838"/>
      <w:pgMar w:top="2041" w:right="1474" w:bottom="1474" w:left="1474" w:header="1134"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11" w:rightChars="148"/>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19</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2" w:firstLineChars="101"/>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D1FC2"/>
    <w:multiLevelType w:val="multilevel"/>
    <w:tmpl w:val="483D1FC2"/>
    <w:lvl w:ilvl="0" w:tentative="0">
      <w:start w:val="7"/>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4D5A"/>
    <w:rsid w:val="000352A3"/>
    <w:rsid w:val="00096EFB"/>
    <w:rsid w:val="00171349"/>
    <w:rsid w:val="001D3CCE"/>
    <w:rsid w:val="001D702C"/>
    <w:rsid w:val="00237D55"/>
    <w:rsid w:val="00256A5B"/>
    <w:rsid w:val="00270F54"/>
    <w:rsid w:val="002770AF"/>
    <w:rsid w:val="00280C22"/>
    <w:rsid w:val="002A3475"/>
    <w:rsid w:val="002A545B"/>
    <w:rsid w:val="003218BA"/>
    <w:rsid w:val="00334FAA"/>
    <w:rsid w:val="00342085"/>
    <w:rsid w:val="00346361"/>
    <w:rsid w:val="0037609C"/>
    <w:rsid w:val="0038419B"/>
    <w:rsid w:val="003D0DDB"/>
    <w:rsid w:val="00414F4E"/>
    <w:rsid w:val="004A2098"/>
    <w:rsid w:val="004A7124"/>
    <w:rsid w:val="00521AD1"/>
    <w:rsid w:val="005470C6"/>
    <w:rsid w:val="00563392"/>
    <w:rsid w:val="00594352"/>
    <w:rsid w:val="006262E2"/>
    <w:rsid w:val="006503B1"/>
    <w:rsid w:val="006B1E5D"/>
    <w:rsid w:val="006E5453"/>
    <w:rsid w:val="00712086"/>
    <w:rsid w:val="00742405"/>
    <w:rsid w:val="00742D90"/>
    <w:rsid w:val="00754B52"/>
    <w:rsid w:val="00754D5A"/>
    <w:rsid w:val="007712FD"/>
    <w:rsid w:val="007767D7"/>
    <w:rsid w:val="007A0E64"/>
    <w:rsid w:val="007C0213"/>
    <w:rsid w:val="007F0DD0"/>
    <w:rsid w:val="00816F9C"/>
    <w:rsid w:val="00834C66"/>
    <w:rsid w:val="00876A9D"/>
    <w:rsid w:val="008F3AA1"/>
    <w:rsid w:val="00901F86"/>
    <w:rsid w:val="00914C59"/>
    <w:rsid w:val="009408F4"/>
    <w:rsid w:val="00970391"/>
    <w:rsid w:val="009D4F75"/>
    <w:rsid w:val="00A27BAC"/>
    <w:rsid w:val="00AB466A"/>
    <w:rsid w:val="00B07BBF"/>
    <w:rsid w:val="00B223FA"/>
    <w:rsid w:val="00B3109A"/>
    <w:rsid w:val="00B905D4"/>
    <w:rsid w:val="00B95560"/>
    <w:rsid w:val="00BC7F31"/>
    <w:rsid w:val="00BF517F"/>
    <w:rsid w:val="00BF6441"/>
    <w:rsid w:val="00BF7B10"/>
    <w:rsid w:val="00C15941"/>
    <w:rsid w:val="00C23EEE"/>
    <w:rsid w:val="00C959B0"/>
    <w:rsid w:val="00CD14C4"/>
    <w:rsid w:val="00D0426A"/>
    <w:rsid w:val="00D4212C"/>
    <w:rsid w:val="00D91ECB"/>
    <w:rsid w:val="00D975BE"/>
    <w:rsid w:val="00DC3194"/>
    <w:rsid w:val="00DF735C"/>
    <w:rsid w:val="00E05C96"/>
    <w:rsid w:val="00E11198"/>
    <w:rsid w:val="00E27412"/>
    <w:rsid w:val="00E928DB"/>
    <w:rsid w:val="00EC17F7"/>
    <w:rsid w:val="00F243B8"/>
    <w:rsid w:val="00F53636"/>
    <w:rsid w:val="00FB73E7"/>
    <w:rsid w:val="00FC3397"/>
    <w:rsid w:val="00FC5C73"/>
    <w:rsid w:val="14D8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rotate="t"/>
      <v:stroke weight="0pt"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spacing w:beforeLines="30"/>
    </w:pPr>
    <w:rPr>
      <w:rFonts w:ascii="仿宋_GB2312" w:eastAsia="仿宋_GB2312"/>
      <w:kern w:val="0"/>
      <w:sz w:val="30"/>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Strong"/>
    <w:qFormat/>
    <w:uiPriority w:val="22"/>
    <w:rPr>
      <w:b/>
      <w:bCs/>
    </w:rPr>
  </w:style>
  <w:style w:type="character" w:customStyle="1" w:styleId="8">
    <w:name w:val="页眉 Char"/>
    <w:basedOn w:val="6"/>
    <w:link w:val="4"/>
    <w:semiHidden/>
    <w:uiPriority w:val="99"/>
    <w:rPr>
      <w:sz w:val="18"/>
      <w:szCs w:val="18"/>
    </w:rPr>
  </w:style>
  <w:style w:type="character" w:customStyle="1" w:styleId="9">
    <w:name w:val="页脚 Char"/>
    <w:basedOn w:val="6"/>
    <w:link w:val="3"/>
    <w:uiPriority w:val="99"/>
    <w:rPr>
      <w:sz w:val="18"/>
      <w:szCs w:val="18"/>
    </w:rPr>
  </w:style>
  <w:style w:type="paragraph" w:customStyle="1" w:styleId="10">
    <w:name w:val="〖C01〗正文"/>
    <w:basedOn w:val="1"/>
    <w:qFormat/>
    <w:uiPriority w:val="0"/>
    <w:pPr>
      <w:topLinePunct/>
      <w:spacing w:line="600" w:lineRule="exact"/>
      <w:ind w:firstLine="640" w:firstLineChars="200"/>
    </w:pPr>
    <w:rPr>
      <w:rFonts w:ascii="仿宋_GB2312" w:hAnsi="Calibri" w:eastAsia="仿宋_GB2312"/>
      <w:sz w:val="32"/>
      <w:szCs w:val="32"/>
    </w:rPr>
  </w:style>
  <w:style w:type="paragraph" w:customStyle="1" w:styleId="11">
    <w:name w:val="〖A08〗公文标题"/>
    <w:basedOn w:val="1"/>
    <w:next w:val="1"/>
    <w:qFormat/>
    <w:uiPriority w:val="0"/>
    <w:pPr>
      <w:topLinePunct/>
      <w:spacing w:line="600" w:lineRule="exact"/>
      <w:jc w:val="center"/>
    </w:pPr>
    <w:rPr>
      <w:rFonts w:ascii="方正小标宋简体" w:hAnsi="Calibri" w:eastAsia="方正小标宋简体"/>
      <w:sz w:val="44"/>
      <w:szCs w:val="22"/>
    </w:rPr>
  </w:style>
  <w:style w:type="paragraph" w:customStyle="1" w:styleId="12">
    <w:name w:val="17 附件"/>
    <w:basedOn w:val="1"/>
    <w:next w:val="1"/>
    <w:uiPriority w:val="0"/>
    <w:pPr>
      <w:spacing w:line="600" w:lineRule="exact"/>
      <w:jc w:val="left"/>
    </w:pPr>
    <w:rPr>
      <w:rFonts w:ascii="黑体" w:hAnsi="Calibri" w:eastAsia="黑体"/>
      <w:sz w:val="32"/>
      <w:szCs w:val="32"/>
    </w:rPr>
  </w:style>
  <w:style w:type="character" w:customStyle="1" w:styleId="13">
    <w:name w:val="正文文本 Char"/>
    <w:basedOn w:val="6"/>
    <w:link w:val="2"/>
    <w:qFormat/>
    <w:uiPriority w:val="0"/>
    <w:rPr>
      <w:rFonts w:ascii="仿宋_GB2312" w:hAnsi="Times New Roman" w:eastAsia="仿宋_GB2312" w:cs="Times New Roman"/>
      <w:kern w:val="0"/>
      <w:sz w:val="30"/>
      <w:szCs w:val="24"/>
    </w:rPr>
  </w:style>
  <w:style w:type="paragraph" w:customStyle="1" w:styleId="14">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15">
    <w:name w:val="四号正文"/>
    <w:basedOn w:val="1"/>
    <w:link w:val="16"/>
    <w:qFormat/>
    <w:uiPriority w:val="0"/>
    <w:pPr>
      <w:spacing w:line="360" w:lineRule="auto"/>
    </w:pPr>
    <w:rPr>
      <w:rFonts w:ascii="??" w:hAnsi="??" w:cs="宋体"/>
      <w:color w:val="000000"/>
      <w:kern w:val="0"/>
      <w:sz w:val="28"/>
      <w:szCs w:val="21"/>
    </w:rPr>
  </w:style>
  <w:style w:type="character" w:customStyle="1" w:styleId="16">
    <w:name w:val="四号正文 Char"/>
    <w:basedOn w:val="6"/>
    <w:link w:val="15"/>
    <w:qFormat/>
    <w:locked/>
    <w:uiPriority w:val="0"/>
    <w:rPr>
      <w:rFonts w:ascii="??" w:hAnsi="??" w:eastAsia="宋体" w:cs="宋体"/>
      <w:color w:val="000000"/>
      <w:kern w:val="0"/>
      <w:sz w:val="28"/>
      <w:szCs w:val="21"/>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3"/>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220"/>
    <customShpInfo spid="_x0000_s2051"/>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67"/>
    <customShpInfo spid="_x0000_s2136"/>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35"/>
    <customShpInfo spid="_x0000_s2084"/>
    <customShpInfo spid="_x0000_s2085"/>
    <customShpInfo spid="_x0000_s2087"/>
    <customShpInfo spid="_x0000_s2086"/>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083"/>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1815</Words>
  <Characters>10347</Characters>
  <Lines>86</Lines>
  <Paragraphs>24</Paragraphs>
  <TotalTime>954</TotalTime>
  <ScaleCrop>false</ScaleCrop>
  <LinksUpToDate>false</LinksUpToDate>
  <CharactersWithSpaces>12138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2019-10-18T01:39:00Z</dcterms:created>
  <dc:creator>Administrator</dc:creator>
  <cp:lastModifiedBy>Administrator</cp:lastModifiedBy>
  <dcterms:modified xsi:type="dcterms:W3CDTF">2019-10-23T07:50:37Z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