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5BA" w:rsidRPr="004135E8" w:rsidRDefault="003875BA" w:rsidP="003875BA">
      <w:pPr>
        <w:spacing w:line="360" w:lineRule="auto"/>
        <w:rPr>
          <w:color w:val="000000" w:themeColor="text1"/>
        </w:rPr>
      </w:pPr>
    </w:p>
    <w:p w:rsidR="003875BA" w:rsidRPr="004135E8" w:rsidRDefault="003875BA" w:rsidP="003875BA">
      <w:pPr>
        <w:spacing w:line="360" w:lineRule="auto"/>
        <w:jc w:val="center"/>
        <w:rPr>
          <w:rFonts w:ascii="方正小标宋简体" w:eastAsia="方正小标宋简体" w:hAnsi="宋体"/>
          <w:color w:val="000000" w:themeColor="text1"/>
          <w:sz w:val="44"/>
          <w:szCs w:val="44"/>
        </w:rPr>
      </w:pPr>
      <w:r w:rsidRPr="004135E8">
        <w:rPr>
          <w:rFonts w:ascii="方正小标宋简体" w:eastAsia="方正小标宋简体" w:hAnsi="宋体" w:hint="eastAsia"/>
          <w:color w:val="000000" w:themeColor="text1"/>
          <w:sz w:val="44"/>
          <w:szCs w:val="44"/>
        </w:rPr>
        <w:t>四川省乐山市峨眉山市双福镇人民政府</w:t>
      </w:r>
    </w:p>
    <w:p w:rsidR="003875BA" w:rsidRPr="004135E8" w:rsidRDefault="009E26DC" w:rsidP="003875BA">
      <w:pPr>
        <w:spacing w:line="360" w:lineRule="auto"/>
        <w:jc w:val="center"/>
        <w:rPr>
          <w:rFonts w:ascii="方正小标宋简体" w:eastAsia="方正小标宋简体" w:hAnsi="宋体"/>
          <w:color w:val="000000" w:themeColor="text1"/>
          <w:sz w:val="44"/>
          <w:szCs w:val="44"/>
        </w:rPr>
      </w:pPr>
      <w:r>
        <w:rPr>
          <w:rFonts w:ascii="方正小标宋简体" w:eastAsia="方正小标宋简体" w:hAnsi="宋体" w:hint="eastAsia"/>
          <w:color w:val="000000" w:themeColor="text1"/>
          <w:sz w:val="44"/>
          <w:szCs w:val="44"/>
        </w:rPr>
        <w:t>2018</w:t>
      </w:r>
      <w:r w:rsidR="003875BA" w:rsidRPr="004135E8">
        <w:rPr>
          <w:rFonts w:ascii="方正小标宋简体" w:eastAsia="方正小标宋简体" w:hAnsi="宋体" w:hint="eastAsia"/>
          <w:color w:val="000000" w:themeColor="text1"/>
          <w:sz w:val="44"/>
          <w:szCs w:val="44"/>
        </w:rPr>
        <w:t>年部门决算编制说明</w:t>
      </w:r>
    </w:p>
    <w:p w:rsidR="003875BA" w:rsidRPr="004135E8" w:rsidRDefault="003875BA" w:rsidP="003875BA">
      <w:pPr>
        <w:spacing w:line="360" w:lineRule="auto"/>
        <w:jc w:val="center"/>
        <w:rPr>
          <w:rFonts w:ascii="宋体" w:hAnsi="宋体"/>
          <w:b/>
          <w:color w:val="000000" w:themeColor="text1"/>
          <w:sz w:val="44"/>
          <w:szCs w:val="44"/>
        </w:rPr>
      </w:pPr>
    </w:p>
    <w:p w:rsidR="003875BA" w:rsidRPr="004135E8" w:rsidRDefault="003875BA" w:rsidP="003875BA">
      <w:pPr>
        <w:spacing w:line="600" w:lineRule="exact"/>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一、基本职能及主要工作</w:t>
      </w:r>
    </w:p>
    <w:p w:rsidR="003875BA" w:rsidRPr="004135E8" w:rsidRDefault="002A716D" w:rsidP="003875BA">
      <w:pPr>
        <w:spacing w:line="580" w:lineRule="exact"/>
        <w:ind w:firstLineChars="200" w:firstLine="640"/>
        <w:rPr>
          <w:bCs/>
          <w:color w:val="000000" w:themeColor="text1"/>
          <w:sz w:val="32"/>
          <w:szCs w:val="32"/>
        </w:rPr>
      </w:pPr>
      <w:r w:rsidRPr="004135E8">
        <w:rPr>
          <w:rFonts w:hint="eastAsia"/>
          <w:bCs/>
          <w:color w:val="000000" w:themeColor="text1"/>
          <w:sz w:val="32"/>
          <w:szCs w:val="32"/>
        </w:rPr>
        <w:t>（一）主要职能</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1.</w:t>
      </w:r>
      <w:r w:rsidRPr="004135E8">
        <w:rPr>
          <w:rFonts w:ascii="仿宋_GB2312" w:eastAsia="仿宋_GB2312" w:hint="eastAsia"/>
          <w:color w:val="000000" w:themeColor="text1"/>
          <w:sz w:val="32"/>
          <w:szCs w:val="32"/>
        </w:rPr>
        <w:t>落实政策。宣传、落实好党的路线、方针、政策和国家</w:t>
      </w:r>
      <w:r w:rsidR="002A716D" w:rsidRPr="004135E8">
        <w:rPr>
          <w:rFonts w:ascii="仿宋_GB2312" w:eastAsia="仿宋_GB2312" w:hint="eastAsia"/>
          <w:color w:val="000000" w:themeColor="text1"/>
          <w:sz w:val="32"/>
          <w:szCs w:val="32"/>
        </w:rPr>
        <w:t>的法律、法规，稳定农村基本经济制度，坚持依法行政，推行政务公开。</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2.</w:t>
      </w:r>
      <w:r w:rsidRPr="004135E8">
        <w:rPr>
          <w:rFonts w:ascii="仿宋_GB2312" w:eastAsia="仿宋_GB2312" w:hint="eastAsia"/>
          <w:color w:val="000000" w:themeColor="text1"/>
          <w:sz w:val="32"/>
          <w:szCs w:val="32"/>
        </w:rPr>
        <w:t>促进发展。科学制定发展规划，营造农村经济发展环境，不断提高社会主义新农村建设水平</w:t>
      </w:r>
      <w:r w:rsidR="002A716D" w:rsidRPr="004135E8">
        <w:rPr>
          <w:rFonts w:ascii="仿宋_GB2312" w:eastAsia="仿宋_GB2312" w:hint="eastAsia"/>
          <w:color w:val="000000" w:themeColor="text1"/>
          <w:sz w:val="32"/>
          <w:szCs w:val="32"/>
        </w:rPr>
        <w:t>。</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3.</w:t>
      </w:r>
      <w:r w:rsidRPr="004135E8">
        <w:rPr>
          <w:rFonts w:ascii="仿宋_GB2312" w:eastAsia="仿宋_GB2312" w:hint="eastAsia"/>
          <w:color w:val="000000" w:themeColor="text1"/>
          <w:sz w:val="32"/>
          <w:szCs w:val="32"/>
        </w:rPr>
        <w:t>维护稳定。坚持“立党为公，执政为民”，紧紧围绕实现</w:t>
      </w:r>
      <w:r w:rsidR="002A716D" w:rsidRPr="004135E8">
        <w:rPr>
          <w:rFonts w:ascii="仿宋_GB2312" w:eastAsia="仿宋_GB2312" w:hint="eastAsia"/>
          <w:color w:val="000000" w:themeColor="text1"/>
          <w:sz w:val="32"/>
          <w:szCs w:val="32"/>
        </w:rPr>
        <w:t>和维护群众利益开展工作，切实保障农民合法权益，维护农村社会稳定。</w:t>
      </w:r>
    </w:p>
    <w:p w:rsidR="003875BA" w:rsidRPr="004135E8" w:rsidRDefault="003875BA" w:rsidP="003875BA">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4.</w:t>
      </w:r>
      <w:r w:rsidRPr="004135E8">
        <w:rPr>
          <w:rFonts w:ascii="仿宋_GB2312" w:eastAsia="仿宋_GB2312" w:hint="eastAsia"/>
          <w:color w:val="000000" w:themeColor="text1"/>
          <w:sz w:val="32"/>
          <w:szCs w:val="32"/>
        </w:rPr>
        <w:t>加强管理。加强民政、教育、科技、文化、卫生、计划生育、安全生产、劳动保障和乡村规划等社会管理，做好防灾减灾工作，加强环境</w:t>
      </w:r>
      <w:r w:rsidR="002A716D" w:rsidRPr="004135E8">
        <w:rPr>
          <w:rFonts w:ascii="仿宋_GB2312" w:eastAsia="仿宋_GB2312" w:hint="eastAsia"/>
          <w:color w:val="000000" w:themeColor="text1"/>
          <w:sz w:val="32"/>
          <w:szCs w:val="32"/>
        </w:rPr>
        <w:t>保护，努力改善农村人居环境，不断提高农村人口素质和农民生活质量。</w:t>
      </w:r>
    </w:p>
    <w:p w:rsidR="003875BA" w:rsidRPr="00AE6087" w:rsidRDefault="003875BA" w:rsidP="00AE6087">
      <w:pPr>
        <w:spacing w:line="580" w:lineRule="exact"/>
        <w:ind w:firstLineChars="200" w:firstLine="640"/>
        <w:rPr>
          <w:rFonts w:ascii="仿宋_GB2312" w:eastAsia="仿宋_GB2312"/>
          <w:color w:val="000000" w:themeColor="text1"/>
          <w:sz w:val="32"/>
          <w:szCs w:val="32"/>
        </w:rPr>
      </w:pPr>
      <w:r w:rsidRPr="004135E8">
        <w:rPr>
          <w:rFonts w:ascii="仿宋_GB2312" w:eastAsia="仿宋_GB2312"/>
          <w:color w:val="000000" w:themeColor="text1"/>
          <w:sz w:val="32"/>
          <w:szCs w:val="32"/>
        </w:rPr>
        <w:t>5.</w:t>
      </w:r>
      <w:r w:rsidRPr="004135E8">
        <w:rPr>
          <w:rFonts w:ascii="仿宋_GB2312" w:eastAsia="仿宋_GB2312" w:hint="eastAsia"/>
          <w:color w:val="000000" w:themeColor="text1"/>
          <w:sz w:val="32"/>
          <w:szCs w:val="32"/>
        </w:rPr>
        <w:t>提供服务。进一步发展和完善农业社会化服务体系，引导各类协会和农村专业合作经济组织发展，充分发挥其作用，发展农村社会公益事业和集体公益事业。</w:t>
      </w:r>
    </w:p>
    <w:p w:rsidR="003875BA" w:rsidRPr="004135E8" w:rsidRDefault="003875BA" w:rsidP="003875BA">
      <w:pPr>
        <w:pStyle w:val="a5"/>
        <w:adjustRightInd w:val="0"/>
        <w:snapToGrid w:val="0"/>
        <w:spacing w:before="93" w:line="600" w:lineRule="exact"/>
        <w:ind w:firstLineChars="210" w:firstLine="672"/>
        <w:rPr>
          <w:bCs/>
          <w:color w:val="000000" w:themeColor="text1"/>
          <w:sz w:val="32"/>
          <w:szCs w:val="32"/>
        </w:rPr>
      </w:pPr>
      <w:r w:rsidRPr="004135E8">
        <w:rPr>
          <w:rFonts w:hint="eastAsia"/>
          <w:bCs/>
          <w:color w:val="000000" w:themeColor="text1"/>
          <w:sz w:val="32"/>
          <w:szCs w:val="32"/>
        </w:rPr>
        <w:lastRenderedPageBreak/>
        <w:t>（二）</w:t>
      </w:r>
      <w:r w:rsidR="009E26DC">
        <w:rPr>
          <w:rFonts w:hint="eastAsia"/>
          <w:bCs/>
          <w:color w:val="000000" w:themeColor="text1"/>
          <w:sz w:val="32"/>
          <w:szCs w:val="32"/>
        </w:rPr>
        <w:t>2018</w:t>
      </w:r>
      <w:r w:rsidRPr="004135E8">
        <w:rPr>
          <w:rFonts w:hint="eastAsia"/>
          <w:bCs/>
          <w:color w:val="000000" w:themeColor="text1"/>
          <w:sz w:val="32"/>
          <w:szCs w:val="32"/>
        </w:rPr>
        <w:t>年</w:t>
      </w:r>
      <w:r w:rsidR="002A716D" w:rsidRPr="004135E8">
        <w:rPr>
          <w:rFonts w:hint="eastAsia"/>
          <w:bCs/>
          <w:color w:val="000000" w:themeColor="text1"/>
          <w:sz w:val="32"/>
          <w:szCs w:val="32"/>
        </w:rPr>
        <w:t>重点工作完成情况</w:t>
      </w:r>
    </w:p>
    <w:p w:rsidR="00AE6087" w:rsidRPr="00B974B8" w:rsidRDefault="00AE6087" w:rsidP="00AE6087">
      <w:pPr>
        <w:spacing w:line="600" w:lineRule="exact"/>
        <w:ind w:firstLineChars="200" w:firstLine="640"/>
        <w:rPr>
          <w:rFonts w:ascii="仿宋_GB2312" w:eastAsia="仿宋_GB2312"/>
          <w:sz w:val="32"/>
          <w:szCs w:val="32"/>
        </w:rPr>
      </w:pPr>
      <w:r w:rsidRPr="00B974B8">
        <w:rPr>
          <w:rFonts w:ascii="仿宋_GB2312" w:eastAsia="仿宋_GB2312" w:hint="eastAsia"/>
          <w:sz w:val="32"/>
          <w:szCs w:val="32"/>
        </w:rPr>
        <w:t>1.强抓项目，全面提升发展质量</w:t>
      </w:r>
    </w:p>
    <w:p w:rsidR="00AE6087"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一是全力推进夹峨联网两边绿化工程项目，涉及我镇露华村3、4、7、8、9、10组土地，镇村组干部仅用20天时间，完成153.649亩土地租赁协议，并全面交付林业局。二是全面推进朱南线塔基建设，组织干部进村入户宣传讲解政策及安全知识，确保工程顺利施工，目前，朱南线已全面完工，安装塔基43基。</w:t>
      </w:r>
    </w:p>
    <w:p w:rsidR="00AE6087"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支持传统优势产业做优做强，加快推进红华三期、登尧机械二期，顺利推进佳洁纸业建成投产。</w:t>
      </w:r>
    </w:p>
    <w:p w:rsidR="00AE6087" w:rsidRPr="00B974B8" w:rsidRDefault="00AE6087" w:rsidP="00AE6087">
      <w:pPr>
        <w:spacing w:line="600" w:lineRule="exact"/>
        <w:ind w:firstLineChars="200" w:firstLine="640"/>
        <w:rPr>
          <w:rFonts w:ascii="仿宋_GB2312" w:eastAsia="仿宋_GB2312"/>
          <w:sz w:val="32"/>
          <w:szCs w:val="32"/>
        </w:rPr>
      </w:pPr>
      <w:r w:rsidRPr="00B974B8">
        <w:rPr>
          <w:rFonts w:ascii="仿宋_GB2312" w:eastAsia="仿宋_GB2312" w:hint="eastAsia"/>
          <w:sz w:val="32"/>
          <w:szCs w:val="32"/>
        </w:rPr>
        <w:t>2.狠抓扶贫，全面改善民生福祉</w:t>
      </w:r>
    </w:p>
    <w:p w:rsidR="00AE6087"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持续改善基础条件，投资50万元，修建尖峰村生产便道7公里。加大产业扶持力度，发展茶叶53.75亩，蔬菜23.4亩，水果15.5亩，家禽养殖641只，养猪127头，养蜂80箱。提供公益性岗位38个，解决贫困户就业问题38人。为贫困学生进行教育扶持，共计资助24.206万元、223人。多次为贫困户开展义诊和免费体检活动，全年为165人办理特色疾病门诊，使贫困户就医看病问题得到有效解决。</w:t>
      </w:r>
    </w:p>
    <w:p w:rsidR="00AE6087" w:rsidRPr="00B974B8" w:rsidRDefault="00AE6087" w:rsidP="00AE6087">
      <w:pPr>
        <w:spacing w:line="600" w:lineRule="exact"/>
        <w:ind w:firstLineChars="200" w:firstLine="640"/>
        <w:rPr>
          <w:rFonts w:ascii="仿宋_GB2312" w:eastAsia="仿宋_GB2312"/>
          <w:sz w:val="32"/>
          <w:szCs w:val="32"/>
        </w:rPr>
      </w:pPr>
      <w:r w:rsidRPr="00B974B8">
        <w:rPr>
          <w:rFonts w:ascii="仿宋_GB2312" w:eastAsia="仿宋_GB2312" w:hint="eastAsia"/>
          <w:sz w:val="32"/>
          <w:szCs w:val="32"/>
        </w:rPr>
        <w:t>3.力抓产业，加快乡村振兴进程</w:t>
      </w:r>
    </w:p>
    <w:p w:rsidR="00AE6087"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建设现代园区，</w:t>
      </w:r>
      <w:r>
        <w:rPr>
          <w:rFonts w:ascii="仿宋_GB2312" w:eastAsia="仿宋_GB2312" w:hint="eastAsia"/>
          <w:sz w:val="32"/>
          <w:szCs w:val="32"/>
        </w:rPr>
        <w:tab/>
        <w:t>积极创建国家现代农业产业园，任务落实到村组，发动群众参与，协调林木换种，产业园区道路用地等问题。完成同兴村、江场村、新华村、张岗村、小河村、林园村等巨桉林砍伐3000余亩。同兴村完成市园区产业长廊近3公里、8米宽</w:t>
      </w:r>
      <w:r>
        <w:rPr>
          <w:rFonts w:ascii="仿宋_GB2312" w:eastAsia="仿宋_GB2312" w:hint="eastAsia"/>
          <w:sz w:val="32"/>
          <w:szCs w:val="32"/>
        </w:rPr>
        <w:lastRenderedPageBreak/>
        <w:t>的打桩防线并开工建设；完成园区道路近4公里、宽5米的开工建设；坡改梯近1000亩已开工，现已完成种茶200亩，种树100亩；新华村完成产业道路5.6公里路基建设，张岗村完成1.1公里产业道路建设。</w:t>
      </w:r>
    </w:p>
    <w:p w:rsidR="00AE6087" w:rsidRPr="00B974B8" w:rsidRDefault="00AE6087" w:rsidP="00AE6087">
      <w:pPr>
        <w:spacing w:line="600" w:lineRule="exact"/>
        <w:ind w:firstLineChars="200" w:firstLine="640"/>
        <w:rPr>
          <w:rFonts w:ascii="仿宋_GB2312" w:eastAsia="仿宋_GB2312"/>
          <w:sz w:val="32"/>
          <w:szCs w:val="32"/>
        </w:rPr>
      </w:pPr>
      <w:r w:rsidRPr="00B974B8">
        <w:rPr>
          <w:rFonts w:ascii="仿宋_GB2312" w:eastAsia="仿宋_GB2312" w:hint="eastAsia"/>
          <w:sz w:val="32"/>
          <w:szCs w:val="32"/>
        </w:rPr>
        <w:t>4.常抓环保，有力保护生态环境</w:t>
      </w:r>
    </w:p>
    <w:p w:rsidR="00AE6087"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深入开展“绿秀峨眉”行动，砍伐巨桉林3000余亩。持续改善水生态环境，全年全镇投工2157个、机械200余小时治理黑水臭体河道沟渠69.9千米，其中重点治理市级黑水臭体河道4条、长度10.9千米，全镇河道环境焕然一新。加大秸秆禁燃、畜禽养殖、污水排放、噪音粉尘污染等各方面巡查力度，对巡查发现的问题及时处理上报，并形成台账。今年共处理环保问题50余起，通过巡查治理我镇的环境进一步变好。</w:t>
      </w:r>
    </w:p>
    <w:p w:rsidR="00AE6087" w:rsidRPr="00B974B8" w:rsidRDefault="00AE6087" w:rsidP="00AE6087">
      <w:pPr>
        <w:spacing w:line="600" w:lineRule="exact"/>
        <w:ind w:firstLineChars="200" w:firstLine="640"/>
        <w:rPr>
          <w:rFonts w:ascii="仿宋_GB2312" w:eastAsia="仿宋_GB2312"/>
          <w:sz w:val="32"/>
          <w:szCs w:val="32"/>
        </w:rPr>
      </w:pPr>
      <w:r w:rsidRPr="00B974B8">
        <w:rPr>
          <w:rFonts w:ascii="仿宋_GB2312" w:eastAsia="仿宋_GB2312" w:hint="eastAsia"/>
          <w:sz w:val="32"/>
          <w:szCs w:val="32"/>
        </w:rPr>
        <w:t>5.细抓民生，持续加力民生保障</w:t>
      </w:r>
    </w:p>
    <w:p w:rsidR="00AE6087" w:rsidRPr="00B974B8"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落实低保政策，做到应保尽保，应退尽退，动态管理，全年取消农村低保31户39人、城市低保18人。超额完成献血任务，完成率152%。做好城乡居民医疗参保工作，城乡居民医疗保险参保率99.9%。全年办理新农保参保6451人，征地农转非入保227人。举办各种群众喜闻乐见的文艺表演，举行“闹元宵”高桩民俗文化大巡游。</w:t>
      </w:r>
      <w:bookmarkStart w:id="0" w:name="_GoBack"/>
      <w:bookmarkEnd w:id="0"/>
    </w:p>
    <w:p w:rsidR="00AE6087" w:rsidRPr="00B974B8" w:rsidRDefault="00AE6087" w:rsidP="00AE6087">
      <w:pPr>
        <w:spacing w:line="600" w:lineRule="exact"/>
        <w:ind w:firstLineChars="200" w:firstLine="640"/>
        <w:rPr>
          <w:rFonts w:ascii="仿宋_GB2312" w:eastAsia="仿宋_GB2312"/>
          <w:sz w:val="32"/>
          <w:szCs w:val="32"/>
        </w:rPr>
      </w:pPr>
      <w:r w:rsidRPr="00B974B8">
        <w:rPr>
          <w:rFonts w:ascii="仿宋_GB2312" w:eastAsia="仿宋_GB2312" w:hint="eastAsia"/>
          <w:sz w:val="32"/>
          <w:szCs w:val="32"/>
        </w:rPr>
        <w:t>6.紧抓治理，稳定社会大局和谐</w:t>
      </w:r>
    </w:p>
    <w:p w:rsidR="009E26DC" w:rsidRPr="00AE6087" w:rsidRDefault="00AE6087" w:rsidP="00AE6087">
      <w:pPr>
        <w:spacing w:line="600" w:lineRule="exact"/>
        <w:ind w:firstLineChars="200" w:firstLine="640"/>
        <w:rPr>
          <w:rFonts w:ascii="仿宋_GB2312" w:eastAsia="仿宋_GB2312"/>
          <w:sz w:val="32"/>
          <w:szCs w:val="32"/>
        </w:rPr>
      </w:pPr>
      <w:r>
        <w:rPr>
          <w:rFonts w:ascii="仿宋_GB2312" w:eastAsia="仿宋_GB2312" w:hint="eastAsia"/>
          <w:sz w:val="32"/>
          <w:szCs w:val="32"/>
        </w:rPr>
        <w:t>强化安全生产职责，认真开展“百日安全”“安全生产月”“安全宣传日”等活动，全年未发生安全生产事故。加强人民调解和</w:t>
      </w:r>
      <w:r>
        <w:rPr>
          <w:rFonts w:ascii="仿宋_GB2312" w:eastAsia="仿宋_GB2312" w:hint="eastAsia"/>
          <w:sz w:val="32"/>
          <w:szCs w:val="32"/>
        </w:rPr>
        <w:lastRenderedPageBreak/>
        <w:t>法律援助，民事纠纷受理率达100%，调解成功率达95%以上。大力推进雪亮工程标杆乡镇建设，做到群防群治，持续建设“平安双福”。</w:t>
      </w:r>
    </w:p>
    <w:p w:rsidR="003875BA" w:rsidRPr="004135E8" w:rsidRDefault="003875BA" w:rsidP="003875BA">
      <w:pPr>
        <w:spacing w:line="600" w:lineRule="exact"/>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二、部门概况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双福镇人民政府为一级预算单位，有下属二级单位2个，其中行政单位0个，参照公务员法管理的事业单位0个，其他事业单位2个，分别为社会事业服务中心、农业技术服务中心。</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三、收支决算总体情况</w:t>
      </w:r>
    </w:p>
    <w:p w:rsidR="003875BA" w:rsidRPr="004135E8" w:rsidRDefault="00AE6087" w:rsidP="002A716D">
      <w:pPr>
        <w:spacing w:line="360" w:lineRule="auto"/>
        <w:ind w:firstLineChars="200" w:firstLine="640"/>
        <w:rPr>
          <w:rFonts w:ascii="黑体" w:eastAsia="黑体"/>
          <w:color w:val="000000" w:themeColor="text1"/>
          <w:sz w:val="32"/>
          <w:szCs w:val="32"/>
        </w:rPr>
      </w:pPr>
      <w:r>
        <w:rPr>
          <w:rFonts w:ascii="仿宋_GB2312" w:eastAsia="仿宋_GB2312" w:hint="eastAsia"/>
          <w:noProof/>
          <w:color w:val="000000" w:themeColor="text1"/>
          <w:sz w:val="32"/>
          <w:szCs w:val="32"/>
        </w:rPr>
        <w:drawing>
          <wp:anchor distT="0" distB="0" distL="114300" distR="114300" simplePos="0" relativeHeight="251666432" behindDoc="0" locked="0" layoutInCell="1" allowOverlap="1">
            <wp:simplePos x="0" y="0"/>
            <wp:positionH relativeFrom="column">
              <wp:posOffset>426720</wp:posOffset>
            </wp:positionH>
            <wp:positionV relativeFrom="paragraph">
              <wp:posOffset>1676400</wp:posOffset>
            </wp:positionV>
            <wp:extent cx="4356100" cy="3260725"/>
            <wp:effectExtent l="0" t="0" r="0" b="0"/>
            <wp:wrapTopAndBottom/>
            <wp:docPr id="3" name="对象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年我镇本年收入合计</w:t>
      </w:r>
      <w:r w:rsidR="009E26DC">
        <w:rPr>
          <w:rFonts w:ascii="仿宋_GB2312" w:eastAsia="仿宋_GB2312" w:hint="eastAsia"/>
          <w:color w:val="000000" w:themeColor="text1"/>
          <w:sz w:val="32"/>
          <w:szCs w:val="32"/>
        </w:rPr>
        <w:t>2920.01</w:t>
      </w:r>
      <w:r w:rsidR="003875BA" w:rsidRPr="004135E8">
        <w:rPr>
          <w:rFonts w:ascii="仿宋_GB2312" w:eastAsia="仿宋_GB2312" w:hint="eastAsia"/>
          <w:color w:val="000000" w:themeColor="text1"/>
          <w:sz w:val="32"/>
          <w:szCs w:val="32"/>
        </w:rPr>
        <w:t>万元，其中：财政拨款收入</w:t>
      </w:r>
      <w:r w:rsidR="009E26DC">
        <w:rPr>
          <w:rFonts w:ascii="仿宋_GB2312" w:eastAsia="仿宋_GB2312" w:hint="eastAsia"/>
          <w:color w:val="000000" w:themeColor="text1"/>
          <w:sz w:val="32"/>
          <w:szCs w:val="32"/>
        </w:rPr>
        <w:t>2839.63</w:t>
      </w:r>
      <w:r w:rsidR="003875BA" w:rsidRPr="004135E8">
        <w:rPr>
          <w:rFonts w:ascii="仿宋_GB2312" w:eastAsia="仿宋_GB2312" w:hint="eastAsia"/>
          <w:color w:val="000000" w:themeColor="text1"/>
          <w:sz w:val="32"/>
          <w:szCs w:val="32"/>
        </w:rPr>
        <w:t>万元，占</w:t>
      </w:r>
      <w:r w:rsidR="009E26DC">
        <w:rPr>
          <w:rFonts w:ascii="仿宋_GB2312" w:eastAsia="仿宋_GB2312" w:hint="eastAsia"/>
          <w:color w:val="000000" w:themeColor="text1"/>
          <w:sz w:val="32"/>
          <w:szCs w:val="32"/>
        </w:rPr>
        <w:t>97.25</w:t>
      </w:r>
      <w:r w:rsidR="003875BA" w:rsidRPr="004135E8">
        <w:rPr>
          <w:rFonts w:ascii="仿宋_GB2312" w:eastAsia="仿宋_GB2312" w:hint="eastAsia"/>
          <w:color w:val="000000" w:themeColor="text1"/>
          <w:sz w:val="32"/>
          <w:szCs w:val="32"/>
        </w:rPr>
        <w:t>%；事业收入0万元，占0%；经营收入0万元，占0%；附属单位上缴收入0万元，占0%；其他收入</w:t>
      </w:r>
      <w:r w:rsidR="009E26DC">
        <w:rPr>
          <w:rFonts w:ascii="仿宋_GB2312" w:eastAsia="仿宋_GB2312" w:hint="eastAsia"/>
          <w:color w:val="000000" w:themeColor="text1"/>
          <w:sz w:val="32"/>
          <w:szCs w:val="32"/>
        </w:rPr>
        <w:t>20.83</w:t>
      </w:r>
      <w:r w:rsidR="003875BA" w:rsidRPr="004135E8">
        <w:rPr>
          <w:rFonts w:ascii="仿宋_GB2312" w:eastAsia="仿宋_GB2312" w:hint="eastAsia"/>
          <w:color w:val="000000" w:themeColor="text1"/>
          <w:sz w:val="32"/>
          <w:szCs w:val="32"/>
        </w:rPr>
        <w:t>万元，占</w:t>
      </w:r>
      <w:r w:rsidR="009E26DC">
        <w:rPr>
          <w:rFonts w:ascii="仿宋_GB2312" w:eastAsia="仿宋_GB2312" w:hint="eastAsia"/>
          <w:color w:val="000000" w:themeColor="text1"/>
          <w:sz w:val="32"/>
          <w:szCs w:val="32"/>
        </w:rPr>
        <w:t>2.75</w:t>
      </w:r>
      <w:r w:rsidR="003875BA" w:rsidRPr="004135E8">
        <w:rPr>
          <w:rFonts w:ascii="仿宋_GB2312" w:eastAsia="仿宋_GB2312" w:hint="eastAsia"/>
          <w:color w:val="000000" w:themeColor="text1"/>
          <w:sz w:val="32"/>
          <w:szCs w:val="32"/>
        </w:rPr>
        <w:t>%。（附图1：双福镇</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年收入来源分布图）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图1：双福镇</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年收入来源分布图</w:t>
      </w:r>
    </w:p>
    <w:p w:rsidR="003875BA" w:rsidRPr="004135E8" w:rsidRDefault="009E26DC" w:rsidP="003875BA">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lastRenderedPageBreak/>
        <w:t>2018</w:t>
      </w:r>
      <w:r w:rsidR="003875BA" w:rsidRPr="004135E8">
        <w:rPr>
          <w:rFonts w:ascii="仿宋_GB2312" w:eastAsia="仿宋_GB2312" w:hint="eastAsia"/>
          <w:color w:val="000000" w:themeColor="text1"/>
          <w:sz w:val="32"/>
          <w:szCs w:val="32"/>
        </w:rPr>
        <w:t>年双福镇人民政府本年支出合计</w:t>
      </w:r>
      <w:r>
        <w:rPr>
          <w:rFonts w:ascii="仿宋_GB2312" w:eastAsia="仿宋_GB2312" w:hint="eastAsia"/>
          <w:color w:val="000000" w:themeColor="text1"/>
          <w:sz w:val="32"/>
          <w:szCs w:val="32"/>
        </w:rPr>
        <w:t>3128.82</w:t>
      </w:r>
      <w:r w:rsidR="003875BA" w:rsidRPr="004135E8">
        <w:rPr>
          <w:rFonts w:ascii="仿宋_GB2312" w:eastAsia="仿宋_GB2312" w:hint="eastAsia"/>
          <w:color w:val="000000" w:themeColor="text1"/>
          <w:sz w:val="32"/>
          <w:szCs w:val="32"/>
        </w:rPr>
        <w:t>万元，其中：基本支出</w:t>
      </w:r>
      <w:r>
        <w:rPr>
          <w:rFonts w:ascii="仿宋_GB2312" w:eastAsia="仿宋_GB2312" w:hint="eastAsia"/>
          <w:color w:val="000000" w:themeColor="text1"/>
          <w:sz w:val="32"/>
          <w:szCs w:val="32"/>
        </w:rPr>
        <w:t>657.85</w:t>
      </w:r>
      <w:r w:rsidR="003875BA" w:rsidRPr="004135E8">
        <w:rPr>
          <w:rFonts w:ascii="仿宋_GB2312" w:eastAsia="仿宋_GB2312" w:hint="eastAsia"/>
          <w:color w:val="000000" w:themeColor="text1"/>
          <w:sz w:val="32"/>
          <w:szCs w:val="32"/>
        </w:rPr>
        <w:t>万元，占</w:t>
      </w:r>
      <w:r w:rsidR="004239A2">
        <w:rPr>
          <w:rFonts w:ascii="仿宋_GB2312" w:eastAsia="仿宋_GB2312" w:hint="eastAsia"/>
          <w:color w:val="000000" w:themeColor="text1"/>
          <w:sz w:val="32"/>
          <w:szCs w:val="32"/>
        </w:rPr>
        <w:t>21.03</w:t>
      </w:r>
      <w:r w:rsidR="003875BA" w:rsidRPr="004135E8">
        <w:rPr>
          <w:rFonts w:ascii="仿宋_GB2312" w:eastAsia="仿宋_GB2312" w:hint="eastAsia"/>
          <w:color w:val="000000" w:themeColor="text1"/>
          <w:sz w:val="32"/>
          <w:szCs w:val="32"/>
        </w:rPr>
        <w:t>%；项目支出</w:t>
      </w:r>
      <w:r w:rsidR="004239A2">
        <w:rPr>
          <w:rFonts w:ascii="仿宋_GB2312" w:eastAsia="仿宋_GB2312" w:hint="eastAsia"/>
          <w:color w:val="000000" w:themeColor="text1"/>
          <w:sz w:val="32"/>
          <w:szCs w:val="32"/>
        </w:rPr>
        <w:t>2470.77</w:t>
      </w:r>
      <w:r w:rsidR="003875BA" w:rsidRPr="004135E8">
        <w:rPr>
          <w:rFonts w:ascii="仿宋_GB2312" w:eastAsia="仿宋_GB2312" w:hint="eastAsia"/>
          <w:color w:val="000000" w:themeColor="text1"/>
          <w:sz w:val="32"/>
          <w:szCs w:val="32"/>
        </w:rPr>
        <w:t>万元，占</w:t>
      </w:r>
      <w:r w:rsidR="004239A2">
        <w:rPr>
          <w:rFonts w:ascii="仿宋_GB2312" w:eastAsia="仿宋_GB2312" w:hint="eastAsia"/>
          <w:color w:val="000000" w:themeColor="text1"/>
          <w:sz w:val="32"/>
          <w:szCs w:val="32"/>
        </w:rPr>
        <w:t>78.97</w:t>
      </w:r>
      <w:r w:rsidR="003875BA" w:rsidRPr="004135E8">
        <w:rPr>
          <w:rFonts w:ascii="仿宋_GB2312" w:eastAsia="仿宋_GB2312" w:hint="eastAsia"/>
          <w:color w:val="000000" w:themeColor="text1"/>
          <w:sz w:val="32"/>
          <w:szCs w:val="32"/>
        </w:rPr>
        <w:t>%；上缴上级支出0万元，占0%；经营支出0万元，占0%；对附属单位补助支出0万元，占0%。（附图2：双福镇</w:t>
      </w:r>
      <w:r>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年支出情况分布图）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noProof/>
          <w:color w:val="000000" w:themeColor="text1"/>
          <w:sz w:val="32"/>
          <w:szCs w:val="32"/>
        </w:rPr>
        <w:drawing>
          <wp:anchor distT="0" distB="0" distL="114300" distR="114300" simplePos="0" relativeHeight="251662336" behindDoc="0" locked="0" layoutInCell="1" allowOverlap="1">
            <wp:simplePos x="0" y="0"/>
            <wp:positionH relativeFrom="column">
              <wp:posOffset>10160</wp:posOffset>
            </wp:positionH>
            <wp:positionV relativeFrom="paragraph">
              <wp:posOffset>170815</wp:posOffset>
            </wp:positionV>
            <wp:extent cx="5367020" cy="4722495"/>
            <wp:effectExtent l="0" t="0" r="0" b="0"/>
            <wp:wrapTopAndBottom/>
            <wp:docPr id="1"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Pr="004135E8">
        <w:rPr>
          <w:rFonts w:ascii="仿宋_GB2312" w:eastAsia="仿宋_GB2312" w:hint="eastAsia"/>
          <w:color w:val="000000" w:themeColor="text1"/>
          <w:sz w:val="32"/>
          <w:szCs w:val="32"/>
        </w:rPr>
        <w:t>图2：双福镇</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年支出情况分布图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黑体" w:eastAsia="黑体" w:hint="eastAsia"/>
          <w:color w:val="000000" w:themeColor="text1"/>
          <w:sz w:val="32"/>
          <w:szCs w:val="32"/>
        </w:rPr>
        <w:t>四、财政拨款收支决算情况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年度财政拨款收支总决算</w:t>
      </w:r>
      <w:r w:rsidR="00724501">
        <w:rPr>
          <w:rFonts w:ascii="仿宋_GB2312" w:eastAsia="仿宋_GB2312" w:hint="eastAsia"/>
          <w:color w:val="000000" w:themeColor="text1"/>
          <w:sz w:val="32"/>
          <w:szCs w:val="32"/>
        </w:rPr>
        <w:t>2839.63</w:t>
      </w:r>
      <w:r w:rsidR="00D21FA9" w:rsidRPr="004135E8">
        <w:rPr>
          <w:rFonts w:ascii="仿宋_GB2312" w:eastAsia="仿宋_GB2312" w:hint="eastAsia"/>
          <w:color w:val="000000" w:themeColor="text1"/>
          <w:sz w:val="32"/>
          <w:szCs w:val="32"/>
        </w:rPr>
        <w:t>万元</w:t>
      </w:r>
      <w:r w:rsidRPr="004135E8">
        <w:rPr>
          <w:rFonts w:ascii="仿宋_GB2312" w:eastAsia="仿宋_GB2312" w:hint="eastAsia"/>
          <w:color w:val="000000" w:themeColor="text1"/>
          <w:sz w:val="32"/>
          <w:szCs w:val="32"/>
        </w:rPr>
        <w:t>。与</w:t>
      </w:r>
      <w:r w:rsidR="00D21FA9" w:rsidRPr="004135E8">
        <w:rPr>
          <w:rFonts w:ascii="仿宋_GB2312" w:eastAsia="仿宋_GB2312" w:hint="eastAsia"/>
          <w:color w:val="000000" w:themeColor="text1"/>
          <w:sz w:val="32"/>
          <w:szCs w:val="32"/>
        </w:rPr>
        <w:t>201</w:t>
      </w:r>
      <w:r w:rsidR="004239A2">
        <w:rPr>
          <w:rFonts w:ascii="仿宋_GB2312" w:eastAsia="仿宋_GB2312" w:hint="eastAsia"/>
          <w:color w:val="000000" w:themeColor="text1"/>
          <w:sz w:val="32"/>
          <w:szCs w:val="32"/>
        </w:rPr>
        <w:t>7</w:t>
      </w:r>
      <w:r w:rsidRPr="004135E8">
        <w:rPr>
          <w:rFonts w:ascii="仿宋_GB2312" w:eastAsia="仿宋_GB2312" w:hint="eastAsia"/>
          <w:color w:val="000000" w:themeColor="text1"/>
          <w:sz w:val="32"/>
          <w:szCs w:val="32"/>
        </w:rPr>
        <w:t>年相比，财政拨款收、支总计各增加</w:t>
      </w:r>
      <w:r w:rsidR="00724501">
        <w:rPr>
          <w:rFonts w:ascii="仿宋_GB2312" w:eastAsia="仿宋_GB2312" w:hint="eastAsia"/>
          <w:color w:val="000000" w:themeColor="text1"/>
          <w:sz w:val="32"/>
          <w:szCs w:val="32"/>
        </w:rPr>
        <w:t>463.08</w:t>
      </w:r>
      <w:r w:rsidRPr="004135E8">
        <w:rPr>
          <w:rFonts w:ascii="仿宋_GB2312" w:eastAsia="仿宋_GB2312" w:hint="eastAsia"/>
          <w:color w:val="000000" w:themeColor="text1"/>
          <w:sz w:val="32"/>
          <w:szCs w:val="32"/>
        </w:rPr>
        <w:t>万元（</w:t>
      </w:r>
      <w:r w:rsidR="004239A2">
        <w:rPr>
          <w:rFonts w:ascii="仿宋_GB2312" w:eastAsia="仿宋_GB2312" w:hint="eastAsia"/>
          <w:color w:val="000000" w:themeColor="text1"/>
          <w:sz w:val="32"/>
          <w:szCs w:val="32"/>
        </w:rPr>
        <w:t>2017</w:t>
      </w:r>
      <w:r w:rsidRPr="004135E8">
        <w:rPr>
          <w:rFonts w:ascii="仿宋_GB2312" w:eastAsia="仿宋_GB2312" w:hint="eastAsia"/>
          <w:color w:val="000000" w:themeColor="text1"/>
          <w:sz w:val="32"/>
          <w:szCs w:val="32"/>
        </w:rPr>
        <w:lastRenderedPageBreak/>
        <w:t>年</w:t>
      </w:r>
      <w:r w:rsidR="00724501">
        <w:rPr>
          <w:rFonts w:ascii="仿宋_GB2312" w:eastAsia="仿宋_GB2312" w:hint="eastAsia"/>
          <w:color w:val="000000" w:themeColor="text1"/>
          <w:sz w:val="32"/>
          <w:szCs w:val="32"/>
        </w:rPr>
        <w:t>财政拨款</w:t>
      </w:r>
      <w:r w:rsidR="004239A2" w:rsidRPr="004135E8">
        <w:rPr>
          <w:rFonts w:ascii="仿宋_GB2312" w:eastAsia="仿宋_GB2312" w:hint="eastAsia"/>
          <w:color w:val="000000" w:themeColor="text1"/>
          <w:sz w:val="32"/>
          <w:szCs w:val="32"/>
        </w:rPr>
        <w:t>2376.55</w:t>
      </w:r>
      <w:r w:rsidR="007D6416" w:rsidRPr="004135E8">
        <w:rPr>
          <w:rFonts w:ascii="仿宋_GB2312" w:eastAsia="仿宋_GB2312" w:hint="eastAsia"/>
          <w:color w:val="000000" w:themeColor="text1"/>
          <w:sz w:val="32"/>
          <w:szCs w:val="32"/>
        </w:rPr>
        <w:t>万</w:t>
      </w:r>
      <w:r w:rsidRPr="004135E8">
        <w:rPr>
          <w:rFonts w:ascii="仿宋_GB2312" w:eastAsia="仿宋_GB2312" w:hint="eastAsia"/>
          <w:color w:val="000000" w:themeColor="text1"/>
          <w:sz w:val="32"/>
          <w:szCs w:val="32"/>
        </w:rPr>
        <w:t>元），增长</w:t>
      </w:r>
      <w:r w:rsidR="00724501">
        <w:rPr>
          <w:rFonts w:ascii="仿宋_GB2312" w:eastAsia="仿宋_GB2312" w:hint="eastAsia"/>
          <w:color w:val="000000" w:themeColor="text1"/>
          <w:sz w:val="32"/>
          <w:szCs w:val="32"/>
        </w:rPr>
        <w:t>19.49</w:t>
      </w:r>
      <w:r w:rsidRPr="004135E8">
        <w:rPr>
          <w:rFonts w:ascii="仿宋_GB2312" w:eastAsia="仿宋_GB2312" w:hint="eastAsia"/>
          <w:color w:val="000000" w:themeColor="text1"/>
          <w:sz w:val="32"/>
          <w:szCs w:val="32"/>
        </w:rPr>
        <w:t>%。（附图表3：双福镇</w:t>
      </w:r>
      <w:r w:rsidR="004239A2">
        <w:rPr>
          <w:rFonts w:ascii="仿宋_GB2312" w:eastAsia="仿宋_GB2312" w:hint="eastAsia"/>
          <w:color w:val="000000" w:themeColor="text1"/>
          <w:sz w:val="32"/>
          <w:szCs w:val="32"/>
        </w:rPr>
        <w:t>2017</w:t>
      </w:r>
      <w:r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年收支情况对比图）</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仿宋_GB2312" w:eastAsia="仿宋_GB2312" w:hint="eastAsia"/>
          <w:noProof/>
          <w:color w:val="000000" w:themeColor="text1"/>
          <w:sz w:val="32"/>
          <w:szCs w:val="32"/>
        </w:rPr>
        <w:drawing>
          <wp:anchor distT="0" distB="0" distL="114300" distR="114300" simplePos="0" relativeHeight="251663360" behindDoc="0" locked="0" layoutInCell="1" allowOverlap="1">
            <wp:simplePos x="0" y="0"/>
            <wp:positionH relativeFrom="column">
              <wp:posOffset>46355</wp:posOffset>
            </wp:positionH>
            <wp:positionV relativeFrom="paragraph">
              <wp:posOffset>123190</wp:posOffset>
            </wp:positionV>
            <wp:extent cx="6277610" cy="4871720"/>
            <wp:effectExtent l="0" t="0" r="0" b="0"/>
            <wp:wrapTopAndBottom/>
            <wp:docPr id="9" name="对象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4135E8">
        <w:rPr>
          <w:rFonts w:ascii="仿宋_GB2312" w:eastAsia="仿宋_GB2312" w:hint="eastAsia"/>
          <w:color w:val="000000" w:themeColor="text1"/>
          <w:sz w:val="32"/>
          <w:szCs w:val="32"/>
        </w:rPr>
        <w:t>图3：双福镇</w:t>
      </w:r>
      <w:r w:rsidR="004239A2">
        <w:rPr>
          <w:rFonts w:ascii="仿宋_GB2312" w:eastAsia="仿宋_GB2312" w:hint="eastAsia"/>
          <w:color w:val="000000" w:themeColor="text1"/>
          <w:sz w:val="32"/>
          <w:szCs w:val="32"/>
        </w:rPr>
        <w:t>2017</w:t>
      </w:r>
      <w:r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年收支情况对比图</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五、一般公共预算财政拨款支出决算情况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（一）一般公共预算财政拨款支出决算总体情况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年度一般公共预算财政拨款支出</w:t>
      </w:r>
      <w:r w:rsidR="00724501">
        <w:rPr>
          <w:rFonts w:ascii="仿宋_GB2312" w:eastAsia="仿宋_GB2312" w:hint="eastAsia"/>
          <w:color w:val="000000" w:themeColor="text1"/>
          <w:sz w:val="32"/>
          <w:szCs w:val="32"/>
        </w:rPr>
        <w:t>1568.4</w:t>
      </w:r>
      <w:r w:rsidRPr="004135E8">
        <w:rPr>
          <w:rFonts w:ascii="仿宋_GB2312" w:eastAsia="仿宋_GB2312" w:hint="eastAsia"/>
          <w:color w:val="000000" w:themeColor="text1"/>
          <w:sz w:val="32"/>
          <w:szCs w:val="32"/>
        </w:rPr>
        <w:t>万元，占本年支出合计的</w:t>
      </w:r>
      <w:r w:rsidR="00724501">
        <w:rPr>
          <w:rFonts w:ascii="仿宋_GB2312" w:eastAsia="仿宋_GB2312" w:hint="eastAsia"/>
          <w:color w:val="000000" w:themeColor="text1"/>
          <w:sz w:val="32"/>
          <w:szCs w:val="32"/>
        </w:rPr>
        <w:t>51.91</w:t>
      </w:r>
      <w:r w:rsidRPr="004135E8">
        <w:rPr>
          <w:rFonts w:ascii="仿宋_GB2312" w:eastAsia="仿宋_GB2312" w:hint="eastAsia"/>
          <w:color w:val="000000" w:themeColor="text1"/>
          <w:sz w:val="32"/>
          <w:szCs w:val="32"/>
        </w:rPr>
        <w:t>%。与</w:t>
      </w:r>
      <w:r w:rsidR="004239A2">
        <w:rPr>
          <w:rFonts w:ascii="仿宋_GB2312" w:eastAsia="仿宋_GB2312" w:hint="eastAsia"/>
          <w:color w:val="000000" w:themeColor="text1"/>
          <w:sz w:val="32"/>
          <w:szCs w:val="32"/>
        </w:rPr>
        <w:t>2017</w:t>
      </w:r>
      <w:r w:rsidR="00003474">
        <w:rPr>
          <w:rFonts w:ascii="仿宋_GB2312" w:eastAsia="仿宋_GB2312" w:hint="eastAsia"/>
          <w:color w:val="000000" w:themeColor="text1"/>
          <w:sz w:val="32"/>
          <w:szCs w:val="32"/>
        </w:rPr>
        <w:t>年相比，一般公共预算财政拨款减少306.33</w:t>
      </w:r>
      <w:r w:rsidRPr="004135E8">
        <w:rPr>
          <w:rFonts w:ascii="仿宋_GB2312" w:eastAsia="仿宋_GB2312" w:hint="eastAsia"/>
          <w:color w:val="000000" w:themeColor="text1"/>
          <w:sz w:val="32"/>
          <w:szCs w:val="32"/>
        </w:rPr>
        <w:t>万元（</w:t>
      </w:r>
      <w:r w:rsidR="004239A2">
        <w:rPr>
          <w:rFonts w:ascii="仿宋_GB2312" w:eastAsia="仿宋_GB2312" w:hint="eastAsia"/>
          <w:color w:val="000000" w:themeColor="text1"/>
          <w:sz w:val="32"/>
          <w:szCs w:val="32"/>
        </w:rPr>
        <w:t>2017</w:t>
      </w:r>
      <w:r w:rsidRPr="004135E8">
        <w:rPr>
          <w:rFonts w:ascii="仿宋_GB2312" w:eastAsia="仿宋_GB2312" w:hint="eastAsia"/>
          <w:color w:val="000000" w:themeColor="text1"/>
          <w:sz w:val="32"/>
          <w:szCs w:val="32"/>
        </w:rPr>
        <w:t>年一般公共预算财政</w:t>
      </w:r>
      <w:r w:rsidRPr="004135E8">
        <w:rPr>
          <w:rFonts w:ascii="仿宋_GB2312" w:eastAsia="仿宋_GB2312" w:hint="eastAsia"/>
          <w:color w:val="000000" w:themeColor="text1"/>
          <w:sz w:val="32"/>
          <w:szCs w:val="32"/>
        </w:rPr>
        <w:lastRenderedPageBreak/>
        <w:t>拨款支出</w:t>
      </w:r>
      <w:r w:rsidR="00724501" w:rsidRPr="004135E8">
        <w:rPr>
          <w:rFonts w:ascii="仿宋_GB2312" w:eastAsia="仿宋_GB2312" w:hint="eastAsia"/>
          <w:color w:val="000000" w:themeColor="text1"/>
          <w:sz w:val="32"/>
          <w:szCs w:val="32"/>
        </w:rPr>
        <w:t>1874.73</w:t>
      </w:r>
      <w:r w:rsidRPr="004135E8">
        <w:rPr>
          <w:rFonts w:ascii="仿宋_GB2312" w:eastAsia="仿宋_GB2312" w:hint="eastAsia"/>
          <w:color w:val="000000" w:themeColor="text1"/>
          <w:sz w:val="32"/>
          <w:szCs w:val="32"/>
        </w:rPr>
        <w:t>万元），增长</w:t>
      </w:r>
      <w:r w:rsidR="00003474">
        <w:rPr>
          <w:rFonts w:ascii="仿宋_GB2312" w:eastAsia="仿宋_GB2312" w:hint="eastAsia"/>
          <w:color w:val="000000" w:themeColor="text1"/>
          <w:sz w:val="32"/>
          <w:szCs w:val="32"/>
        </w:rPr>
        <w:t>16.34</w:t>
      </w:r>
      <w:r w:rsidRPr="004135E8">
        <w:rPr>
          <w:rFonts w:ascii="仿宋_GB2312" w:eastAsia="仿宋_GB2312" w:hint="eastAsia"/>
          <w:color w:val="000000" w:themeColor="text1"/>
          <w:sz w:val="32"/>
          <w:szCs w:val="32"/>
        </w:rPr>
        <w:t>%。（附图4：双福镇</w:t>
      </w:r>
      <w:r w:rsidR="004239A2">
        <w:rPr>
          <w:rFonts w:ascii="仿宋_GB2312" w:eastAsia="仿宋_GB2312" w:hint="eastAsia"/>
          <w:color w:val="000000" w:themeColor="text1"/>
          <w:sz w:val="32"/>
          <w:szCs w:val="32"/>
        </w:rPr>
        <w:t>2017</w:t>
      </w:r>
      <w:r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年一般公共预算财政拨款支出对比图）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noProof/>
          <w:color w:val="000000" w:themeColor="text1"/>
          <w:sz w:val="32"/>
          <w:szCs w:val="32"/>
        </w:rPr>
        <w:drawing>
          <wp:anchor distT="0" distB="0" distL="114300" distR="114300" simplePos="0" relativeHeight="251664384" behindDoc="0" locked="0" layoutInCell="1" allowOverlap="1">
            <wp:simplePos x="0" y="0"/>
            <wp:positionH relativeFrom="column">
              <wp:posOffset>-308610</wp:posOffset>
            </wp:positionH>
            <wp:positionV relativeFrom="paragraph">
              <wp:posOffset>122555</wp:posOffset>
            </wp:positionV>
            <wp:extent cx="6250305" cy="5076825"/>
            <wp:effectExtent l="0" t="0" r="0" b="0"/>
            <wp:wrapSquare wrapText="bothSides"/>
            <wp:docPr id="11" name="对象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4135E8">
        <w:rPr>
          <w:rFonts w:ascii="仿宋_GB2312" w:eastAsia="仿宋_GB2312" w:hint="eastAsia"/>
          <w:color w:val="000000" w:themeColor="text1"/>
          <w:sz w:val="32"/>
          <w:szCs w:val="32"/>
        </w:rPr>
        <w:t>图4：双福镇</w:t>
      </w:r>
      <w:r w:rsidR="004239A2">
        <w:rPr>
          <w:rFonts w:ascii="仿宋_GB2312" w:eastAsia="仿宋_GB2312" w:hint="eastAsia"/>
          <w:color w:val="000000" w:themeColor="text1"/>
          <w:sz w:val="32"/>
          <w:szCs w:val="32"/>
        </w:rPr>
        <w:t>2017</w:t>
      </w:r>
      <w:r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年一般公共预算财政拨款支出对比图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（二）一般公共预算财政拨款支出决算结构情况</w:t>
      </w:r>
    </w:p>
    <w:p w:rsidR="003875BA" w:rsidRPr="004135E8" w:rsidRDefault="003875BA" w:rsidP="007E70A2">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年一般公共预算财政拨款支出</w:t>
      </w:r>
      <w:r w:rsidR="009734D0">
        <w:rPr>
          <w:rFonts w:ascii="仿宋_GB2312" w:eastAsia="仿宋_GB2312" w:hint="eastAsia"/>
          <w:color w:val="000000" w:themeColor="text1"/>
          <w:sz w:val="32"/>
          <w:szCs w:val="32"/>
        </w:rPr>
        <w:t>1568.4</w:t>
      </w:r>
      <w:r w:rsidRPr="004135E8">
        <w:rPr>
          <w:rFonts w:ascii="仿宋_GB2312" w:eastAsia="仿宋_GB2312" w:hint="eastAsia"/>
          <w:color w:val="000000" w:themeColor="text1"/>
          <w:sz w:val="32"/>
          <w:szCs w:val="32"/>
        </w:rPr>
        <w:t>万元，主要用于以下方面:农林水支出</w:t>
      </w:r>
      <w:r w:rsidR="007E70A2">
        <w:rPr>
          <w:rFonts w:ascii="仿宋_GB2312" w:eastAsia="仿宋_GB2312" w:hint="eastAsia"/>
          <w:color w:val="000000" w:themeColor="text1"/>
          <w:sz w:val="32"/>
          <w:szCs w:val="32"/>
        </w:rPr>
        <w:t>719.62</w:t>
      </w:r>
      <w:r w:rsidRPr="004135E8">
        <w:rPr>
          <w:rFonts w:ascii="仿宋_GB2312" w:eastAsia="仿宋_GB2312" w:hint="eastAsia"/>
          <w:color w:val="000000" w:themeColor="text1"/>
          <w:sz w:val="32"/>
          <w:szCs w:val="32"/>
        </w:rPr>
        <w:t>万元，占</w:t>
      </w:r>
      <w:r w:rsidR="00C8190D">
        <w:rPr>
          <w:rFonts w:ascii="仿宋_GB2312" w:eastAsia="仿宋_GB2312" w:hint="eastAsia"/>
          <w:color w:val="000000" w:themeColor="text1"/>
          <w:sz w:val="32"/>
          <w:szCs w:val="32"/>
        </w:rPr>
        <w:t>46</w:t>
      </w:r>
      <w:r w:rsidRPr="004135E8">
        <w:rPr>
          <w:rFonts w:ascii="仿宋_GB2312" w:eastAsia="仿宋_GB2312" w:hint="eastAsia"/>
          <w:color w:val="000000" w:themeColor="text1"/>
          <w:sz w:val="32"/>
          <w:szCs w:val="32"/>
        </w:rPr>
        <w:t>%，一般公共服务支出</w:t>
      </w:r>
      <w:r w:rsidR="007E70A2">
        <w:rPr>
          <w:rFonts w:ascii="仿宋_GB2312" w:eastAsia="仿宋_GB2312" w:hint="eastAsia"/>
          <w:color w:val="000000" w:themeColor="text1"/>
          <w:sz w:val="32"/>
          <w:szCs w:val="32"/>
        </w:rPr>
        <w:t>426.52</w:t>
      </w:r>
      <w:r w:rsidRPr="004135E8">
        <w:rPr>
          <w:rFonts w:ascii="仿宋_GB2312" w:eastAsia="仿宋_GB2312" w:hint="eastAsia"/>
          <w:color w:val="000000" w:themeColor="text1"/>
          <w:sz w:val="32"/>
          <w:szCs w:val="32"/>
        </w:rPr>
        <w:t>万元，占</w:t>
      </w:r>
      <w:r w:rsidR="00C8190D">
        <w:rPr>
          <w:rFonts w:ascii="仿宋_GB2312" w:eastAsia="仿宋_GB2312" w:hint="eastAsia"/>
          <w:color w:val="000000" w:themeColor="text1"/>
          <w:sz w:val="32"/>
          <w:szCs w:val="32"/>
        </w:rPr>
        <w:t>28</w:t>
      </w:r>
      <w:r w:rsidRPr="004135E8">
        <w:rPr>
          <w:rFonts w:ascii="仿宋_GB2312" w:eastAsia="仿宋_GB2312" w:hint="eastAsia"/>
          <w:color w:val="000000" w:themeColor="text1"/>
          <w:sz w:val="32"/>
          <w:szCs w:val="32"/>
        </w:rPr>
        <w:t>%；</w:t>
      </w:r>
      <w:r w:rsidR="003B0BB8" w:rsidRPr="004135E8">
        <w:rPr>
          <w:rFonts w:ascii="仿宋_GB2312" w:eastAsia="仿宋_GB2312" w:hint="eastAsia"/>
          <w:color w:val="000000" w:themeColor="text1"/>
          <w:sz w:val="32"/>
          <w:szCs w:val="32"/>
        </w:rPr>
        <w:t>文化教育和传媒</w:t>
      </w:r>
      <w:r w:rsidRPr="004135E8">
        <w:rPr>
          <w:rFonts w:ascii="仿宋_GB2312" w:eastAsia="仿宋_GB2312" w:hint="eastAsia"/>
          <w:color w:val="000000" w:themeColor="text1"/>
          <w:sz w:val="32"/>
          <w:szCs w:val="32"/>
        </w:rPr>
        <w:t>支出</w:t>
      </w:r>
      <w:r w:rsidR="007E70A2">
        <w:rPr>
          <w:rFonts w:ascii="仿宋_GB2312" w:eastAsia="仿宋_GB2312" w:hint="eastAsia"/>
          <w:color w:val="000000" w:themeColor="text1"/>
          <w:sz w:val="32"/>
          <w:szCs w:val="32"/>
        </w:rPr>
        <w:lastRenderedPageBreak/>
        <w:t>138.53</w:t>
      </w:r>
      <w:r w:rsidRPr="004135E8">
        <w:rPr>
          <w:rFonts w:ascii="仿宋_GB2312" w:eastAsia="仿宋_GB2312" w:hint="eastAsia"/>
          <w:color w:val="000000" w:themeColor="text1"/>
          <w:sz w:val="32"/>
          <w:szCs w:val="32"/>
        </w:rPr>
        <w:t>万元，占</w:t>
      </w:r>
      <w:r w:rsidR="00C8190D">
        <w:rPr>
          <w:rFonts w:ascii="仿宋_GB2312" w:eastAsia="仿宋_GB2312" w:hint="eastAsia"/>
          <w:color w:val="000000" w:themeColor="text1"/>
          <w:sz w:val="32"/>
          <w:szCs w:val="32"/>
        </w:rPr>
        <w:t>9</w:t>
      </w:r>
      <w:r w:rsidRPr="004135E8">
        <w:rPr>
          <w:rFonts w:ascii="仿宋_GB2312" w:eastAsia="仿宋_GB2312" w:hint="eastAsia"/>
          <w:color w:val="000000" w:themeColor="text1"/>
          <w:sz w:val="32"/>
          <w:szCs w:val="32"/>
        </w:rPr>
        <w:t>%；社会保障和就业支出</w:t>
      </w:r>
      <w:r w:rsidR="007E70A2">
        <w:rPr>
          <w:rFonts w:ascii="仿宋_GB2312" w:eastAsia="仿宋_GB2312" w:hint="eastAsia"/>
          <w:color w:val="000000" w:themeColor="text1"/>
          <w:sz w:val="32"/>
          <w:szCs w:val="32"/>
        </w:rPr>
        <w:t>130.59</w:t>
      </w:r>
      <w:r w:rsidRPr="004135E8">
        <w:rPr>
          <w:rFonts w:ascii="仿宋_GB2312" w:eastAsia="仿宋_GB2312" w:hint="eastAsia"/>
          <w:color w:val="000000" w:themeColor="text1"/>
          <w:sz w:val="32"/>
          <w:szCs w:val="32"/>
        </w:rPr>
        <w:t>万元，占</w:t>
      </w:r>
      <w:r w:rsidR="007E70A2">
        <w:rPr>
          <w:rFonts w:ascii="仿宋_GB2312" w:eastAsia="仿宋_GB2312" w:hint="eastAsia"/>
          <w:color w:val="000000" w:themeColor="text1"/>
          <w:sz w:val="32"/>
          <w:szCs w:val="32"/>
        </w:rPr>
        <w:t xml:space="preserve">  </w:t>
      </w:r>
      <w:r w:rsidRPr="004135E8">
        <w:rPr>
          <w:rFonts w:ascii="仿宋_GB2312" w:eastAsia="仿宋_GB2312" w:hint="eastAsia"/>
          <w:color w:val="000000" w:themeColor="text1"/>
          <w:sz w:val="32"/>
          <w:szCs w:val="32"/>
        </w:rPr>
        <w:t>%；</w:t>
      </w:r>
      <w:r w:rsidR="00006CD6" w:rsidRPr="00006CD6">
        <w:rPr>
          <w:rFonts w:ascii="仿宋_GB2312" w:eastAsia="仿宋_GB2312" w:hint="eastAsia"/>
          <w:color w:val="000000" w:themeColor="text1"/>
          <w:sz w:val="32"/>
          <w:szCs w:val="32"/>
        </w:rPr>
        <w:t>医疗卫生与计划生育支出</w:t>
      </w:r>
      <w:r w:rsidR="007E70A2">
        <w:rPr>
          <w:rFonts w:ascii="仿宋_GB2312" w:eastAsia="仿宋_GB2312" w:hint="eastAsia"/>
          <w:color w:val="000000" w:themeColor="text1"/>
          <w:sz w:val="32"/>
          <w:szCs w:val="32"/>
        </w:rPr>
        <w:t>17.63</w:t>
      </w:r>
      <w:r w:rsidRPr="004135E8">
        <w:rPr>
          <w:rFonts w:ascii="仿宋_GB2312" w:eastAsia="仿宋_GB2312" w:hint="eastAsia"/>
          <w:color w:val="000000" w:themeColor="text1"/>
          <w:sz w:val="32"/>
          <w:szCs w:val="32"/>
        </w:rPr>
        <w:t>万元，占</w:t>
      </w:r>
      <w:r w:rsidR="007E70A2">
        <w:rPr>
          <w:rFonts w:ascii="仿宋_GB2312" w:eastAsia="仿宋_GB2312" w:hint="eastAsia"/>
          <w:color w:val="000000" w:themeColor="text1"/>
          <w:sz w:val="32"/>
          <w:szCs w:val="32"/>
        </w:rPr>
        <w:t xml:space="preserve">  </w:t>
      </w:r>
      <w:r w:rsidRPr="004135E8">
        <w:rPr>
          <w:rFonts w:ascii="仿宋_GB2312" w:eastAsia="仿宋_GB2312" w:hint="eastAsia"/>
          <w:color w:val="000000" w:themeColor="text1"/>
          <w:sz w:val="32"/>
          <w:szCs w:val="32"/>
        </w:rPr>
        <w:t>%；</w:t>
      </w:r>
      <w:r w:rsidR="00006CD6" w:rsidRPr="00006CD6">
        <w:rPr>
          <w:rFonts w:ascii="仿宋_GB2312" w:eastAsia="仿宋_GB2312" w:hint="eastAsia"/>
          <w:color w:val="000000" w:themeColor="text1"/>
          <w:sz w:val="32"/>
          <w:szCs w:val="32"/>
        </w:rPr>
        <w:t>节能环保支出</w:t>
      </w:r>
      <w:r w:rsidR="00006CD6">
        <w:rPr>
          <w:rFonts w:ascii="仿宋_GB2312" w:eastAsia="仿宋_GB2312" w:hint="eastAsia"/>
          <w:color w:val="000000" w:themeColor="text1"/>
          <w:sz w:val="32"/>
          <w:szCs w:val="32"/>
        </w:rPr>
        <w:t>57.86万元，占   %；</w:t>
      </w:r>
      <w:r w:rsidRPr="004135E8">
        <w:rPr>
          <w:rFonts w:ascii="仿宋_GB2312" w:eastAsia="仿宋_GB2312" w:hint="eastAsia"/>
          <w:color w:val="000000" w:themeColor="text1"/>
          <w:sz w:val="32"/>
          <w:szCs w:val="32"/>
        </w:rPr>
        <w:t>住房保障支出</w:t>
      </w:r>
      <w:r w:rsidR="007E70A2">
        <w:rPr>
          <w:rFonts w:ascii="仿宋_GB2312" w:eastAsia="仿宋_GB2312" w:hint="eastAsia"/>
          <w:color w:val="000000" w:themeColor="text1"/>
          <w:sz w:val="32"/>
          <w:szCs w:val="32"/>
        </w:rPr>
        <w:t>43.5</w:t>
      </w:r>
      <w:r w:rsidRPr="004135E8">
        <w:rPr>
          <w:rFonts w:ascii="仿宋_GB2312" w:eastAsia="仿宋_GB2312" w:hint="eastAsia"/>
          <w:color w:val="000000" w:themeColor="text1"/>
          <w:sz w:val="32"/>
          <w:szCs w:val="32"/>
        </w:rPr>
        <w:t>万元，占</w:t>
      </w:r>
      <w:r w:rsidR="007E70A2">
        <w:rPr>
          <w:rFonts w:ascii="仿宋_GB2312" w:eastAsia="仿宋_GB2312" w:hint="eastAsia"/>
          <w:color w:val="000000" w:themeColor="text1"/>
          <w:sz w:val="32"/>
          <w:szCs w:val="32"/>
        </w:rPr>
        <w:t xml:space="preserve">   </w:t>
      </w:r>
      <w:r w:rsidRPr="004135E8">
        <w:rPr>
          <w:rFonts w:ascii="仿宋_GB2312" w:eastAsia="仿宋_GB2312" w:hint="eastAsia"/>
          <w:color w:val="000000" w:themeColor="text1"/>
          <w:sz w:val="32"/>
          <w:szCs w:val="32"/>
        </w:rPr>
        <w:t>%；</w:t>
      </w:r>
      <w:r w:rsidR="007E70A2" w:rsidRPr="007E70A2">
        <w:rPr>
          <w:rFonts w:ascii="仿宋_GB2312" w:eastAsia="仿宋_GB2312" w:hint="eastAsia"/>
          <w:color w:val="000000" w:themeColor="text1"/>
          <w:sz w:val="32"/>
          <w:szCs w:val="32"/>
        </w:rPr>
        <w:t>商业服务业等支出</w:t>
      </w:r>
      <w:r w:rsidR="007E70A2">
        <w:rPr>
          <w:rFonts w:ascii="仿宋_GB2312" w:eastAsia="仿宋_GB2312" w:hint="eastAsia"/>
          <w:color w:val="000000" w:themeColor="text1"/>
          <w:sz w:val="32"/>
          <w:szCs w:val="32"/>
        </w:rPr>
        <w:t>12.52</w:t>
      </w:r>
      <w:r w:rsidRPr="004135E8">
        <w:rPr>
          <w:rFonts w:ascii="仿宋_GB2312" w:eastAsia="仿宋_GB2312" w:hint="eastAsia"/>
          <w:color w:val="000000" w:themeColor="text1"/>
          <w:sz w:val="32"/>
          <w:szCs w:val="32"/>
        </w:rPr>
        <w:t>万元，占</w:t>
      </w:r>
      <w:r w:rsidR="007E70A2">
        <w:rPr>
          <w:rFonts w:ascii="仿宋_GB2312" w:eastAsia="仿宋_GB2312" w:hint="eastAsia"/>
          <w:color w:val="000000" w:themeColor="text1"/>
          <w:sz w:val="32"/>
          <w:szCs w:val="32"/>
        </w:rPr>
        <w:t xml:space="preserve">  </w:t>
      </w:r>
      <w:r w:rsidRPr="004135E8">
        <w:rPr>
          <w:rFonts w:ascii="仿宋_GB2312" w:eastAsia="仿宋_GB2312" w:hint="eastAsia"/>
          <w:color w:val="000000" w:themeColor="text1"/>
          <w:sz w:val="32"/>
          <w:szCs w:val="32"/>
        </w:rPr>
        <w:t>%；国土海洋气象等支出</w:t>
      </w:r>
      <w:r w:rsidR="007E70A2">
        <w:rPr>
          <w:rFonts w:ascii="仿宋_GB2312" w:eastAsia="仿宋_GB2312" w:hint="eastAsia"/>
          <w:color w:val="000000" w:themeColor="text1"/>
          <w:sz w:val="32"/>
          <w:szCs w:val="32"/>
        </w:rPr>
        <w:t>1.08</w:t>
      </w:r>
      <w:r w:rsidRPr="004135E8">
        <w:rPr>
          <w:rFonts w:ascii="仿宋_GB2312" w:eastAsia="仿宋_GB2312" w:hint="eastAsia"/>
          <w:color w:val="000000" w:themeColor="text1"/>
          <w:sz w:val="32"/>
          <w:szCs w:val="32"/>
        </w:rPr>
        <w:t>万元，占</w:t>
      </w:r>
      <w:r w:rsidR="007E70A2">
        <w:rPr>
          <w:rFonts w:ascii="仿宋_GB2312" w:eastAsia="仿宋_GB2312" w:hint="eastAsia"/>
          <w:color w:val="000000" w:themeColor="text1"/>
          <w:sz w:val="32"/>
          <w:szCs w:val="32"/>
        </w:rPr>
        <w:t xml:space="preserve">  </w:t>
      </w:r>
      <w:r w:rsidRPr="004135E8">
        <w:rPr>
          <w:rFonts w:ascii="仿宋_GB2312" w:eastAsia="仿宋_GB2312" w:hint="eastAsia"/>
          <w:color w:val="000000" w:themeColor="text1"/>
          <w:sz w:val="32"/>
          <w:szCs w:val="32"/>
        </w:rPr>
        <w:t>%，城乡社区支出</w:t>
      </w:r>
      <w:r w:rsidR="007E70A2">
        <w:rPr>
          <w:rFonts w:ascii="仿宋_GB2312" w:eastAsia="仿宋_GB2312" w:hint="eastAsia"/>
          <w:color w:val="000000" w:themeColor="text1"/>
          <w:sz w:val="32"/>
          <w:szCs w:val="32"/>
        </w:rPr>
        <w:t>18</w:t>
      </w:r>
      <w:r w:rsidRPr="004135E8">
        <w:rPr>
          <w:rFonts w:ascii="仿宋_GB2312" w:eastAsia="仿宋_GB2312" w:hint="eastAsia"/>
          <w:color w:val="000000" w:themeColor="text1"/>
          <w:sz w:val="32"/>
          <w:szCs w:val="32"/>
        </w:rPr>
        <w:t>万元，占</w:t>
      </w:r>
      <w:r w:rsidR="007E70A2">
        <w:rPr>
          <w:rFonts w:ascii="仿宋_GB2312" w:eastAsia="仿宋_GB2312" w:hint="eastAsia"/>
          <w:color w:val="000000" w:themeColor="text1"/>
          <w:sz w:val="32"/>
          <w:szCs w:val="32"/>
        </w:rPr>
        <w:t xml:space="preserve">  </w:t>
      </w:r>
      <w:r w:rsidRPr="004135E8">
        <w:rPr>
          <w:rFonts w:ascii="仿宋_GB2312" w:eastAsia="仿宋_GB2312" w:hint="eastAsia"/>
          <w:color w:val="000000" w:themeColor="text1"/>
          <w:sz w:val="32"/>
          <w:szCs w:val="32"/>
        </w:rPr>
        <w:t>%</w:t>
      </w:r>
      <w:r w:rsidR="00006CD6">
        <w:rPr>
          <w:rFonts w:ascii="仿宋_GB2312" w:eastAsia="仿宋_GB2312" w:hint="eastAsia"/>
          <w:color w:val="000000" w:themeColor="text1"/>
          <w:sz w:val="32"/>
          <w:szCs w:val="32"/>
        </w:rPr>
        <w:t>；</w:t>
      </w:r>
      <w:r w:rsidR="00006CD6" w:rsidRPr="00006CD6">
        <w:rPr>
          <w:rFonts w:ascii="仿宋_GB2312" w:eastAsia="仿宋_GB2312" w:hint="eastAsia"/>
          <w:color w:val="000000" w:themeColor="text1"/>
          <w:sz w:val="32"/>
          <w:szCs w:val="32"/>
        </w:rPr>
        <w:t>国防支出</w:t>
      </w:r>
      <w:r w:rsidR="00006CD6">
        <w:rPr>
          <w:rFonts w:ascii="仿宋_GB2312" w:eastAsia="仿宋_GB2312" w:hint="eastAsia"/>
          <w:color w:val="000000" w:themeColor="text1"/>
          <w:sz w:val="32"/>
          <w:szCs w:val="32"/>
        </w:rPr>
        <w:t>2.55万元，占  %</w:t>
      </w:r>
      <w:r w:rsidRPr="004135E8">
        <w:rPr>
          <w:rFonts w:ascii="仿宋_GB2312" w:eastAsia="仿宋_GB2312" w:hint="eastAsia"/>
          <w:color w:val="000000" w:themeColor="text1"/>
          <w:sz w:val="32"/>
          <w:szCs w:val="32"/>
        </w:rPr>
        <w:t>。（附图5：一般公共预算财政拨款支出决算结构图）</w:t>
      </w:r>
    </w:p>
    <w:p w:rsidR="003875BA" w:rsidRPr="004135E8" w:rsidRDefault="00B075E5" w:rsidP="006A23A6">
      <w:pPr>
        <w:spacing w:line="360" w:lineRule="auto"/>
        <w:ind w:leftChars="304" w:left="798" w:hangingChars="50" w:hanging="160"/>
        <w:rPr>
          <w:rFonts w:ascii="仿宋_GB2312" w:eastAsia="仿宋_GB2312"/>
          <w:b/>
          <w:color w:val="000000" w:themeColor="text1"/>
          <w:sz w:val="32"/>
          <w:szCs w:val="32"/>
        </w:rPr>
      </w:pPr>
      <w:r>
        <w:rPr>
          <w:rFonts w:ascii="仿宋_GB2312" w:eastAsia="仿宋_GB2312" w:hint="eastAsia"/>
          <w:noProof/>
          <w:color w:val="000000" w:themeColor="text1"/>
          <w:sz w:val="32"/>
          <w:szCs w:val="32"/>
        </w:rPr>
        <w:drawing>
          <wp:inline distT="0" distB="0" distL="0" distR="0">
            <wp:extent cx="5486400" cy="32004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3875BA" w:rsidRPr="004135E8">
        <w:rPr>
          <w:rFonts w:ascii="仿宋_GB2312" w:eastAsia="仿宋_GB2312" w:hint="eastAsia"/>
          <w:color w:val="000000" w:themeColor="text1"/>
          <w:sz w:val="32"/>
          <w:szCs w:val="32"/>
        </w:rPr>
        <w:t>图5：一般公共预算财政拨款支出决算结构图</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（三）一般公共预算财政拨款支出决算具体情况</w:t>
      </w:r>
    </w:p>
    <w:tbl>
      <w:tblPr>
        <w:tblW w:w="5000" w:type="pct"/>
        <w:tblCellSpacing w:w="0" w:type="dxa"/>
        <w:tblCellMar>
          <w:left w:w="0" w:type="dxa"/>
          <w:right w:w="0" w:type="dxa"/>
        </w:tblCellMar>
        <w:tblLook w:val="04A0"/>
      </w:tblPr>
      <w:tblGrid>
        <w:gridCol w:w="8958"/>
      </w:tblGrid>
      <w:tr w:rsidR="003875BA" w:rsidRPr="004135E8" w:rsidTr="00396881">
        <w:trPr>
          <w:tblCellSpacing w:w="0" w:type="dxa"/>
        </w:trPr>
        <w:tc>
          <w:tcPr>
            <w:tcW w:w="0" w:type="auto"/>
            <w:shd w:val="clear" w:color="auto" w:fill="FFFFFF"/>
          </w:tcPr>
          <w:p w:rsidR="003875BA" w:rsidRPr="004135E8" w:rsidRDefault="003875BA" w:rsidP="00396881">
            <w:pPr>
              <w:spacing w:line="360" w:lineRule="auto"/>
              <w:ind w:firstLineChars="250" w:firstLine="80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1.一般公共服务支出（类）政府办公厅（室）及相关机构事务（款）行政运行（项）</w:t>
            </w:r>
            <w:r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sidR="00B075E5">
              <w:rPr>
                <w:rFonts w:ascii="仿宋_GB2312" w:eastAsia="仿宋_GB2312" w:hint="eastAsia"/>
                <w:color w:val="000000" w:themeColor="text1"/>
                <w:sz w:val="32"/>
                <w:szCs w:val="32"/>
              </w:rPr>
              <w:t>298.68</w:t>
            </w:r>
            <w:r w:rsidRPr="004135E8">
              <w:rPr>
                <w:rFonts w:ascii="仿宋_GB2312" w:eastAsia="仿宋_GB2312" w:hint="eastAsia"/>
                <w:color w:val="000000" w:themeColor="text1"/>
                <w:sz w:val="32"/>
                <w:szCs w:val="32"/>
              </w:rPr>
              <w:t>万元，完成预算100%。</w:t>
            </w:r>
          </w:p>
          <w:p w:rsidR="003875BA" w:rsidRPr="004135E8" w:rsidRDefault="003875BA" w:rsidP="00396881">
            <w:pPr>
              <w:spacing w:line="360" w:lineRule="auto"/>
              <w:ind w:firstLineChars="250" w:firstLine="80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2.一般公共服务支出（类）政府办公厅（室）及相关机构</w:t>
            </w:r>
            <w:r w:rsidRPr="004135E8">
              <w:rPr>
                <w:rFonts w:ascii="仿宋_GB2312" w:eastAsia="仿宋_GB2312" w:hint="eastAsia"/>
                <w:b/>
                <w:color w:val="000000" w:themeColor="text1"/>
                <w:sz w:val="32"/>
                <w:szCs w:val="32"/>
              </w:rPr>
              <w:lastRenderedPageBreak/>
              <w:t>事务（款）一般行政管理事务（项）：</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sidRPr="004135E8">
              <w:rPr>
                <w:rFonts w:ascii="仿宋_GB2312" w:eastAsia="仿宋_GB2312" w:hint="eastAsia"/>
                <w:color w:val="000000" w:themeColor="text1"/>
                <w:sz w:val="32"/>
                <w:szCs w:val="32"/>
              </w:rPr>
              <w:tab/>
            </w:r>
            <w:r w:rsidR="00B075E5">
              <w:rPr>
                <w:rFonts w:ascii="仿宋_GB2312" w:eastAsia="仿宋_GB2312" w:hint="eastAsia"/>
                <w:color w:val="000000" w:themeColor="text1"/>
                <w:sz w:val="32"/>
                <w:szCs w:val="32"/>
              </w:rPr>
              <w:t>123.23</w:t>
            </w:r>
            <w:r w:rsidRPr="004135E8">
              <w:rPr>
                <w:rFonts w:ascii="仿宋_GB2312" w:eastAsia="仿宋_GB2312" w:hint="eastAsia"/>
                <w:color w:val="000000" w:themeColor="text1"/>
                <w:sz w:val="32"/>
                <w:szCs w:val="32"/>
              </w:rPr>
              <w:t>万元，完成预算100%。</w:t>
            </w:r>
          </w:p>
          <w:p w:rsidR="00B075E5" w:rsidRDefault="00B075E5" w:rsidP="00B075E5">
            <w:pPr>
              <w:spacing w:line="360" w:lineRule="auto"/>
              <w:ind w:firstLineChars="250" w:firstLine="80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3</w:t>
            </w:r>
            <w:r w:rsidR="003875BA" w:rsidRPr="004135E8">
              <w:rPr>
                <w:rFonts w:ascii="仿宋_GB2312" w:eastAsia="仿宋_GB2312" w:hint="eastAsia"/>
                <w:b/>
                <w:color w:val="000000" w:themeColor="text1"/>
                <w:sz w:val="32"/>
                <w:szCs w:val="32"/>
              </w:rPr>
              <w:t>.一般公共服务（类）人力资源事务（款）其他人力资源事务支出（项）: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4.61</w:t>
            </w:r>
            <w:r w:rsidR="003875BA" w:rsidRPr="004135E8">
              <w:rPr>
                <w:rFonts w:ascii="仿宋_GB2312" w:eastAsia="仿宋_GB2312" w:hint="eastAsia"/>
                <w:color w:val="000000" w:themeColor="text1"/>
                <w:sz w:val="32"/>
                <w:szCs w:val="32"/>
              </w:rPr>
              <w:t>万元，完成预算100%。</w:t>
            </w:r>
          </w:p>
          <w:p w:rsidR="00B075E5" w:rsidRPr="004135E8"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4</w:t>
            </w:r>
            <w:r w:rsidRPr="004135E8">
              <w:rPr>
                <w:rFonts w:ascii="仿宋_GB2312" w:eastAsia="仿宋_GB2312" w:hint="eastAsia"/>
                <w:b/>
                <w:color w:val="000000" w:themeColor="text1"/>
                <w:sz w:val="32"/>
                <w:szCs w:val="32"/>
              </w:rPr>
              <w:t>.</w:t>
            </w:r>
            <w:r>
              <w:rPr>
                <w:rFonts w:ascii="仿宋_GB2312" w:eastAsia="仿宋_GB2312" w:hint="eastAsia"/>
                <w:b/>
                <w:color w:val="000000" w:themeColor="text1"/>
                <w:sz w:val="32"/>
                <w:szCs w:val="32"/>
              </w:rPr>
              <w:t>国防支出</w:t>
            </w:r>
            <w:r w:rsidRPr="004135E8">
              <w:rPr>
                <w:rFonts w:ascii="仿宋_GB2312" w:eastAsia="仿宋_GB2312" w:hint="eastAsia"/>
                <w:b/>
                <w:color w:val="000000" w:themeColor="text1"/>
                <w:sz w:val="32"/>
                <w:szCs w:val="32"/>
              </w:rPr>
              <w:t>（类）</w:t>
            </w:r>
            <w:r>
              <w:rPr>
                <w:rFonts w:ascii="仿宋_GB2312" w:eastAsia="仿宋_GB2312" w:hint="eastAsia"/>
                <w:b/>
                <w:color w:val="000000" w:themeColor="text1"/>
                <w:sz w:val="32"/>
                <w:szCs w:val="32"/>
              </w:rPr>
              <w:t>国防动员</w:t>
            </w:r>
            <w:r w:rsidRPr="004135E8">
              <w:rPr>
                <w:rFonts w:ascii="仿宋_GB2312" w:eastAsia="仿宋_GB2312" w:hint="eastAsia"/>
                <w:b/>
                <w:color w:val="000000" w:themeColor="text1"/>
                <w:sz w:val="32"/>
                <w:szCs w:val="32"/>
              </w:rPr>
              <w:t>（款）</w:t>
            </w:r>
            <w:r>
              <w:rPr>
                <w:rFonts w:ascii="仿宋_GB2312" w:eastAsia="仿宋_GB2312" w:hint="eastAsia"/>
                <w:b/>
                <w:color w:val="000000" w:themeColor="text1"/>
                <w:sz w:val="32"/>
                <w:szCs w:val="32"/>
              </w:rPr>
              <w:t>兵役征集</w:t>
            </w:r>
            <w:r w:rsidRPr="004135E8">
              <w:rPr>
                <w:rFonts w:ascii="仿宋_GB2312" w:eastAsia="仿宋_GB2312" w:hint="eastAsia"/>
                <w:b/>
                <w:color w:val="000000" w:themeColor="text1"/>
                <w:sz w:val="32"/>
                <w:szCs w:val="32"/>
              </w:rPr>
              <w:t>（项）: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0.15</w:t>
            </w:r>
            <w:r w:rsidRPr="004135E8">
              <w:rPr>
                <w:rFonts w:ascii="仿宋_GB2312" w:eastAsia="仿宋_GB2312" w:hint="eastAsia"/>
                <w:color w:val="000000" w:themeColor="text1"/>
                <w:sz w:val="32"/>
                <w:szCs w:val="32"/>
              </w:rPr>
              <w:t>万元，完成预算100%。</w:t>
            </w:r>
          </w:p>
          <w:p w:rsidR="00B075E5" w:rsidRPr="00B075E5"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5</w:t>
            </w:r>
            <w:r w:rsidRPr="004135E8">
              <w:rPr>
                <w:rFonts w:ascii="仿宋_GB2312" w:eastAsia="仿宋_GB2312" w:hint="eastAsia"/>
                <w:b/>
                <w:color w:val="000000" w:themeColor="text1"/>
                <w:sz w:val="32"/>
                <w:szCs w:val="32"/>
              </w:rPr>
              <w:t>.</w:t>
            </w:r>
            <w:r>
              <w:rPr>
                <w:rFonts w:ascii="仿宋_GB2312" w:eastAsia="仿宋_GB2312" w:hint="eastAsia"/>
                <w:b/>
                <w:color w:val="000000" w:themeColor="text1"/>
                <w:sz w:val="32"/>
                <w:szCs w:val="32"/>
              </w:rPr>
              <w:t>国防支出</w:t>
            </w:r>
            <w:r w:rsidRPr="004135E8">
              <w:rPr>
                <w:rFonts w:ascii="仿宋_GB2312" w:eastAsia="仿宋_GB2312" w:hint="eastAsia"/>
                <w:b/>
                <w:color w:val="000000" w:themeColor="text1"/>
                <w:sz w:val="32"/>
                <w:szCs w:val="32"/>
              </w:rPr>
              <w:t>（类）</w:t>
            </w:r>
            <w:r>
              <w:rPr>
                <w:rFonts w:ascii="仿宋_GB2312" w:eastAsia="仿宋_GB2312" w:hint="eastAsia"/>
                <w:b/>
                <w:color w:val="000000" w:themeColor="text1"/>
                <w:sz w:val="32"/>
                <w:szCs w:val="32"/>
              </w:rPr>
              <w:t>国防动员</w:t>
            </w:r>
            <w:r w:rsidRPr="004135E8">
              <w:rPr>
                <w:rFonts w:ascii="仿宋_GB2312" w:eastAsia="仿宋_GB2312" w:hint="eastAsia"/>
                <w:b/>
                <w:color w:val="000000" w:themeColor="text1"/>
                <w:sz w:val="32"/>
                <w:szCs w:val="32"/>
              </w:rPr>
              <w:t>（款）</w:t>
            </w:r>
            <w:r>
              <w:rPr>
                <w:rFonts w:ascii="仿宋_GB2312" w:eastAsia="仿宋_GB2312" w:hint="eastAsia"/>
                <w:b/>
                <w:color w:val="000000" w:themeColor="text1"/>
                <w:sz w:val="32"/>
                <w:szCs w:val="32"/>
              </w:rPr>
              <w:t>其他国防动员支出</w:t>
            </w:r>
            <w:r w:rsidRPr="004135E8">
              <w:rPr>
                <w:rFonts w:ascii="仿宋_GB2312" w:eastAsia="仿宋_GB2312" w:hint="eastAsia"/>
                <w:b/>
                <w:color w:val="000000" w:themeColor="text1"/>
                <w:sz w:val="32"/>
                <w:szCs w:val="32"/>
              </w:rPr>
              <w:t>（项）: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2.4</w:t>
            </w:r>
            <w:r w:rsidRPr="004135E8">
              <w:rPr>
                <w:rFonts w:ascii="仿宋_GB2312" w:eastAsia="仿宋_GB2312" w:hint="eastAsia"/>
                <w:color w:val="000000" w:themeColor="text1"/>
                <w:sz w:val="32"/>
                <w:szCs w:val="32"/>
              </w:rPr>
              <w:t>万元，完成预算100%。</w:t>
            </w:r>
          </w:p>
          <w:p w:rsidR="003875BA" w:rsidRPr="004135E8"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6</w:t>
            </w:r>
            <w:r w:rsidR="003875BA" w:rsidRPr="004135E8">
              <w:rPr>
                <w:rFonts w:ascii="仿宋_GB2312" w:eastAsia="仿宋_GB2312" w:hint="eastAsia"/>
                <w:b/>
                <w:color w:val="000000" w:themeColor="text1"/>
                <w:sz w:val="32"/>
                <w:szCs w:val="32"/>
              </w:rPr>
              <w:t>.文化体育与传媒支出（类）文化（款）群众文化（项）：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121.67</w:t>
            </w:r>
            <w:r w:rsidR="003875BA" w:rsidRPr="004135E8">
              <w:rPr>
                <w:rFonts w:ascii="仿宋_GB2312" w:eastAsia="仿宋_GB2312" w:hint="eastAsia"/>
                <w:color w:val="000000" w:themeColor="text1"/>
                <w:sz w:val="32"/>
                <w:szCs w:val="32"/>
              </w:rPr>
              <w:t>万元，完成预算100%。</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7</w:t>
            </w:r>
            <w:r w:rsidR="003875BA" w:rsidRPr="004135E8">
              <w:rPr>
                <w:rFonts w:ascii="仿宋_GB2312" w:eastAsia="仿宋_GB2312" w:hint="eastAsia"/>
                <w:b/>
                <w:color w:val="000000" w:themeColor="text1"/>
                <w:sz w:val="32"/>
                <w:szCs w:val="32"/>
              </w:rPr>
              <w:t>.文化体育与传媒支出（类）文化（款）其他文化支出（项）：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16.1</w:t>
            </w:r>
            <w:r w:rsidR="003875BA" w:rsidRPr="004135E8">
              <w:rPr>
                <w:rFonts w:ascii="仿宋_GB2312" w:eastAsia="仿宋_GB2312" w:hint="eastAsia"/>
                <w:color w:val="000000" w:themeColor="text1"/>
                <w:sz w:val="32"/>
                <w:szCs w:val="32"/>
              </w:rPr>
              <w:t>万元,完成预算</w:t>
            </w:r>
            <w:r w:rsidR="00A447EA" w:rsidRPr="004135E8">
              <w:rPr>
                <w:rFonts w:ascii="仿宋_GB2312" w:eastAsia="仿宋_GB2312" w:hint="eastAsia"/>
                <w:color w:val="000000" w:themeColor="text1"/>
                <w:sz w:val="32"/>
                <w:szCs w:val="32"/>
              </w:rPr>
              <w:t>50</w:t>
            </w:r>
            <w:r w:rsidR="003875BA" w:rsidRPr="004135E8">
              <w:rPr>
                <w:rFonts w:ascii="仿宋_GB2312" w:eastAsia="仿宋_GB2312" w:hint="eastAsia"/>
                <w:color w:val="000000" w:themeColor="text1"/>
                <w:sz w:val="32"/>
                <w:szCs w:val="32"/>
              </w:rPr>
              <w:t>%.</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8</w:t>
            </w:r>
            <w:r w:rsidR="003875BA" w:rsidRPr="004135E8">
              <w:rPr>
                <w:rFonts w:ascii="仿宋_GB2312" w:eastAsia="仿宋_GB2312" w:hint="eastAsia"/>
                <w:b/>
                <w:color w:val="000000" w:themeColor="text1"/>
                <w:sz w:val="32"/>
                <w:szCs w:val="32"/>
              </w:rPr>
              <w:t>.文化体育与传媒支出（类）其他文化体育与传媒支出（款）其他文化体育与传媒支出（项）：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sidR="00A21F4B" w:rsidRPr="004135E8">
              <w:rPr>
                <w:rFonts w:ascii="仿宋_GB2312" w:eastAsia="仿宋_GB2312" w:hint="eastAsia"/>
                <w:color w:val="000000" w:themeColor="text1"/>
                <w:sz w:val="32"/>
                <w:szCs w:val="32"/>
              </w:rPr>
              <w:t>0.76</w:t>
            </w:r>
            <w:r w:rsidR="003875BA" w:rsidRPr="004135E8">
              <w:rPr>
                <w:rFonts w:ascii="仿宋_GB2312" w:eastAsia="仿宋_GB2312" w:hint="eastAsia"/>
                <w:color w:val="000000" w:themeColor="text1"/>
                <w:sz w:val="32"/>
                <w:szCs w:val="32"/>
              </w:rPr>
              <w:t>万元，完成预算100%。</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9</w:t>
            </w:r>
            <w:r w:rsidR="003875BA" w:rsidRPr="004135E8">
              <w:rPr>
                <w:rFonts w:ascii="仿宋_GB2312" w:eastAsia="仿宋_GB2312" w:hint="eastAsia"/>
                <w:b/>
                <w:color w:val="000000" w:themeColor="text1"/>
                <w:sz w:val="32"/>
                <w:szCs w:val="32"/>
              </w:rPr>
              <w:t>.社会保障和就业支出（类）人力资源和社会保障事务（款）劳动保障监察（项）：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9.67</w:t>
            </w:r>
            <w:r w:rsidR="003875BA" w:rsidRPr="004135E8">
              <w:rPr>
                <w:rFonts w:ascii="仿宋_GB2312" w:eastAsia="仿宋_GB2312" w:hint="eastAsia"/>
                <w:color w:val="000000" w:themeColor="text1"/>
                <w:sz w:val="32"/>
                <w:szCs w:val="32"/>
              </w:rPr>
              <w:t>万元，完成预算100%。</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10</w:t>
            </w:r>
            <w:r w:rsidR="003875BA" w:rsidRPr="004135E8">
              <w:rPr>
                <w:rFonts w:ascii="仿宋_GB2312" w:eastAsia="仿宋_GB2312" w:hint="eastAsia"/>
                <w:b/>
                <w:color w:val="000000" w:themeColor="text1"/>
                <w:sz w:val="32"/>
                <w:szCs w:val="32"/>
              </w:rPr>
              <w:t>.社会保障和就业支出（类）民政管理事务（款）基层政权和社区建设（项）：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40.44</w:t>
            </w:r>
            <w:r w:rsidR="003875BA" w:rsidRPr="004135E8">
              <w:rPr>
                <w:rFonts w:ascii="仿宋_GB2312" w:eastAsia="仿宋_GB2312" w:hint="eastAsia"/>
                <w:color w:val="000000" w:themeColor="text1"/>
                <w:sz w:val="32"/>
                <w:szCs w:val="32"/>
              </w:rPr>
              <w:t>万元，完成预算100%。</w:t>
            </w:r>
          </w:p>
          <w:p w:rsidR="003875BA" w:rsidRPr="004135E8" w:rsidRDefault="003875BA" w:rsidP="00396881">
            <w:pPr>
              <w:spacing w:line="360" w:lineRule="auto"/>
              <w:ind w:firstLineChars="200" w:firstLine="643"/>
              <w:jc w:val="left"/>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1</w:t>
            </w:r>
            <w:r w:rsidR="00B075E5">
              <w:rPr>
                <w:rFonts w:ascii="仿宋_GB2312" w:eastAsia="仿宋_GB2312" w:hint="eastAsia"/>
                <w:b/>
                <w:color w:val="000000" w:themeColor="text1"/>
                <w:sz w:val="32"/>
                <w:szCs w:val="32"/>
              </w:rPr>
              <w:t>1</w:t>
            </w:r>
            <w:r w:rsidRPr="004135E8">
              <w:rPr>
                <w:rFonts w:ascii="仿宋_GB2312" w:eastAsia="仿宋_GB2312" w:hint="eastAsia"/>
                <w:b/>
                <w:color w:val="000000" w:themeColor="text1"/>
                <w:sz w:val="32"/>
                <w:szCs w:val="32"/>
              </w:rPr>
              <w:t>.社会保障和就业支出（类）行政事业单位离退休（款）</w:t>
            </w:r>
            <w:r w:rsidR="00A21F4B" w:rsidRPr="004135E8">
              <w:rPr>
                <w:rFonts w:ascii="仿宋_GB2312" w:eastAsia="仿宋_GB2312" w:hint="eastAsia"/>
                <w:b/>
                <w:color w:val="000000" w:themeColor="text1"/>
                <w:sz w:val="32"/>
                <w:szCs w:val="32"/>
              </w:rPr>
              <w:t>机关事业单位基本养老保险缴费支出</w:t>
            </w:r>
            <w:r w:rsidRPr="004135E8">
              <w:rPr>
                <w:rFonts w:ascii="仿宋_GB2312" w:eastAsia="仿宋_GB2312" w:hint="eastAsia"/>
                <w:b/>
                <w:color w:val="000000" w:themeColor="text1"/>
                <w:sz w:val="32"/>
                <w:szCs w:val="32"/>
              </w:rPr>
              <w:t>（项）：</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sidR="00B075E5">
              <w:rPr>
                <w:rFonts w:ascii="仿宋_GB2312" w:eastAsia="仿宋_GB2312" w:hint="eastAsia"/>
                <w:color w:val="000000" w:themeColor="text1"/>
                <w:sz w:val="32"/>
                <w:szCs w:val="32"/>
              </w:rPr>
              <w:t>36.78</w:t>
            </w:r>
            <w:r w:rsidRPr="004135E8">
              <w:rPr>
                <w:rFonts w:ascii="仿宋_GB2312" w:eastAsia="仿宋_GB2312" w:hint="eastAsia"/>
                <w:color w:val="000000" w:themeColor="text1"/>
                <w:sz w:val="32"/>
                <w:szCs w:val="32"/>
              </w:rPr>
              <w:lastRenderedPageBreak/>
              <w:t>万元，完成预算100%。</w:t>
            </w:r>
          </w:p>
          <w:p w:rsidR="003875BA"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12</w:t>
            </w:r>
            <w:r w:rsidR="003875BA" w:rsidRPr="004135E8">
              <w:rPr>
                <w:rFonts w:ascii="仿宋_GB2312" w:eastAsia="仿宋_GB2312" w:hint="eastAsia"/>
                <w:b/>
                <w:color w:val="000000" w:themeColor="text1"/>
                <w:sz w:val="32"/>
                <w:szCs w:val="32"/>
              </w:rPr>
              <w:t>.社会保障和就业支出（类）行政事业单位离退休（款）</w:t>
            </w:r>
            <w:r w:rsidR="00A21F4B" w:rsidRPr="004135E8">
              <w:rPr>
                <w:rFonts w:ascii="仿宋_GB2312" w:eastAsia="仿宋_GB2312" w:hint="eastAsia"/>
                <w:b/>
                <w:color w:val="000000" w:themeColor="text1"/>
                <w:sz w:val="32"/>
                <w:szCs w:val="32"/>
              </w:rPr>
              <w:t>机关事业单位职业年金缴费支出</w:t>
            </w:r>
            <w:r w:rsidR="003875BA" w:rsidRPr="004135E8">
              <w:rPr>
                <w:rFonts w:ascii="仿宋_GB2312" w:eastAsia="仿宋_GB2312" w:hint="eastAsia"/>
                <w:b/>
                <w:color w:val="000000" w:themeColor="text1"/>
                <w:sz w:val="32"/>
                <w:szCs w:val="32"/>
              </w:rPr>
              <w:t>（项）</w:t>
            </w:r>
            <w:r w:rsidR="003875BA"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21.84</w:t>
            </w:r>
            <w:r w:rsidR="003875BA" w:rsidRPr="004135E8">
              <w:rPr>
                <w:rFonts w:ascii="仿宋_GB2312" w:eastAsia="仿宋_GB2312" w:hint="eastAsia"/>
                <w:color w:val="000000" w:themeColor="text1"/>
                <w:sz w:val="32"/>
                <w:szCs w:val="32"/>
              </w:rPr>
              <w:t>万元，完成预算100%。</w:t>
            </w:r>
          </w:p>
          <w:p w:rsidR="00B075E5" w:rsidRPr="00B075E5"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13</w:t>
            </w:r>
            <w:r w:rsidRPr="004135E8">
              <w:rPr>
                <w:rFonts w:ascii="仿宋_GB2312" w:eastAsia="仿宋_GB2312" w:hint="eastAsia"/>
                <w:b/>
                <w:color w:val="000000" w:themeColor="text1"/>
                <w:sz w:val="32"/>
                <w:szCs w:val="32"/>
              </w:rPr>
              <w:t>.社会保障和就业支出（类）抚恤（款）</w:t>
            </w:r>
            <w:r>
              <w:rPr>
                <w:rFonts w:ascii="仿宋_GB2312" w:eastAsia="仿宋_GB2312" w:hint="eastAsia"/>
                <w:b/>
                <w:color w:val="000000" w:themeColor="text1"/>
                <w:sz w:val="32"/>
                <w:szCs w:val="32"/>
              </w:rPr>
              <w:t>伤残抚恤</w:t>
            </w:r>
            <w:r w:rsidRPr="004135E8">
              <w:rPr>
                <w:rFonts w:ascii="仿宋_GB2312" w:eastAsia="仿宋_GB2312" w:hint="eastAsia"/>
                <w:b/>
                <w:color w:val="000000" w:themeColor="text1"/>
                <w:sz w:val="32"/>
                <w:szCs w:val="32"/>
              </w:rPr>
              <w:t>（项）：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2.03</w:t>
            </w:r>
            <w:r w:rsidRPr="004135E8">
              <w:rPr>
                <w:rFonts w:ascii="仿宋_GB2312" w:eastAsia="仿宋_GB2312" w:hint="eastAsia"/>
                <w:color w:val="000000" w:themeColor="text1"/>
                <w:sz w:val="32"/>
                <w:szCs w:val="32"/>
              </w:rPr>
              <w:t>万元，完成预算100%。</w:t>
            </w:r>
          </w:p>
          <w:p w:rsidR="003875BA" w:rsidRDefault="00B075E5" w:rsidP="00396881">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14</w:t>
            </w:r>
            <w:r w:rsidR="003875BA" w:rsidRPr="004135E8">
              <w:rPr>
                <w:rFonts w:ascii="仿宋_GB2312" w:eastAsia="仿宋_GB2312" w:hint="eastAsia"/>
                <w:b/>
                <w:color w:val="000000" w:themeColor="text1"/>
                <w:sz w:val="32"/>
                <w:szCs w:val="32"/>
              </w:rPr>
              <w:t>.社会保障和就业支出（类）抚恤（款）其他优抚支出（项）：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11.23</w:t>
            </w:r>
            <w:r w:rsidR="003875BA" w:rsidRPr="004135E8">
              <w:rPr>
                <w:rFonts w:ascii="仿宋_GB2312" w:eastAsia="仿宋_GB2312" w:hint="eastAsia"/>
                <w:color w:val="000000" w:themeColor="text1"/>
                <w:sz w:val="32"/>
                <w:szCs w:val="32"/>
              </w:rPr>
              <w:t>万元，完成预算100%。</w:t>
            </w:r>
          </w:p>
          <w:p w:rsidR="00B075E5" w:rsidRPr="00B075E5"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15</w:t>
            </w:r>
            <w:r w:rsidRPr="004135E8">
              <w:rPr>
                <w:rFonts w:ascii="仿宋_GB2312" w:eastAsia="仿宋_GB2312" w:hint="eastAsia"/>
                <w:b/>
                <w:color w:val="000000" w:themeColor="text1"/>
                <w:sz w:val="32"/>
                <w:szCs w:val="32"/>
              </w:rPr>
              <w:t>.社会保障和就业支出（类）</w:t>
            </w:r>
            <w:r>
              <w:rPr>
                <w:rFonts w:ascii="仿宋_GB2312" w:eastAsia="仿宋_GB2312" w:hint="eastAsia"/>
                <w:b/>
                <w:color w:val="000000" w:themeColor="text1"/>
                <w:sz w:val="32"/>
                <w:szCs w:val="32"/>
              </w:rPr>
              <w:t>残疾人事业</w:t>
            </w:r>
            <w:r w:rsidRPr="004135E8">
              <w:rPr>
                <w:rFonts w:ascii="仿宋_GB2312" w:eastAsia="仿宋_GB2312" w:hint="eastAsia"/>
                <w:b/>
                <w:color w:val="000000" w:themeColor="text1"/>
                <w:sz w:val="32"/>
                <w:szCs w:val="32"/>
              </w:rPr>
              <w:t>（款）其他</w:t>
            </w:r>
            <w:r>
              <w:rPr>
                <w:rFonts w:ascii="仿宋_GB2312" w:eastAsia="仿宋_GB2312" w:hint="eastAsia"/>
                <w:b/>
                <w:color w:val="000000" w:themeColor="text1"/>
                <w:sz w:val="32"/>
                <w:szCs w:val="32"/>
              </w:rPr>
              <w:t>残疾人事业支出</w:t>
            </w:r>
            <w:r w:rsidRPr="004135E8">
              <w:rPr>
                <w:rFonts w:ascii="仿宋_GB2312" w:eastAsia="仿宋_GB2312" w:hint="eastAsia"/>
                <w:b/>
                <w:color w:val="000000" w:themeColor="text1"/>
                <w:sz w:val="32"/>
                <w:szCs w:val="32"/>
              </w:rPr>
              <w:t>（项）：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1.25</w:t>
            </w:r>
            <w:r w:rsidRPr="004135E8">
              <w:rPr>
                <w:rFonts w:ascii="仿宋_GB2312" w:eastAsia="仿宋_GB2312" w:hint="eastAsia"/>
                <w:color w:val="000000" w:themeColor="text1"/>
                <w:sz w:val="32"/>
                <w:szCs w:val="32"/>
              </w:rPr>
              <w:t>万元，完成预算100%。</w:t>
            </w:r>
          </w:p>
          <w:p w:rsidR="003875BA"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16</w:t>
            </w:r>
            <w:r w:rsidR="003875BA" w:rsidRPr="004135E8">
              <w:rPr>
                <w:rFonts w:ascii="仿宋_GB2312" w:eastAsia="仿宋_GB2312" w:hint="eastAsia"/>
                <w:b/>
                <w:color w:val="000000" w:themeColor="text1"/>
                <w:sz w:val="32"/>
                <w:szCs w:val="32"/>
              </w:rPr>
              <w:t>.社会保障和就业支出（类）自然灾害生活救助（款）中央自然灾害生活补助（项）：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6.94</w:t>
            </w:r>
            <w:r w:rsidR="003875BA" w:rsidRPr="004135E8">
              <w:rPr>
                <w:rFonts w:ascii="仿宋_GB2312" w:eastAsia="仿宋_GB2312" w:hint="eastAsia"/>
                <w:color w:val="000000" w:themeColor="text1"/>
                <w:sz w:val="32"/>
                <w:szCs w:val="32"/>
              </w:rPr>
              <w:t>万元，完成预算100%。</w:t>
            </w:r>
          </w:p>
          <w:p w:rsidR="00B075E5" w:rsidRDefault="00B075E5" w:rsidP="00B075E5">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17</w:t>
            </w:r>
            <w:r w:rsidRPr="004135E8">
              <w:rPr>
                <w:rFonts w:ascii="仿宋_GB2312" w:eastAsia="仿宋_GB2312" w:hint="eastAsia"/>
                <w:b/>
                <w:color w:val="000000" w:themeColor="text1"/>
                <w:sz w:val="32"/>
                <w:szCs w:val="32"/>
              </w:rPr>
              <w:t>.</w:t>
            </w:r>
            <w:r>
              <w:rPr>
                <w:rFonts w:ascii="仿宋_GB2312" w:eastAsia="仿宋_GB2312" w:hint="eastAsia"/>
                <w:b/>
                <w:color w:val="000000" w:themeColor="text1"/>
                <w:sz w:val="32"/>
                <w:szCs w:val="32"/>
              </w:rPr>
              <w:t>社会保障和就业支出（类）自然灾害生活救助（款）地方</w:t>
            </w:r>
            <w:r w:rsidRPr="004135E8">
              <w:rPr>
                <w:rFonts w:ascii="仿宋_GB2312" w:eastAsia="仿宋_GB2312" w:hint="eastAsia"/>
                <w:b/>
                <w:color w:val="000000" w:themeColor="text1"/>
                <w:sz w:val="32"/>
                <w:szCs w:val="32"/>
              </w:rPr>
              <w:t>自然灾害生活补助（项）：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0.41</w:t>
            </w:r>
            <w:r w:rsidRPr="004135E8">
              <w:rPr>
                <w:rFonts w:ascii="仿宋_GB2312" w:eastAsia="仿宋_GB2312" w:hint="eastAsia"/>
                <w:color w:val="000000" w:themeColor="text1"/>
                <w:sz w:val="32"/>
                <w:szCs w:val="32"/>
              </w:rPr>
              <w:t>万元，完成预算100%。</w:t>
            </w:r>
          </w:p>
          <w:p w:rsidR="00B075E5" w:rsidRPr="00B075E5"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18</w:t>
            </w:r>
            <w:r w:rsidRPr="004135E8">
              <w:rPr>
                <w:rFonts w:ascii="仿宋_GB2312" w:eastAsia="仿宋_GB2312" w:hint="eastAsia"/>
                <w:b/>
                <w:color w:val="000000" w:themeColor="text1"/>
                <w:sz w:val="32"/>
                <w:szCs w:val="32"/>
              </w:rPr>
              <w:t>.</w:t>
            </w:r>
            <w:r>
              <w:rPr>
                <w:rFonts w:ascii="仿宋_GB2312" w:eastAsia="仿宋_GB2312" w:hint="eastAsia"/>
                <w:b/>
                <w:color w:val="000000" w:themeColor="text1"/>
                <w:sz w:val="32"/>
                <w:szCs w:val="32"/>
              </w:rPr>
              <w:t>医疗卫生与计划生育</w:t>
            </w:r>
            <w:r w:rsidRPr="004135E8">
              <w:rPr>
                <w:rFonts w:ascii="仿宋_GB2312" w:eastAsia="仿宋_GB2312" w:hint="eastAsia"/>
                <w:b/>
                <w:color w:val="000000" w:themeColor="text1"/>
                <w:sz w:val="32"/>
                <w:szCs w:val="32"/>
              </w:rPr>
              <w:t>支出（类）医疗卫生与计划生育</w:t>
            </w:r>
            <w:r>
              <w:rPr>
                <w:rFonts w:ascii="仿宋_GB2312" w:eastAsia="仿宋_GB2312" w:hint="eastAsia"/>
                <w:b/>
                <w:color w:val="000000" w:themeColor="text1"/>
                <w:sz w:val="32"/>
                <w:szCs w:val="32"/>
              </w:rPr>
              <w:t>管理事务</w:t>
            </w:r>
            <w:r w:rsidRPr="004135E8">
              <w:rPr>
                <w:rFonts w:ascii="仿宋_GB2312" w:eastAsia="仿宋_GB2312" w:hint="eastAsia"/>
                <w:b/>
                <w:color w:val="000000" w:themeColor="text1"/>
                <w:sz w:val="32"/>
                <w:szCs w:val="32"/>
              </w:rPr>
              <w:t>（款）</w:t>
            </w:r>
            <w:r>
              <w:rPr>
                <w:rFonts w:ascii="仿宋_GB2312" w:eastAsia="仿宋_GB2312" w:hint="eastAsia"/>
                <w:b/>
                <w:color w:val="000000" w:themeColor="text1"/>
                <w:sz w:val="32"/>
                <w:szCs w:val="32"/>
              </w:rPr>
              <w:t>其他</w:t>
            </w:r>
            <w:r w:rsidRPr="004135E8">
              <w:rPr>
                <w:rFonts w:ascii="仿宋_GB2312" w:eastAsia="仿宋_GB2312" w:hint="eastAsia"/>
                <w:b/>
                <w:color w:val="000000" w:themeColor="text1"/>
                <w:sz w:val="32"/>
                <w:szCs w:val="32"/>
              </w:rPr>
              <w:t>医疗卫生与计划生育</w:t>
            </w:r>
            <w:r>
              <w:rPr>
                <w:rFonts w:ascii="仿宋_GB2312" w:eastAsia="仿宋_GB2312" w:hint="eastAsia"/>
                <w:b/>
                <w:color w:val="000000" w:themeColor="text1"/>
                <w:sz w:val="32"/>
                <w:szCs w:val="32"/>
              </w:rPr>
              <w:t>管理事务支出</w:t>
            </w:r>
            <w:r w:rsidRPr="004135E8">
              <w:rPr>
                <w:rFonts w:ascii="仿宋_GB2312" w:eastAsia="仿宋_GB2312" w:hint="eastAsia"/>
                <w:b/>
                <w:color w:val="000000" w:themeColor="text1"/>
                <w:sz w:val="32"/>
                <w:szCs w:val="32"/>
              </w:rPr>
              <w:t>（项）</w:t>
            </w:r>
            <w:r w:rsidRPr="004135E8">
              <w:rPr>
                <w:rFonts w:ascii="仿宋_GB2312" w:eastAsia="仿宋_GB2312" w:hint="eastAsia"/>
                <w:color w:val="000000" w:themeColor="text1"/>
                <w:sz w:val="32"/>
                <w:szCs w:val="32"/>
              </w:rPr>
              <w:t>：</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3.83</w:t>
            </w:r>
            <w:r w:rsidRPr="004135E8">
              <w:rPr>
                <w:rFonts w:ascii="仿宋_GB2312" w:eastAsia="仿宋_GB2312" w:hint="eastAsia"/>
                <w:color w:val="000000" w:themeColor="text1"/>
                <w:sz w:val="32"/>
                <w:szCs w:val="32"/>
              </w:rPr>
              <w:t>万元，完成预算100%。</w:t>
            </w:r>
          </w:p>
          <w:p w:rsidR="003875BA" w:rsidRPr="004135E8" w:rsidRDefault="00B075E5" w:rsidP="00396881">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19</w:t>
            </w:r>
            <w:r w:rsidR="003875BA" w:rsidRPr="004135E8">
              <w:rPr>
                <w:rFonts w:ascii="仿宋_GB2312" w:eastAsia="仿宋_GB2312" w:hint="eastAsia"/>
                <w:b/>
                <w:color w:val="000000" w:themeColor="text1"/>
                <w:sz w:val="32"/>
                <w:szCs w:val="32"/>
              </w:rPr>
              <w:t>.</w:t>
            </w:r>
            <w:r>
              <w:rPr>
                <w:rFonts w:ascii="仿宋_GB2312" w:eastAsia="仿宋_GB2312" w:hint="eastAsia"/>
                <w:b/>
                <w:color w:val="000000" w:themeColor="text1"/>
                <w:sz w:val="32"/>
                <w:szCs w:val="32"/>
              </w:rPr>
              <w:t>医疗卫生与计划生育</w:t>
            </w:r>
            <w:r w:rsidR="003875BA" w:rsidRPr="004135E8">
              <w:rPr>
                <w:rFonts w:ascii="仿宋_GB2312" w:eastAsia="仿宋_GB2312" w:hint="eastAsia"/>
                <w:b/>
                <w:color w:val="000000" w:themeColor="text1"/>
                <w:sz w:val="32"/>
                <w:szCs w:val="32"/>
              </w:rPr>
              <w:t>支出（类）</w:t>
            </w:r>
            <w:r w:rsidR="00317B8E" w:rsidRPr="004135E8">
              <w:rPr>
                <w:rFonts w:ascii="仿宋_GB2312" w:eastAsia="仿宋_GB2312" w:hint="eastAsia"/>
                <w:b/>
                <w:color w:val="000000" w:themeColor="text1"/>
                <w:sz w:val="32"/>
                <w:szCs w:val="32"/>
              </w:rPr>
              <w:t>行政事业单位医疗（款）行政单位医疗</w:t>
            </w:r>
            <w:r w:rsidR="003875BA" w:rsidRPr="004135E8">
              <w:rPr>
                <w:rFonts w:ascii="仿宋_GB2312" w:eastAsia="仿宋_GB2312" w:hint="eastAsia"/>
                <w:b/>
                <w:color w:val="000000" w:themeColor="text1"/>
                <w:sz w:val="32"/>
                <w:szCs w:val="32"/>
              </w:rPr>
              <w:t>（项）</w:t>
            </w:r>
            <w:r w:rsidR="003875BA" w:rsidRPr="004135E8">
              <w:rPr>
                <w:rFonts w:ascii="仿宋_GB2312" w:eastAsia="仿宋_GB2312" w:hint="eastAsia"/>
                <w:color w:val="000000" w:themeColor="text1"/>
                <w:sz w:val="32"/>
                <w:szCs w:val="32"/>
              </w:rPr>
              <w:t>：</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13.8</w:t>
            </w:r>
            <w:r w:rsidR="003875BA" w:rsidRPr="004135E8">
              <w:rPr>
                <w:rFonts w:ascii="仿宋_GB2312" w:eastAsia="仿宋_GB2312" w:hint="eastAsia"/>
                <w:color w:val="000000" w:themeColor="text1"/>
                <w:sz w:val="32"/>
                <w:szCs w:val="32"/>
              </w:rPr>
              <w:t>万元，完成预算100%。</w:t>
            </w:r>
          </w:p>
          <w:p w:rsidR="00317B8E" w:rsidRPr="004135E8" w:rsidRDefault="00B075E5" w:rsidP="00B075E5">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lastRenderedPageBreak/>
              <w:t>20</w:t>
            </w:r>
            <w:r w:rsidR="00317B8E" w:rsidRPr="00B075E5">
              <w:rPr>
                <w:rFonts w:ascii="仿宋_GB2312" w:eastAsia="仿宋_GB2312" w:hint="eastAsia"/>
                <w:b/>
                <w:color w:val="000000" w:themeColor="text1"/>
                <w:sz w:val="32"/>
                <w:szCs w:val="32"/>
              </w:rPr>
              <w:t>.节能环保支出（类）污染防治（款）其他污染防治支出（项）：</w:t>
            </w:r>
            <w:r w:rsidR="009E26DC">
              <w:rPr>
                <w:rFonts w:ascii="仿宋_GB2312" w:eastAsia="仿宋_GB2312" w:hint="eastAsia"/>
                <w:color w:val="000000" w:themeColor="text1"/>
                <w:sz w:val="32"/>
                <w:szCs w:val="32"/>
              </w:rPr>
              <w:t>2018</w:t>
            </w:r>
            <w:r w:rsidR="00317B8E"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57.86</w:t>
            </w:r>
            <w:r w:rsidR="00317B8E" w:rsidRPr="004135E8">
              <w:rPr>
                <w:rFonts w:ascii="仿宋_GB2312" w:eastAsia="仿宋_GB2312" w:hint="eastAsia"/>
                <w:color w:val="000000" w:themeColor="text1"/>
                <w:sz w:val="32"/>
                <w:szCs w:val="32"/>
              </w:rPr>
              <w:t>万元，完成预算</w:t>
            </w:r>
            <w:r>
              <w:rPr>
                <w:rFonts w:ascii="仿宋_GB2312" w:eastAsia="仿宋_GB2312" w:hint="eastAsia"/>
                <w:color w:val="000000" w:themeColor="text1"/>
                <w:sz w:val="32"/>
                <w:szCs w:val="32"/>
              </w:rPr>
              <w:t>100</w:t>
            </w:r>
            <w:r w:rsidR="00317B8E" w:rsidRPr="004135E8">
              <w:rPr>
                <w:rFonts w:ascii="仿宋_GB2312" w:eastAsia="仿宋_GB2312" w:hint="eastAsia"/>
                <w:color w:val="000000" w:themeColor="text1"/>
                <w:sz w:val="32"/>
                <w:szCs w:val="32"/>
              </w:rPr>
              <w:t>%。</w:t>
            </w:r>
          </w:p>
          <w:p w:rsidR="0050501E" w:rsidRPr="004135E8" w:rsidRDefault="00B075E5" w:rsidP="0050501E">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21</w:t>
            </w:r>
            <w:r w:rsidR="0050501E" w:rsidRPr="004135E8">
              <w:rPr>
                <w:rFonts w:ascii="仿宋_GB2312" w:eastAsia="仿宋_GB2312" w:hint="eastAsia"/>
                <w:b/>
                <w:color w:val="000000" w:themeColor="text1"/>
                <w:sz w:val="32"/>
                <w:szCs w:val="32"/>
              </w:rPr>
              <w:t>.城乡社区支出（类）城乡社区环境卫生（款）城乡社区环境卫生（项）：</w:t>
            </w:r>
            <w:r w:rsidR="009E26DC">
              <w:rPr>
                <w:rFonts w:ascii="仿宋_GB2312" w:eastAsia="仿宋_GB2312" w:hint="eastAsia"/>
                <w:color w:val="000000" w:themeColor="text1"/>
                <w:sz w:val="32"/>
                <w:szCs w:val="32"/>
              </w:rPr>
              <w:t>2018</w:t>
            </w:r>
            <w:r w:rsidR="0050501E" w:rsidRPr="004135E8">
              <w:rPr>
                <w:rFonts w:ascii="仿宋_GB2312" w:eastAsia="仿宋_GB2312" w:hint="eastAsia"/>
                <w:color w:val="000000" w:themeColor="text1"/>
                <w:sz w:val="32"/>
                <w:szCs w:val="32"/>
              </w:rPr>
              <w:t>年决算数18万元，完成预算100%。</w:t>
            </w:r>
          </w:p>
          <w:p w:rsidR="003875BA" w:rsidRPr="004135E8" w:rsidRDefault="00B075E5" w:rsidP="00396881">
            <w:pPr>
              <w:spacing w:line="360" w:lineRule="auto"/>
              <w:ind w:firstLineChars="196" w:firstLine="630"/>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22</w:t>
            </w:r>
            <w:r w:rsidR="003875BA" w:rsidRPr="004135E8">
              <w:rPr>
                <w:rFonts w:ascii="仿宋_GB2312" w:eastAsia="仿宋_GB2312" w:hint="eastAsia"/>
                <w:b/>
                <w:color w:val="000000" w:themeColor="text1"/>
                <w:sz w:val="32"/>
                <w:szCs w:val="32"/>
              </w:rPr>
              <w:t>.农林水支出（类）农业（款）事业运行（项）：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85.94</w:t>
            </w:r>
            <w:r w:rsidR="003875BA" w:rsidRPr="004135E8">
              <w:rPr>
                <w:rFonts w:ascii="仿宋_GB2312" w:eastAsia="仿宋_GB2312" w:hint="eastAsia"/>
                <w:color w:val="000000" w:themeColor="text1"/>
                <w:sz w:val="32"/>
                <w:szCs w:val="32"/>
              </w:rPr>
              <w:t>万元，完成预算100%。</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23</w:t>
            </w:r>
            <w:r w:rsidR="003875BA" w:rsidRPr="004135E8">
              <w:rPr>
                <w:rFonts w:ascii="仿宋_GB2312" w:eastAsia="仿宋_GB2312" w:hint="eastAsia"/>
                <w:b/>
                <w:color w:val="000000" w:themeColor="text1"/>
                <w:sz w:val="32"/>
                <w:szCs w:val="32"/>
              </w:rPr>
              <w:t>.农林水支出（类）农业（款）农村道路建设（项）：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4</w:t>
            </w:r>
            <w:r w:rsidR="003875BA" w:rsidRPr="004135E8">
              <w:rPr>
                <w:rFonts w:ascii="仿宋_GB2312" w:eastAsia="仿宋_GB2312" w:hint="eastAsia"/>
                <w:color w:val="000000" w:themeColor="text1"/>
                <w:sz w:val="32"/>
                <w:szCs w:val="32"/>
              </w:rPr>
              <w:t>万元</w:t>
            </w:r>
            <w:r w:rsidR="003A299C" w:rsidRPr="004135E8">
              <w:rPr>
                <w:rFonts w:ascii="仿宋_GB2312" w:eastAsia="仿宋_GB2312" w:hint="eastAsia"/>
                <w:color w:val="000000" w:themeColor="text1"/>
                <w:sz w:val="32"/>
                <w:szCs w:val="32"/>
              </w:rPr>
              <w:t>，</w:t>
            </w:r>
            <w:r w:rsidR="003875BA" w:rsidRPr="004135E8">
              <w:rPr>
                <w:rFonts w:ascii="仿宋_GB2312" w:eastAsia="仿宋_GB2312" w:hint="eastAsia"/>
                <w:color w:val="000000" w:themeColor="text1"/>
                <w:sz w:val="32"/>
                <w:szCs w:val="32"/>
              </w:rPr>
              <w:t>完成预算100%。</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24</w:t>
            </w:r>
            <w:r w:rsidR="003875BA" w:rsidRPr="004135E8">
              <w:rPr>
                <w:rFonts w:ascii="仿宋_GB2312" w:eastAsia="仿宋_GB2312" w:hint="eastAsia"/>
                <w:b/>
                <w:color w:val="000000" w:themeColor="text1"/>
                <w:sz w:val="32"/>
                <w:szCs w:val="32"/>
              </w:rPr>
              <w:t>.农林水支出（类）农业（款）其他农业支出（项）：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2.54</w:t>
            </w:r>
            <w:r w:rsidR="003875BA" w:rsidRPr="004135E8">
              <w:rPr>
                <w:rFonts w:ascii="仿宋_GB2312" w:eastAsia="仿宋_GB2312" w:hint="eastAsia"/>
                <w:color w:val="000000" w:themeColor="text1"/>
                <w:sz w:val="32"/>
                <w:szCs w:val="32"/>
              </w:rPr>
              <w:t>万元，完成预算100%。</w:t>
            </w:r>
          </w:p>
          <w:p w:rsidR="003A299C" w:rsidRPr="004135E8" w:rsidRDefault="00B075E5" w:rsidP="003A299C">
            <w:pPr>
              <w:autoSpaceDE w:val="0"/>
              <w:autoSpaceDN w:val="0"/>
              <w:adjustRightInd w:val="0"/>
              <w:spacing w:line="580" w:lineRule="exact"/>
              <w:ind w:firstLineChars="196" w:firstLine="630"/>
              <w:jc w:val="left"/>
              <w:rPr>
                <w:rFonts w:ascii="仿宋_GB2312" w:eastAsia="仿宋_GB2312" w:cs="仿宋_GB2312"/>
                <w:color w:val="000000" w:themeColor="text1"/>
                <w:kern w:val="0"/>
                <w:sz w:val="32"/>
                <w:szCs w:val="32"/>
              </w:rPr>
            </w:pPr>
            <w:r>
              <w:rPr>
                <w:rFonts w:ascii="仿宋_GB2312" w:eastAsia="仿宋_GB2312" w:hint="eastAsia"/>
                <w:b/>
                <w:color w:val="000000" w:themeColor="text1"/>
                <w:sz w:val="32"/>
                <w:szCs w:val="32"/>
              </w:rPr>
              <w:t>25</w:t>
            </w:r>
            <w:r w:rsidR="003A299C" w:rsidRPr="004135E8">
              <w:rPr>
                <w:rFonts w:ascii="仿宋_GB2312" w:eastAsia="仿宋_GB2312" w:hint="eastAsia"/>
                <w:b/>
                <w:color w:val="000000" w:themeColor="text1"/>
                <w:sz w:val="32"/>
                <w:szCs w:val="32"/>
              </w:rPr>
              <w:t>.农林水支出（类）</w:t>
            </w:r>
            <w:r>
              <w:rPr>
                <w:rFonts w:ascii="仿宋_GB2312" w:eastAsia="仿宋_GB2312" w:hint="eastAsia"/>
                <w:b/>
                <w:color w:val="000000" w:themeColor="text1"/>
                <w:sz w:val="32"/>
                <w:szCs w:val="32"/>
              </w:rPr>
              <w:t>水利</w:t>
            </w:r>
            <w:r w:rsidR="003A299C" w:rsidRPr="004135E8">
              <w:rPr>
                <w:rFonts w:ascii="仿宋_GB2312" w:eastAsia="仿宋_GB2312" w:hint="eastAsia"/>
                <w:b/>
                <w:color w:val="000000" w:themeColor="text1"/>
                <w:sz w:val="32"/>
                <w:szCs w:val="32"/>
              </w:rPr>
              <w:t>（款）</w:t>
            </w:r>
            <w:r>
              <w:rPr>
                <w:rFonts w:ascii="仿宋_GB2312" w:eastAsia="仿宋_GB2312" w:hint="eastAsia"/>
                <w:b/>
                <w:color w:val="000000" w:themeColor="text1"/>
                <w:sz w:val="32"/>
                <w:szCs w:val="32"/>
              </w:rPr>
              <w:t>防汛</w:t>
            </w:r>
            <w:r w:rsidR="003A299C" w:rsidRPr="004135E8">
              <w:rPr>
                <w:rFonts w:ascii="仿宋_GB2312" w:eastAsia="仿宋_GB2312" w:hint="eastAsia"/>
                <w:b/>
                <w:color w:val="000000" w:themeColor="text1"/>
                <w:sz w:val="32"/>
                <w:szCs w:val="32"/>
              </w:rPr>
              <w:t>（项）：</w:t>
            </w:r>
            <w:r w:rsidR="009E26DC">
              <w:rPr>
                <w:rFonts w:ascii="仿宋_GB2312" w:eastAsia="仿宋_GB2312" w:hint="eastAsia"/>
                <w:color w:val="000000" w:themeColor="text1"/>
                <w:sz w:val="32"/>
                <w:szCs w:val="32"/>
              </w:rPr>
              <w:t>2018</w:t>
            </w:r>
            <w:r w:rsidR="003A299C"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3</w:t>
            </w:r>
            <w:r w:rsidR="003A299C" w:rsidRPr="004135E8">
              <w:rPr>
                <w:rFonts w:ascii="仿宋_GB2312" w:eastAsia="仿宋_GB2312" w:hint="eastAsia"/>
                <w:color w:val="000000" w:themeColor="text1"/>
                <w:sz w:val="32"/>
                <w:szCs w:val="32"/>
              </w:rPr>
              <w:t>万元，完成预算</w:t>
            </w:r>
            <w:r w:rsidR="00A447EA" w:rsidRPr="004135E8">
              <w:rPr>
                <w:rFonts w:ascii="仿宋_GB2312" w:eastAsia="仿宋_GB2312" w:hint="eastAsia"/>
                <w:color w:val="000000" w:themeColor="text1"/>
                <w:sz w:val="32"/>
                <w:szCs w:val="32"/>
              </w:rPr>
              <w:t>100</w:t>
            </w:r>
            <w:r w:rsidR="003A299C" w:rsidRPr="004135E8">
              <w:rPr>
                <w:rFonts w:ascii="仿宋_GB2312" w:eastAsia="仿宋_GB2312" w:hint="eastAsia"/>
                <w:color w:val="000000" w:themeColor="text1"/>
                <w:sz w:val="32"/>
                <w:szCs w:val="32"/>
              </w:rPr>
              <w:t xml:space="preserve"> %</w:t>
            </w:r>
            <w:r w:rsidR="003A299C" w:rsidRPr="004135E8">
              <w:rPr>
                <w:rFonts w:ascii="仿宋_GB2312" w:eastAsia="仿宋_GB2312" w:cs="仿宋_GB2312" w:hint="eastAsia"/>
                <w:color w:val="000000" w:themeColor="text1"/>
                <w:kern w:val="0"/>
                <w:sz w:val="32"/>
                <w:szCs w:val="32"/>
              </w:rPr>
              <w:t>。</w:t>
            </w:r>
          </w:p>
          <w:p w:rsidR="003875BA" w:rsidRPr="004135E8" w:rsidRDefault="00B075E5" w:rsidP="00396881">
            <w:pPr>
              <w:autoSpaceDE w:val="0"/>
              <w:autoSpaceDN w:val="0"/>
              <w:adjustRightInd w:val="0"/>
              <w:spacing w:line="580" w:lineRule="exact"/>
              <w:ind w:firstLineChars="196" w:firstLine="630"/>
              <w:jc w:val="left"/>
              <w:rPr>
                <w:rFonts w:ascii="仿宋_GB2312" w:eastAsia="仿宋_GB2312" w:cs="仿宋_GB2312"/>
                <w:color w:val="000000" w:themeColor="text1"/>
                <w:kern w:val="0"/>
                <w:sz w:val="32"/>
                <w:szCs w:val="32"/>
              </w:rPr>
            </w:pPr>
            <w:r>
              <w:rPr>
                <w:rFonts w:ascii="仿宋_GB2312" w:eastAsia="仿宋_GB2312" w:hint="eastAsia"/>
                <w:b/>
                <w:color w:val="000000" w:themeColor="text1"/>
                <w:sz w:val="32"/>
                <w:szCs w:val="32"/>
              </w:rPr>
              <w:t>26</w:t>
            </w:r>
            <w:r w:rsidR="003875BA" w:rsidRPr="004135E8">
              <w:rPr>
                <w:rFonts w:ascii="仿宋_GB2312" w:eastAsia="仿宋_GB2312" w:hint="eastAsia"/>
                <w:b/>
                <w:color w:val="000000" w:themeColor="text1"/>
                <w:sz w:val="32"/>
                <w:szCs w:val="32"/>
              </w:rPr>
              <w:t>.农林水支出（类）扶贫（款）其他扶贫支出（项）：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99.96</w:t>
            </w:r>
            <w:r w:rsidR="003875BA" w:rsidRPr="004135E8">
              <w:rPr>
                <w:rFonts w:ascii="仿宋_GB2312" w:eastAsia="仿宋_GB2312" w:hint="eastAsia"/>
                <w:color w:val="000000" w:themeColor="text1"/>
                <w:sz w:val="32"/>
                <w:szCs w:val="32"/>
              </w:rPr>
              <w:t>万元，完成预算</w:t>
            </w:r>
            <w:r>
              <w:rPr>
                <w:rFonts w:ascii="仿宋_GB2312" w:eastAsia="仿宋_GB2312" w:hint="eastAsia"/>
                <w:color w:val="000000" w:themeColor="text1"/>
                <w:sz w:val="32"/>
                <w:szCs w:val="32"/>
              </w:rPr>
              <w:t>100</w:t>
            </w:r>
            <w:r w:rsidR="003875BA" w:rsidRPr="004135E8">
              <w:rPr>
                <w:rFonts w:ascii="仿宋_GB2312" w:eastAsia="仿宋_GB2312" w:hint="eastAsia"/>
                <w:color w:val="000000" w:themeColor="text1"/>
                <w:sz w:val="32"/>
                <w:szCs w:val="32"/>
              </w:rPr>
              <w:t>%</w:t>
            </w:r>
            <w:r w:rsidR="003875BA" w:rsidRPr="004135E8">
              <w:rPr>
                <w:rFonts w:ascii="仿宋_GB2312" w:eastAsia="仿宋_GB2312" w:cs="仿宋_GB2312" w:hint="eastAsia"/>
                <w:color w:val="000000" w:themeColor="text1"/>
                <w:kern w:val="0"/>
                <w:sz w:val="32"/>
                <w:szCs w:val="32"/>
              </w:rPr>
              <w:t>。</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27</w:t>
            </w:r>
            <w:r w:rsidR="003875BA" w:rsidRPr="004135E8">
              <w:rPr>
                <w:rFonts w:ascii="仿宋_GB2312" w:eastAsia="仿宋_GB2312" w:hint="eastAsia"/>
                <w:b/>
                <w:color w:val="000000" w:themeColor="text1"/>
                <w:sz w:val="32"/>
                <w:szCs w:val="32"/>
              </w:rPr>
              <w:t>.农林水支出（类）农村综合改革（款）对村级一事一议的补助（项）：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7.56</w:t>
            </w:r>
            <w:r w:rsidR="003875BA" w:rsidRPr="004135E8">
              <w:rPr>
                <w:rFonts w:ascii="仿宋_GB2312" w:eastAsia="仿宋_GB2312" w:hint="eastAsia"/>
                <w:color w:val="000000" w:themeColor="text1"/>
                <w:sz w:val="32"/>
                <w:szCs w:val="32"/>
              </w:rPr>
              <w:t>万元，完成预算</w:t>
            </w:r>
            <w:r>
              <w:rPr>
                <w:rFonts w:ascii="仿宋_GB2312" w:eastAsia="仿宋_GB2312" w:hint="eastAsia"/>
                <w:color w:val="000000" w:themeColor="text1"/>
                <w:sz w:val="32"/>
                <w:szCs w:val="32"/>
              </w:rPr>
              <w:t>100</w:t>
            </w:r>
            <w:r w:rsidR="003875BA" w:rsidRPr="004135E8">
              <w:rPr>
                <w:rFonts w:ascii="仿宋_GB2312" w:eastAsia="仿宋_GB2312" w:hint="eastAsia"/>
                <w:color w:val="000000" w:themeColor="text1"/>
                <w:sz w:val="32"/>
                <w:szCs w:val="32"/>
              </w:rPr>
              <w:t>%。</w:t>
            </w:r>
          </w:p>
          <w:p w:rsidR="003875BA"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28</w:t>
            </w:r>
            <w:r w:rsidR="003875BA" w:rsidRPr="004135E8">
              <w:rPr>
                <w:rFonts w:ascii="仿宋_GB2312" w:eastAsia="仿宋_GB2312" w:hint="eastAsia"/>
                <w:b/>
                <w:color w:val="000000" w:themeColor="text1"/>
                <w:sz w:val="32"/>
                <w:szCs w:val="32"/>
              </w:rPr>
              <w:t>.农林水支出（类）农村综合改革（款）对村民委员会和村党支部的补助（项）：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412.89</w:t>
            </w:r>
            <w:r w:rsidR="003875BA" w:rsidRPr="004135E8">
              <w:rPr>
                <w:rFonts w:ascii="仿宋_GB2312" w:eastAsia="仿宋_GB2312" w:hint="eastAsia"/>
                <w:color w:val="000000" w:themeColor="text1"/>
                <w:sz w:val="32"/>
                <w:szCs w:val="32"/>
              </w:rPr>
              <w:t>万元，完成预算100%。</w:t>
            </w:r>
          </w:p>
          <w:p w:rsidR="00B075E5" w:rsidRPr="00B075E5" w:rsidRDefault="00B075E5" w:rsidP="00B075E5">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29</w:t>
            </w:r>
            <w:r w:rsidRPr="004135E8">
              <w:rPr>
                <w:rFonts w:ascii="仿宋_GB2312" w:eastAsia="仿宋_GB2312" w:hint="eastAsia"/>
                <w:b/>
                <w:color w:val="000000" w:themeColor="text1"/>
                <w:sz w:val="32"/>
                <w:szCs w:val="32"/>
              </w:rPr>
              <w:t>.农林水支出（类）农村综合改革（款）</w:t>
            </w:r>
            <w:r>
              <w:rPr>
                <w:rFonts w:ascii="仿宋_GB2312" w:eastAsia="仿宋_GB2312" w:hint="eastAsia"/>
                <w:b/>
                <w:color w:val="000000" w:themeColor="text1"/>
                <w:sz w:val="32"/>
                <w:szCs w:val="32"/>
              </w:rPr>
              <w:t>对村集体经济组织的补助</w:t>
            </w:r>
            <w:r w:rsidRPr="004135E8">
              <w:rPr>
                <w:rFonts w:ascii="仿宋_GB2312" w:eastAsia="仿宋_GB2312" w:hint="eastAsia"/>
                <w:b/>
                <w:color w:val="000000" w:themeColor="text1"/>
                <w:sz w:val="32"/>
                <w:szCs w:val="32"/>
              </w:rPr>
              <w:t>（项）：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3</w:t>
            </w:r>
            <w:r w:rsidRPr="004135E8">
              <w:rPr>
                <w:rFonts w:ascii="仿宋_GB2312" w:eastAsia="仿宋_GB2312" w:hint="eastAsia"/>
                <w:color w:val="000000" w:themeColor="text1"/>
                <w:sz w:val="32"/>
                <w:szCs w:val="32"/>
              </w:rPr>
              <w:t>万元，完成预算100%。</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lastRenderedPageBreak/>
              <w:t>30</w:t>
            </w:r>
            <w:r w:rsidR="003875BA" w:rsidRPr="004135E8">
              <w:rPr>
                <w:rFonts w:ascii="仿宋_GB2312" w:eastAsia="仿宋_GB2312" w:hint="eastAsia"/>
                <w:b/>
                <w:color w:val="000000" w:themeColor="text1"/>
                <w:sz w:val="32"/>
                <w:szCs w:val="32"/>
              </w:rPr>
              <w:t>.农林水支出（类）农村综合改革（款）农村综合改革示范试点补助</w:t>
            </w:r>
            <w:r w:rsidR="003875BA" w:rsidRPr="004135E8">
              <w:rPr>
                <w:rFonts w:ascii="仿宋_GB2312" w:eastAsia="仿宋_GB2312" w:hint="eastAsia"/>
                <w:b/>
                <w:color w:val="000000" w:themeColor="text1"/>
                <w:sz w:val="32"/>
                <w:szCs w:val="32"/>
              </w:rPr>
              <w:tab/>
              <w:t>（项）：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100.73</w:t>
            </w:r>
            <w:r w:rsidR="003875BA" w:rsidRPr="004135E8">
              <w:rPr>
                <w:rFonts w:ascii="仿宋_GB2312" w:eastAsia="仿宋_GB2312" w:hint="eastAsia"/>
                <w:color w:val="000000" w:themeColor="text1"/>
                <w:sz w:val="32"/>
                <w:szCs w:val="32"/>
              </w:rPr>
              <w:t>万元，完成预算</w:t>
            </w:r>
            <w:r>
              <w:rPr>
                <w:rFonts w:ascii="仿宋_GB2312" w:eastAsia="仿宋_GB2312" w:hint="eastAsia"/>
                <w:color w:val="000000" w:themeColor="text1"/>
                <w:sz w:val="32"/>
                <w:szCs w:val="32"/>
              </w:rPr>
              <w:t>100</w:t>
            </w:r>
            <w:r w:rsidR="003875BA" w:rsidRPr="004135E8">
              <w:rPr>
                <w:rFonts w:ascii="仿宋_GB2312" w:eastAsia="仿宋_GB2312" w:hint="eastAsia"/>
                <w:color w:val="000000" w:themeColor="text1"/>
                <w:sz w:val="32"/>
                <w:szCs w:val="32"/>
              </w:rPr>
              <w:t>%。</w:t>
            </w:r>
          </w:p>
          <w:p w:rsidR="00B075E5" w:rsidRPr="00B075E5" w:rsidRDefault="00B075E5" w:rsidP="00B075E5">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31.商业服务业等支出（类）商业流通事务（款）其他商业流通事务支出（项）：</w:t>
            </w:r>
            <w:r>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12.52</w:t>
            </w:r>
            <w:r w:rsidRPr="004135E8">
              <w:rPr>
                <w:rFonts w:ascii="仿宋_GB2312" w:eastAsia="仿宋_GB2312" w:hint="eastAsia"/>
                <w:color w:val="000000" w:themeColor="text1"/>
                <w:sz w:val="32"/>
                <w:szCs w:val="32"/>
              </w:rPr>
              <w:t>万元，完成预算</w:t>
            </w:r>
            <w:r>
              <w:rPr>
                <w:rFonts w:ascii="仿宋_GB2312" w:eastAsia="仿宋_GB2312" w:hint="eastAsia"/>
                <w:color w:val="000000" w:themeColor="text1"/>
                <w:sz w:val="32"/>
                <w:szCs w:val="32"/>
              </w:rPr>
              <w:t>100</w:t>
            </w:r>
            <w:r w:rsidRPr="004135E8">
              <w:rPr>
                <w:rFonts w:ascii="仿宋_GB2312" w:eastAsia="仿宋_GB2312" w:hint="eastAsia"/>
                <w:color w:val="000000" w:themeColor="text1"/>
                <w:sz w:val="32"/>
                <w:szCs w:val="32"/>
              </w:rPr>
              <w:t>%。</w:t>
            </w:r>
          </w:p>
          <w:p w:rsidR="003875BA" w:rsidRPr="004135E8" w:rsidRDefault="00B075E5" w:rsidP="00396881">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32</w:t>
            </w:r>
            <w:r w:rsidR="003875BA" w:rsidRPr="004135E8">
              <w:rPr>
                <w:rFonts w:ascii="仿宋_GB2312" w:eastAsia="仿宋_GB2312" w:hint="eastAsia"/>
                <w:b/>
                <w:color w:val="000000" w:themeColor="text1"/>
                <w:sz w:val="32"/>
                <w:szCs w:val="32"/>
              </w:rPr>
              <w:t>.国土海洋气象等支出（类）国土资源事务（款）地质灾害防治（项）：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1.08</w:t>
            </w:r>
            <w:r w:rsidR="003875BA" w:rsidRPr="004135E8">
              <w:rPr>
                <w:rFonts w:ascii="仿宋_GB2312" w:eastAsia="仿宋_GB2312" w:hint="eastAsia"/>
                <w:color w:val="000000" w:themeColor="text1"/>
                <w:sz w:val="32"/>
                <w:szCs w:val="32"/>
              </w:rPr>
              <w:t>万元，完成预算100%。</w:t>
            </w:r>
          </w:p>
          <w:p w:rsidR="003875BA" w:rsidRPr="004135E8" w:rsidRDefault="00B075E5" w:rsidP="00B075E5">
            <w:pPr>
              <w:spacing w:line="360" w:lineRule="auto"/>
              <w:ind w:firstLineChars="200" w:firstLine="643"/>
              <w:jc w:val="left"/>
              <w:rPr>
                <w:rFonts w:ascii="仿宋_GB2312" w:eastAsia="仿宋_GB2312"/>
                <w:color w:val="000000" w:themeColor="text1"/>
                <w:sz w:val="32"/>
                <w:szCs w:val="32"/>
              </w:rPr>
            </w:pPr>
            <w:r>
              <w:rPr>
                <w:rFonts w:ascii="仿宋_GB2312" w:eastAsia="仿宋_GB2312" w:hint="eastAsia"/>
                <w:b/>
                <w:color w:val="000000" w:themeColor="text1"/>
                <w:sz w:val="32"/>
                <w:szCs w:val="32"/>
              </w:rPr>
              <w:t>33</w:t>
            </w:r>
            <w:r w:rsidR="003875BA" w:rsidRPr="004135E8">
              <w:rPr>
                <w:rFonts w:ascii="仿宋_GB2312" w:eastAsia="仿宋_GB2312" w:hint="eastAsia"/>
                <w:b/>
                <w:color w:val="000000" w:themeColor="text1"/>
                <w:sz w:val="32"/>
                <w:szCs w:val="32"/>
              </w:rPr>
              <w:t>.住房保障支出（类）住房改革支出（款）住房公积金（项）：</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年决算数</w:t>
            </w:r>
            <w:r>
              <w:rPr>
                <w:rFonts w:ascii="仿宋_GB2312" w:eastAsia="仿宋_GB2312" w:hint="eastAsia"/>
                <w:color w:val="000000" w:themeColor="text1"/>
                <w:sz w:val="32"/>
                <w:szCs w:val="32"/>
              </w:rPr>
              <w:t>43.5</w:t>
            </w:r>
            <w:r w:rsidR="003875BA" w:rsidRPr="004135E8">
              <w:rPr>
                <w:rFonts w:ascii="仿宋_GB2312" w:eastAsia="仿宋_GB2312" w:hint="eastAsia"/>
                <w:color w:val="000000" w:themeColor="text1"/>
                <w:sz w:val="32"/>
                <w:szCs w:val="32"/>
              </w:rPr>
              <w:t>万元，完成预算100%。</w:t>
            </w:r>
          </w:p>
        </w:tc>
      </w:tr>
    </w:tbl>
    <w:p w:rsidR="003875BA" w:rsidRPr="004135E8" w:rsidRDefault="003875BA" w:rsidP="003875BA">
      <w:pPr>
        <w:spacing w:line="360" w:lineRule="auto"/>
        <w:ind w:firstLine="640"/>
        <w:rPr>
          <w:rFonts w:ascii="黑体" w:eastAsia="黑体"/>
          <w:color w:val="000000" w:themeColor="text1"/>
          <w:sz w:val="32"/>
          <w:szCs w:val="32"/>
        </w:rPr>
      </w:pPr>
      <w:r w:rsidRPr="004135E8">
        <w:rPr>
          <w:rFonts w:ascii="黑体" w:eastAsia="黑体" w:hint="eastAsia"/>
          <w:color w:val="000000" w:themeColor="text1"/>
          <w:sz w:val="32"/>
          <w:szCs w:val="32"/>
        </w:rPr>
        <w:lastRenderedPageBreak/>
        <w:t>六、一般公共预算财政拨款基本支出决算情况</w:t>
      </w:r>
    </w:p>
    <w:p w:rsidR="003875BA" w:rsidRPr="004135E8" w:rsidRDefault="003875BA" w:rsidP="003875BA">
      <w:pPr>
        <w:spacing w:line="360" w:lineRule="auto"/>
        <w:ind w:firstLine="645"/>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年一般公共预算财政拨款基本支出</w:t>
      </w:r>
      <w:r w:rsidR="00B075E5">
        <w:rPr>
          <w:rFonts w:ascii="仿宋_GB2312" w:eastAsia="仿宋_GB2312" w:hint="eastAsia"/>
          <w:color w:val="000000" w:themeColor="text1"/>
          <w:sz w:val="32"/>
          <w:szCs w:val="32"/>
        </w:rPr>
        <w:t>643.12</w:t>
      </w:r>
      <w:r w:rsidRPr="004135E8">
        <w:rPr>
          <w:rFonts w:ascii="仿宋_GB2312" w:eastAsia="仿宋_GB2312" w:hint="eastAsia"/>
          <w:color w:val="000000" w:themeColor="text1"/>
          <w:sz w:val="32"/>
          <w:szCs w:val="32"/>
        </w:rPr>
        <w:t>万元，其中：</w:t>
      </w:r>
    </w:p>
    <w:p w:rsidR="003875BA" w:rsidRPr="004135E8" w:rsidRDefault="003875BA" w:rsidP="003875BA">
      <w:pPr>
        <w:spacing w:line="360" w:lineRule="auto"/>
        <w:ind w:firstLine="645"/>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人员经费</w:t>
      </w:r>
      <w:r w:rsidR="00B075E5">
        <w:rPr>
          <w:rFonts w:ascii="仿宋_GB2312" w:eastAsia="仿宋_GB2312" w:hint="eastAsia"/>
          <w:color w:val="000000" w:themeColor="text1"/>
          <w:sz w:val="32"/>
          <w:szCs w:val="32"/>
        </w:rPr>
        <w:t>579.22</w:t>
      </w:r>
      <w:r w:rsidRPr="004135E8">
        <w:rPr>
          <w:rFonts w:ascii="仿宋_GB2312" w:eastAsia="仿宋_GB2312" w:hint="eastAsia"/>
          <w:color w:val="000000" w:themeColor="text1"/>
          <w:sz w:val="32"/>
          <w:szCs w:val="32"/>
        </w:rPr>
        <w:t>万元，主要包括：基本工资、津贴补贴、奖金、</w:t>
      </w:r>
      <w:r w:rsidR="004135E8" w:rsidRPr="004135E8">
        <w:rPr>
          <w:rFonts w:ascii="仿宋_GB2312" w:eastAsia="仿宋_GB2312" w:hint="eastAsia"/>
          <w:color w:val="000000" w:themeColor="text1"/>
          <w:sz w:val="32"/>
          <w:szCs w:val="32"/>
        </w:rPr>
        <w:t>其他社会保障缴费、</w:t>
      </w:r>
      <w:r w:rsidRPr="004135E8">
        <w:rPr>
          <w:rFonts w:ascii="仿宋_GB2312" w:eastAsia="仿宋_GB2312" w:hint="eastAsia"/>
          <w:color w:val="000000" w:themeColor="text1"/>
          <w:sz w:val="32"/>
          <w:szCs w:val="32"/>
        </w:rPr>
        <w:t>伙食补助费、绩效工资、机关事业单位基本养老保险缴费、职业年金缴费、对个人和家庭的补助、其他社会保障缴费、其他工资福利支出、生活补助、奖励金、住房公积金、其他对个人和家庭的补助支出。</w:t>
      </w:r>
      <w:r w:rsidRPr="004135E8">
        <w:rPr>
          <w:rFonts w:ascii="仿宋_GB2312" w:eastAsia="仿宋_GB2312" w:hint="eastAsia"/>
          <w:color w:val="000000" w:themeColor="text1"/>
          <w:sz w:val="32"/>
          <w:szCs w:val="32"/>
        </w:rPr>
        <w:br/>
        <w:t xml:space="preserve">　　公用经费</w:t>
      </w:r>
      <w:r w:rsidR="00B075E5">
        <w:rPr>
          <w:rFonts w:ascii="仿宋_GB2312" w:eastAsia="仿宋_GB2312" w:hint="eastAsia"/>
          <w:color w:val="000000" w:themeColor="text1"/>
          <w:sz w:val="32"/>
          <w:szCs w:val="32"/>
        </w:rPr>
        <w:t>63.9</w:t>
      </w:r>
      <w:r w:rsidRPr="004135E8">
        <w:rPr>
          <w:rFonts w:ascii="仿宋_GB2312" w:eastAsia="仿宋_GB2312" w:hint="eastAsia"/>
          <w:color w:val="000000" w:themeColor="text1"/>
          <w:sz w:val="32"/>
          <w:szCs w:val="32"/>
        </w:rPr>
        <w:t>万元，主要包括：办公费、印刷费、咨询费、手续费、水费、电费、邮电费、差旅费、维修（护）费、会议费、培训费、劳务费、其他交通费、其他商品和服务支出。</w:t>
      </w:r>
    </w:p>
    <w:p w:rsidR="003875BA" w:rsidRPr="004135E8" w:rsidRDefault="003875BA" w:rsidP="003875BA">
      <w:pPr>
        <w:spacing w:line="360" w:lineRule="auto"/>
        <w:ind w:firstLine="640"/>
        <w:rPr>
          <w:rFonts w:ascii="黑体" w:eastAsia="黑体"/>
          <w:color w:val="000000" w:themeColor="text1"/>
          <w:sz w:val="32"/>
          <w:szCs w:val="32"/>
        </w:rPr>
      </w:pPr>
      <w:r w:rsidRPr="004135E8">
        <w:rPr>
          <w:rFonts w:ascii="黑体" w:eastAsia="黑体" w:hint="eastAsia"/>
          <w:color w:val="000000" w:themeColor="text1"/>
          <w:sz w:val="32"/>
          <w:szCs w:val="32"/>
        </w:rPr>
        <w:t>七、“三公”经费财政拨款支出决算情况</w:t>
      </w:r>
    </w:p>
    <w:p w:rsidR="003875BA" w:rsidRPr="004135E8" w:rsidRDefault="003875BA" w:rsidP="003875BA">
      <w:pPr>
        <w:spacing w:line="360" w:lineRule="auto"/>
        <w:ind w:firstLine="640"/>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（一）“三公”经费财政拨款支出决算总体情况说明</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lastRenderedPageBreak/>
        <w:t>双福镇人民政府</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年度“三公”经费财政拨款支出决算为</w:t>
      </w:r>
      <w:r w:rsidR="00B075E5">
        <w:rPr>
          <w:rFonts w:ascii="仿宋_GB2312" w:eastAsia="仿宋_GB2312" w:hint="eastAsia"/>
          <w:color w:val="000000" w:themeColor="text1"/>
          <w:sz w:val="32"/>
          <w:szCs w:val="32"/>
        </w:rPr>
        <w:t>7.24</w:t>
      </w:r>
      <w:r w:rsidRPr="004135E8">
        <w:rPr>
          <w:rFonts w:ascii="仿宋_GB2312" w:eastAsia="仿宋_GB2312" w:hint="eastAsia"/>
          <w:color w:val="000000" w:themeColor="text1"/>
          <w:sz w:val="32"/>
          <w:szCs w:val="32"/>
        </w:rPr>
        <w:t>万元，完成预算100%，其中：因公出国（境）费支出决算为0万元%；公务用车购置及运行维护费支出决算为</w:t>
      </w:r>
      <w:r w:rsidR="00B075E5">
        <w:rPr>
          <w:rFonts w:ascii="仿宋_GB2312" w:eastAsia="仿宋_GB2312" w:hint="eastAsia"/>
          <w:color w:val="000000" w:themeColor="text1"/>
          <w:sz w:val="32"/>
          <w:szCs w:val="32"/>
        </w:rPr>
        <w:t>7.24</w:t>
      </w:r>
      <w:r w:rsidRPr="004135E8">
        <w:rPr>
          <w:rFonts w:ascii="仿宋_GB2312" w:eastAsia="仿宋_GB2312" w:hint="eastAsia"/>
          <w:color w:val="000000" w:themeColor="text1"/>
          <w:sz w:val="32"/>
          <w:szCs w:val="32"/>
        </w:rPr>
        <w:t>万元，完成预算100%；公务接待费支出决算为0万元，与预算数一致。</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年度“三公”经费支出决算数与预算数持平。</w:t>
      </w:r>
    </w:p>
    <w:p w:rsidR="003875BA" w:rsidRPr="004135E8" w:rsidRDefault="009E26DC" w:rsidP="00B974B8">
      <w:pPr>
        <w:spacing w:line="360" w:lineRule="auto"/>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年度“三公”经费财政拨款支出决算数比</w:t>
      </w:r>
      <w:r w:rsidR="004239A2">
        <w:rPr>
          <w:rFonts w:ascii="仿宋_GB2312" w:eastAsia="仿宋_GB2312" w:hint="eastAsia"/>
          <w:color w:val="000000" w:themeColor="text1"/>
          <w:sz w:val="32"/>
          <w:szCs w:val="32"/>
        </w:rPr>
        <w:t>201</w:t>
      </w:r>
      <w:r w:rsidR="00B075E5">
        <w:rPr>
          <w:rFonts w:ascii="仿宋_GB2312" w:eastAsia="仿宋_GB2312" w:hint="eastAsia"/>
          <w:color w:val="000000" w:themeColor="text1"/>
          <w:sz w:val="32"/>
          <w:szCs w:val="32"/>
        </w:rPr>
        <w:t>8</w:t>
      </w:r>
      <w:r w:rsidR="003875BA" w:rsidRPr="004135E8">
        <w:rPr>
          <w:rFonts w:ascii="仿宋_GB2312" w:eastAsia="仿宋_GB2312" w:hint="eastAsia"/>
          <w:color w:val="000000" w:themeColor="text1"/>
          <w:sz w:val="32"/>
          <w:szCs w:val="32"/>
        </w:rPr>
        <w:t>年</w:t>
      </w:r>
      <w:r w:rsidR="00B075E5">
        <w:rPr>
          <w:rFonts w:ascii="仿宋_GB2312" w:eastAsia="仿宋_GB2312" w:hint="eastAsia"/>
          <w:color w:val="000000" w:themeColor="text1"/>
          <w:sz w:val="32"/>
          <w:szCs w:val="32"/>
        </w:rPr>
        <w:t>增加0.4万元，增加5.85</w:t>
      </w:r>
      <w:r w:rsidR="003875BA" w:rsidRPr="004135E8">
        <w:rPr>
          <w:rFonts w:ascii="仿宋_GB2312" w:eastAsia="仿宋_GB2312" w:hint="eastAsia"/>
          <w:color w:val="000000" w:themeColor="text1"/>
          <w:sz w:val="32"/>
          <w:szCs w:val="32"/>
        </w:rPr>
        <w:t>%，其中：因公出国（境）费支出决算持平；公务用车购置及运行维护费支出决算比</w:t>
      </w:r>
      <w:r w:rsidR="004239A2">
        <w:rPr>
          <w:rFonts w:ascii="仿宋_GB2312" w:eastAsia="仿宋_GB2312" w:hint="eastAsia"/>
          <w:color w:val="000000" w:themeColor="text1"/>
          <w:sz w:val="32"/>
          <w:szCs w:val="32"/>
        </w:rPr>
        <w:t>2017</w:t>
      </w:r>
      <w:r w:rsidR="003875BA" w:rsidRPr="004135E8">
        <w:rPr>
          <w:rFonts w:ascii="仿宋_GB2312" w:eastAsia="仿宋_GB2312" w:hint="eastAsia"/>
          <w:color w:val="000000" w:themeColor="text1"/>
          <w:sz w:val="32"/>
          <w:szCs w:val="32"/>
        </w:rPr>
        <w:t>年</w:t>
      </w:r>
      <w:r w:rsidR="00B075E5">
        <w:rPr>
          <w:rFonts w:ascii="仿宋_GB2312" w:eastAsia="仿宋_GB2312" w:hint="eastAsia"/>
          <w:color w:val="000000" w:themeColor="text1"/>
          <w:sz w:val="32"/>
          <w:szCs w:val="32"/>
        </w:rPr>
        <w:t>增加0.4</w:t>
      </w:r>
      <w:r w:rsidR="003875BA" w:rsidRPr="004135E8">
        <w:rPr>
          <w:rFonts w:ascii="仿宋_GB2312" w:eastAsia="仿宋_GB2312" w:hint="eastAsia"/>
          <w:color w:val="000000" w:themeColor="text1"/>
          <w:sz w:val="32"/>
          <w:szCs w:val="32"/>
        </w:rPr>
        <w:t>万元，</w:t>
      </w:r>
      <w:r w:rsidR="00B075E5">
        <w:rPr>
          <w:rFonts w:ascii="仿宋_GB2312" w:eastAsia="仿宋_GB2312" w:hint="eastAsia"/>
          <w:color w:val="000000" w:themeColor="text1"/>
          <w:sz w:val="32"/>
          <w:szCs w:val="32"/>
        </w:rPr>
        <w:t>增加5.85%，主要原因在于</w:t>
      </w:r>
      <w:r w:rsidR="003875BA" w:rsidRPr="004135E8">
        <w:rPr>
          <w:rFonts w:ascii="仿宋_GB2312" w:eastAsia="仿宋_GB2312" w:hint="eastAsia"/>
          <w:color w:val="000000" w:themeColor="text1"/>
          <w:sz w:val="32"/>
          <w:szCs w:val="32"/>
        </w:rPr>
        <w:t>；公务接待费支出决算</w:t>
      </w:r>
      <w:r w:rsidR="00732003" w:rsidRPr="004135E8">
        <w:rPr>
          <w:rFonts w:ascii="仿宋_GB2312" w:eastAsia="仿宋_GB2312" w:hint="eastAsia"/>
          <w:color w:val="000000" w:themeColor="text1"/>
          <w:sz w:val="32"/>
          <w:szCs w:val="32"/>
        </w:rPr>
        <w:t>与</w:t>
      </w:r>
      <w:r w:rsidR="004239A2">
        <w:rPr>
          <w:rFonts w:ascii="仿宋_GB2312" w:eastAsia="仿宋_GB2312" w:hint="eastAsia"/>
          <w:color w:val="000000" w:themeColor="text1"/>
          <w:sz w:val="32"/>
          <w:szCs w:val="32"/>
        </w:rPr>
        <w:t>2017</w:t>
      </w:r>
      <w:r w:rsidR="00732003" w:rsidRPr="004135E8">
        <w:rPr>
          <w:rFonts w:ascii="仿宋_GB2312" w:eastAsia="仿宋_GB2312" w:hint="eastAsia"/>
          <w:color w:val="000000" w:themeColor="text1"/>
          <w:sz w:val="32"/>
          <w:szCs w:val="32"/>
        </w:rPr>
        <w:t>年持平</w:t>
      </w:r>
      <w:r w:rsidR="003875BA" w:rsidRPr="004135E8">
        <w:rPr>
          <w:rFonts w:ascii="仿宋_GB2312" w:eastAsia="仿宋_GB2312" w:hint="eastAsia"/>
          <w:color w:val="000000" w:themeColor="text1"/>
          <w:sz w:val="32"/>
          <w:szCs w:val="32"/>
        </w:rPr>
        <w:t>，减少100%。</w:t>
      </w:r>
      <w:r w:rsidR="00B974B8">
        <w:rPr>
          <w:rFonts w:ascii="仿宋_GB2312" w:eastAsia="仿宋_GB2312" w:hint="eastAsia"/>
          <w:color w:val="000000" w:themeColor="text1"/>
          <w:sz w:val="32"/>
          <w:szCs w:val="32"/>
        </w:rPr>
        <w:t>增加</w:t>
      </w:r>
      <w:r w:rsidR="003875BA" w:rsidRPr="004135E8">
        <w:rPr>
          <w:rFonts w:ascii="仿宋_GB2312" w:eastAsia="仿宋_GB2312" w:hint="eastAsia"/>
          <w:color w:val="000000" w:themeColor="text1"/>
          <w:sz w:val="32"/>
          <w:szCs w:val="32"/>
        </w:rPr>
        <w:t>的主要原因</w:t>
      </w:r>
      <w:r w:rsidR="00B974B8">
        <w:rPr>
          <w:rFonts w:ascii="仿宋_GB2312" w:eastAsia="仿宋_GB2312" w:hint="eastAsia"/>
          <w:color w:val="000000" w:themeColor="text1"/>
          <w:sz w:val="32"/>
          <w:szCs w:val="32"/>
        </w:rPr>
        <w:t>公车老旧，维修</w:t>
      </w:r>
      <w:r w:rsidR="00797F5C">
        <w:rPr>
          <w:rFonts w:ascii="仿宋_GB2312" w:eastAsia="仿宋_GB2312" w:hint="eastAsia"/>
          <w:color w:val="000000" w:themeColor="text1"/>
          <w:sz w:val="32"/>
          <w:szCs w:val="32"/>
        </w:rPr>
        <w:t>经费增加，同时征拆工作、扶贫工作、城乡环境整治工作下村频繁，耗油量较高</w:t>
      </w:r>
      <w:r w:rsidR="003875BA" w:rsidRPr="004135E8">
        <w:rPr>
          <w:rFonts w:ascii="仿宋_GB2312" w:eastAsia="仿宋_GB2312" w:hint="eastAsia"/>
          <w:color w:val="000000" w:themeColor="text1"/>
          <w:sz w:val="32"/>
          <w:szCs w:val="32"/>
        </w:rPr>
        <w:t>。</w:t>
      </w:r>
    </w:p>
    <w:p w:rsidR="003875BA" w:rsidRPr="004135E8" w:rsidRDefault="003875BA" w:rsidP="003875BA">
      <w:pPr>
        <w:spacing w:line="360" w:lineRule="auto"/>
        <w:ind w:firstLine="640"/>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（二）“三公”经费财政拨款支出决算具体情况说明</w:t>
      </w:r>
    </w:p>
    <w:p w:rsidR="003875BA" w:rsidRPr="004135E8" w:rsidRDefault="009E26DC" w:rsidP="003875BA">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年度“三公”经费财政拨款支出决算中，因公出国（境）费支出决算0万元，占0%；公务用车购置及运行维护费支出决算</w:t>
      </w:r>
      <w:r w:rsidR="00B075E5">
        <w:rPr>
          <w:rFonts w:ascii="仿宋_GB2312" w:eastAsia="仿宋_GB2312" w:hint="eastAsia"/>
          <w:color w:val="000000" w:themeColor="text1"/>
          <w:sz w:val="32"/>
          <w:szCs w:val="32"/>
        </w:rPr>
        <w:t>7.24</w:t>
      </w:r>
      <w:r w:rsidR="003875BA" w:rsidRPr="004135E8">
        <w:rPr>
          <w:rFonts w:ascii="仿宋_GB2312" w:eastAsia="仿宋_GB2312" w:hint="eastAsia"/>
          <w:color w:val="000000" w:themeColor="text1"/>
          <w:sz w:val="32"/>
          <w:szCs w:val="32"/>
        </w:rPr>
        <w:t>万元，占100%；公务接待费支出决算0万元，占0%。（附图7：</w:t>
      </w:r>
      <w:r>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年“三公”经费使用分布表）具体情况如下：</w:t>
      </w:r>
    </w:p>
    <w:p w:rsidR="003875BA" w:rsidRPr="004135E8" w:rsidRDefault="006A23A6" w:rsidP="003875BA">
      <w:pPr>
        <w:spacing w:line="360" w:lineRule="auto"/>
        <w:ind w:firstLine="640"/>
        <w:rPr>
          <w:rFonts w:ascii="仿宋_GB2312" w:eastAsia="仿宋_GB2312"/>
          <w:b/>
          <w:color w:val="000000" w:themeColor="text1"/>
          <w:sz w:val="32"/>
          <w:szCs w:val="32"/>
        </w:rPr>
      </w:pPr>
      <w:r>
        <w:rPr>
          <w:rFonts w:ascii="仿宋_GB2312" w:eastAsia="仿宋_GB2312" w:hint="eastAsia"/>
          <w:noProof/>
          <w:color w:val="000000" w:themeColor="text1"/>
          <w:sz w:val="32"/>
          <w:szCs w:val="32"/>
        </w:rPr>
        <w:lastRenderedPageBreak/>
        <w:drawing>
          <wp:anchor distT="0" distB="0" distL="114300" distR="114300" simplePos="0" relativeHeight="251660288" behindDoc="0" locked="0" layoutInCell="1" allowOverlap="1">
            <wp:simplePos x="0" y="0"/>
            <wp:positionH relativeFrom="column">
              <wp:posOffset>-728980</wp:posOffset>
            </wp:positionH>
            <wp:positionV relativeFrom="paragraph">
              <wp:posOffset>-3107055</wp:posOffset>
            </wp:positionV>
            <wp:extent cx="6288405" cy="3683000"/>
            <wp:effectExtent l="0" t="0" r="0" b="0"/>
            <wp:wrapTopAndBottom/>
            <wp:docPr id="13" name="对象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3875BA" w:rsidRPr="004135E8">
        <w:rPr>
          <w:rFonts w:ascii="仿宋_GB2312" w:eastAsia="仿宋_GB2312" w:hint="eastAsia"/>
          <w:color w:val="000000" w:themeColor="text1"/>
          <w:sz w:val="32"/>
          <w:szCs w:val="32"/>
        </w:rPr>
        <w:t>图6：</w:t>
      </w:r>
      <w:r w:rsidR="009E26DC">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w:t>
      </w:r>
      <w:r w:rsidR="003875BA" w:rsidRPr="004135E8">
        <w:rPr>
          <w:rFonts w:ascii="仿宋_GB2312" w:eastAsia="仿宋_GB2312" w:hint="eastAsia"/>
          <w:b/>
          <w:color w:val="000000" w:themeColor="text1"/>
          <w:sz w:val="32"/>
          <w:szCs w:val="32"/>
        </w:rPr>
        <w:t>“三公”经费使用分布表</w:t>
      </w:r>
    </w:p>
    <w:p w:rsidR="003875BA" w:rsidRPr="004135E8" w:rsidRDefault="003875BA" w:rsidP="003875BA">
      <w:pPr>
        <w:spacing w:line="360" w:lineRule="auto"/>
        <w:ind w:firstLineChars="196" w:firstLine="630"/>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1.因公出国（境）经费</w:t>
      </w:r>
    </w:p>
    <w:p w:rsidR="003875BA" w:rsidRPr="004135E8" w:rsidRDefault="009E26DC" w:rsidP="003875BA">
      <w:pPr>
        <w:spacing w:line="360" w:lineRule="auto"/>
        <w:ind w:firstLine="640"/>
        <w:rPr>
          <w:rFonts w:ascii="仿宋_GB2312" w:eastAsia="仿宋_GB2312"/>
          <w:color w:val="000000" w:themeColor="text1"/>
          <w:sz w:val="32"/>
          <w:szCs w:val="32"/>
        </w:rPr>
      </w:pPr>
      <w:r>
        <w:rPr>
          <w:rFonts w:ascii="仿宋_GB2312" w:eastAsia="仿宋_GB2312"/>
          <w:color w:val="000000" w:themeColor="text1"/>
          <w:sz w:val="32"/>
          <w:szCs w:val="32"/>
        </w:rPr>
        <w:t>2018</w:t>
      </w:r>
      <w:r w:rsidR="003875BA" w:rsidRPr="004135E8">
        <w:rPr>
          <w:rFonts w:ascii="仿宋_GB2312" w:eastAsia="仿宋_GB2312" w:hint="eastAsia"/>
          <w:color w:val="000000" w:themeColor="text1"/>
          <w:sz w:val="32"/>
          <w:szCs w:val="32"/>
        </w:rPr>
        <w:t>年因公出国（境）费0万元。全年安排因公出国（境）团组0次，出国（境）0人。</w:t>
      </w:r>
    </w:p>
    <w:p w:rsidR="003875BA" w:rsidRPr="004135E8" w:rsidRDefault="003875BA" w:rsidP="003875BA">
      <w:pPr>
        <w:spacing w:line="360" w:lineRule="auto"/>
        <w:ind w:firstLineChars="200" w:firstLine="643"/>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2.公务用车购置及运行维护费</w:t>
      </w:r>
    </w:p>
    <w:p w:rsidR="003875BA" w:rsidRPr="004135E8" w:rsidRDefault="009E26DC" w:rsidP="003875BA">
      <w:pPr>
        <w:spacing w:line="360" w:lineRule="auto"/>
        <w:ind w:firstLine="640"/>
        <w:rPr>
          <w:rFonts w:ascii="仿宋_GB2312" w:eastAsia="仿宋_GB2312"/>
          <w:color w:val="000000" w:themeColor="text1"/>
          <w:sz w:val="32"/>
          <w:szCs w:val="32"/>
        </w:rPr>
      </w:pPr>
      <w:r>
        <w:rPr>
          <w:rFonts w:ascii="仿宋_GB2312" w:eastAsia="仿宋_GB2312"/>
          <w:color w:val="000000" w:themeColor="text1"/>
          <w:sz w:val="32"/>
          <w:szCs w:val="32"/>
        </w:rPr>
        <w:t>2018</w:t>
      </w:r>
      <w:r w:rsidR="003875BA" w:rsidRPr="004135E8">
        <w:rPr>
          <w:rFonts w:ascii="仿宋_GB2312" w:eastAsia="仿宋_GB2312" w:hint="eastAsia"/>
          <w:color w:val="000000" w:themeColor="text1"/>
          <w:sz w:val="32"/>
          <w:szCs w:val="32"/>
        </w:rPr>
        <w:t>年公务用车购置及运行维护费</w:t>
      </w:r>
      <w:r w:rsidR="00B075E5">
        <w:rPr>
          <w:rFonts w:ascii="仿宋_GB2312" w:eastAsia="仿宋_GB2312" w:hint="eastAsia"/>
          <w:color w:val="000000" w:themeColor="text1"/>
          <w:sz w:val="32"/>
          <w:szCs w:val="32"/>
        </w:rPr>
        <w:t>7.24</w:t>
      </w:r>
      <w:r w:rsidR="003875BA" w:rsidRPr="004135E8">
        <w:rPr>
          <w:rFonts w:ascii="仿宋_GB2312" w:eastAsia="仿宋_GB2312" w:hint="eastAsia"/>
          <w:color w:val="000000" w:themeColor="text1"/>
          <w:sz w:val="32"/>
          <w:szCs w:val="32"/>
        </w:rPr>
        <w:t>万元,其中：</w:t>
      </w:r>
    </w:p>
    <w:p w:rsidR="003875BA" w:rsidRPr="004135E8" w:rsidRDefault="003875BA" w:rsidP="003875BA">
      <w:pPr>
        <w:spacing w:line="580" w:lineRule="exact"/>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全年按规定更新购置公务用车0辆，其中：轿车0辆、金额0万元，越野车0辆、金额0万元，载客汽车0辆、金额0万元。截至</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年12月底，单位共有公务用车</w:t>
      </w:r>
      <w:r w:rsidR="00B075E5">
        <w:rPr>
          <w:rFonts w:ascii="仿宋_GB2312" w:eastAsia="仿宋_GB2312" w:hint="eastAsia"/>
          <w:color w:val="000000" w:themeColor="text1"/>
          <w:sz w:val="32"/>
          <w:szCs w:val="32"/>
        </w:rPr>
        <w:t>3</w:t>
      </w:r>
      <w:r w:rsidRPr="004135E8">
        <w:rPr>
          <w:rFonts w:ascii="仿宋_GB2312" w:eastAsia="仿宋_GB2312" w:hint="eastAsia"/>
          <w:color w:val="000000" w:themeColor="text1"/>
          <w:sz w:val="32"/>
          <w:szCs w:val="32"/>
        </w:rPr>
        <w:t>辆，其中：越野车2辆、载客汽车</w:t>
      </w:r>
      <w:r w:rsidR="00B075E5">
        <w:rPr>
          <w:rFonts w:ascii="仿宋_GB2312" w:eastAsia="仿宋_GB2312" w:hint="eastAsia"/>
          <w:color w:val="000000" w:themeColor="text1"/>
          <w:sz w:val="32"/>
          <w:szCs w:val="32"/>
        </w:rPr>
        <w:t>1</w:t>
      </w:r>
      <w:r w:rsidRPr="004135E8">
        <w:rPr>
          <w:rFonts w:ascii="仿宋_GB2312" w:eastAsia="仿宋_GB2312" w:hint="eastAsia"/>
          <w:color w:val="000000" w:themeColor="text1"/>
          <w:sz w:val="32"/>
          <w:szCs w:val="32"/>
        </w:rPr>
        <w:t>辆。</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公务用车运行维护费支出</w:t>
      </w:r>
      <w:r w:rsidR="00B075E5">
        <w:rPr>
          <w:rFonts w:ascii="仿宋_GB2312" w:eastAsia="仿宋_GB2312" w:hint="eastAsia"/>
          <w:color w:val="000000" w:themeColor="text1"/>
          <w:sz w:val="32"/>
          <w:szCs w:val="32"/>
        </w:rPr>
        <w:t>7.24</w:t>
      </w:r>
      <w:r w:rsidRPr="004135E8">
        <w:rPr>
          <w:rFonts w:ascii="仿宋_GB2312" w:eastAsia="仿宋_GB2312" w:hint="eastAsia"/>
          <w:color w:val="000000" w:themeColor="text1"/>
          <w:sz w:val="32"/>
          <w:szCs w:val="32"/>
        </w:rPr>
        <w:t>万元。主要用于扶贫、秸秆禁烧工作、征地拆迁工作、维稳、应急、武装等所需的公务用车燃料费、维修费、保险费等支出。</w:t>
      </w:r>
    </w:p>
    <w:p w:rsidR="003875BA" w:rsidRPr="004135E8" w:rsidRDefault="003875BA" w:rsidP="003875BA">
      <w:pPr>
        <w:spacing w:line="360" w:lineRule="auto"/>
        <w:ind w:firstLineChars="200" w:firstLine="643"/>
        <w:rPr>
          <w:rFonts w:ascii="楷体_GB2312" w:eastAsia="楷体_GB2312"/>
          <w:b/>
          <w:color w:val="000000" w:themeColor="text1"/>
          <w:sz w:val="32"/>
          <w:szCs w:val="32"/>
        </w:rPr>
      </w:pPr>
      <w:r w:rsidRPr="004135E8">
        <w:rPr>
          <w:rFonts w:ascii="仿宋_GB2312" w:eastAsia="仿宋_GB2312" w:hint="eastAsia"/>
          <w:b/>
          <w:color w:val="000000" w:themeColor="text1"/>
          <w:sz w:val="32"/>
          <w:szCs w:val="32"/>
        </w:rPr>
        <w:t>3.公务接待费</w:t>
      </w:r>
    </w:p>
    <w:p w:rsidR="003875BA" w:rsidRPr="004135E8" w:rsidRDefault="009E26DC" w:rsidP="003875BA">
      <w:pPr>
        <w:spacing w:line="580" w:lineRule="exact"/>
        <w:ind w:firstLine="640"/>
        <w:rPr>
          <w:rFonts w:ascii="仿宋_GB2312" w:eastAsia="仿宋_GB2312"/>
          <w:color w:val="000000" w:themeColor="text1"/>
          <w:sz w:val="32"/>
          <w:szCs w:val="32"/>
        </w:rPr>
      </w:pPr>
      <w:r>
        <w:rPr>
          <w:rFonts w:ascii="仿宋_GB2312" w:eastAsia="仿宋_GB2312"/>
          <w:color w:val="000000" w:themeColor="text1"/>
          <w:sz w:val="32"/>
          <w:szCs w:val="32"/>
        </w:rPr>
        <w:t>2018</w:t>
      </w:r>
      <w:r w:rsidR="003875BA" w:rsidRPr="004135E8">
        <w:rPr>
          <w:rFonts w:ascii="仿宋_GB2312" w:eastAsia="仿宋_GB2312" w:hint="eastAsia"/>
          <w:color w:val="000000" w:themeColor="text1"/>
          <w:sz w:val="32"/>
          <w:szCs w:val="32"/>
        </w:rPr>
        <w:t>年公务接待费0万元。主要用于执行公务、开展业务活</w:t>
      </w:r>
      <w:r w:rsidR="003875BA" w:rsidRPr="004135E8">
        <w:rPr>
          <w:rFonts w:ascii="仿宋_GB2312" w:eastAsia="仿宋_GB2312" w:hint="eastAsia"/>
          <w:color w:val="000000" w:themeColor="text1"/>
          <w:sz w:val="32"/>
          <w:szCs w:val="32"/>
        </w:rPr>
        <w:lastRenderedPageBreak/>
        <w:t>动开支的交通费、住宿费、用餐费等。国内公务接待0批次，0人，共计支出0万元</w:t>
      </w:r>
      <w:r w:rsidR="006A23A6">
        <w:rPr>
          <w:rFonts w:ascii="仿宋_GB2312" w:eastAsia="仿宋_GB2312" w:hint="eastAsia"/>
          <w:color w:val="000000" w:themeColor="text1"/>
          <w:sz w:val="32"/>
          <w:szCs w:val="32"/>
        </w:rPr>
        <w:t>。</w:t>
      </w:r>
    </w:p>
    <w:p w:rsidR="003875BA" w:rsidRPr="004135E8" w:rsidRDefault="003875BA" w:rsidP="003875BA">
      <w:pPr>
        <w:spacing w:line="360" w:lineRule="auto"/>
        <w:ind w:firstLine="640"/>
        <w:rPr>
          <w:rFonts w:ascii="黑体" w:eastAsia="黑体"/>
          <w:color w:val="000000" w:themeColor="text1"/>
          <w:sz w:val="32"/>
          <w:szCs w:val="32"/>
        </w:rPr>
      </w:pPr>
      <w:r w:rsidRPr="004135E8">
        <w:rPr>
          <w:rFonts w:ascii="黑体" w:eastAsia="黑体" w:hint="eastAsia"/>
          <w:color w:val="000000" w:themeColor="text1"/>
          <w:sz w:val="32"/>
          <w:szCs w:val="32"/>
        </w:rPr>
        <w:t>八、政府性基金预算财政拨款支出决算情况</w:t>
      </w:r>
    </w:p>
    <w:p w:rsidR="003875BA" w:rsidRPr="004135E8" w:rsidRDefault="003875BA" w:rsidP="003875BA">
      <w:pPr>
        <w:spacing w:line="360" w:lineRule="auto"/>
        <w:ind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双福镇人民政府</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年使用政府性基金预算财政拨款支出</w:t>
      </w:r>
      <w:r w:rsidR="00AE6087">
        <w:rPr>
          <w:rFonts w:ascii="仿宋_GB2312" w:eastAsia="仿宋_GB2312" w:hint="eastAsia"/>
          <w:color w:val="000000" w:themeColor="text1"/>
          <w:sz w:val="32"/>
          <w:szCs w:val="32"/>
        </w:rPr>
        <w:t>1452.9</w:t>
      </w:r>
      <w:r w:rsidRPr="004135E8">
        <w:rPr>
          <w:rFonts w:ascii="仿宋_GB2312" w:eastAsia="仿宋_GB2312" w:hint="eastAsia"/>
          <w:color w:val="000000" w:themeColor="text1"/>
          <w:sz w:val="32"/>
          <w:szCs w:val="32"/>
        </w:rPr>
        <w:t>万元。主要用于</w:t>
      </w:r>
      <w:r w:rsidR="00AE6087">
        <w:rPr>
          <w:rFonts w:ascii="仿宋_GB2312" w:eastAsia="仿宋_GB2312" w:hint="eastAsia"/>
          <w:color w:val="000000" w:themeColor="text1"/>
          <w:sz w:val="32"/>
          <w:szCs w:val="32"/>
        </w:rPr>
        <w:t>乡镇畜禽养殖污染</w:t>
      </w:r>
      <w:r w:rsidRPr="004135E8">
        <w:rPr>
          <w:rFonts w:ascii="仿宋_GB2312" w:eastAsia="仿宋_GB2312" w:hint="eastAsia"/>
          <w:color w:val="000000" w:themeColor="text1"/>
          <w:sz w:val="32"/>
          <w:szCs w:val="32"/>
        </w:rPr>
        <w:t>等方面。</w:t>
      </w:r>
    </w:p>
    <w:p w:rsidR="003875BA" w:rsidRPr="004135E8" w:rsidRDefault="003875BA" w:rsidP="003875BA">
      <w:pPr>
        <w:spacing w:line="360" w:lineRule="auto"/>
        <w:ind w:firstLineChars="200" w:firstLine="640"/>
        <w:rPr>
          <w:rFonts w:ascii="黑体" w:eastAsia="黑体"/>
          <w:color w:val="000000" w:themeColor="text1"/>
          <w:sz w:val="32"/>
          <w:szCs w:val="32"/>
        </w:rPr>
      </w:pPr>
      <w:r w:rsidRPr="004135E8">
        <w:rPr>
          <w:rFonts w:ascii="黑体" w:eastAsia="黑体" w:hint="eastAsia"/>
          <w:color w:val="000000" w:themeColor="text1"/>
          <w:sz w:val="32"/>
          <w:szCs w:val="32"/>
        </w:rPr>
        <w:t>九、其他重要事项的情况说明</w:t>
      </w:r>
    </w:p>
    <w:p w:rsidR="003875BA" w:rsidRPr="004135E8" w:rsidRDefault="003875BA" w:rsidP="003875BA">
      <w:pPr>
        <w:spacing w:line="360" w:lineRule="auto"/>
        <w:ind w:firstLineChars="200" w:firstLine="643"/>
        <w:rPr>
          <w:rFonts w:ascii="仿宋_GB2312" w:eastAsia="仿宋_GB2312"/>
          <w:color w:val="000000" w:themeColor="text1"/>
          <w:sz w:val="32"/>
          <w:szCs w:val="32"/>
        </w:rPr>
      </w:pPr>
      <w:r w:rsidRPr="004135E8">
        <w:rPr>
          <w:rFonts w:ascii="仿宋_GB2312" w:eastAsia="仿宋_GB2312" w:hint="eastAsia"/>
          <w:b/>
          <w:color w:val="000000" w:themeColor="text1"/>
          <w:sz w:val="32"/>
          <w:szCs w:val="32"/>
        </w:rPr>
        <w:t>（一）机关运行经费支出情况</w:t>
      </w:r>
    </w:p>
    <w:p w:rsidR="003875BA" w:rsidRPr="004135E8" w:rsidRDefault="009E26DC" w:rsidP="003875BA">
      <w:pPr>
        <w:spacing w:line="360" w:lineRule="auto"/>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年度，双福镇人民政府机关运行经费支出</w:t>
      </w:r>
      <w:r w:rsidR="009653C0" w:rsidRPr="004135E8">
        <w:rPr>
          <w:rFonts w:ascii="仿宋_GB2312" w:eastAsia="仿宋_GB2312" w:hint="eastAsia"/>
          <w:color w:val="000000" w:themeColor="text1"/>
          <w:sz w:val="32"/>
          <w:szCs w:val="32"/>
        </w:rPr>
        <w:t>60.75</w:t>
      </w:r>
      <w:r w:rsidR="003875BA" w:rsidRPr="004135E8">
        <w:rPr>
          <w:rFonts w:ascii="仿宋_GB2312" w:eastAsia="仿宋_GB2312" w:hint="eastAsia"/>
          <w:color w:val="000000" w:themeColor="text1"/>
          <w:sz w:val="32"/>
          <w:szCs w:val="32"/>
        </w:rPr>
        <w:t>万元，比</w:t>
      </w:r>
      <w:r w:rsidR="004239A2">
        <w:rPr>
          <w:rFonts w:ascii="仿宋_GB2312" w:eastAsia="仿宋_GB2312" w:hint="eastAsia"/>
          <w:color w:val="000000" w:themeColor="text1"/>
          <w:sz w:val="32"/>
          <w:szCs w:val="32"/>
        </w:rPr>
        <w:t>2017</w:t>
      </w:r>
      <w:r w:rsidR="003875BA" w:rsidRPr="004135E8">
        <w:rPr>
          <w:rFonts w:ascii="仿宋_GB2312" w:eastAsia="仿宋_GB2312" w:hint="eastAsia"/>
          <w:color w:val="000000" w:themeColor="text1"/>
          <w:sz w:val="32"/>
          <w:szCs w:val="32"/>
        </w:rPr>
        <w:t>年增加</w:t>
      </w:r>
      <w:r w:rsidR="009653C0" w:rsidRPr="004135E8">
        <w:rPr>
          <w:rFonts w:ascii="仿宋_GB2312" w:eastAsia="仿宋_GB2312" w:hint="eastAsia"/>
          <w:color w:val="000000" w:themeColor="text1"/>
          <w:sz w:val="32"/>
          <w:szCs w:val="32"/>
        </w:rPr>
        <w:t>6.83</w:t>
      </w:r>
      <w:r w:rsidR="003875BA" w:rsidRPr="004135E8">
        <w:rPr>
          <w:rFonts w:ascii="仿宋_GB2312" w:eastAsia="仿宋_GB2312" w:hint="eastAsia"/>
          <w:color w:val="000000" w:themeColor="text1"/>
          <w:sz w:val="32"/>
          <w:szCs w:val="32"/>
        </w:rPr>
        <w:t>万元，增长</w:t>
      </w:r>
      <w:r w:rsidR="009653C0" w:rsidRPr="004135E8">
        <w:rPr>
          <w:rFonts w:ascii="仿宋_GB2312" w:eastAsia="仿宋_GB2312" w:hint="eastAsia"/>
          <w:color w:val="000000" w:themeColor="text1"/>
          <w:sz w:val="32"/>
          <w:szCs w:val="32"/>
        </w:rPr>
        <w:t>12.67</w:t>
      </w:r>
      <w:r w:rsidR="003875BA" w:rsidRPr="004135E8">
        <w:rPr>
          <w:rFonts w:ascii="仿宋_GB2312" w:eastAsia="仿宋_GB2312" w:hint="eastAsia"/>
          <w:color w:val="000000" w:themeColor="text1"/>
          <w:sz w:val="32"/>
          <w:szCs w:val="32"/>
        </w:rPr>
        <w:t>%（</w:t>
      </w:r>
      <w:r w:rsidR="004239A2">
        <w:rPr>
          <w:rFonts w:ascii="仿宋_GB2312" w:eastAsia="仿宋_GB2312" w:hint="eastAsia"/>
          <w:color w:val="000000" w:themeColor="text1"/>
          <w:sz w:val="32"/>
          <w:szCs w:val="32"/>
        </w:rPr>
        <w:t>2017</w:t>
      </w:r>
      <w:r w:rsidR="003875BA" w:rsidRPr="004135E8">
        <w:rPr>
          <w:rFonts w:ascii="仿宋_GB2312" w:eastAsia="仿宋_GB2312" w:hint="eastAsia"/>
          <w:color w:val="000000" w:themeColor="text1"/>
          <w:sz w:val="32"/>
          <w:szCs w:val="32"/>
        </w:rPr>
        <w:t>年机关运行经费</w:t>
      </w:r>
      <w:r w:rsidR="009653C0" w:rsidRPr="004135E8">
        <w:rPr>
          <w:rFonts w:ascii="仿宋_GB2312" w:eastAsia="仿宋_GB2312" w:hint="eastAsia"/>
          <w:color w:val="000000" w:themeColor="text1"/>
          <w:sz w:val="32"/>
          <w:szCs w:val="32"/>
        </w:rPr>
        <w:t>53.92</w:t>
      </w:r>
      <w:r w:rsidR="003875BA" w:rsidRPr="004135E8">
        <w:rPr>
          <w:rFonts w:ascii="仿宋_GB2312" w:eastAsia="仿宋_GB2312" w:hint="eastAsia"/>
          <w:color w:val="000000" w:themeColor="text1"/>
          <w:sz w:val="32"/>
          <w:szCs w:val="32"/>
        </w:rPr>
        <w:t>万元）。</w:t>
      </w:r>
    </w:p>
    <w:p w:rsidR="003875BA" w:rsidRPr="004135E8" w:rsidRDefault="003875BA" w:rsidP="003875BA">
      <w:pPr>
        <w:autoSpaceDE w:val="0"/>
        <w:autoSpaceDN w:val="0"/>
        <w:adjustRightInd w:val="0"/>
        <w:spacing w:line="360" w:lineRule="auto"/>
        <w:ind w:firstLineChars="200" w:firstLine="643"/>
        <w:jc w:val="left"/>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（二）政府采购支出情况</w:t>
      </w:r>
    </w:p>
    <w:p w:rsidR="003875BA" w:rsidRPr="004135E8" w:rsidRDefault="009E26DC" w:rsidP="004135E8">
      <w:pPr>
        <w:spacing w:line="360" w:lineRule="auto"/>
        <w:ind w:firstLineChars="250" w:firstLine="800"/>
        <w:rPr>
          <w:rFonts w:ascii="仿宋_GB2312" w:eastAsia="仿宋_GB2312"/>
          <w:color w:val="000000" w:themeColor="text1"/>
          <w:sz w:val="32"/>
          <w:szCs w:val="32"/>
        </w:rPr>
      </w:pPr>
      <w:r>
        <w:rPr>
          <w:rFonts w:ascii="仿宋_GB2312" w:eastAsia="仿宋_GB2312" w:hint="eastAsia"/>
          <w:color w:val="000000" w:themeColor="text1"/>
          <w:sz w:val="32"/>
          <w:szCs w:val="32"/>
        </w:rPr>
        <w:t>2018</w:t>
      </w:r>
      <w:r w:rsidR="003875BA" w:rsidRPr="004135E8">
        <w:rPr>
          <w:rFonts w:ascii="仿宋_GB2312" w:eastAsia="仿宋_GB2312" w:hint="eastAsia"/>
          <w:color w:val="000000" w:themeColor="text1"/>
          <w:sz w:val="32"/>
          <w:szCs w:val="32"/>
        </w:rPr>
        <w:t>年度，双福镇人民政府政府采购支出总额</w:t>
      </w:r>
      <w:r w:rsidR="00841983" w:rsidRPr="004135E8">
        <w:rPr>
          <w:rFonts w:ascii="仿宋_GB2312" w:eastAsia="仿宋_GB2312" w:hint="eastAsia"/>
          <w:color w:val="000000" w:themeColor="text1"/>
          <w:sz w:val="32"/>
          <w:szCs w:val="32"/>
        </w:rPr>
        <w:t>4.64</w:t>
      </w:r>
      <w:r w:rsidR="003875BA" w:rsidRPr="004135E8">
        <w:rPr>
          <w:rFonts w:ascii="仿宋_GB2312" w:eastAsia="仿宋_GB2312" w:hint="eastAsia"/>
          <w:color w:val="000000" w:themeColor="text1"/>
          <w:sz w:val="32"/>
          <w:szCs w:val="32"/>
        </w:rPr>
        <w:t>万元。</w:t>
      </w:r>
      <w:r w:rsidR="004135E8" w:rsidRPr="004135E8">
        <w:rPr>
          <w:rFonts w:ascii="仿宋_GB2312" w:eastAsia="仿宋_GB2312" w:hint="eastAsia"/>
          <w:color w:val="000000" w:themeColor="text1"/>
          <w:sz w:val="32"/>
          <w:szCs w:val="32"/>
        </w:rPr>
        <w:t>其中采购货物支出4.64万元。</w:t>
      </w:r>
      <w:r w:rsidR="003875BA" w:rsidRPr="004135E8">
        <w:rPr>
          <w:rFonts w:ascii="仿宋_GB2312" w:eastAsia="仿宋_GB2312" w:hint="eastAsia"/>
          <w:color w:val="000000" w:themeColor="text1"/>
          <w:sz w:val="32"/>
          <w:szCs w:val="32"/>
        </w:rPr>
        <w:t>主要用于购买</w:t>
      </w:r>
      <w:r w:rsidR="004135E8" w:rsidRPr="004135E8">
        <w:rPr>
          <w:rFonts w:ascii="仿宋_GB2312" w:eastAsia="仿宋_GB2312" w:hint="eastAsia"/>
          <w:color w:val="000000" w:themeColor="text1"/>
          <w:sz w:val="32"/>
          <w:szCs w:val="32"/>
        </w:rPr>
        <w:t>办公设备</w:t>
      </w:r>
      <w:r w:rsidR="003875BA" w:rsidRPr="004135E8">
        <w:rPr>
          <w:rFonts w:ascii="仿宋_GB2312" w:eastAsia="仿宋_GB2312" w:hint="eastAsia"/>
          <w:color w:val="000000" w:themeColor="text1"/>
          <w:sz w:val="32"/>
          <w:szCs w:val="32"/>
        </w:rPr>
        <w:t>。</w:t>
      </w:r>
    </w:p>
    <w:p w:rsidR="003875BA" w:rsidRPr="004135E8" w:rsidRDefault="003875BA" w:rsidP="003875BA">
      <w:pPr>
        <w:autoSpaceDE w:val="0"/>
        <w:autoSpaceDN w:val="0"/>
        <w:adjustRightInd w:val="0"/>
        <w:spacing w:line="360" w:lineRule="auto"/>
        <w:ind w:firstLineChars="200" w:firstLine="643"/>
        <w:jc w:val="left"/>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（三）国有资产占有使用情况</w:t>
      </w:r>
    </w:p>
    <w:p w:rsidR="003875BA" w:rsidRPr="004135E8" w:rsidRDefault="003875BA" w:rsidP="003875BA">
      <w:pPr>
        <w:autoSpaceDE w:val="0"/>
        <w:autoSpaceDN w:val="0"/>
        <w:adjustRightInd w:val="0"/>
        <w:spacing w:line="580" w:lineRule="exact"/>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截至</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年12月31日，双福镇人民政府公有车辆6辆，其中：一般公务用车6辆。其中：省部级领导干部用车0辆、一般公务用车7辆；单价50万元以上通用设备0台（套），单价100万元以上专用设备0台（套）。</w:t>
      </w:r>
    </w:p>
    <w:p w:rsidR="003875BA" w:rsidRPr="004135E8" w:rsidRDefault="003875BA" w:rsidP="003875BA">
      <w:pPr>
        <w:autoSpaceDE w:val="0"/>
        <w:autoSpaceDN w:val="0"/>
        <w:adjustRightInd w:val="0"/>
        <w:spacing w:line="360" w:lineRule="auto"/>
        <w:ind w:firstLineChars="200" w:firstLine="643"/>
        <w:jc w:val="left"/>
        <w:rPr>
          <w:rFonts w:ascii="仿宋_GB2312" w:eastAsia="仿宋_GB2312"/>
          <w:b/>
          <w:color w:val="000000" w:themeColor="text1"/>
          <w:sz w:val="32"/>
          <w:szCs w:val="32"/>
        </w:rPr>
      </w:pPr>
      <w:r w:rsidRPr="004135E8">
        <w:rPr>
          <w:rFonts w:ascii="仿宋_GB2312" w:eastAsia="仿宋_GB2312" w:hint="eastAsia"/>
          <w:b/>
          <w:color w:val="000000" w:themeColor="text1"/>
          <w:sz w:val="32"/>
          <w:szCs w:val="32"/>
        </w:rPr>
        <w:t>（四）预算绩效情况</w:t>
      </w:r>
    </w:p>
    <w:p w:rsidR="003875BA" w:rsidRPr="004135E8" w:rsidRDefault="003875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按照预算绩效管理要求，本部门对</w:t>
      </w:r>
      <w:r w:rsidR="009E26DC">
        <w:rPr>
          <w:rFonts w:ascii="仿宋_GB2312" w:eastAsia="仿宋_GB2312" w:hint="eastAsia"/>
          <w:color w:val="000000" w:themeColor="text1"/>
          <w:sz w:val="32"/>
          <w:szCs w:val="32"/>
        </w:rPr>
        <w:t>2018</w:t>
      </w:r>
      <w:r w:rsidRPr="004135E8">
        <w:rPr>
          <w:rFonts w:ascii="仿宋_GB2312" w:eastAsia="仿宋_GB2312" w:hint="eastAsia"/>
          <w:color w:val="000000" w:themeColor="text1"/>
          <w:sz w:val="32"/>
          <w:szCs w:val="32"/>
        </w:rPr>
        <w:t>年一般公共预算项目支出开展了绩效目标管理，共编制绩效目标</w:t>
      </w:r>
      <w:r w:rsidR="00797F5C">
        <w:rPr>
          <w:rFonts w:ascii="仿宋_GB2312" w:eastAsia="仿宋_GB2312" w:hint="eastAsia"/>
          <w:color w:val="000000" w:themeColor="text1"/>
          <w:sz w:val="32"/>
          <w:szCs w:val="32"/>
        </w:rPr>
        <w:t>24</w:t>
      </w:r>
      <w:r w:rsidRPr="004135E8">
        <w:rPr>
          <w:rFonts w:ascii="仿宋_GB2312" w:eastAsia="仿宋_GB2312" w:hint="eastAsia"/>
          <w:color w:val="000000" w:themeColor="text1"/>
          <w:sz w:val="32"/>
          <w:szCs w:val="32"/>
        </w:rPr>
        <w:t>个，涉及财政</w:t>
      </w:r>
      <w:r w:rsidRPr="004135E8">
        <w:rPr>
          <w:rFonts w:ascii="仿宋_GB2312" w:eastAsia="仿宋_GB2312" w:hint="eastAsia"/>
          <w:color w:val="000000" w:themeColor="text1"/>
          <w:sz w:val="32"/>
          <w:szCs w:val="32"/>
        </w:rPr>
        <w:lastRenderedPageBreak/>
        <w:t>资金</w:t>
      </w:r>
      <w:r w:rsidR="00797F5C">
        <w:rPr>
          <w:rFonts w:ascii="仿宋_GB2312" w:eastAsia="仿宋_GB2312" w:hint="eastAsia"/>
          <w:color w:val="000000" w:themeColor="text1"/>
          <w:sz w:val="32"/>
          <w:szCs w:val="32"/>
        </w:rPr>
        <w:t>981</w:t>
      </w:r>
      <w:r w:rsidRPr="004135E8">
        <w:rPr>
          <w:rFonts w:ascii="仿宋_GB2312" w:eastAsia="仿宋_GB2312" w:hint="eastAsia"/>
          <w:color w:val="000000" w:themeColor="text1"/>
          <w:sz w:val="32"/>
          <w:szCs w:val="32"/>
        </w:rPr>
        <w:t>万元，覆盖率达到100%。</w:t>
      </w:r>
    </w:p>
    <w:p w:rsidR="003875BA" w:rsidRPr="004135E8" w:rsidRDefault="003875BA" w:rsidP="003875BA">
      <w:pPr>
        <w:autoSpaceDE w:val="0"/>
        <w:autoSpaceDN w:val="0"/>
        <w:adjustRightInd w:val="0"/>
        <w:spacing w:line="360" w:lineRule="auto"/>
        <w:ind w:firstLineChars="200" w:firstLine="640"/>
        <w:jc w:val="left"/>
        <w:rPr>
          <w:rFonts w:ascii="黑体" w:eastAsia="黑体"/>
          <w:color w:val="000000" w:themeColor="text1"/>
          <w:sz w:val="32"/>
          <w:szCs w:val="32"/>
        </w:rPr>
      </w:pPr>
      <w:r w:rsidRPr="004135E8">
        <w:rPr>
          <w:rFonts w:ascii="黑体" w:eastAsia="黑体" w:hint="eastAsia"/>
          <w:color w:val="000000" w:themeColor="text1"/>
          <w:sz w:val="32"/>
          <w:szCs w:val="32"/>
        </w:rPr>
        <w:t>十、名词解释</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1.财政拨款收入：指市级财政当年拨付的资金。</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2.事业收入：指事业单位开展专业业务活动及辅助活动所取得的收入。</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3.经营收入：指事业单位在专业业务活动及其辅助活动之外开展非独立核算经营活动取得的收入。</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4.其他收入：指除上述“财政拨款收入”、“事业收入”、“经营收入”等以外的收入。</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5.用事业基金弥补收支差额：指事业单位在当年的“财政拨款收入”、“事业收入”、“经营收入”、“其他收入”不足以安排当年支出的情况下，使用以前年度积累的事业基金。</w:t>
      </w:r>
    </w:p>
    <w:p w:rsidR="003875BA" w:rsidRPr="004135E8" w:rsidRDefault="003875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6.年初结转和结余：指以前年度尚未完成、结转到本年按有关规定继续使用的资金。</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7</w:t>
      </w:r>
      <w:r w:rsidRPr="004135E8">
        <w:rPr>
          <w:rFonts w:ascii="仿宋_GB2312" w:eastAsia="仿宋_GB2312" w:hint="eastAsia"/>
          <w:color w:val="000000" w:themeColor="text1"/>
          <w:sz w:val="32"/>
          <w:szCs w:val="32"/>
        </w:rPr>
        <w:tab/>
        <w:t>.一般公共服务支出（类）政府办公厅（室）及相关机构事务（款）行政运行（项）：反映行政单位的基本支出。</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8</w:t>
      </w:r>
      <w:r w:rsidRPr="004135E8">
        <w:rPr>
          <w:rFonts w:ascii="仿宋_GB2312" w:eastAsia="仿宋_GB2312" w:hint="eastAsia"/>
          <w:color w:val="000000" w:themeColor="text1"/>
          <w:sz w:val="32"/>
          <w:szCs w:val="32"/>
        </w:rPr>
        <w:tab/>
        <w:t>.一般公共服务支出（类）政府办公厅（室）及相关机构事务（款）一般行政管理事务（项）：反映行政单位未设置项级科目的其他项目支出。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9</w:t>
      </w:r>
      <w:r w:rsidR="003875BA" w:rsidRPr="004135E8">
        <w:rPr>
          <w:rFonts w:ascii="仿宋_GB2312" w:eastAsia="仿宋_GB2312" w:hint="eastAsia"/>
          <w:color w:val="000000" w:themeColor="text1"/>
          <w:sz w:val="32"/>
          <w:szCs w:val="32"/>
        </w:rPr>
        <w:t>.一般公共服务支出（类）财政事务（款）事业运行（项）</w:t>
      </w:r>
    </w:p>
    <w:p w:rsidR="003875BA" w:rsidRPr="004135E8" w:rsidRDefault="003875BA" w:rsidP="003875BA">
      <w:pPr>
        <w:spacing w:line="360" w:lineRule="auto"/>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反映事业单位的基本支出。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lastRenderedPageBreak/>
        <w:t>10</w:t>
      </w:r>
      <w:r w:rsidR="003875BA" w:rsidRPr="004135E8">
        <w:rPr>
          <w:rFonts w:ascii="仿宋_GB2312" w:eastAsia="仿宋_GB2312" w:hint="eastAsia"/>
          <w:color w:val="000000" w:themeColor="text1"/>
          <w:sz w:val="32"/>
          <w:szCs w:val="32"/>
        </w:rPr>
        <w:t>.一般公共服务支出（类）</w:t>
      </w:r>
      <w:r w:rsidR="00076D00" w:rsidRPr="004135E8">
        <w:rPr>
          <w:rFonts w:ascii="仿宋_GB2312" w:eastAsia="仿宋_GB2312" w:hint="eastAsia"/>
          <w:color w:val="000000" w:themeColor="text1"/>
          <w:sz w:val="32"/>
          <w:szCs w:val="32"/>
        </w:rPr>
        <w:t>人力资源事务</w:t>
      </w:r>
      <w:r w:rsidR="003875BA" w:rsidRPr="004135E8">
        <w:rPr>
          <w:rFonts w:ascii="仿宋_GB2312" w:eastAsia="仿宋_GB2312" w:hint="eastAsia"/>
          <w:color w:val="000000" w:themeColor="text1"/>
          <w:sz w:val="32"/>
          <w:szCs w:val="32"/>
        </w:rPr>
        <w:t>（款）</w:t>
      </w:r>
      <w:r w:rsidR="00076D00" w:rsidRPr="004135E8">
        <w:rPr>
          <w:rFonts w:ascii="仿宋_GB2312" w:eastAsia="仿宋_GB2312" w:hint="eastAsia"/>
          <w:color w:val="000000" w:themeColor="text1"/>
          <w:sz w:val="32"/>
          <w:szCs w:val="32"/>
        </w:rPr>
        <w:t>其他人力资源事务支出</w:t>
      </w:r>
      <w:r w:rsidR="003875BA" w:rsidRPr="004135E8">
        <w:rPr>
          <w:rFonts w:ascii="仿宋_GB2312" w:eastAsia="仿宋_GB2312" w:hint="eastAsia"/>
          <w:color w:val="000000" w:themeColor="text1"/>
          <w:sz w:val="32"/>
          <w:szCs w:val="32"/>
        </w:rPr>
        <w:t>（项）：</w:t>
      </w:r>
      <w:r w:rsidR="00076D00" w:rsidRPr="004135E8">
        <w:rPr>
          <w:rFonts w:ascii="仿宋_GB2312" w:eastAsia="仿宋_GB2312" w:hint="eastAsia"/>
          <w:color w:val="000000" w:themeColor="text1"/>
          <w:sz w:val="32"/>
          <w:szCs w:val="32"/>
        </w:rPr>
        <w:t>反映除上述项目以外其他人力资源事务方面的支出。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11</w:t>
      </w:r>
      <w:r w:rsidR="003875BA" w:rsidRPr="004135E8">
        <w:rPr>
          <w:rFonts w:ascii="仿宋_GB2312" w:eastAsia="仿宋_GB2312" w:hint="eastAsia"/>
          <w:color w:val="000000" w:themeColor="text1"/>
          <w:sz w:val="32"/>
          <w:szCs w:val="32"/>
        </w:rPr>
        <w:t>.文化体育与传媒支出</w:t>
      </w:r>
      <w:r w:rsidR="003875BA" w:rsidRPr="004135E8">
        <w:rPr>
          <w:rFonts w:ascii="仿宋_GB2312" w:eastAsia="仿宋_GB2312" w:hint="eastAsia"/>
          <w:color w:val="000000" w:themeColor="text1"/>
          <w:sz w:val="32"/>
          <w:szCs w:val="32"/>
        </w:rPr>
        <w:tab/>
        <w:t>（类）文化</w:t>
      </w:r>
      <w:r w:rsidR="003875BA" w:rsidRPr="004135E8">
        <w:rPr>
          <w:rFonts w:ascii="仿宋_GB2312" w:eastAsia="仿宋_GB2312" w:hint="eastAsia"/>
          <w:color w:val="000000" w:themeColor="text1"/>
          <w:sz w:val="32"/>
          <w:szCs w:val="32"/>
        </w:rPr>
        <w:tab/>
        <w:t>（款）群众文化（项）：反映群众文化方面的支出。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12</w:t>
      </w:r>
      <w:r w:rsidR="003875BA" w:rsidRPr="004135E8">
        <w:rPr>
          <w:rFonts w:ascii="仿宋_GB2312" w:eastAsia="仿宋_GB2312" w:hint="eastAsia"/>
          <w:color w:val="000000" w:themeColor="text1"/>
          <w:sz w:val="32"/>
          <w:szCs w:val="32"/>
        </w:rPr>
        <w:t>.文化体育与传媒支出</w:t>
      </w:r>
      <w:r w:rsidR="003875BA" w:rsidRPr="004135E8">
        <w:rPr>
          <w:rFonts w:ascii="仿宋_GB2312" w:eastAsia="仿宋_GB2312" w:hint="eastAsia"/>
          <w:color w:val="000000" w:themeColor="text1"/>
          <w:sz w:val="32"/>
          <w:szCs w:val="32"/>
        </w:rPr>
        <w:tab/>
        <w:t>（类）文化</w:t>
      </w:r>
      <w:r w:rsidR="003875BA" w:rsidRPr="004135E8">
        <w:rPr>
          <w:rFonts w:ascii="仿宋_GB2312" w:eastAsia="仿宋_GB2312" w:hint="eastAsia"/>
          <w:color w:val="000000" w:themeColor="text1"/>
          <w:sz w:val="32"/>
          <w:szCs w:val="32"/>
        </w:rPr>
        <w:tab/>
        <w:t>（款）其他文化支出（项）：反映除已列款项外的其他文化方面支出。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13</w:t>
      </w:r>
      <w:r w:rsidR="003875BA" w:rsidRPr="004135E8">
        <w:rPr>
          <w:rFonts w:ascii="仿宋_GB2312" w:eastAsia="仿宋_GB2312" w:hint="eastAsia"/>
          <w:color w:val="000000" w:themeColor="text1"/>
          <w:sz w:val="32"/>
          <w:szCs w:val="32"/>
        </w:rPr>
        <w:t>.文化体育与传媒支出</w:t>
      </w:r>
      <w:r w:rsidR="003875BA" w:rsidRPr="004135E8">
        <w:rPr>
          <w:rFonts w:ascii="仿宋_GB2312" w:eastAsia="仿宋_GB2312" w:hint="eastAsia"/>
          <w:color w:val="000000" w:themeColor="text1"/>
          <w:sz w:val="32"/>
          <w:szCs w:val="32"/>
        </w:rPr>
        <w:tab/>
        <w:t>（类）其他文化体育与传媒支出（款）其他文化体育与传媒支出</w:t>
      </w:r>
      <w:r w:rsidR="003875BA" w:rsidRPr="004135E8">
        <w:rPr>
          <w:rFonts w:ascii="仿宋_GB2312" w:eastAsia="仿宋_GB2312" w:hint="eastAsia"/>
          <w:color w:val="000000" w:themeColor="text1"/>
          <w:sz w:val="32"/>
          <w:szCs w:val="32"/>
        </w:rPr>
        <w:tab/>
        <w:t>（项）：反映除已列款项外的其他文化体育与传媒支出。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14</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（类）人力资源和社会保障事务（款）劳动保障监察</w:t>
      </w:r>
      <w:r w:rsidR="003875BA" w:rsidRPr="004135E8">
        <w:rPr>
          <w:rFonts w:ascii="仿宋_GB2312" w:eastAsia="仿宋_GB2312" w:hint="eastAsia"/>
          <w:color w:val="000000" w:themeColor="text1"/>
          <w:sz w:val="32"/>
          <w:szCs w:val="32"/>
        </w:rPr>
        <w:tab/>
        <w:t>（项）：反映劳动保障监察支出。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15</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（类）民政管理事务</w:t>
      </w:r>
      <w:r w:rsidR="003875BA" w:rsidRPr="004135E8">
        <w:rPr>
          <w:rFonts w:ascii="仿宋_GB2312" w:eastAsia="仿宋_GB2312" w:hint="eastAsia"/>
          <w:color w:val="000000" w:themeColor="text1"/>
          <w:sz w:val="32"/>
          <w:szCs w:val="32"/>
        </w:rPr>
        <w:tab/>
        <w:t>（款）基层政权和社区建设（项）：反映开展村民自治、村务公开等基层政权和社区建设工作的支出。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16</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（类）行政事业单位离退休（款）未归口的行政事业单位离退休</w:t>
      </w:r>
      <w:r w:rsidR="003875BA" w:rsidRPr="004135E8">
        <w:rPr>
          <w:rFonts w:ascii="仿宋_GB2312" w:eastAsia="仿宋_GB2312" w:hint="eastAsia"/>
          <w:color w:val="000000" w:themeColor="text1"/>
          <w:sz w:val="32"/>
          <w:szCs w:val="32"/>
        </w:rPr>
        <w:tab/>
        <w:t>（项）：归口的行政事业单位开支的离退休费。</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17</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（类）行政事业单位离退休（款）机关事业单位基本养老保险缴费支出（项）：反映机关事业单位实施养老保险制度由单位缴纳的基本养老保险费支出。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lastRenderedPageBreak/>
        <w:t>18</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（类）抚恤</w:t>
      </w:r>
      <w:r w:rsidR="003875BA" w:rsidRPr="004135E8">
        <w:rPr>
          <w:rFonts w:ascii="仿宋_GB2312" w:eastAsia="仿宋_GB2312" w:hint="eastAsia"/>
          <w:color w:val="000000" w:themeColor="text1"/>
          <w:sz w:val="32"/>
          <w:szCs w:val="32"/>
        </w:rPr>
        <w:tab/>
        <w:t>（款）</w:t>
      </w:r>
      <w:r w:rsidR="00076D00" w:rsidRPr="004135E8">
        <w:rPr>
          <w:rFonts w:ascii="仿宋_GB2312" w:eastAsia="仿宋_GB2312" w:hint="eastAsia"/>
          <w:color w:val="000000" w:themeColor="text1"/>
          <w:sz w:val="32"/>
          <w:szCs w:val="32"/>
        </w:rPr>
        <w:t>其他优抚支出</w:t>
      </w:r>
      <w:r w:rsidR="003875BA" w:rsidRPr="004135E8">
        <w:rPr>
          <w:rFonts w:ascii="仿宋_GB2312" w:eastAsia="仿宋_GB2312" w:hint="eastAsia"/>
          <w:color w:val="000000" w:themeColor="text1"/>
          <w:sz w:val="32"/>
          <w:szCs w:val="32"/>
        </w:rPr>
        <w:t>（项）：</w:t>
      </w:r>
      <w:r w:rsidR="00076D00" w:rsidRPr="004135E8">
        <w:rPr>
          <w:rFonts w:ascii="仿宋_GB2312" w:eastAsia="仿宋_GB2312" w:hint="eastAsia"/>
          <w:color w:val="000000" w:themeColor="text1"/>
          <w:sz w:val="32"/>
          <w:szCs w:val="32"/>
        </w:rPr>
        <w:t>反映除上述项目以外其他用于优抚方面的支出。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19</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（类）抚恤</w:t>
      </w:r>
      <w:r w:rsidR="003875BA" w:rsidRPr="004135E8">
        <w:rPr>
          <w:rFonts w:ascii="仿宋_GB2312" w:eastAsia="仿宋_GB2312" w:hint="eastAsia"/>
          <w:color w:val="000000" w:themeColor="text1"/>
          <w:sz w:val="32"/>
          <w:szCs w:val="32"/>
        </w:rPr>
        <w:tab/>
        <w:t>（款）在乡复员、退伍军人生活补助（项）：反映在乡退伍红军老战士、1954年10月31日前入伍的在乡复员军人、按规定办理带病回乡手续的退伍军人生活补助。</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20</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（类）抚恤</w:t>
      </w:r>
      <w:r w:rsidR="003875BA" w:rsidRPr="004135E8">
        <w:rPr>
          <w:rFonts w:ascii="仿宋_GB2312" w:eastAsia="仿宋_GB2312" w:hint="eastAsia"/>
          <w:color w:val="000000" w:themeColor="text1"/>
          <w:sz w:val="32"/>
          <w:szCs w:val="32"/>
        </w:rPr>
        <w:tab/>
        <w:t>（款）其他优抚支出（项）：反映除已列款项外其他其他优抚支出。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21</w:t>
      </w:r>
      <w:r w:rsidR="003875BA" w:rsidRPr="004135E8">
        <w:rPr>
          <w:rFonts w:ascii="仿宋_GB2312" w:eastAsia="仿宋_GB2312" w:hint="eastAsia"/>
          <w:color w:val="000000" w:themeColor="text1"/>
          <w:sz w:val="32"/>
          <w:szCs w:val="32"/>
        </w:rPr>
        <w:t>.社会保障和就业支出</w:t>
      </w:r>
      <w:r w:rsidR="003875BA" w:rsidRPr="004135E8">
        <w:rPr>
          <w:rFonts w:ascii="仿宋_GB2312" w:eastAsia="仿宋_GB2312" w:hint="eastAsia"/>
          <w:color w:val="000000" w:themeColor="text1"/>
          <w:sz w:val="32"/>
          <w:szCs w:val="32"/>
        </w:rPr>
        <w:tab/>
        <w:t>（类）自然灾害生活救助（款）中央自然灾害生活补助（项）：反映中央预算对遭受特大自然灾害地区的地方政府在安排受灾群众吃、穿、住和抢救、转移、安置、治病等经费发生困难时给予的专项补助，以及为抗御特大自然灾害而设立的中央救灾物资储备资金。</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w:t>
      </w:r>
      <w:r w:rsidR="00DF1BBA" w:rsidRPr="004135E8">
        <w:rPr>
          <w:rFonts w:ascii="仿宋_GB2312" w:eastAsia="仿宋_GB2312" w:hint="eastAsia"/>
          <w:color w:val="000000" w:themeColor="text1"/>
          <w:sz w:val="32"/>
          <w:szCs w:val="32"/>
        </w:rPr>
        <w:t>2</w:t>
      </w:r>
      <w:r w:rsidRPr="004135E8">
        <w:rPr>
          <w:rFonts w:ascii="仿宋_GB2312" w:eastAsia="仿宋_GB2312" w:hint="eastAsia"/>
          <w:color w:val="000000" w:themeColor="text1"/>
          <w:sz w:val="32"/>
          <w:szCs w:val="32"/>
        </w:rPr>
        <w:t>.医疗卫生与计划生育支出（类）医疗保障（款）行政单位医疗保障（项）：反映财政部门集中安排的行政单位基本医疗保险缴费经费等。</w:t>
      </w:r>
    </w:p>
    <w:p w:rsidR="00282BC2"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23</w:t>
      </w:r>
      <w:r w:rsidR="00B22A44" w:rsidRPr="004135E8">
        <w:rPr>
          <w:rFonts w:ascii="仿宋_GB2312" w:eastAsia="仿宋_GB2312" w:hint="eastAsia"/>
          <w:color w:val="000000" w:themeColor="text1"/>
          <w:sz w:val="32"/>
          <w:szCs w:val="32"/>
        </w:rPr>
        <w:t>.节能环保支出（类）污染防治（款）其他污染防治支出（项）:反映除上述项目以外其他用于污染防治方面的支出。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24</w:t>
      </w:r>
      <w:r w:rsidR="003875BA" w:rsidRPr="004135E8">
        <w:rPr>
          <w:rFonts w:ascii="仿宋_GB2312" w:eastAsia="仿宋_GB2312" w:hint="eastAsia"/>
          <w:color w:val="000000" w:themeColor="text1"/>
          <w:sz w:val="32"/>
          <w:szCs w:val="32"/>
        </w:rPr>
        <w:t>.城乡社区支出（类）</w:t>
      </w:r>
      <w:r w:rsidR="003875BA" w:rsidRPr="004135E8">
        <w:rPr>
          <w:rFonts w:ascii="仿宋_GB2312" w:eastAsia="仿宋_GB2312" w:hint="eastAsia"/>
          <w:color w:val="000000" w:themeColor="text1"/>
          <w:sz w:val="32"/>
          <w:szCs w:val="32"/>
        </w:rPr>
        <w:tab/>
      </w:r>
      <w:r w:rsidR="00A93AA5" w:rsidRPr="004135E8">
        <w:rPr>
          <w:rFonts w:ascii="仿宋_GB2312" w:eastAsia="仿宋_GB2312" w:hint="eastAsia"/>
          <w:color w:val="000000" w:themeColor="text1"/>
          <w:sz w:val="32"/>
          <w:szCs w:val="32"/>
        </w:rPr>
        <w:t>城乡社区环境卫生</w:t>
      </w:r>
      <w:r w:rsidR="003875BA" w:rsidRPr="004135E8">
        <w:rPr>
          <w:rFonts w:ascii="仿宋_GB2312" w:eastAsia="仿宋_GB2312" w:hint="eastAsia"/>
          <w:color w:val="000000" w:themeColor="text1"/>
          <w:sz w:val="32"/>
          <w:szCs w:val="32"/>
        </w:rPr>
        <w:t>（款）</w:t>
      </w:r>
      <w:r w:rsidR="00A93AA5" w:rsidRPr="004135E8">
        <w:rPr>
          <w:rFonts w:ascii="仿宋_GB2312" w:eastAsia="仿宋_GB2312" w:hint="eastAsia"/>
          <w:color w:val="000000" w:themeColor="text1"/>
          <w:sz w:val="32"/>
          <w:szCs w:val="32"/>
        </w:rPr>
        <w:t>城乡社区环境卫生</w:t>
      </w:r>
      <w:r w:rsidR="003875BA" w:rsidRPr="004135E8">
        <w:rPr>
          <w:rFonts w:ascii="仿宋_GB2312" w:eastAsia="仿宋_GB2312" w:hint="eastAsia"/>
          <w:color w:val="000000" w:themeColor="text1"/>
          <w:sz w:val="32"/>
          <w:szCs w:val="32"/>
        </w:rPr>
        <w:t>（项）：</w:t>
      </w:r>
      <w:r w:rsidR="00A93AA5" w:rsidRPr="004135E8">
        <w:rPr>
          <w:rFonts w:ascii="仿宋_GB2312" w:eastAsia="仿宋_GB2312" w:hint="eastAsia"/>
          <w:color w:val="000000" w:themeColor="text1"/>
          <w:sz w:val="32"/>
          <w:szCs w:val="32"/>
        </w:rPr>
        <w:t>反映城乡社区道路清扫、垃圾清运与处理、公厕建设与维护、园林绿化等方面支出。</w:t>
      </w:r>
    </w:p>
    <w:p w:rsidR="00A93AA5" w:rsidRPr="004135E8" w:rsidRDefault="00DF1BBA" w:rsidP="00A93AA5">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lastRenderedPageBreak/>
        <w:t>25</w:t>
      </w:r>
      <w:r w:rsidR="00A93AA5" w:rsidRPr="004135E8">
        <w:rPr>
          <w:rFonts w:ascii="仿宋_GB2312" w:eastAsia="仿宋_GB2312" w:hint="eastAsia"/>
          <w:color w:val="000000" w:themeColor="text1"/>
          <w:sz w:val="32"/>
          <w:szCs w:val="32"/>
        </w:rPr>
        <w:t>. 城乡社区支出（类）</w:t>
      </w:r>
      <w:r w:rsidR="00A93AA5" w:rsidRPr="004135E8">
        <w:rPr>
          <w:rFonts w:ascii="仿宋_GB2312" w:eastAsia="仿宋_GB2312" w:hint="eastAsia"/>
          <w:color w:val="000000" w:themeColor="text1"/>
          <w:sz w:val="32"/>
          <w:szCs w:val="32"/>
        </w:rPr>
        <w:tab/>
        <w:t>其他城乡社区支出（款）其他城乡社区支出（项）：反映除上述项目以外其他用于城乡社区方面的支出。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26</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w:t>
      </w:r>
      <w:r w:rsidR="003875BA" w:rsidRPr="004135E8">
        <w:rPr>
          <w:rFonts w:ascii="仿宋_GB2312" w:eastAsia="仿宋_GB2312" w:hint="eastAsia"/>
          <w:color w:val="000000" w:themeColor="text1"/>
          <w:sz w:val="32"/>
          <w:szCs w:val="32"/>
        </w:rPr>
        <w:tab/>
        <w:t>（款）事业运行（项）：反映用于农业事业单位的基本支出。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27</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（类）农业（款）农村道路建设（项）：反映用于农村公路、乡村道路建设方面的支出。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28</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w:t>
      </w:r>
      <w:r w:rsidR="003875BA" w:rsidRPr="004135E8">
        <w:rPr>
          <w:rFonts w:ascii="仿宋_GB2312" w:eastAsia="仿宋_GB2312" w:hint="eastAsia"/>
          <w:color w:val="000000" w:themeColor="text1"/>
          <w:sz w:val="32"/>
          <w:szCs w:val="32"/>
        </w:rPr>
        <w:tab/>
        <w:t>（款）对高校毕业生到基层任职补助（项）：反映对高校毕业生到基层任职补助支出。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29</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（类）农业</w:t>
      </w:r>
      <w:r w:rsidR="003875BA" w:rsidRPr="004135E8">
        <w:rPr>
          <w:rFonts w:ascii="仿宋_GB2312" w:eastAsia="仿宋_GB2312" w:hint="eastAsia"/>
          <w:color w:val="000000" w:themeColor="text1"/>
          <w:sz w:val="32"/>
          <w:szCs w:val="32"/>
        </w:rPr>
        <w:tab/>
        <w:t>（款）其他农业支出</w:t>
      </w:r>
      <w:r w:rsidR="003875BA" w:rsidRPr="004135E8">
        <w:rPr>
          <w:rFonts w:ascii="仿宋_GB2312" w:eastAsia="仿宋_GB2312" w:hint="eastAsia"/>
          <w:color w:val="000000" w:themeColor="text1"/>
          <w:sz w:val="32"/>
          <w:szCs w:val="32"/>
        </w:rPr>
        <w:tab/>
        <w:t>（项）：反映除上述项目以外其他用于农业方面的支出。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30</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（类）扶贫</w:t>
      </w:r>
      <w:r w:rsidR="003875BA" w:rsidRPr="004135E8">
        <w:rPr>
          <w:rFonts w:ascii="仿宋_GB2312" w:eastAsia="仿宋_GB2312" w:hint="eastAsia"/>
          <w:color w:val="000000" w:themeColor="text1"/>
          <w:sz w:val="32"/>
          <w:szCs w:val="32"/>
        </w:rPr>
        <w:tab/>
        <w:t>（款）其他扶贫支出</w:t>
      </w:r>
      <w:r w:rsidR="003875BA" w:rsidRPr="004135E8">
        <w:rPr>
          <w:rFonts w:ascii="仿宋_GB2312" w:eastAsia="仿宋_GB2312" w:hint="eastAsia"/>
          <w:color w:val="000000" w:themeColor="text1"/>
          <w:sz w:val="32"/>
          <w:szCs w:val="32"/>
        </w:rPr>
        <w:tab/>
        <w:t>（项）：反映上述项目以外其他用于扶贫方面的支出。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31</w:t>
      </w:r>
      <w:r w:rsidR="003875BA" w:rsidRPr="004135E8">
        <w:rPr>
          <w:rFonts w:ascii="仿宋_GB2312" w:eastAsia="仿宋_GB2312" w:hint="eastAsia"/>
          <w:color w:val="000000" w:themeColor="text1"/>
          <w:sz w:val="32"/>
          <w:szCs w:val="32"/>
        </w:rPr>
        <w:t>.农林水支出</w:t>
      </w:r>
      <w:r w:rsidR="003875BA" w:rsidRPr="004135E8">
        <w:rPr>
          <w:rFonts w:ascii="仿宋_GB2312" w:eastAsia="仿宋_GB2312" w:hint="eastAsia"/>
          <w:color w:val="000000" w:themeColor="text1"/>
          <w:sz w:val="32"/>
          <w:szCs w:val="32"/>
        </w:rPr>
        <w:tab/>
        <w:t>（类）农村综合改革</w:t>
      </w:r>
      <w:r w:rsidR="003875BA" w:rsidRPr="004135E8">
        <w:rPr>
          <w:rFonts w:ascii="仿宋_GB2312" w:eastAsia="仿宋_GB2312" w:hint="eastAsia"/>
          <w:color w:val="000000" w:themeColor="text1"/>
          <w:sz w:val="32"/>
          <w:szCs w:val="32"/>
        </w:rPr>
        <w:tab/>
        <w:t>（款）对村级一事一议的补助（项）：反映各级农村税费改革后对村级公益事业建设一事一议的补助支出。</w:t>
      </w:r>
    </w:p>
    <w:p w:rsidR="003875BA" w:rsidRPr="004135E8" w:rsidRDefault="003875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w:t>
      </w:r>
      <w:r w:rsidR="00DF1BBA" w:rsidRPr="004135E8">
        <w:rPr>
          <w:rFonts w:ascii="仿宋_GB2312" w:eastAsia="仿宋_GB2312" w:hint="eastAsia"/>
          <w:color w:val="000000" w:themeColor="text1"/>
          <w:sz w:val="32"/>
          <w:szCs w:val="32"/>
        </w:rPr>
        <w:t>2</w:t>
      </w:r>
      <w:r w:rsidRPr="004135E8">
        <w:rPr>
          <w:rFonts w:ascii="仿宋_GB2312" w:eastAsia="仿宋_GB2312" w:hint="eastAsia"/>
          <w:color w:val="000000" w:themeColor="text1"/>
          <w:sz w:val="32"/>
          <w:szCs w:val="32"/>
        </w:rPr>
        <w:t>.农林水支出</w:t>
      </w:r>
      <w:r w:rsidRPr="004135E8">
        <w:rPr>
          <w:rFonts w:ascii="仿宋_GB2312" w:eastAsia="仿宋_GB2312" w:hint="eastAsia"/>
          <w:color w:val="000000" w:themeColor="text1"/>
          <w:sz w:val="32"/>
          <w:szCs w:val="32"/>
        </w:rPr>
        <w:tab/>
        <w:t>（类）农村综合改革</w:t>
      </w:r>
      <w:r w:rsidRPr="004135E8">
        <w:rPr>
          <w:rFonts w:ascii="仿宋_GB2312" w:eastAsia="仿宋_GB2312" w:hint="eastAsia"/>
          <w:color w:val="000000" w:themeColor="text1"/>
          <w:sz w:val="32"/>
          <w:szCs w:val="32"/>
        </w:rPr>
        <w:tab/>
        <w:t>（款）对村民委员会和村党支部的补助（项）：反映各级财政对村民委员会和村党支部的补助支出，以及支持建立县级基本财力保障机制安排的村级组织运转奖补资金。</w:t>
      </w:r>
    </w:p>
    <w:p w:rsidR="00841983" w:rsidRPr="004135E8" w:rsidRDefault="003875BA" w:rsidP="00841983">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w:t>
      </w:r>
      <w:r w:rsidR="00DF1BBA" w:rsidRPr="004135E8">
        <w:rPr>
          <w:rFonts w:ascii="仿宋_GB2312" w:eastAsia="仿宋_GB2312" w:hint="eastAsia"/>
          <w:color w:val="000000" w:themeColor="text1"/>
          <w:sz w:val="32"/>
          <w:szCs w:val="32"/>
        </w:rPr>
        <w:t>3</w:t>
      </w:r>
      <w:r w:rsidRPr="004135E8">
        <w:rPr>
          <w:rFonts w:ascii="仿宋_GB2312" w:eastAsia="仿宋_GB2312" w:hint="eastAsia"/>
          <w:color w:val="000000" w:themeColor="text1"/>
          <w:sz w:val="32"/>
          <w:szCs w:val="32"/>
        </w:rPr>
        <w:t>.农林水支出</w:t>
      </w:r>
      <w:r w:rsidRPr="004135E8">
        <w:rPr>
          <w:rFonts w:ascii="仿宋_GB2312" w:eastAsia="仿宋_GB2312" w:hint="eastAsia"/>
          <w:color w:val="000000" w:themeColor="text1"/>
          <w:sz w:val="32"/>
          <w:szCs w:val="32"/>
        </w:rPr>
        <w:tab/>
        <w:t>（类）农村综合改革</w:t>
      </w:r>
      <w:r w:rsidRPr="004135E8">
        <w:rPr>
          <w:rFonts w:ascii="仿宋_GB2312" w:eastAsia="仿宋_GB2312" w:hint="eastAsia"/>
          <w:color w:val="000000" w:themeColor="text1"/>
          <w:sz w:val="32"/>
          <w:szCs w:val="32"/>
        </w:rPr>
        <w:tab/>
        <w:t>（款）农村综合改革示</w:t>
      </w:r>
      <w:r w:rsidRPr="004135E8">
        <w:rPr>
          <w:rFonts w:ascii="仿宋_GB2312" w:eastAsia="仿宋_GB2312" w:hint="eastAsia"/>
          <w:color w:val="000000" w:themeColor="text1"/>
          <w:sz w:val="32"/>
          <w:szCs w:val="32"/>
        </w:rPr>
        <w:lastRenderedPageBreak/>
        <w:t>范试点补助</w:t>
      </w:r>
      <w:r w:rsidRPr="004135E8">
        <w:rPr>
          <w:rFonts w:ascii="仿宋_GB2312" w:eastAsia="仿宋_GB2312" w:hint="eastAsia"/>
          <w:color w:val="000000" w:themeColor="text1"/>
          <w:sz w:val="32"/>
          <w:szCs w:val="32"/>
        </w:rPr>
        <w:tab/>
        <w:t>（项）：反映各级财政对农村综合改革示范试点、新型农业社会化服务体系建设等补助支出。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34</w:t>
      </w:r>
      <w:r w:rsidR="003875BA" w:rsidRPr="004135E8">
        <w:rPr>
          <w:rFonts w:ascii="仿宋_GB2312" w:eastAsia="仿宋_GB2312" w:hint="eastAsia"/>
          <w:color w:val="000000" w:themeColor="text1"/>
          <w:sz w:val="32"/>
          <w:szCs w:val="32"/>
        </w:rPr>
        <w:t>.国土海洋气象等支出</w:t>
      </w:r>
      <w:r w:rsidR="003875BA" w:rsidRPr="004135E8">
        <w:rPr>
          <w:rFonts w:ascii="仿宋_GB2312" w:eastAsia="仿宋_GB2312" w:hint="eastAsia"/>
          <w:color w:val="000000" w:themeColor="text1"/>
          <w:sz w:val="32"/>
          <w:szCs w:val="32"/>
        </w:rPr>
        <w:tab/>
        <w:t>（类）国土资源事务</w:t>
      </w:r>
      <w:r w:rsidR="003875BA" w:rsidRPr="004135E8">
        <w:rPr>
          <w:rFonts w:ascii="仿宋_GB2312" w:eastAsia="仿宋_GB2312" w:hint="eastAsia"/>
          <w:color w:val="000000" w:themeColor="text1"/>
          <w:sz w:val="32"/>
          <w:szCs w:val="32"/>
        </w:rPr>
        <w:tab/>
        <w:t>（款）地质灾害防治（项）：反映地质灾害防治项目支出。</w:t>
      </w:r>
    </w:p>
    <w:p w:rsidR="003875BA" w:rsidRPr="004135E8" w:rsidRDefault="00DF1BBA" w:rsidP="003875BA">
      <w:pPr>
        <w:spacing w:line="360" w:lineRule="auto"/>
        <w:ind w:firstLineChars="200" w:firstLine="640"/>
        <w:jc w:val="left"/>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35</w:t>
      </w:r>
      <w:r w:rsidR="003875BA" w:rsidRPr="004135E8">
        <w:rPr>
          <w:rFonts w:ascii="仿宋_GB2312" w:eastAsia="仿宋_GB2312" w:hint="eastAsia"/>
          <w:color w:val="000000" w:themeColor="text1"/>
          <w:sz w:val="32"/>
          <w:szCs w:val="32"/>
        </w:rPr>
        <w:t>.住房保障支出（类）住房改革支出（款）住房公积金</w:t>
      </w:r>
      <w:r w:rsidR="003875BA" w:rsidRPr="004135E8">
        <w:rPr>
          <w:rFonts w:ascii="仿宋_GB2312" w:eastAsia="仿宋_GB2312" w:hint="eastAsia"/>
          <w:color w:val="000000" w:themeColor="text1"/>
          <w:sz w:val="32"/>
          <w:szCs w:val="32"/>
        </w:rPr>
        <w:tab/>
        <w:t>（项）：反映行政事业单位按人力资源和社会保障部、财政部规定的基本工资和津贴补贴以及规定比例为职工缴纳的住房公积金。</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36</w:t>
      </w:r>
      <w:r w:rsidR="003875BA" w:rsidRPr="004135E8">
        <w:rPr>
          <w:rFonts w:ascii="仿宋_GB2312" w:eastAsia="仿宋_GB2312" w:hint="eastAsia"/>
          <w:color w:val="000000" w:themeColor="text1"/>
          <w:sz w:val="32"/>
          <w:szCs w:val="32"/>
        </w:rPr>
        <w:t>.结余分配：指事业单位按规定提取的职工福利基金、事业基金和缴纳的所得税，以及建设单位按规定应交回的基本建设竣工项目结余资金。</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37</w:t>
      </w:r>
      <w:r w:rsidR="003875BA" w:rsidRPr="004135E8">
        <w:rPr>
          <w:rFonts w:ascii="仿宋_GB2312" w:eastAsia="仿宋_GB2312" w:hint="eastAsia"/>
          <w:color w:val="000000" w:themeColor="text1"/>
          <w:sz w:val="32"/>
          <w:szCs w:val="32"/>
        </w:rPr>
        <w:t>.年末结转和结余：指本年度或以前年度预算安排、因客观条件发生变化无法按原计划实施，需延迟到以后年度按有关规定继续使用的资金。</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38</w:t>
      </w:r>
      <w:r w:rsidR="003875BA" w:rsidRPr="004135E8">
        <w:rPr>
          <w:rFonts w:ascii="仿宋_GB2312" w:eastAsia="仿宋_GB2312" w:hint="eastAsia"/>
          <w:color w:val="000000" w:themeColor="text1"/>
          <w:sz w:val="32"/>
          <w:szCs w:val="32"/>
        </w:rPr>
        <w:t>.基本支出：指为保障机构正常运转、完成日常工作任务而发生的人员支出和公用支出。</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39</w:t>
      </w:r>
      <w:r w:rsidR="003875BA" w:rsidRPr="004135E8">
        <w:rPr>
          <w:rFonts w:ascii="仿宋_GB2312" w:eastAsia="仿宋_GB2312" w:hint="eastAsia"/>
          <w:color w:val="000000" w:themeColor="text1"/>
          <w:sz w:val="32"/>
          <w:szCs w:val="32"/>
        </w:rPr>
        <w:t>.项目支出：指在基本支出之外为完成特定行政任务和事业发展目标所发生的支出。</w:t>
      </w:r>
    </w:p>
    <w:p w:rsidR="003875BA" w:rsidRPr="004135E8" w:rsidRDefault="00DF1BBA" w:rsidP="003875BA">
      <w:pPr>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40</w:t>
      </w:r>
      <w:r w:rsidR="003875BA" w:rsidRPr="004135E8">
        <w:rPr>
          <w:rFonts w:ascii="仿宋_GB2312" w:eastAsia="仿宋_GB2312" w:hint="eastAsia"/>
          <w:color w:val="000000" w:themeColor="text1"/>
          <w:sz w:val="32"/>
          <w:szCs w:val="32"/>
        </w:rPr>
        <w:t>.经营支出：指事业单位在专业业务活动及其辅助活动之外开展非独立核算经营活动发生的支出。</w:t>
      </w:r>
    </w:p>
    <w:p w:rsidR="003875BA" w:rsidRPr="004135E8" w:rsidRDefault="00DF1B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41</w:t>
      </w:r>
      <w:r w:rsidR="003875BA" w:rsidRPr="004135E8">
        <w:rPr>
          <w:rFonts w:ascii="仿宋_GB2312" w:eastAsia="仿宋_GB2312" w:hint="eastAsia"/>
          <w:color w:val="000000" w:themeColor="text1"/>
          <w:sz w:val="32"/>
          <w:szCs w:val="32"/>
        </w:rPr>
        <w:t>.“三公”经费：纳入省级财政预决算管理的“三公”经</w:t>
      </w:r>
      <w:r w:rsidR="003875BA" w:rsidRPr="004135E8">
        <w:rPr>
          <w:rFonts w:ascii="仿宋_GB2312" w:eastAsia="仿宋_GB2312" w:hint="eastAsia"/>
          <w:color w:val="000000" w:themeColor="text1"/>
          <w:sz w:val="32"/>
          <w:szCs w:val="32"/>
        </w:rPr>
        <w:lastRenderedPageBreak/>
        <w:t>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875BA" w:rsidRPr="004135E8" w:rsidRDefault="00DF1BBA" w:rsidP="003875BA">
      <w:pPr>
        <w:pStyle w:val="Default"/>
        <w:spacing w:line="360" w:lineRule="auto"/>
        <w:ind w:firstLineChars="200" w:firstLine="640"/>
        <w:rPr>
          <w:rFonts w:ascii="仿宋_GB2312" w:eastAsia="仿宋_GB2312"/>
          <w:color w:val="000000" w:themeColor="text1"/>
          <w:sz w:val="32"/>
          <w:szCs w:val="32"/>
        </w:rPr>
      </w:pPr>
      <w:r w:rsidRPr="004135E8">
        <w:rPr>
          <w:rFonts w:ascii="仿宋_GB2312" w:eastAsia="仿宋_GB2312" w:hint="eastAsia"/>
          <w:color w:val="000000" w:themeColor="text1"/>
          <w:sz w:val="32"/>
          <w:szCs w:val="32"/>
        </w:rPr>
        <w:t>42</w:t>
      </w:r>
      <w:r w:rsidR="003875BA" w:rsidRPr="004135E8">
        <w:rPr>
          <w:rFonts w:ascii="仿宋_GB2312" w:eastAsia="仿宋_GB2312" w:hint="eastAsia"/>
          <w:color w:val="000000" w:themeColor="text1"/>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875BA" w:rsidRPr="004135E8" w:rsidRDefault="003875BA" w:rsidP="003875BA">
      <w:pPr>
        <w:pStyle w:val="17"/>
        <w:spacing w:line="360" w:lineRule="auto"/>
        <w:rPr>
          <w:color w:val="000000" w:themeColor="text1"/>
        </w:rPr>
      </w:pPr>
      <w:r w:rsidRPr="004135E8">
        <w:rPr>
          <w:rFonts w:ascii="Times New Roman" w:hAnsi="Times New Roman"/>
          <w:color w:val="000000" w:themeColor="text1"/>
        </w:rPr>
        <w:br w:type="page"/>
      </w:r>
      <w:r w:rsidRPr="004135E8">
        <w:rPr>
          <w:rFonts w:hint="eastAsia"/>
          <w:color w:val="000000" w:themeColor="text1"/>
        </w:rPr>
        <w:lastRenderedPageBreak/>
        <w:t>附件1</w:t>
      </w:r>
    </w:p>
    <w:p w:rsidR="003875BA" w:rsidRPr="004135E8" w:rsidRDefault="003875BA" w:rsidP="006A23A6">
      <w:pPr>
        <w:pStyle w:val="A08"/>
        <w:spacing w:beforeLines="100" w:line="360" w:lineRule="auto"/>
        <w:rPr>
          <w:color w:val="000000" w:themeColor="text1"/>
        </w:rPr>
      </w:pPr>
      <w:r w:rsidRPr="004135E8">
        <w:rPr>
          <w:rFonts w:ascii="Times New Roman" w:hAnsi="Times New Roman" w:hint="eastAsia"/>
          <w:color w:val="000000" w:themeColor="text1"/>
        </w:rPr>
        <w:t>四川省乐山市峨眉山市双福镇人民政府</w:t>
      </w:r>
      <w:r w:rsidR="009E26DC">
        <w:rPr>
          <w:rFonts w:ascii="Times New Roman" w:hAnsi="Times New Roman"/>
          <w:color w:val="000000" w:themeColor="text1"/>
        </w:rPr>
        <w:t>2018</w:t>
      </w:r>
      <w:r w:rsidRPr="004135E8">
        <w:rPr>
          <w:rFonts w:ascii="Times New Roman" w:hAnsi="Times New Roman"/>
          <w:color w:val="000000" w:themeColor="text1"/>
        </w:rPr>
        <w:t>年部门决算公开表</w:t>
      </w:r>
    </w:p>
    <w:p w:rsidR="0072659A" w:rsidRPr="004135E8" w:rsidRDefault="0072659A" w:rsidP="0002154A">
      <w:pPr>
        <w:pStyle w:val="C01"/>
        <w:spacing w:line="240" w:lineRule="auto"/>
        <w:ind w:firstLineChars="0" w:firstLine="0"/>
        <w:jc w:val="left"/>
        <w:rPr>
          <w:color w:val="000000" w:themeColor="text1"/>
          <w:sz w:val="28"/>
        </w:rPr>
      </w:pP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1:[Z01] </w:t>
      </w:r>
      <w:r w:rsidRPr="004135E8">
        <w:rPr>
          <w:rFonts w:eastAsia="仿宋_GB2312" w:hint="eastAsia"/>
          <w:color w:val="000000" w:themeColor="text1"/>
          <w:sz w:val="28"/>
          <w:szCs w:val="32"/>
        </w:rPr>
        <w:t>收入支出决算总表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2:[Z01_1] </w:t>
      </w:r>
      <w:r w:rsidRPr="004135E8">
        <w:rPr>
          <w:rFonts w:eastAsia="仿宋_GB2312" w:hint="eastAsia"/>
          <w:color w:val="000000" w:themeColor="text1"/>
          <w:sz w:val="28"/>
          <w:szCs w:val="32"/>
        </w:rPr>
        <w:t>收入决算表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1-1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3:[Z01_2] </w:t>
      </w:r>
      <w:r w:rsidRPr="004135E8">
        <w:rPr>
          <w:rFonts w:eastAsia="仿宋_GB2312" w:hint="eastAsia"/>
          <w:color w:val="000000" w:themeColor="text1"/>
          <w:sz w:val="28"/>
          <w:szCs w:val="32"/>
        </w:rPr>
        <w:t>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1-2</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4:[Z02] </w:t>
      </w:r>
      <w:r w:rsidRPr="004135E8">
        <w:rPr>
          <w:rFonts w:eastAsia="仿宋_GB2312" w:hint="eastAsia"/>
          <w:color w:val="000000" w:themeColor="text1"/>
          <w:sz w:val="28"/>
          <w:szCs w:val="32"/>
        </w:rPr>
        <w:t>财政拨款收入支出决算总表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2</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5:[Z03] </w:t>
      </w:r>
      <w:r w:rsidRPr="004135E8">
        <w:rPr>
          <w:rFonts w:eastAsia="仿宋_GB2312" w:hint="eastAsia"/>
          <w:color w:val="000000" w:themeColor="text1"/>
          <w:sz w:val="28"/>
          <w:szCs w:val="32"/>
        </w:rPr>
        <w:t>财政拨款支出决算明细表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3</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6:[Z04] </w:t>
      </w:r>
      <w:r w:rsidRPr="004135E8">
        <w:rPr>
          <w:rFonts w:eastAsia="仿宋_GB2312" w:hint="eastAsia"/>
          <w:color w:val="000000" w:themeColor="text1"/>
          <w:sz w:val="28"/>
          <w:szCs w:val="32"/>
        </w:rPr>
        <w:t>一般公共预算财政拨款支出决算表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7:[Z04_1] </w:t>
      </w:r>
      <w:r w:rsidRPr="004135E8">
        <w:rPr>
          <w:rFonts w:eastAsia="仿宋_GB2312" w:hint="eastAsia"/>
          <w:color w:val="000000" w:themeColor="text1"/>
          <w:sz w:val="28"/>
          <w:szCs w:val="32"/>
        </w:rPr>
        <w:t>一般公共预算财政拨款支出决算明细表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4_1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8:[Z04_2] </w:t>
      </w:r>
      <w:r w:rsidRPr="004135E8">
        <w:rPr>
          <w:rFonts w:eastAsia="仿宋_GB2312" w:hint="eastAsia"/>
          <w:color w:val="000000" w:themeColor="text1"/>
          <w:sz w:val="28"/>
          <w:szCs w:val="32"/>
        </w:rPr>
        <w:t>一般公共预算财政拨款基本支出决算表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4-2</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9:[Z04_3] </w:t>
      </w:r>
      <w:r w:rsidRPr="004135E8">
        <w:rPr>
          <w:rFonts w:eastAsia="仿宋_GB2312" w:hint="eastAsia"/>
          <w:color w:val="000000" w:themeColor="text1"/>
          <w:sz w:val="28"/>
          <w:szCs w:val="32"/>
        </w:rPr>
        <w:t>一般公共预算财政拨款项目支出决算表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4_3</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10:[Z04_4] </w:t>
      </w:r>
      <w:r w:rsidRPr="004135E8">
        <w:rPr>
          <w:rFonts w:eastAsia="仿宋_GB2312" w:hint="eastAsia"/>
          <w:color w:val="000000" w:themeColor="text1"/>
          <w:sz w:val="28"/>
          <w:szCs w:val="32"/>
        </w:rPr>
        <w:t>一般公共预算财政拨款“三公”经费支出决算表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4_4</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11:[Z05] </w:t>
      </w:r>
      <w:r w:rsidRPr="004135E8">
        <w:rPr>
          <w:rFonts w:eastAsia="仿宋_GB2312" w:hint="eastAsia"/>
          <w:color w:val="000000" w:themeColor="text1"/>
          <w:sz w:val="28"/>
          <w:szCs w:val="32"/>
        </w:rPr>
        <w:t>政府性基金预算财政拨款收入支出决算表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5</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rFonts w:eastAsia="仿宋_GB2312"/>
          <w:color w:val="000000" w:themeColor="text1"/>
          <w:sz w:val="28"/>
          <w:szCs w:val="32"/>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 xml:space="preserve">12:[Z05_1] </w:t>
      </w:r>
      <w:r w:rsidRPr="004135E8">
        <w:rPr>
          <w:rFonts w:eastAsia="仿宋_GB2312" w:hint="eastAsia"/>
          <w:color w:val="000000" w:themeColor="text1"/>
          <w:sz w:val="28"/>
          <w:szCs w:val="32"/>
        </w:rPr>
        <w:t>政府性基金预算财政拨款“三公”经费支出决算表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5_1</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72659A" w:rsidRPr="004135E8" w:rsidRDefault="0072659A" w:rsidP="0072659A">
      <w:pPr>
        <w:jc w:val="left"/>
        <w:rPr>
          <w:color w:val="000000" w:themeColor="text1"/>
          <w:sz w:val="20"/>
        </w:rPr>
      </w:pP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13:[Z06]</w:t>
      </w:r>
      <w:r w:rsidRPr="004135E8">
        <w:rPr>
          <w:rFonts w:eastAsia="仿宋_GB2312" w:hint="eastAsia"/>
          <w:color w:val="000000" w:themeColor="text1"/>
          <w:sz w:val="28"/>
          <w:szCs w:val="32"/>
        </w:rPr>
        <w:t>国有资本经营预算支出决算表</w:t>
      </w:r>
      <w:r w:rsidRPr="004135E8">
        <w:rPr>
          <w:rFonts w:eastAsia="仿宋_GB2312" w:hint="eastAsia"/>
          <w:color w:val="000000" w:themeColor="text1"/>
          <w:sz w:val="28"/>
          <w:szCs w:val="32"/>
        </w:rPr>
        <w:t>(</w:t>
      </w:r>
      <w:r w:rsidRPr="004135E8">
        <w:rPr>
          <w:rFonts w:eastAsia="仿宋_GB2312" w:hint="eastAsia"/>
          <w:color w:val="000000" w:themeColor="text1"/>
          <w:sz w:val="28"/>
          <w:szCs w:val="32"/>
        </w:rPr>
        <w:t>财决公开</w:t>
      </w:r>
      <w:r w:rsidRPr="004135E8">
        <w:rPr>
          <w:rFonts w:eastAsia="仿宋_GB2312" w:hint="eastAsia"/>
          <w:color w:val="000000" w:themeColor="text1"/>
          <w:sz w:val="28"/>
          <w:szCs w:val="32"/>
        </w:rPr>
        <w:t>6</w:t>
      </w:r>
      <w:r w:rsidRPr="004135E8">
        <w:rPr>
          <w:rFonts w:eastAsia="仿宋_GB2312" w:hint="eastAsia"/>
          <w:color w:val="000000" w:themeColor="text1"/>
          <w:sz w:val="28"/>
          <w:szCs w:val="32"/>
        </w:rPr>
        <w:t>表</w:t>
      </w:r>
      <w:r w:rsidRPr="004135E8">
        <w:rPr>
          <w:rFonts w:eastAsia="仿宋_GB2312" w:hint="eastAsia"/>
          <w:color w:val="000000" w:themeColor="text1"/>
          <w:sz w:val="28"/>
          <w:szCs w:val="32"/>
        </w:rPr>
        <w:t>)</w:t>
      </w:r>
    </w:p>
    <w:p w:rsidR="003875BA" w:rsidRPr="004135E8" w:rsidRDefault="003875BA" w:rsidP="003875BA">
      <w:pPr>
        <w:spacing w:line="360" w:lineRule="auto"/>
        <w:rPr>
          <w:color w:val="000000" w:themeColor="text1"/>
        </w:rPr>
      </w:pPr>
    </w:p>
    <w:p w:rsidR="00983A8E" w:rsidRPr="004135E8" w:rsidRDefault="00983A8E">
      <w:pPr>
        <w:rPr>
          <w:color w:val="000000" w:themeColor="text1"/>
        </w:rPr>
      </w:pPr>
    </w:p>
    <w:sectPr w:rsidR="00983A8E" w:rsidRPr="004135E8" w:rsidSect="00396881">
      <w:headerReference w:type="even" r:id="rId13"/>
      <w:headerReference w:type="default" r:id="rId14"/>
      <w:footerReference w:type="even" r:id="rId15"/>
      <w:footerReference w:type="default" r:id="rId16"/>
      <w:pgSz w:w="11906" w:h="16838" w:code="9"/>
      <w:pgMar w:top="2041" w:right="1474" w:bottom="1474" w:left="1474" w:header="1134"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9EC" w:rsidRDefault="009309EC" w:rsidP="003875BA">
      <w:r>
        <w:separator/>
      </w:r>
    </w:p>
  </w:endnote>
  <w:endnote w:type="continuationSeparator" w:id="1">
    <w:p w:rsidR="009309EC" w:rsidRDefault="009309EC" w:rsidP="003875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81" w:rsidRDefault="00983A8E" w:rsidP="00396881">
    <w:pPr>
      <w:pStyle w:val="a4"/>
      <w:ind w:right="360" w:firstLineChars="101" w:firstLine="283"/>
    </w:pPr>
    <w:r w:rsidRPr="00B767A3">
      <w:rPr>
        <w:rFonts w:ascii="宋体" w:hAnsi="宋体" w:hint="eastAsia"/>
        <w:sz w:val="28"/>
        <w:szCs w:val="28"/>
      </w:rPr>
      <w:t xml:space="preserve">─ </w:t>
    </w:r>
    <w:r w:rsidR="00471140" w:rsidRPr="00B767A3">
      <w:rPr>
        <w:rFonts w:ascii="宋体" w:hAnsi="宋体"/>
        <w:sz w:val="28"/>
        <w:szCs w:val="28"/>
      </w:rPr>
      <w:fldChar w:fldCharType="begin"/>
    </w:r>
    <w:r w:rsidRPr="00B767A3">
      <w:rPr>
        <w:rFonts w:ascii="宋体" w:hAnsi="宋体"/>
        <w:sz w:val="28"/>
        <w:szCs w:val="28"/>
      </w:rPr>
      <w:instrText xml:space="preserve"> PAGE   \* MERGEFORMAT </w:instrText>
    </w:r>
    <w:r w:rsidR="00471140" w:rsidRPr="00B767A3">
      <w:rPr>
        <w:rFonts w:ascii="宋体" w:hAnsi="宋体"/>
        <w:sz w:val="28"/>
        <w:szCs w:val="28"/>
      </w:rPr>
      <w:fldChar w:fldCharType="separate"/>
    </w:r>
    <w:r w:rsidRPr="00713CA4">
      <w:rPr>
        <w:rFonts w:ascii="宋体" w:hAnsi="宋体"/>
        <w:noProof/>
        <w:sz w:val="28"/>
        <w:szCs w:val="28"/>
        <w:lang w:val="zh-CN"/>
      </w:rPr>
      <w:t>2</w:t>
    </w:r>
    <w:r w:rsidR="00471140" w:rsidRPr="00B767A3">
      <w:rPr>
        <w:rFonts w:ascii="宋体" w:hAnsi="宋体"/>
        <w:sz w:val="28"/>
        <w:szCs w:val="28"/>
      </w:rPr>
      <w:fldChar w:fldCharType="end"/>
    </w:r>
    <w:r w:rsidRPr="00B767A3">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81" w:rsidRPr="00B767A3" w:rsidRDefault="00983A8E" w:rsidP="00396881">
    <w:pPr>
      <w:pStyle w:val="a4"/>
      <w:ind w:rightChars="148" w:right="311"/>
      <w:jc w:val="right"/>
      <w:rPr>
        <w:rFonts w:ascii="宋体" w:hAnsi="宋体"/>
        <w:sz w:val="28"/>
        <w:szCs w:val="28"/>
      </w:rPr>
    </w:pPr>
    <w:r w:rsidRPr="00B767A3">
      <w:rPr>
        <w:rFonts w:ascii="宋体" w:hAnsi="宋体" w:hint="eastAsia"/>
        <w:sz w:val="28"/>
        <w:szCs w:val="28"/>
      </w:rPr>
      <w:t xml:space="preserve">─ </w:t>
    </w:r>
    <w:r w:rsidR="00471140" w:rsidRPr="00B767A3">
      <w:rPr>
        <w:rFonts w:ascii="宋体" w:hAnsi="宋体"/>
        <w:sz w:val="28"/>
        <w:szCs w:val="28"/>
      </w:rPr>
      <w:fldChar w:fldCharType="begin"/>
    </w:r>
    <w:r w:rsidRPr="00B767A3">
      <w:rPr>
        <w:rFonts w:ascii="宋体" w:hAnsi="宋体"/>
        <w:sz w:val="28"/>
        <w:szCs w:val="28"/>
      </w:rPr>
      <w:instrText xml:space="preserve"> PAGE   \* MERGEFORMAT </w:instrText>
    </w:r>
    <w:r w:rsidR="00471140" w:rsidRPr="00B767A3">
      <w:rPr>
        <w:rFonts w:ascii="宋体" w:hAnsi="宋体"/>
        <w:sz w:val="28"/>
        <w:szCs w:val="28"/>
      </w:rPr>
      <w:fldChar w:fldCharType="separate"/>
    </w:r>
    <w:r w:rsidR="006A23A6" w:rsidRPr="006A23A6">
      <w:rPr>
        <w:rFonts w:ascii="宋体" w:hAnsi="宋体"/>
        <w:noProof/>
        <w:sz w:val="28"/>
        <w:szCs w:val="28"/>
        <w:lang w:val="zh-CN"/>
      </w:rPr>
      <w:t>6</w:t>
    </w:r>
    <w:r w:rsidR="00471140" w:rsidRPr="00B767A3">
      <w:rPr>
        <w:rFonts w:ascii="宋体" w:hAnsi="宋体"/>
        <w:sz w:val="28"/>
        <w:szCs w:val="28"/>
      </w:rPr>
      <w:fldChar w:fldCharType="end"/>
    </w:r>
    <w:r w:rsidRPr="00B767A3">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9EC" w:rsidRDefault="009309EC" w:rsidP="003875BA">
      <w:r>
        <w:separator/>
      </w:r>
    </w:p>
  </w:footnote>
  <w:footnote w:type="continuationSeparator" w:id="1">
    <w:p w:rsidR="009309EC" w:rsidRDefault="009309EC" w:rsidP="003875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81" w:rsidRDefault="00396881" w:rsidP="00396881">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881" w:rsidRDefault="00396881" w:rsidP="00396881">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5BA"/>
    <w:rsid w:val="00003474"/>
    <w:rsid w:val="00006CD6"/>
    <w:rsid w:val="0002154A"/>
    <w:rsid w:val="00076D00"/>
    <w:rsid w:val="00087CB6"/>
    <w:rsid w:val="000E1770"/>
    <w:rsid w:val="00154E50"/>
    <w:rsid w:val="001573A7"/>
    <w:rsid w:val="00207402"/>
    <w:rsid w:val="00270496"/>
    <w:rsid w:val="00282BC2"/>
    <w:rsid w:val="002A716D"/>
    <w:rsid w:val="00317B8E"/>
    <w:rsid w:val="003347DF"/>
    <w:rsid w:val="003875BA"/>
    <w:rsid w:val="00393BC4"/>
    <w:rsid w:val="00394261"/>
    <w:rsid w:val="00396881"/>
    <w:rsid w:val="003A299C"/>
    <w:rsid w:val="003B0BB8"/>
    <w:rsid w:val="003C797D"/>
    <w:rsid w:val="004135E8"/>
    <w:rsid w:val="004213CB"/>
    <w:rsid w:val="004239A2"/>
    <w:rsid w:val="004542F3"/>
    <w:rsid w:val="00471140"/>
    <w:rsid w:val="00483BE8"/>
    <w:rsid w:val="0050501E"/>
    <w:rsid w:val="006A23A6"/>
    <w:rsid w:val="006B0A43"/>
    <w:rsid w:val="006E7FF6"/>
    <w:rsid w:val="00724501"/>
    <w:rsid w:val="0072659A"/>
    <w:rsid w:val="00732003"/>
    <w:rsid w:val="007953DB"/>
    <w:rsid w:val="00797F5C"/>
    <w:rsid w:val="007D6416"/>
    <w:rsid w:val="007E70A2"/>
    <w:rsid w:val="00841983"/>
    <w:rsid w:val="008C6318"/>
    <w:rsid w:val="008F6BDF"/>
    <w:rsid w:val="009309EC"/>
    <w:rsid w:val="009653C0"/>
    <w:rsid w:val="009734D0"/>
    <w:rsid w:val="00983A8E"/>
    <w:rsid w:val="009E26DC"/>
    <w:rsid w:val="009F29FE"/>
    <w:rsid w:val="00A21F4B"/>
    <w:rsid w:val="00A447EA"/>
    <w:rsid w:val="00A85276"/>
    <w:rsid w:val="00A93AA5"/>
    <w:rsid w:val="00A9581D"/>
    <w:rsid w:val="00AE6087"/>
    <w:rsid w:val="00B075E5"/>
    <w:rsid w:val="00B22A44"/>
    <w:rsid w:val="00B605E7"/>
    <w:rsid w:val="00B84BCA"/>
    <w:rsid w:val="00B974B8"/>
    <w:rsid w:val="00BE7545"/>
    <w:rsid w:val="00C8190D"/>
    <w:rsid w:val="00D21FA9"/>
    <w:rsid w:val="00D45CE2"/>
    <w:rsid w:val="00D65880"/>
    <w:rsid w:val="00D663D4"/>
    <w:rsid w:val="00D74B88"/>
    <w:rsid w:val="00DF1BBA"/>
    <w:rsid w:val="00F779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5B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75B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875BA"/>
    <w:rPr>
      <w:sz w:val="18"/>
      <w:szCs w:val="18"/>
    </w:rPr>
  </w:style>
  <w:style w:type="paragraph" w:styleId="a4">
    <w:name w:val="footer"/>
    <w:basedOn w:val="a"/>
    <w:link w:val="Char0"/>
    <w:uiPriority w:val="99"/>
    <w:unhideWhenUsed/>
    <w:rsid w:val="003875B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875BA"/>
    <w:rPr>
      <w:sz w:val="18"/>
      <w:szCs w:val="18"/>
    </w:rPr>
  </w:style>
  <w:style w:type="paragraph" w:customStyle="1" w:styleId="C01">
    <w:name w:val="〖C01〗正文"/>
    <w:basedOn w:val="a"/>
    <w:qFormat/>
    <w:rsid w:val="003875BA"/>
    <w:pPr>
      <w:topLinePunct/>
      <w:spacing w:line="600" w:lineRule="exact"/>
      <w:ind w:firstLineChars="200" w:firstLine="640"/>
    </w:pPr>
    <w:rPr>
      <w:rFonts w:ascii="仿宋_GB2312" w:eastAsia="仿宋_GB2312" w:hAnsi="Calibri"/>
      <w:sz w:val="32"/>
      <w:szCs w:val="32"/>
    </w:rPr>
  </w:style>
  <w:style w:type="paragraph" w:customStyle="1" w:styleId="A08">
    <w:name w:val="〖A08〗公文标题"/>
    <w:basedOn w:val="a"/>
    <w:next w:val="a"/>
    <w:qFormat/>
    <w:rsid w:val="003875BA"/>
    <w:pPr>
      <w:topLinePunct/>
      <w:spacing w:line="600" w:lineRule="exact"/>
      <w:jc w:val="center"/>
    </w:pPr>
    <w:rPr>
      <w:rFonts w:ascii="方正小标宋简体" w:eastAsia="方正小标宋简体" w:hAnsi="Calibri"/>
      <w:sz w:val="44"/>
      <w:szCs w:val="22"/>
    </w:rPr>
  </w:style>
  <w:style w:type="paragraph" w:customStyle="1" w:styleId="17">
    <w:name w:val="17 附件"/>
    <w:basedOn w:val="a"/>
    <w:next w:val="a"/>
    <w:rsid w:val="003875BA"/>
    <w:pPr>
      <w:spacing w:line="600" w:lineRule="exact"/>
      <w:jc w:val="left"/>
    </w:pPr>
    <w:rPr>
      <w:rFonts w:ascii="黑体" w:eastAsia="黑体" w:hAnsi="Calibri"/>
      <w:sz w:val="32"/>
      <w:szCs w:val="32"/>
    </w:rPr>
  </w:style>
  <w:style w:type="paragraph" w:styleId="a5">
    <w:name w:val="Body Text"/>
    <w:basedOn w:val="a"/>
    <w:link w:val="Char1"/>
    <w:rsid w:val="003875BA"/>
    <w:pPr>
      <w:spacing w:beforeLines="30"/>
    </w:pPr>
    <w:rPr>
      <w:rFonts w:ascii="仿宋_GB2312" w:eastAsia="仿宋_GB2312"/>
      <w:kern w:val="0"/>
      <w:sz w:val="30"/>
    </w:rPr>
  </w:style>
  <w:style w:type="character" w:customStyle="1" w:styleId="Char1">
    <w:name w:val="正文文本 Char"/>
    <w:basedOn w:val="a0"/>
    <w:link w:val="a5"/>
    <w:rsid w:val="003875BA"/>
    <w:rPr>
      <w:rFonts w:ascii="仿宋_GB2312" w:eastAsia="仿宋_GB2312" w:hAnsi="Times New Roman" w:cs="Times New Roman"/>
      <w:kern w:val="0"/>
      <w:sz w:val="30"/>
      <w:szCs w:val="24"/>
    </w:rPr>
  </w:style>
  <w:style w:type="paragraph" w:customStyle="1" w:styleId="Default">
    <w:name w:val="Default"/>
    <w:rsid w:val="003875BA"/>
    <w:pPr>
      <w:widowControl w:val="0"/>
      <w:autoSpaceDE w:val="0"/>
      <w:autoSpaceDN w:val="0"/>
      <w:adjustRightInd w:val="0"/>
    </w:pPr>
    <w:rPr>
      <w:rFonts w:ascii="仿宋" w:eastAsia="仿宋" w:hAnsi="Calibri" w:cs="仿宋"/>
      <w:color w:val="000000"/>
      <w:kern w:val="0"/>
      <w:sz w:val="24"/>
      <w:szCs w:val="24"/>
    </w:rPr>
  </w:style>
  <w:style w:type="paragraph" w:styleId="a6">
    <w:name w:val="Balloon Text"/>
    <w:basedOn w:val="a"/>
    <w:link w:val="Char2"/>
    <w:uiPriority w:val="99"/>
    <w:semiHidden/>
    <w:unhideWhenUsed/>
    <w:rsid w:val="00B075E5"/>
    <w:rPr>
      <w:sz w:val="18"/>
      <w:szCs w:val="18"/>
    </w:rPr>
  </w:style>
  <w:style w:type="character" w:customStyle="1" w:styleId="Char2">
    <w:name w:val="批注框文本 Char"/>
    <w:basedOn w:val="a0"/>
    <w:link w:val="a6"/>
    <w:uiPriority w:val="99"/>
    <w:semiHidden/>
    <w:rsid w:val="00B075E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6498454465630744E-2"/>
          <c:y val="0.10688356752016168"/>
          <c:w val="0.54575245750672863"/>
          <c:h val="0.72877113877714461"/>
        </c:manualLayout>
      </c:layout>
      <c:pieChart>
        <c:varyColors val="1"/>
        <c:ser>
          <c:idx val="0"/>
          <c:order val="0"/>
          <c:tx>
            <c:strRef>
              <c:f>Sheet1!$A$2</c:f>
              <c:strCache>
                <c:ptCount val="1"/>
                <c:pt idx="0">
                  <c:v>双福镇</c:v>
                </c:pt>
              </c:strCache>
            </c:strRef>
          </c:tx>
          <c:dLbls>
            <c:dLbl>
              <c:idx val="0"/>
              <c:tx>
                <c:rich>
                  <a:bodyPr/>
                  <a:lstStyle/>
                  <a:p>
                    <a:r>
                      <a:rPr lang="zh-CN" altLang="en-US" sz="1400"/>
                      <a:t>财政拨款收入
</a:t>
                    </a:r>
                    <a:r>
                      <a:rPr lang="en-US" altLang="zh-CN" sz="1400"/>
                      <a:t>84.51%
</a:t>
                    </a:r>
                  </a:p>
                </c:rich>
              </c:tx>
              <c:showVal val="1"/>
              <c:showCatName val="1"/>
              <c:showPercent val="1"/>
            </c:dLbl>
            <c:dLbl>
              <c:idx val="1"/>
              <c:tx>
                <c:rich>
                  <a:bodyPr/>
                  <a:lstStyle/>
                  <a:p>
                    <a:r>
                      <a:rPr lang="zh-CN" altLang="en-US" sz="1400"/>
                      <a:t>其他收入
</a:t>
                    </a:r>
                    <a:r>
                      <a:rPr lang="en-US" altLang="zh-CN" sz="1400"/>
                      <a:t>15.49%</a:t>
                    </a:r>
                    <a:endParaRPr lang="zh-CN" altLang="en-US" sz="1400"/>
                  </a:p>
                </c:rich>
              </c:tx>
              <c:showCatName val="1"/>
              <c:showPercent val="1"/>
            </c:dLbl>
            <c:txPr>
              <a:bodyPr/>
              <a:lstStyle/>
              <a:p>
                <a:pPr>
                  <a:defRPr sz="1400"/>
                </a:pPr>
                <a:endParaRPr lang="zh-CN"/>
              </a:p>
            </c:txPr>
            <c:showCatName val="1"/>
            <c:showPercent val="1"/>
            <c:showLeaderLines val="1"/>
          </c:dLbls>
          <c:cat>
            <c:strRef>
              <c:f>Sheet1!$B$1:$C$1</c:f>
              <c:strCache>
                <c:ptCount val="2"/>
                <c:pt idx="0">
                  <c:v>财政拨款收入</c:v>
                </c:pt>
                <c:pt idx="1">
                  <c:v>其他收入</c:v>
                </c:pt>
              </c:strCache>
            </c:strRef>
          </c:cat>
          <c:val>
            <c:numRef>
              <c:f>Sheet1!$B$2:$C$2</c:f>
              <c:numCache>
                <c:formatCode>General</c:formatCode>
                <c:ptCount val="2"/>
                <c:pt idx="0">
                  <c:v>97.25</c:v>
                </c:pt>
                <c:pt idx="1">
                  <c:v>2.75</c:v>
                </c:pt>
              </c:numCache>
            </c:numRef>
          </c:val>
        </c:ser>
        <c:firstSliceAng val="0"/>
      </c:pieChart>
    </c:plotArea>
    <c:legend>
      <c:legendPos val="r"/>
      <c:layout>
        <c:manualLayout>
          <c:xMode val="edge"/>
          <c:yMode val="edge"/>
          <c:x val="0.68975679830302694"/>
          <c:y val="0.46688891770192487"/>
          <c:w val="0.30627306273062732"/>
          <c:h val="0.19207317073170738"/>
        </c:manualLayout>
      </c:layout>
      <c:txPr>
        <a:bodyPr/>
        <a:lstStyle/>
        <a:p>
          <a:pPr>
            <a:defRPr sz="1400"/>
          </a:pPr>
          <a:endParaRPr lang="zh-CN"/>
        </a:p>
      </c:txPr>
    </c:legend>
    <c:plotVisOnly val="1"/>
    <c:dispBlanksAs val="zero"/>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8.4356756494711194E-2"/>
          <c:y val="0.14924795274473646"/>
          <c:w val="0.55291774888545808"/>
          <c:h val="0.66249727721473306"/>
        </c:manualLayout>
      </c:layout>
      <c:pieChart>
        <c:varyColors val="1"/>
        <c:ser>
          <c:idx val="0"/>
          <c:order val="0"/>
          <c:tx>
            <c:strRef>
              <c:f>Sheet1!$A$2</c:f>
              <c:strCache>
                <c:ptCount val="1"/>
                <c:pt idx="0">
                  <c:v>双福镇</c:v>
                </c:pt>
              </c:strCache>
            </c:strRef>
          </c:tx>
          <c:spPr>
            <a:solidFill>
              <a:srgbClr val="9999FF"/>
            </a:solidFill>
            <a:ln w="12713">
              <a:solidFill>
                <a:srgbClr val="000000"/>
              </a:solidFill>
              <a:prstDash val="solid"/>
            </a:ln>
          </c:spPr>
          <c:dPt>
            <c:idx val="0"/>
            <c:spPr>
              <a:solidFill>
                <a:srgbClr val="FF99CC"/>
              </a:solidFill>
              <a:ln w="25426">
                <a:noFill/>
              </a:ln>
            </c:spPr>
          </c:dPt>
          <c:dPt>
            <c:idx val="1"/>
            <c:spPr>
              <a:solidFill>
                <a:srgbClr val="666699"/>
              </a:solidFill>
              <a:ln w="25426">
                <a:noFill/>
              </a:ln>
            </c:spPr>
          </c:dPt>
          <c:dLbls>
            <c:dLbl>
              <c:idx val="0"/>
              <c:tx>
                <c:rich>
                  <a:bodyPr/>
                  <a:lstStyle/>
                  <a:p>
                    <a:pPr>
                      <a:defRPr sz="1400"/>
                    </a:pPr>
                    <a:r>
                      <a:rPr lang="zh-CN" altLang="en-US"/>
                      <a:t>基本支出
</a:t>
                    </a:r>
                    <a:r>
                      <a:rPr lang="en-US" altLang="zh-CN"/>
                      <a:t>26.21%</a:t>
                    </a:r>
                    <a:endParaRPr lang="zh-CN" altLang="en-US"/>
                  </a:p>
                </c:rich>
              </c:tx>
              <c:spPr/>
              <c:showCatName val="1"/>
              <c:showPercent val="1"/>
            </c:dLbl>
            <c:dLbl>
              <c:idx val="1"/>
              <c:tx>
                <c:rich>
                  <a:bodyPr/>
                  <a:lstStyle/>
                  <a:p>
                    <a:r>
                      <a:rPr lang="zh-CN" altLang="en-US" sz="1400"/>
                      <a:t>项目支出</a:t>
                    </a:r>
                    <a:r>
                      <a:rPr lang="en-US" altLang="zh-CN" sz="1400"/>
                      <a:t>73.79%</a:t>
                    </a:r>
                  </a:p>
                </c:rich>
              </c:tx>
              <c:showCatName val="1"/>
              <c:showPercent val="1"/>
            </c:dLbl>
            <c:txPr>
              <a:bodyPr/>
              <a:lstStyle/>
              <a:p>
                <a:pPr>
                  <a:defRPr sz="900"/>
                </a:pPr>
                <a:endParaRPr lang="zh-CN"/>
              </a:p>
            </c:txPr>
            <c:showCatName val="1"/>
            <c:showPercent val="1"/>
            <c:showLeaderLines val="1"/>
          </c:dLbls>
          <c:cat>
            <c:strRef>
              <c:f>Sheet1!$B$1:$C$1</c:f>
              <c:strCache>
                <c:ptCount val="2"/>
                <c:pt idx="0">
                  <c:v>基本支出</c:v>
                </c:pt>
                <c:pt idx="1">
                  <c:v>项目支出</c:v>
                </c:pt>
              </c:strCache>
            </c:strRef>
          </c:cat>
          <c:val>
            <c:numRef>
              <c:f>Sheet1!$B$2:$C$2</c:f>
              <c:numCache>
                <c:formatCode>General</c:formatCode>
                <c:ptCount val="2"/>
                <c:pt idx="0">
                  <c:v>21.03</c:v>
                </c:pt>
                <c:pt idx="1">
                  <c:v>78.97</c:v>
                </c:pt>
              </c:numCache>
            </c:numRef>
          </c:val>
        </c:ser>
        <c:firstSliceAng val="0"/>
      </c:pieChart>
      <c:spPr>
        <a:solidFill>
          <a:srgbClr val="FFFFFF"/>
        </a:solidFill>
        <a:ln w="12713">
          <a:solidFill>
            <a:srgbClr val="FFFFFF"/>
          </a:solidFill>
          <a:prstDash val="solid"/>
        </a:ln>
      </c:spPr>
    </c:plotArea>
    <c:legend>
      <c:legendPos val="r"/>
      <c:legendEntry>
        <c:idx val="0"/>
        <c:txPr>
          <a:bodyPr/>
          <a:lstStyle/>
          <a:p>
            <a:pPr>
              <a:defRPr sz="1400" b="0" i="0" u="none" strike="noStrike" baseline="0">
                <a:solidFill>
                  <a:srgbClr val="000000"/>
                </a:solidFill>
                <a:latin typeface="宋体"/>
                <a:ea typeface="宋体"/>
                <a:cs typeface="宋体"/>
              </a:defRPr>
            </a:pPr>
            <a:endParaRPr lang="zh-CN"/>
          </a:p>
        </c:txPr>
      </c:legendEntry>
      <c:legendEntry>
        <c:idx val="1"/>
        <c:txPr>
          <a:bodyPr/>
          <a:lstStyle/>
          <a:p>
            <a:pPr>
              <a:defRPr sz="1400" b="0" i="0" u="none" strike="noStrike" baseline="0">
                <a:solidFill>
                  <a:srgbClr val="000000"/>
                </a:solidFill>
                <a:latin typeface="宋体"/>
                <a:ea typeface="宋体"/>
                <a:cs typeface="宋体"/>
              </a:defRPr>
            </a:pPr>
            <a:endParaRPr lang="zh-CN"/>
          </a:p>
        </c:txPr>
      </c:legendEntry>
      <c:layout>
        <c:manualLayout>
          <c:xMode val="edge"/>
          <c:yMode val="edge"/>
          <c:x val="0.7618578966610543"/>
          <c:y val="0.40255591054312923"/>
          <c:w val="0.23012599516536544"/>
          <c:h val="0.26534878262168482"/>
        </c:manualLayout>
      </c:layout>
      <c:overlay val="1"/>
      <c:spPr>
        <a:noFill/>
        <a:ln w="3178">
          <a:noFill/>
          <a:prstDash val="solid"/>
        </a:ln>
      </c:spPr>
      <c:txPr>
        <a:bodyPr/>
        <a:lstStyle/>
        <a:p>
          <a:pPr>
            <a:defRPr sz="1400" b="0" i="0" u="none" strike="noStrike" baseline="0">
              <a:solidFill>
                <a:srgbClr val="000000"/>
              </a:solidFill>
              <a:latin typeface="宋体"/>
              <a:ea typeface="宋体"/>
              <a:cs typeface="宋体"/>
            </a:defRPr>
          </a:pPr>
          <a:endParaRPr lang="zh-CN"/>
        </a:p>
      </c:txPr>
    </c:legend>
    <c:plotVisOnly val="1"/>
    <c:dispBlanksAs val="zero"/>
  </c:chart>
  <c:spPr>
    <a:solidFill>
      <a:srgbClr val="FFFFFF"/>
    </a:solidFill>
    <a:ln>
      <a:noFill/>
    </a:ln>
  </c:spPr>
  <c:txPr>
    <a:bodyPr/>
    <a:lstStyle/>
    <a:p>
      <a:pPr>
        <a:defRPr sz="1552" b="0" i="0" u="none" strike="noStrike" baseline="0">
          <a:solidFill>
            <a:srgbClr val="000000"/>
          </a:solidFill>
          <a:latin typeface="宋体"/>
          <a:ea typeface="宋体"/>
          <a:cs typeface="宋体"/>
        </a:defRPr>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barChart>
        <c:barDir val="col"/>
        <c:grouping val="stacked"/>
        <c:ser>
          <c:idx val="1"/>
          <c:order val="0"/>
          <c:tx>
            <c:strRef>
              <c:f>Sheet1!$A$2</c:f>
              <c:strCache>
                <c:ptCount val="1"/>
                <c:pt idx="0">
                  <c:v>财政拨款收支</c:v>
                </c:pt>
              </c:strCache>
            </c:strRef>
          </c:tx>
          <c:spPr>
            <a:solidFill>
              <a:srgbClr val="9999FF"/>
            </a:solidFill>
            <a:ln w="25373">
              <a:noFill/>
            </a:ln>
          </c:spPr>
          <c:cat>
            <c:strRef>
              <c:f>Sheet1!$B$1:$D$1</c:f>
              <c:strCache>
                <c:ptCount val="2"/>
                <c:pt idx="0">
                  <c:v>2017年</c:v>
                </c:pt>
                <c:pt idx="1">
                  <c:v>2018年</c:v>
                </c:pt>
              </c:strCache>
            </c:strRef>
          </c:cat>
          <c:val>
            <c:numRef>
              <c:f>Sheet1!$B$2:$D$2</c:f>
              <c:numCache>
                <c:formatCode>General</c:formatCode>
                <c:ptCount val="2"/>
                <c:pt idx="0">
                  <c:v>2376.5500000000002</c:v>
                </c:pt>
                <c:pt idx="1">
                  <c:v>2839.63</c:v>
                </c:pt>
              </c:numCache>
            </c:numRef>
          </c:val>
        </c:ser>
        <c:gapWidth val="55"/>
        <c:overlap val="100"/>
        <c:axId val="76737152"/>
        <c:axId val="76960128"/>
      </c:barChart>
      <c:catAx>
        <c:axId val="76737152"/>
        <c:scaling>
          <c:orientation val="minMax"/>
        </c:scaling>
        <c:axPos val="b"/>
        <c:numFmt formatCode="General" sourceLinked="1"/>
        <c:majorTickMark val="none"/>
        <c:tickLblPos val="nextTo"/>
        <c:spPr>
          <a:ln w="3172">
            <a:solidFill>
              <a:srgbClr val="000000"/>
            </a:solidFill>
            <a:prstDash val="solid"/>
          </a:ln>
        </c:spPr>
        <c:txPr>
          <a:bodyPr rot="0" vert="horz"/>
          <a:lstStyle/>
          <a:p>
            <a:pPr>
              <a:defRPr sz="999" b="0" i="0" u="none" strike="noStrike" baseline="0">
                <a:solidFill>
                  <a:srgbClr val="000000"/>
                </a:solidFill>
                <a:latin typeface="宋体"/>
                <a:ea typeface="宋体"/>
                <a:cs typeface="宋体"/>
              </a:defRPr>
            </a:pPr>
            <a:endParaRPr lang="zh-CN"/>
          </a:p>
        </c:txPr>
        <c:crossAx val="76960128"/>
        <c:crosses val="autoZero"/>
        <c:lblAlgn val="ctr"/>
        <c:lblOffset val="100"/>
        <c:tickLblSkip val="1"/>
        <c:tickMarkSkip val="1"/>
      </c:catAx>
      <c:valAx>
        <c:axId val="76960128"/>
        <c:scaling>
          <c:orientation val="minMax"/>
          <c:min val="0"/>
        </c:scaling>
        <c:axPos val="l"/>
        <c:majorGridlines/>
        <c:numFmt formatCode="General" sourceLinked="1"/>
        <c:majorTickMark val="none"/>
        <c:tickLblPos val="nextTo"/>
        <c:txPr>
          <a:bodyPr rot="0" vert="horz"/>
          <a:lstStyle/>
          <a:p>
            <a:pPr>
              <a:defRPr sz="999" b="0" i="0" u="none" strike="noStrike" baseline="0">
                <a:solidFill>
                  <a:srgbClr val="000000"/>
                </a:solidFill>
                <a:latin typeface="Arial"/>
                <a:ea typeface="Arial"/>
                <a:cs typeface="Arial"/>
              </a:defRPr>
            </a:pPr>
            <a:endParaRPr lang="zh-CN"/>
          </a:p>
        </c:txPr>
        <c:crossAx val="76737152"/>
        <c:crosses val="autoZero"/>
        <c:crossBetween val="between"/>
      </c:valAx>
      <c:spPr>
        <a:solidFill>
          <a:srgbClr val="C0C0C0"/>
        </a:solidFill>
        <a:ln w="12686">
          <a:noFill/>
          <a:prstDash val="solid"/>
        </a:ln>
      </c:spPr>
    </c:plotArea>
    <c:legend>
      <c:legendPos val="r"/>
    </c:legend>
    <c:plotVisOnly val="1"/>
    <c:dispBlanksAs val="gap"/>
  </c:chart>
  <c:spPr>
    <a:noFill/>
    <a:ln>
      <a:noFill/>
    </a:ln>
  </c:spPr>
  <c:txPr>
    <a:bodyPr/>
    <a:lstStyle/>
    <a:p>
      <a:pPr>
        <a:defRPr sz="999" b="0" i="0" u="none" strike="noStrike" baseline="0">
          <a:solidFill>
            <a:srgbClr val="000000"/>
          </a:solidFill>
          <a:latin typeface="Arial"/>
          <a:ea typeface="Arial"/>
          <a:cs typeface="Arial"/>
        </a:defRPr>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0.10663831605017675"/>
          <c:y val="1.9458544839255541E-2"/>
          <c:w val="0.65000000000000524"/>
          <c:h val="0.7929824561403509"/>
        </c:manualLayout>
      </c:layout>
      <c:barChart>
        <c:barDir val="col"/>
        <c:grouping val="clustered"/>
        <c:ser>
          <c:idx val="1"/>
          <c:order val="0"/>
          <c:tx>
            <c:strRef>
              <c:f>Sheet1!$A$2</c:f>
              <c:strCache>
                <c:ptCount val="1"/>
                <c:pt idx="0">
                  <c:v>财政拨款支出</c:v>
                </c:pt>
              </c:strCache>
            </c:strRef>
          </c:tx>
          <c:spPr>
            <a:solidFill>
              <a:srgbClr val="99CCFF"/>
            </a:solidFill>
            <a:ln w="25400">
              <a:noFill/>
            </a:ln>
          </c:spPr>
          <c:dLbls>
            <c:dLblPos val="ctr"/>
            <c:showVal val="1"/>
          </c:dLbls>
          <c:cat>
            <c:strRef>
              <c:f>Sheet1!$B$1:$E$1</c:f>
              <c:strCache>
                <c:ptCount val="2"/>
                <c:pt idx="0">
                  <c:v>2017年</c:v>
                </c:pt>
                <c:pt idx="1">
                  <c:v>2018年</c:v>
                </c:pt>
              </c:strCache>
            </c:strRef>
          </c:cat>
          <c:val>
            <c:numRef>
              <c:f>Sheet1!$B$2:$E$2</c:f>
              <c:numCache>
                <c:formatCode>#,##0.00</c:formatCode>
                <c:ptCount val="2"/>
                <c:pt idx="0">
                  <c:v>2218.3500000000017</c:v>
                </c:pt>
                <c:pt idx="1">
                  <c:v>3021.29</c:v>
                </c:pt>
              </c:numCache>
            </c:numRef>
          </c:val>
        </c:ser>
        <c:ser>
          <c:idx val="0"/>
          <c:order val="1"/>
          <c:tx>
            <c:strRef>
              <c:f>Sheet1!$A$3</c:f>
              <c:strCache>
                <c:ptCount val="1"/>
                <c:pt idx="0">
                  <c:v>一般公共预算支出</c:v>
                </c:pt>
              </c:strCache>
            </c:strRef>
          </c:tx>
          <c:spPr>
            <a:solidFill>
              <a:srgbClr val="FF8080"/>
            </a:solidFill>
            <a:ln w="25400">
              <a:noFill/>
            </a:ln>
          </c:spPr>
          <c:dLbls>
            <c:dLblPos val="ctr"/>
            <c:showVal val="1"/>
          </c:dLbls>
          <c:cat>
            <c:strRef>
              <c:f>Sheet1!$B$1:$E$1</c:f>
              <c:strCache>
                <c:ptCount val="2"/>
                <c:pt idx="0">
                  <c:v>2017年</c:v>
                </c:pt>
                <c:pt idx="1">
                  <c:v>2018年</c:v>
                </c:pt>
              </c:strCache>
            </c:strRef>
          </c:cat>
          <c:val>
            <c:numRef>
              <c:f>Sheet1!$B$3:$E$3</c:f>
              <c:numCache>
                <c:formatCode>#,##0.00</c:formatCode>
                <c:ptCount val="2"/>
                <c:pt idx="0">
                  <c:v>1874.73</c:v>
                </c:pt>
                <c:pt idx="1">
                  <c:v>1568.4</c:v>
                </c:pt>
              </c:numCache>
            </c:numRef>
          </c:val>
        </c:ser>
        <c:dLbls>
          <c:showVal val="1"/>
        </c:dLbls>
        <c:axId val="76985856"/>
        <c:axId val="76987392"/>
      </c:barChart>
      <c:catAx>
        <c:axId val="76985856"/>
        <c:scaling>
          <c:orientation val="minMax"/>
        </c:scaling>
        <c:axPos val="b"/>
        <c:numFmt formatCode="General" sourceLinked="1"/>
        <c:majorTickMark val="in"/>
        <c:tickLblPos val="nextTo"/>
        <c:spPr>
          <a:ln w="3175">
            <a:solidFill>
              <a:srgbClr val="000000"/>
            </a:solidFill>
            <a:prstDash val="solid"/>
          </a:ln>
        </c:spPr>
        <c:txPr>
          <a:bodyPr rot="0" vert="horz"/>
          <a:lstStyle/>
          <a:p>
            <a:pPr>
              <a:defRPr sz="1000" b="0" i="0" u="none" strike="noStrike" baseline="0">
                <a:solidFill>
                  <a:srgbClr val="000000"/>
                </a:solidFill>
                <a:latin typeface="宋体"/>
                <a:ea typeface="宋体"/>
                <a:cs typeface="宋体"/>
              </a:defRPr>
            </a:pPr>
            <a:endParaRPr lang="zh-CN"/>
          </a:p>
        </c:txPr>
        <c:crossAx val="76987392"/>
        <c:crosses val="autoZero"/>
        <c:lblAlgn val="ctr"/>
        <c:lblOffset val="100"/>
        <c:tickLblSkip val="1"/>
        <c:tickMarkSkip val="1"/>
      </c:catAx>
      <c:valAx>
        <c:axId val="76987392"/>
        <c:scaling>
          <c:orientation val="minMax"/>
        </c:scaling>
        <c:axPos val="l"/>
        <c:numFmt formatCode="#,##0.00" sourceLinked="1"/>
        <c:majorTickMark val="in"/>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zh-CN"/>
          </a:p>
        </c:txPr>
        <c:crossAx val="76985856"/>
        <c:crosses val="autoZero"/>
        <c:crossBetween val="between"/>
      </c:valAx>
      <c:spPr>
        <a:solidFill>
          <a:srgbClr val="FFFFCC"/>
        </a:solidFill>
        <a:ln w="12700">
          <a:solidFill>
            <a:srgbClr val="FFFFCC"/>
          </a:solidFill>
          <a:prstDash val="solid"/>
        </a:ln>
      </c:spPr>
    </c:plotArea>
    <c:legend>
      <c:legendPos val="r"/>
      <c:layout>
        <c:manualLayout>
          <c:xMode val="edge"/>
          <c:yMode val="edge"/>
          <c:x val="0.76296296296295707"/>
          <c:y val="0.40701754385965366"/>
          <c:w val="0.22962962962962818"/>
          <c:h val="0.12982456140350687"/>
        </c:manualLayout>
      </c:layout>
      <c:spPr>
        <a:solidFill>
          <a:srgbClr val="FFFFFF"/>
        </a:solidFill>
        <a:ln w="3175">
          <a:noFill/>
          <a:prstDash val="solid"/>
        </a:ln>
      </c:spPr>
      <c:txPr>
        <a:bodyPr/>
        <a:lstStyle/>
        <a:p>
          <a:pPr>
            <a:defRPr sz="1200" b="0" i="0" u="none" strike="noStrike" baseline="0">
              <a:solidFill>
                <a:srgbClr val="000000"/>
              </a:solidFill>
              <a:latin typeface="宋体"/>
              <a:ea typeface="宋体"/>
              <a:cs typeface="宋体"/>
            </a:defRPr>
          </a:pPr>
          <a:endParaRPr lang="zh-CN"/>
        </a:p>
      </c:txPr>
    </c:legend>
    <c:plotVisOnly val="1"/>
    <c:dispBlanksAs val="gap"/>
  </c:chart>
  <c:spPr>
    <a:noFill/>
    <a:ln>
      <a:noFill/>
    </a:ln>
  </c:spPr>
  <c:txPr>
    <a:bodyPr/>
    <a:lstStyle/>
    <a:p>
      <a:pPr>
        <a:defRPr sz="1000" b="0" i="0" u="none" strike="noStrike" baseline="0">
          <a:solidFill>
            <a:srgbClr val="000000"/>
          </a:solidFill>
          <a:latin typeface="Arial"/>
          <a:ea typeface="Arial"/>
          <a:cs typeface="Arial"/>
        </a:defRPr>
      </a:pPr>
      <a:endParaRPr lang="zh-CN"/>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tx>
            <c:strRef>
              <c:f>Sheet1!$B$1</c:f>
              <c:strCache>
                <c:ptCount val="1"/>
                <c:pt idx="0">
                  <c:v>销售额</c:v>
                </c:pt>
              </c:strCache>
            </c:strRef>
          </c:tx>
          <c:dLbls>
            <c:showCatName val="1"/>
            <c:showPercent val="1"/>
          </c:dLbls>
          <c:cat>
            <c:strRef>
              <c:f>Sheet1!$A$2:$A$12</c:f>
              <c:strCache>
                <c:ptCount val="11"/>
                <c:pt idx="0">
                  <c:v>一般公共服务</c:v>
                </c:pt>
                <c:pt idx="1">
                  <c:v>医疗卫生与计划生育支出</c:v>
                </c:pt>
                <c:pt idx="2">
                  <c:v>文化教育和传媒</c:v>
                </c:pt>
                <c:pt idx="3">
                  <c:v>社会保障和就业</c:v>
                </c:pt>
                <c:pt idx="4">
                  <c:v>节能环保支出</c:v>
                </c:pt>
                <c:pt idx="5">
                  <c:v>住房保障支出</c:v>
                </c:pt>
                <c:pt idx="6">
                  <c:v>商业服务业支出</c:v>
                </c:pt>
                <c:pt idx="7">
                  <c:v>农林水支出</c:v>
                </c:pt>
                <c:pt idx="8">
                  <c:v>国土海洋气象支出</c:v>
                </c:pt>
                <c:pt idx="9">
                  <c:v>城乡社区支出</c:v>
                </c:pt>
                <c:pt idx="10">
                  <c:v>国防支出</c:v>
                </c:pt>
              </c:strCache>
            </c:strRef>
          </c:cat>
          <c:val>
            <c:numRef>
              <c:f>Sheet1!$B$2:$B$12</c:f>
              <c:numCache>
                <c:formatCode>General</c:formatCode>
                <c:ptCount val="11"/>
                <c:pt idx="0">
                  <c:v>426.52</c:v>
                </c:pt>
                <c:pt idx="1">
                  <c:v>17.63000000000001</c:v>
                </c:pt>
                <c:pt idx="2">
                  <c:v>138.53</c:v>
                </c:pt>
                <c:pt idx="3">
                  <c:v>130.59</c:v>
                </c:pt>
                <c:pt idx="4">
                  <c:v>57.86</c:v>
                </c:pt>
                <c:pt idx="5">
                  <c:v>43.5</c:v>
                </c:pt>
                <c:pt idx="6">
                  <c:v>12.52</c:v>
                </c:pt>
                <c:pt idx="7">
                  <c:v>719.62</c:v>
                </c:pt>
                <c:pt idx="8">
                  <c:v>1.08</c:v>
                </c:pt>
                <c:pt idx="9">
                  <c:v>18</c:v>
                </c:pt>
                <c:pt idx="10">
                  <c:v>2.5499999999999998</c:v>
                </c:pt>
              </c:numCache>
            </c:numRef>
          </c:val>
        </c:ser>
        <c:dLbls>
          <c:showCatName val="1"/>
          <c:showPercent val="1"/>
        </c:dLbls>
        <c:firstSliceAng val="0"/>
      </c:pieChart>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manualLayout>
          <c:layoutTarget val="inner"/>
          <c:xMode val="edge"/>
          <c:yMode val="edge"/>
          <c:x val="4.8649782725483745E-2"/>
          <c:y val="5.6259448954609707E-2"/>
          <c:w val="0.51366477101141528"/>
          <c:h val="0.87717865411601703"/>
        </c:manualLayout>
      </c:layout>
      <c:pieChart>
        <c:varyColors val="1"/>
        <c:ser>
          <c:idx val="0"/>
          <c:order val="0"/>
          <c:tx>
            <c:strRef>
              <c:f>Sheet1!$A$2</c:f>
              <c:strCache>
                <c:ptCount val="1"/>
                <c:pt idx="0">
                  <c:v>双福镇</c:v>
                </c:pt>
              </c:strCache>
            </c:strRef>
          </c:tx>
          <c:spPr>
            <a:solidFill>
              <a:srgbClr val="9999FF"/>
            </a:solidFill>
            <a:ln w="12695">
              <a:solidFill>
                <a:srgbClr val="000000"/>
              </a:solidFill>
              <a:prstDash val="solid"/>
            </a:ln>
          </c:spPr>
          <c:dLbls>
            <c:dLbl>
              <c:idx val="0"/>
              <c:tx>
                <c:rich>
                  <a:bodyPr/>
                  <a:lstStyle/>
                  <a:p>
                    <a:r>
                      <a:rPr lang="zh-CN" altLang="en-US" sz="1400"/>
                      <a:t>公务用车购置及运行维护费
</a:t>
                    </a:r>
                    <a:r>
                      <a:rPr lang="en-US" altLang="zh-CN" sz="1400"/>
                      <a:t>100%</a:t>
                    </a:r>
                  </a:p>
                </c:rich>
              </c:tx>
              <c:showCatName val="1"/>
              <c:showPercent val="1"/>
            </c:dLbl>
            <c:txPr>
              <a:bodyPr/>
              <a:lstStyle/>
              <a:p>
                <a:pPr>
                  <a:defRPr sz="1400"/>
                </a:pPr>
                <a:endParaRPr lang="zh-CN"/>
              </a:p>
            </c:txPr>
            <c:showCatName val="1"/>
            <c:showPercent val="1"/>
            <c:showLeaderLines val="1"/>
          </c:dLbls>
          <c:cat>
            <c:strRef>
              <c:f>Sheet1!$B$1:$B$1</c:f>
              <c:strCache>
                <c:ptCount val="1"/>
                <c:pt idx="0">
                  <c:v>公务用车购置及运行维护费</c:v>
                </c:pt>
              </c:strCache>
            </c:strRef>
          </c:cat>
          <c:val>
            <c:numRef>
              <c:f>Sheet1!$B$2:$B$2</c:f>
              <c:numCache>
                <c:formatCode>General</c:formatCode>
                <c:ptCount val="1"/>
                <c:pt idx="0">
                  <c:v>6.42</c:v>
                </c:pt>
              </c:numCache>
            </c:numRef>
          </c:val>
        </c:ser>
        <c:firstSliceAng val="0"/>
      </c:pieChart>
    </c:plotArea>
    <c:legend>
      <c:legendPos val="r"/>
      <c:layout>
        <c:manualLayout>
          <c:xMode val="edge"/>
          <c:yMode val="edge"/>
          <c:x val="0.62386784619438496"/>
          <c:y val="0.28724048052122925"/>
          <c:w val="0.29820420823165511"/>
          <c:h val="0.48209023666369483"/>
        </c:manualLayout>
      </c:layout>
      <c:spPr>
        <a:noFill/>
        <a:ln w="3174">
          <a:noFill/>
          <a:prstDash val="solid"/>
        </a:ln>
      </c:spPr>
      <c:txPr>
        <a:bodyPr/>
        <a:lstStyle/>
        <a:p>
          <a:pPr>
            <a:defRPr sz="1400" b="0" i="0" u="none" strike="noStrike" baseline="0">
              <a:solidFill>
                <a:srgbClr val="000000"/>
              </a:solidFill>
              <a:latin typeface="宋体"/>
              <a:ea typeface="宋体"/>
              <a:cs typeface="宋体"/>
            </a:defRPr>
          </a:pPr>
          <a:endParaRPr lang="zh-CN"/>
        </a:p>
      </c:txPr>
    </c:legend>
    <c:plotVisOnly val="1"/>
    <c:dispBlanksAs val="zero"/>
  </c:chart>
  <c:spPr>
    <a:noFill/>
    <a:ln>
      <a:noFill/>
    </a:ln>
  </c:spPr>
  <c:txPr>
    <a:bodyPr/>
    <a:lstStyle/>
    <a:p>
      <a:pPr>
        <a:defRPr sz="8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A25D-909D-4B44-9899-3D13F54E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3969</TotalTime>
  <Pages>1</Pages>
  <Words>1415</Words>
  <Characters>8069</Characters>
  <Application>Microsoft Office Word</Application>
  <DocSecurity>0</DocSecurity>
  <Lines>67</Lines>
  <Paragraphs>18</Paragraphs>
  <ScaleCrop>false</ScaleCrop>
  <Company>Sky123.Org</Company>
  <LinksUpToDate>false</LinksUpToDate>
  <CharactersWithSpaces>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2018-10-18T02:42:00Z</cp:lastPrinted>
  <dcterms:created xsi:type="dcterms:W3CDTF">2018-10-11T08:32:00Z</dcterms:created>
  <dcterms:modified xsi:type="dcterms:W3CDTF">2019-10-16T07:37:00Z</dcterms:modified>
</cp:coreProperties>
</file>