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BA" w:rsidRPr="004135E8" w:rsidRDefault="003875BA" w:rsidP="003875BA">
      <w:pPr>
        <w:spacing w:line="360" w:lineRule="auto"/>
        <w:rPr>
          <w:color w:val="000000" w:themeColor="text1"/>
        </w:rPr>
      </w:pPr>
    </w:p>
    <w:p w:rsidR="003875BA" w:rsidRPr="004135E8" w:rsidRDefault="003875BA" w:rsidP="003875BA">
      <w:pPr>
        <w:spacing w:line="360" w:lineRule="auto"/>
        <w:jc w:val="center"/>
        <w:rPr>
          <w:rFonts w:ascii="方正小标宋简体" w:eastAsia="方正小标宋简体" w:hAnsi="宋体"/>
          <w:color w:val="000000" w:themeColor="text1"/>
          <w:sz w:val="44"/>
          <w:szCs w:val="44"/>
        </w:rPr>
      </w:pPr>
      <w:r w:rsidRPr="004135E8">
        <w:rPr>
          <w:rFonts w:ascii="方正小标宋简体" w:eastAsia="方正小标宋简体" w:hAnsi="宋体" w:hint="eastAsia"/>
          <w:color w:val="000000" w:themeColor="text1"/>
          <w:sz w:val="44"/>
          <w:szCs w:val="44"/>
        </w:rPr>
        <w:t>四川省乐山市峨眉山市双福镇人民政府</w:t>
      </w:r>
    </w:p>
    <w:p w:rsidR="003875BA" w:rsidRPr="004135E8" w:rsidRDefault="003875BA" w:rsidP="003875BA">
      <w:pPr>
        <w:spacing w:line="360" w:lineRule="auto"/>
        <w:jc w:val="center"/>
        <w:rPr>
          <w:rFonts w:ascii="方正小标宋简体" w:eastAsia="方正小标宋简体" w:hAnsi="宋体"/>
          <w:color w:val="000000" w:themeColor="text1"/>
          <w:sz w:val="44"/>
          <w:szCs w:val="44"/>
        </w:rPr>
      </w:pPr>
      <w:r w:rsidRPr="004135E8">
        <w:rPr>
          <w:rFonts w:ascii="方正小标宋简体" w:eastAsia="方正小标宋简体" w:hAnsi="宋体" w:hint="eastAsia"/>
          <w:color w:val="000000" w:themeColor="text1"/>
          <w:sz w:val="44"/>
          <w:szCs w:val="44"/>
        </w:rPr>
        <w:t>2017年部门决算编制说明</w:t>
      </w:r>
    </w:p>
    <w:p w:rsidR="003875BA" w:rsidRPr="004135E8" w:rsidRDefault="003875BA" w:rsidP="003875BA">
      <w:pPr>
        <w:spacing w:line="360" w:lineRule="auto"/>
        <w:jc w:val="center"/>
        <w:rPr>
          <w:rFonts w:ascii="宋体" w:hAnsi="宋体"/>
          <w:b/>
          <w:color w:val="000000" w:themeColor="text1"/>
          <w:sz w:val="44"/>
          <w:szCs w:val="44"/>
        </w:rPr>
      </w:pPr>
    </w:p>
    <w:p w:rsidR="003875BA" w:rsidRPr="004135E8" w:rsidRDefault="003875BA" w:rsidP="003875BA">
      <w:pPr>
        <w:spacing w:line="600" w:lineRule="exact"/>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一、基本职能及主要工作</w:t>
      </w:r>
    </w:p>
    <w:p w:rsidR="003875BA" w:rsidRPr="004135E8" w:rsidRDefault="002A716D" w:rsidP="003875BA">
      <w:pPr>
        <w:spacing w:line="580" w:lineRule="exact"/>
        <w:ind w:firstLineChars="200" w:firstLine="640"/>
        <w:rPr>
          <w:bCs/>
          <w:color w:val="000000" w:themeColor="text1"/>
          <w:sz w:val="32"/>
          <w:szCs w:val="32"/>
        </w:rPr>
      </w:pPr>
      <w:r w:rsidRPr="004135E8">
        <w:rPr>
          <w:rFonts w:hint="eastAsia"/>
          <w:bCs/>
          <w:color w:val="000000" w:themeColor="text1"/>
          <w:sz w:val="32"/>
          <w:szCs w:val="32"/>
        </w:rPr>
        <w:t>（一）主要职能</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1.</w:t>
      </w:r>
      <w:r w:rsidRPr="004135E8">
        <w:rPr>
          <w:rFonts w:ascii="仿宋_GB2312" w:eastAsia="仿宋_GB2312" w:hint="eastAsia"/>
          <w:color w:val="000000" w:themeColor="text1"/>
          <w:sz w:val="32"/>
          <w:szCs w:val="32"/>
        </w:rPr>
        <w:t>落实政策。宣传、落实好党的路线、方针、政策和国家</w:t>
      </w:r>
      <w:r w:rsidR="002A716D" w:rsidRPr="004135E8">
        <w:rPr>
          <w:rFonts w:ascii="仿宋_GB2312" w:eastAsia="仿宋_GB2312" w:hint="eastAsia"/>
          <w:color w:val="000000" w:themeColor="text1"/>
          <w:sz w:val="32"/>
          <w:szCs w:val="32"/>
        </w:rPr>
        <w:t>的法律、法规，稳定农村基本经济制度，坚持依法行政，推行政务公开。</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2.</w:t>
      </w:r>
      <w:r w:rsidRPr="004135E8">
        <w:rPr>
          <w:rFonts w:ascii="仿宋_GB2312" w:eastAsia="仿宋_GB2312" w:hint="eastAsia"/>
          <w:color w:val="000000" w:themeColor="text1"/>
          <w:sz w:val="32"/>
          <w:szCs w:val="32"/>
        </w:rPr>
        <w:t>促进发展。科学制定发展规划，营造农村经济发展环境，不断提高社会主义新农村建设水平</w:t>
      </w:r>
      <w:r w:rsidR="002A716D" w:rsidRPr="004135E8">
        <w:rPr>
          <w:rFonts w:ascii="仿宋_GB2312" w:eastAsia="仿宋_GB2312" w:hint="eastAsia"/>
          <w:color w:val="000000" w:themeColor="text1"/>
          <w:sz w:val="32"/>
          <w:szCs w:val="32"/>
        </w:rPr>
        <w:t>。</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3.</w:t>
      </w:r>
      <w:r w:rsidRPr="004135E8">
        <w:rPr>
          <w:rFonts w:ascii="仿宋_GB2312" w:eastAsia="仿宋_GB2312" w:hint="eastAsia"/>
          <w:color w:val="000000" w:themeColor="text1"/>
          <w:sz w:val="32"/>
          <w:szCs w:val="32"/>
        </w:rPr>
        <w:t>维护稳定。坚持“立党为公，执政为民”，紧紧围绕实现</w:t>
      </w:r>
      <w:r w:rsidR="002A716D" w:rsidRPr="004135E8">
        <w:rPr>
          <w:rFonts w:ascii="仿宋_GB2312" w:eastAsia="仿宋_GB2312" w:hint="eastAsia"/>
          <w:color w:val="000000" w:themeColor="text1"/>
          <w:sz w:val="32"/>
          <w:szCs w:val="32"/>
        </w:rPr>
        <w:t>和维护群众利益开展工作，切实保障农民合法权益，维护农村社会稳定。</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4.</w:t>
      </w:r>
      <w:r w:rsidRPr="004135E8">
        <w:rPr>
          <w:rFonts w:ascii="仿宋_GB2312" w:eastAsia="仿宋_GB2312" w:hint="eastAsia"/>
          <w:color w:val="000000" w:themeColor="text1"/>
          <w:sz w:val="32"/>
          <w:szCs w:val="32"/>
        </w:rPr>
        <w:t>加强管理。加强民政、教育、科技、文化、卫生、计划生育、安全生产、劳动保障和乡村规划等社会管理，做好防灾减灾工作，加强环境</w:t>
      </w:r>
      <w:r w:rsidR="002A716D" w:rsidRPr="004135E8">
        <w:rPr>
          <w:rFonts w:ascii="仿宋_GB2312" w:eastAsia="仿宋_GB2312" w:hint="eastAsia"/>
          <w:color w:val="000000" w:themeColor="text1"/>
          <w:sz w:val="32"/>
          <w:szCs w:val="32"/>
        </w:rPr>
        <w:t>保护，努力改善农村人居环境，不断提高农村人口素质和农民生活质量。</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5.</w:t>
      </w:r>
      <w:r w:rsidRPr="004135E8">
        <w:rPr>
          <w:rFonts w:ascii="仿宋_GB2312" w:eastAsia="仿宋_GB2312" w:hint="eastAsia"/>
          <w:color w:val="000000" w:themeColor="text1"/>
          <w:sz w:val="32"/>
          <w:szCs w:val="32"/>
        </w:rPr>
        <w:t>提供服务。进一步发展和完善农业社会化服务体系，引导各类协会和农村专业合作经济组织发展，充分发挥其作用，发展农村社会公益事业和集体公益事业。</w:t>
      </w:r>
    </w:p>
    <w:p w:rsidR="003875BA" w:rsidRPr="004135E8" w:rsidRDefault="003875BA" w:rsidP="003875BA">
      <w:pPr>
        <w:pStyle w:val="a5"/>
        <w:adjustRightInd w:val="0"/>
        <w:snapToGrid w:val="0"/>
        <w:spacing w:before="93" w:line="600" w:lineRule="exact"/>
        <w:ind w:firstLineChars="210" w:firstLine="672"/>
        <w:rPr>
          <w:bCs/>
          <w:i/>
          <w:color w:val="000000" w:themeColor="text1"/>
          <w:sz w:val="32"/>
          <w:szCs w:val="32"/>
        </w:rPr>
      </w:pPr>
    </w:p>
    <w:p w:rsidR="003875BA" w:rsidRPr="004135E8" w:rsidRDefault="003875BA" w:rsidP="003875BA">
      <w:pPr>
        <w:pStyle w:val="a5"/>
        <w:adjustRightInd w:val="0"/>
        <w:snapToGrid w:val="0"/>
        <w:spacing w:before="93" w:line="600" w:lineRule="exact"/>
        <w:ind w:firstLineChars="210" w:firstLine="672"/>
        <w:rPr>
          <w:bCs/>
          <w:color w:val="000000" w:themeColor="text1"/>
          <w:sz w:val="32"/>
          <w:szCs w:val="32"/>
        </w:rPr>
      </w:pPr>
      <w:r w:rsidRPr="004135E8">
        <w:rPr>
          <w:rFonts w:hint="eastAsia"/>
          <w:bCs/>
          <w:color w:val="000000" w:themeColor="text1"/>
          <w:sz w:val="32"/>
          <w:szCs w:val="32"/>
        </w:rPr>
        <w:t>（二）2017年</w:t>
      </w:r>
      <w:r w:rsidR="002A716D" w:rsidRPr="004135E8">
        <w:rPr>
          <w:rFonts w:hint="eastAsia"/>
          <w:bCs/>
          <w:color w:val="000000" w:themeColor="text1"/>
          <w:sz w:val="32"/>
          <w:szCs w:val="32"/>
        </w:rPr>
        <w:t>重点工作完成情况</w:t>
      </w:r>
    </w:p>
    <w:p w:rsidR="003875BA" w:rsidRPr="004135E8" w:rsidRDefault="0002154A" w:rsidP="0002154A">
      <w:pPr>
        <w:spacing w:line="600" w:lineRule="exact"/>
        <w:ind w:firstLineChars="200" w:firstLine="640"/>
        <w:rPr>
          <w:rFonts w:ascii="仿宋_GB2312" w:eastAsia="仿宋_GB2312" w:hAnsi="楷体" w:cs="楷体"/>
          <w:b/>
          <w:bCs/>
          <w:color w:val="000000" w:themeColor="text1"/>
          <w:sz w:val="32"/>
          <w:szCs w:val="32"/>
        </w:rPr>
      </w:pPr>
      <w:r w:rsidRPr="004135E8">
        <w:rPr>
          <w:rFonts w:ascii="仿宋_GB2312" w:eastAsia="仿宋_GB2312" w:hAnsi="黑体" w:cs="黑体" w:hint="eastAsia"/>
          <w:color w:val="000000" w:themeColor="text1"/>
          <w:sz w:val="32"/>
          <w:szCs w:val="32"/>
        </w:rPr>
        <w:t>1.</w:t>
      </w:r>
      <w:r w:rsidR="003875BA" w:rsidRPr="004135E8">
        <w:rPr>
          <w:rFonts w:ascii="仿宋_GB2312" w:eastAsia="仿宋_GB2312" w:hAnsi="黑体" w:cs="黑体" w:hint="eastAsia"/>
          <w:color w:val="000000" w:themeColor="text1"/>
          <w:sz w:val="32"/>
          <w:szCs w:val="32"/>
        </w:rPr>
        <w:t>抓重点、促发展，项目建设攻坚克难</w:t>
      </w:r>
    </w:p>
    <w:p w:rsidR="003875BA" w:rsidRPr="004135E8" w:rsidRDefault="003875BA" w:rsidP="003875BA">
      <w:pPr>
        <w:spacing w:line="600" w:lineRule="exac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 xml:space="preserve">    </w:t>
      </w:r>
      <w:r w:rsidRPr="004135E8">
        <w:rPr>
          <w:rFonts w:ascii="仿宋_GB2312" w:eastAsia="仿宋_GB2312" w:hAnsi="楷体" w:cs="楷体" w:hint="eastAsia"/>
          <w:color w:val="000000" w:themeColor="text1"/>
          <w:sz w:val="32"/>
          <w:szCs w:val="32"/>
        </w:rPr>
        <w:t>全力推进“挂图作战”等重点项目。</w:t>
      </w:r>
      <w:r w:rsidRPr="004135E8">
        <w:rPr>
          <w:rFonts w:ascii="仿宋_GB2312" w:eastAsia="仿宋_GB2312" w:hint="eastAsia"/>
          <w:color w:val="000000" w:themeColor="text1"/>
          <w:sz w:val="32"/>
          <w:szCs w:val="32"/>
        </w:rPr>
        <w:t>成昆复线、嘉峨大道主体工程双福段全线竣工，正在进行扫尾工作；全力保障红华工程建设，530余亩征地范围内全年无一起阻工行为；红华工程NL项目已全面完成土地征用，准备进场施工；跃进渠严冲渡槽项目施工有序推进。强力推进电力基础设施建设，35KV秀界T5线迁改工程，在2个月内完成16基铁塔架设并顺利通电；110KV沫江线23基铁塔已架设完成；成昆扩能110KV朱南线完成17基塔基及线路建设，正在着手研究剩余16基线下房屋搬迁和挂线方案；朱坎至南安核动力院110KV线路已完成42基铁塔定位，正在拟定线下房屋搬迁及占地、青苗补偿方案，预计农历年后启动实施。</w:t>
      </w:r>
    </w:p>
    <w:p w:rsidR="003875BA" w:rsidRPr="004135E8" w:rsidRDefault="003875BA" w:rsidP="003875BA">
      <w:pPr>
        <w:spacing w:line="600" w:lineRule="exac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 xml:space="preserve">    </w:t>
      </w:r>
      <w:r w:rsidRPr="004135E8">
        <w:rPr>
          <w:rFonts w:ascii="仿宋_GB2312" w:eastAsia="仿宋_GB2312" w:hAnsi="楷体" w:cs="楷体" w:hint="eastAsia"/>
          <w:color w:val="000000" w:themeColor="text1"/>
          <w:sz w:val="32"/>
          <w:szCs w:val="32"/>
        </w:rPr>
        <w:t>积极推行社保贷工作。</w:t>
      </w:r>
      <w:r w:rsidRPr="004135E8">
        <w:rPr>
          <w:rFonts w:ascii="仿宋_GB2312" w:eastAsia="仿宋_GB2312" w:hint="eastAsia"/>
          <w:color w:val="000000" w:themeColor="text1"/>
          <w:sz w:val="32"/>
          <w:szCs w:val="32"/>
        </w:rPr>
        <w:t>全镇12号令共签订征地协议8份，涉及3个村、6个组、106人。为确保完成社保贷任务，我镇认真拟定工作方案和程序，实现了一站式服务、一笔签，全镇共完成社保贷224人、2878.4万元，超额完成市上下达任务。</w:t>
      </w:r>
    </w:p>
    <w:p w:rsidR="003875BA" w:rsidRPr="004135E8" w:rsidRDefault="003875BA" w:rsidP="003875BA">
      <w:pPr>
        <w:spacing w:line="600" w:lineRule="exact"/>
        <w:rPr>
          <w:rFonts w:ascii="仿宋_GB2312" w:eastAsia="仿宋_GB2312" w:hAnsi="楷体" w:cs="楷体"/>
          <w:b/>
          <w:bCs/>
          <w:color w:val="000000" w:themeColor="text1"/>
          <w:sz w:val="32"/>
          <w:szCs w:val="32"/>
        </w:rPr>
      </w:pPr>
      <w:r w:rsidRPr="004135E8">
        <w:rPr>
          <w:rFonts w:ascii="楷体" w:eastAsia="楷体" w:hAnsi="楷体" w:cs="楷体" w:hint="eastAsia"/>
          <w:b/>
          <w:bCs/>
          <w:color w:val="000000" w:themeColor="text1"/>
          <w:sz w:val="32"/>
          <w:szCs w:val="32"/>
        </w:rPr>
        <w:t xml:space="preserve">    </w:t>
      </w:r>
      <w:r w:rsidR="0002154A" w:rsidRPr="004135E8">
        <w:rPr>
          <w:rFonts w:ascii="仿宋_GB2312" w:eastAsia="仿宋_GB2312" w:hAnsi="黑体" w:cs="黑体" w:hint="eastAsia"/>
          <w:color w:val="000000" w:themeColor="text1"/>
          <w:sz w:val="32"/>
          <w:szCs w:val="32"/>
        </w:rPr>
        <w:t>2.</w:t>
      </w:r>
      <w:r w:rsidRPr="004135E8">
        <w:rPr>
          <w:rFonts w:ascii="仿宋_GB2312" w:eastAsia="仿宋_GB2312" w:hAnsi="黑体" w:cs="黑体" w:hint="eastAsia"/>
          <w:color w:val="000000" w:themeColor="text1"/>
          <w:sz w:val="32"/>
          <w:szCs w:val="32"/>
        </w:rPr>
        <w:t>抓扶贫、促增收，多措并举精准发力</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int="eastAsia"/>
          <w:color w:val="000000" w:themeColor="text1"/>
          <w:sz w:val="32"/>
          <w:szCs w:val="32"/>
        </w:rPr>
        <w:t xml:space="preserve">    </w:t>
      </w:r>
      <w:r w:rsidRPr="004135E8">
        <w:rPr>
          <w:rFonts w:ascii="仿宋_GB2312" w:eastAsia="仿宋_GB2312" w:hAnsi="楷体" w:cs="楷体" w:hint="eastAsia"/>
          <w:color w:val="000000" w:themeColor="text1"/>
          <w:sz w:val="32"/>
          <w:szCs w:val="32"/>
        </w:rPr>
        <w:t>我镇共有市列贫困村5个，现有建档立卡贫困户386户1179人，2017年退出41户115人，所有贫困人口全部实现脱贫。</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Ansi="楷体" w:cs="楷体" w:hint="eastAsia"/>
          <w:color w:val="000000" w:themeColor="text1"/>
          <w:sz w:val="32"/>
          <w:szCs w:val="32"/>
        </w:rPr>
        <w:t xml:space="preserve">    落实帮扶政策。产业扶贫项目涉及16个村93户贫困户，补助资金91380元。15户55人易地扶贫搬迁主体房建设全面完成</w:t>
      </w:r>
      <w:r w:rsidRPr="004135E8">
        <w:rPr>
          <w:rFonts w:ascii="仿宋_GB2312" w:eastAsia="仿宋_GB2312" w:hAnsi="楷体" w:cs="楷体" w:hint="eastAsia"/>
          <w:color w:val="000000" w:themeColor="text1"/>
          <w:sz w:val="32"/>
          <w:szCs w:val="32"/>
        </w:rPr>
        <w:lastRenderedPageBreak/>
        <w:t>并顺利验收，补助资金36.65万元。完成危房改造4户，破旧房屋改造62户。</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int="eastAsia"/>
          <w:color w:val="000000" w:themeColor="text1"/>
          <w:sz w:val="32"/>
          <w:szCs w:val="32"/>
        </w:rPr>
        <w:t xml:space="preserve">   </w:t>
      </w:r>
      <w:r w:rsidRPr="004135E8">
        <w:rPr>
          <w:rFonts w:ascii="仿宋_GB2312" w:eastAsia="仿宋_GB2312" w:hAnsi="楷体" w:cs="楷体" w:hint="eastAsia"/>
          <w:color w:val="000000" w:themeColor="text1"/>
          <w:sz w:val="32"/>
          <w:szCs w:val="32"/>
        </w:rPr>
        <w:t xml:space="preserve"> 加强基础建设。完成纸厂村通村路拓宽，小河村新建泥结石路2公里，尖峰村新建山坪塘4口、100立方米，三江村新建蓄水池30口、300立方米，小河村饮水工程电源接入点及配套设施建设，林园村10个回车坝建设以及林园村村级卫生室建设等脱贫项目。</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Ansi="楷体" w:cs="楷体" w:hint="eastAsia"/>
          <w:color w:val="000000" w:themeColor="text1"/>
          <w:sz w:val="32"/>
          <w:szCs w:val="32"/>
        </w:rPr>
        <w:t xml:space="preserve">    强化感恩教育。在挂联部门市委组织部党建帮扶关怀下，组建“贫困户义工队”，增强贫困户感恩党，敬爱党的感情，积极开展“感恩义务周”等丰富多彩的争先评优活动，引导贫困户主动作为、主动脱贫。</w:t>
      </w:r>
    </w:p>
    <w:p w:rsidR="003875BA" w:rsidRPr="004135E8" w:rsidRDefault="0002154A" w:rsidP="003875BA">
      <w:pPr>
        <w:spacing w:line="600" w:lineRule="exact"/>
        <w:ind w:firstLine="642"/>
        <w:rPr>
          <w:rFonts w:ascii="仿宋_GB2312" w:eastAsia="仿宋_GB2312" w:hAnsi="黑体" w:cs="黑体"/>
          <w:color w:val="000000" w:themeColor="text1"/>
          <w:sz w:val="32"/>
          <w:szCs w:val="32"/>
        </w:rPr>
      </w:pPr>
      <w:r w:rsidRPr="004135E8">
        <w:rPr>
          <w:rFonts w:ascii="仿宋_GB2312" w:eastAsia="仿宋_GB2312" w:hAnsi="黑体" w:cs="黑体" w:hint="eastAsia"/>
          <w:color w:val="000000" w:themeColor="text1"/>
          <w:sz w:val="32"/>
          <w:szCs w:val="32"/>
        </w:rPr>
        <w:t>3.</w:t>
      </w:r>
      <w:r w:rsidR="003875BA" w:rsidRPr="004135E8">
        <w:rPr>
          <w:rFonts w:ascii="仿宋_GB2312" w:eastAsia="仿宋_GB2312" w:hAnsi="黑体" w:cs="黑体" w:hint="eastAsia"/>
          <w:color w:val="000000" w:themeColor="text1"/>
          <w:sz w:val="32"/>
          <w:szCs w:val="32"/>
        </w:rPr>
        <w:t>抓环保、保生态，生态建设成效显著</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int="eastAsia"/>
          <w:color w:val="000000" w:themeColor="text1"/>
          <w:sz w:val="32"/>
          <w:szCs w:val="32"/>
        </w:rPr>
        <w:t xml:space="preserve">   </w:t>
      </w:r>
      <w:r w:rsidRPr="004135E8">
        <w:rPr>
          <w:rFonts w:ascii="仿宋_GB2312" w:eastAsia="仿宋_GB2312" w:hint="eastAsia"/>
          <w:b/>
          <w:color w:val="000000" w:themeColor="text1"/>
          <w:sz w:val="32"/>
          <w:szCs w:val="32"/>
        </w:rPr>
        <w:t xml:space="preserve"> </w:t>
      </w:r>
      <w:r w:rsidRPr="004135E8">
        <w:rPr>
          <w:rFonts w:ascii="仿宋_GB2312" w:eastAsia="仿宋_GB2312" w:hAnsi="楷体" w:cs="楷体" w:hint="eastAsia"/>
          <w:color w:val="000000" w:themeColor="text1"/>
          <w:sz w:val="32"/>
          <w:szCs w:val="32"/>
        </w:rPr>
        <w:t>全力推进环境保护与治理工作。以中央环保督查为契机，在认真完成6个交办问题办理的同时，扎实推进水、大气、土壤污染治理三大攻坚战，认真开展“秸秆禁烧”综合整治工作，认真落实“河长制”，推进河流沟渠即黑臭水体综合整治30余公里并全部通过验收。认真治理小散乱污企业，排查散乱污企业55家，发放工业堆场停产整改通知4份，散乱污企业停产整改通知48份，发放关停通知书7户，其中关停非煤矿山1户。</w:t>
      </w:r>
    </w:p>
    <w:p w:rsidR="003875BA" w:rsidRPr="004135E8" w:rsidRDefault="003875BA" w:rsidP="003875BA">
      <w:pPr>
        <w:spacing w:line="600" w:lineRule="exact"/>
        <w:rPr>
          <w:rFonts w:ascii="仿宋_GB2312" w:eastAsia="仿宋_GB2312"/>
          <w:color w:val="000000" w:themeColor="text1"/>
          <w:sz w:val="32"/>
          <w:szCs w:val="32"/>
        </w:rPr>
      </w:pPr>
      <w:r w:rsidRPr="004135E8">
        <w:rPr>
          <w:rFonts w:ascii="仿宋_GB2312" w:eastAsia="仿宋_GB2312" w:hAnsi="楷体" w:cs="楷体" w:hint="eastAsia"/>
          <w:color w:val="000000" w:themeColor="text1"/>
          <w:sz w:val="32"/>
          <w:szCs w:val="32"/>
        </w:rPr>
        <w:t xml:space="preserve">    有序推进畜禽养殖整治。拟定工作方案，优化工作流程，结合查、看、问、闻、治的方式，全镇共排查出养殖户851户，禁养区271户全部关停，限养区关停160余户，其中养鸭户关停26</w:t>
      </w:r>
      <w:r w:rsidRPr="004135E8">
        <w:rPr>
          <w:rFonts w:ascii="仿宋_GB2312" w:eastAsia="仿宋_GB2312" w:hint="eastAsia"/>
          <w:color w:val="000000" w:themeColor="text1"/>
          <w:sz w:val="32"/>
          <w:szCs w:val="32"/>
        </w:rPr>
        <w:lastRenderedPageBreak/>
        <w:t>户，养殖规模30万羽。</w:t>
      </w:r>
    </w:p>
    <w:p w:rsidR="003875BA" w:rsidRPr="004135E8" w:rsidRDefault="003875BA" w:rsidP="003875BA">
      <w:pPr>
        <w:spacing w:line="600" w:lineRule="exact"/>
        <w:rPr>
          <w:rFonts w:ascii="仿宋_GB2312" w:eastAsia="仿宋_GB2312"/>
          <w:b/>
          <w:bCs/>
          <w:color w:val="000000" w:themeColor="text1"/>
          <w:sz w:val="32"/>
          <w:szCs w:val="32"/>
        </w:rPr>
      </w:pPr>
      <w:r w:rsidRPr="004135E8">
        <w:rPr>
          <w:rFonts w:ascii="仿宋_GB2312" w:eastAsia="仿宋_GB2312" w:hint="eastAsia"/>
          <w:b/>
          <w:bCs/>
          <w:color w:val="000000" w:themeColor="text1"/>
          <w:sz w:val="32"/>
          <w:szCs w:val="32"/>
        </w:rPr>
        <w:t xml:space="preserve">   </w:t>
      </w:r>
      <w:r w:rsidR="0002154A" w:rsidRPr="004135E8">
        <w:rPr>
          <w:rFonts w:ascii="仿宋_GB2312" w:eastAsia="仿宋_GB2312" w:hAnsi="黑体" w:cs="黑体" w:hint="eastAsia"/>
          <w:color w:val="000000" w:themeColor="text1"/>
          <w:sz w:val="32"/>
          <w:szCs w:val="32"/>
        </w:rPr>
        <w:t>4.</w:t>
      </w:r>
      <w:r w:rsidRPr="004135E8">
        <w:rPr>
          <w:rFonts w:ascii="仿宋_GB2312" w:eastAsia="仿宋_GB2312" w:hAnsi="黑体" w:cs="黑体" w:hint="eastAsia"/>
          <w:color w:val="000000" w:themeColor="text1"/>
          <w:sz w:val="32"/>
          <w:szCs w:val="32"/>
        </w:rPr>
        <w:t>抓服务、惠民生，社会事业全面发展</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int="eastAsia"/>
          <w:b/>
          <w:color w:val="000000" w:themeColor="text1"/>
          <w:sz w:val="32"/>
          <w:szCs w:val="32"/>
        </w:rPr>
        <w:t xml:space="preserve">   </w:t>
      </w:r>
      <w:r w:rsidRPr="004135E8">
        <w:rPr>
          <w:rFonts w:ascii="仿宋_GB2312" w:eastAsia="仿宋_GB2312" w:hAnsi="楷体" w:cs="楷体" w:hint="eastAsia"/>
          <w:color w:val="000000" w:themeColor="text1"/>
          <w:sz w:val="32"/>
          <w:szCs w:val="32"/>
        </w:rPr>
        <w:t xml:space="preserve"> 积极落实城镇和农村低保政策，做到应保尽保，应退尽退，动态管理，全年共清退已不再符合低保条件25户30人。全年帮扶救济困难户72人，投入帮扶资金53780元，审批大病医疗救助55人次。超额完成献血任务，完成率152%。做好城乡居民医疗参保工作，城乡居民医疗保险参保率99.9%，城乡居民养老保险参保率100%。全年办理新农保参保6451人，征地农转非入保227人。丰富农村文化生活，组建村社区文艺骨干队伍20余支共计300余人，举办了各种群众喜闻乐见的文艺表演，正积极准备闹元宵高桩彩绘制作。</w:t>
      </w:r>
    </w:p>
    <w:p w:rsidR="003875BA" w:rsidRPr="004135E8" w:rsidRDefault="003875BA" w:rsidP="003875BA">
      <w:pPr>
        <w:spacing w:line="600" w:lineRule="exact"/>
        <w:rPr>
          <w:rFonts w:ascii="仿宋_GB2312" w:eastAsia="仿宋_GB2312" w:hAnsi="楷体" w:cs="楷体"/>
          <w:b/>
          <w:bCs/>
          <w:color w:val="000000" w:themeColor="text1"/>
          <w:sz w:val="32"/>
          <w:szCs w:val="32"/>
        </w:rPr>
      </w:pPr>
      <w:r w:rsidRPr="004135E8">
        <w:rPr>
          <w:rFonts w:ascii="仿宋_GB2312" w:eastAsia="仿宋_GB2312" w:hAnsi="楷体" w:cs="楷体" w:hint="eastAsia"/>
          <w:b/>
          <w:bCs/>
          <w:color w:val="000000" w:themeColor="text1"/>
          <w:sz w:val="32"/>
          <w:szCs w:val="32"/>
        </w:rPr>
        <w:t xml:space="preserve">    </w:t>
      </w:r>
      <w:r w:rsidR="0002154A" w:rsidRPr="004135E8">
        <w:rPr>
          <w:rFonts w:ascii="仿宋_GB2312" w:eastAsia="仿宋_GB2312" w:hAnsi="黑体" w:cs="黑体" w:hint="eastAsia"/>
          <w:color w:val="000000" w:themeColor="text1"/>
          <w:sz w:val="32"/>
          <w:szCs w:val="32"/>
        </w:rPr>
        <w:t>5.</w:t>
      </w:r>
      <w:r w:rsidRPr="004135E8">
        <w:rPr>
          <w:rFonts w:ascii="仿宋_GB2312" w:eastAsia="仿宋_GB2312" w:hAnsi="黑体" w:cs="黑体" w:hint="eastAsia"/>
          <w:color w:val="000000" w:themeColor="text1"/>
          <w:sz w:val="32"/>
          <w:szCs w:val="32"/>
        </w:rPr>
        <w:t>抓治理、保稳定，社会大局和谐平安</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int="eastAsia"/>
          <w:color w:val="000000" w:themeColor="text1"/>
          <w:sz w:val="32"/>
          <w:szCs w:val="32"/>
        </w:rPr>
        <w:t xml:space="preserve">  </w:t>
      </w:r>
      <w:r w:rsidRPr="004135E8">
        <w:rPr>
          <w:rFonts w:ascii="仿宋_GB2312" w:eastAsia="仿宋_GB2312" w:hAnsi="楷体" w:cs="楷体" w:hint="eastAsia"/>
          <w:color w:val="000000" w:themeColor="text1"/>
          <w:sz w:val="32"/>
          <w:szCs w:val="32"/>
        </w:rPr>
        <w:t xml:space="preserve">  安全工作常抓不懈。强化安全生产职责，认真开展“百日安全”“安全生产月”“安全宣传日”等活动，全面落实“五级五覆盖”和企业安全生产责任体系“五落实五到位”，加强烟花爆竹安全监管，开展“两关闭”“回头看”工作，全年未发生安全生产事故。</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Ansi="楷体" w:cs="楷体" w:hint="eastAsia"/>
          <w:color w:val="000000" w:themeColor="text1"/>
          <w:sz w:val="32"/>
          <w:szCs w:val="32"/>
        </w:rPr>
        <w:t xml:space="preserve">    依法治理多措并举。全面开展“法律七进”活动，建立宣传基地，全年组织“以案说法”11次。加强人民调解和法律援助，民事纠纷受理率达100%，调解成功率达95%以上。注重法制宣传，全年召开依法治理宣传会议40余次，悬挂横幅100余副，发放宣传资料5000余份，接待群众法律咨询200人次，接受法制宣</w:t>
      </w:r>
      <w:r w:rsidRPr="004135E8">
        <w:rPr>
          <w:rFonts w:ascii="仿宋_GB2312" w:eastAsia="仿宋_GB2312" w:hAnsi="楷体" w:cs="楷体" w:hint="eastAsia"/>
          <w:color w:val="000000" w:themeColor="text1"/>
          <w:sz w:val="32"/>
          <w:szCs w:val="32"/>
        </w:rPr>
        <w:lastRenderedPageBreak/>
        <w:t>传教育达5000余人，积极营造全镇人民知法、守法、学法、用法的良好氛围。</w:t>
      </w:r>
    </w:p>
    <w:p w:rsidR="003875BA" w:rsidRPr="004135E8" w:rsidRDefault="003875BA" w:rsidP="003875BA">
      <w:pPr>
        <w:spacing w:line="600" w:lineRule="exact"/>
        <w:rPr>
          <w:rFonts w:ascii="仿宋_GB2312" w:eastAsia="仿宋_GB2312" w:hAnsi="楷体" w:cs="楷体"/>
          <w:color w:val="000000" w:themeColor="text1"/>
          <w:sz w:val="32"/>
          <w:szCs w:val="32"/>
        </w:rPr>
      </w:pPr>
      <w:r w:rsidRPr="004135E8">
        <w:rPr>
          <w:rFonts w:ascii="仿宋_GB2312" w:eastAsia="仿宋_GB2312" w:hAnsi="楷体" w:cs="楷体" w:hint="eastAsia"/>
          <w:color w:val="000000" w:themeColor="text1"/>
          <w:sz w:val="32"/>
          <w:szCs w:val="32"/>
        </w:rPr>
        <w:t xml:space="preserve">    信访综治维稳全面加强。投入经费整合建设镇村两级综治中心，大力推进雪亮工程标杆乡镇建设，做到群防群治，持续建设“平安双福”。筑牢三道防线，实行坐班接访、领导包村包案等工作制度，全面做好矛盾纠纷和信访问题的排查、化解工作，有效化解重大疑难纠纷、涉稳事件5起。特别是在全国两会、省十一届党代会、十九大等重大敏感时段，圆满实现“四零”目标，连续多年实现无进京到省上访发生。</w:t>
      </w:r>
    </w:p>
    <w:p w:rsidR="003875BA" w:rsidRPr="004135E8" w:rsidRDefault="003875BA" w:rsidP="003875BA">
      <w:pPr>
        <w:spacing w:line="600" w:lineRule="exact"/>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二、部门概况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双福镇人民政府为一级预算单位，有下属二级单位2个，其中行政单位0个，参照公务员法管理的事业单位0个，其他事业单位2个，分别为社会事业服务中心、农业技术服务中心。</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三、收支决算总体情况</w:t>
      </w:r>
    </w:p>
    <w:p w:rsidR="003875BA" w:rsidRPr="004135E8" w:rsidRDefault="003875BA" w:rsidP="002A716D">
      <w:pPr>
        <w:spacing w:line="360" w:lineRule="auto"/>
        <w:ind w:firstLineChars="200" w:firstLine="640"/>
        <w:rPr>
          <w:rFonts w:ascii="黑体" w:eastAsia="黑体"/>
          <w:color w:val="000000" w:themeColor="text1"/>
          <w:sz w:val="32"/>
          <w:szCs w:val="32"/>
        </w:rPr>
      </w:pPr>
      <w:r w:rsidRPr="004135E8">
        <w:rPr>
          <w:rFonts w:ascii="仿宋_GB2312" w:eastAsia="仿宋_GB2312" w:hint="eastAsia"/>
          <w:color w:val="000000" w:themeColor="text1"/>
          <w:sz w:val="32"/>
          <w:szCs w:val="32"/>
        </w:rPr>
        <w:t>2017年我镇本年收入合计2537.03万元，其中：财政拨款收入2144.08万元，占84.51%；事业收入0万元，占0%；经营收入0万元，占0%；附属单位上缴收入0万元，占0%；其他收入392.95万元，占15.49%。（附图1：双福镇2017年收入来源分布图）</w:t>
      </w:r>
    </w:p>
    <w:p w:rsidR="003875BA" w:rsidRPr="004135E8" w:rsidRDefault="00270496"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noProof/>
          <w:color w:val="000000" w:themeColor="text1"/>
          <w:sz w:val="32"/>
          <w:szCs w:val="32"/>
        </w:rPr>
        <w:lastRenderedPageBreak/>
        <w:drawing>
          <wp:anchor distT="0" distB="0" distL="114300" distR="114300" simplePos="0" relativeHeight="251666432" behindDoc="0" locked="0" layoutInCell="1" allowOverlap="1">
            <wp:simplePos x="0" y="0"/>
            <wp:positionH relativeFrom="column">
              <wp:posOffset>-224155</wp:posOffset>
            </wp:positionH>
            <wp:positionV relativeFrom="paragraph">
              <wp:posOffset>96520</wp:posOffset>
            </wp:positionV>
            <wp:extent cx="5592445" cy="4189095"/>
            <wp:effectExtent l="0" t="0" r="0" b="0"/>
            <wp:wrapTopAndBottom/>
            <wp:docPr id="3"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3875BA" w:rsidRPr="004135E8">
        <w:rPr>
          <w:rFonts w:ascii="仿宋_GB2312" w:eastAsia="仿宋_GB2312" w:hint="eastAsia"/>
          <w:color w:val="000000" w:themeColor="text1"/>
          <w:sz w:val="32"/>
          <w:szCs w:val="32"/>
        </w:rPr>
        <w:t>图1：双福镇2017年收入来源分布图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2017年双福镇人民政府本年支出合计</w:t>
      </w:r>
      <w:r w:rsidR="00B605E7" w:rsidRPr="004135E8">
        <w:rPr>
          <w:rFonts w:ascii="仿宋_GB2312" w:eastAsia="仿宋_GB2312" w:hint="eastAsia"/>
          <w:color w:val="000000" w:themeColor="text1"/>
          <w:sz w:val="32"/>
          <w:szCs w:val="32"/>
        </w:rPr>
        <w:t>2627.66</w:t>
      </w:r>
      <w:r w:rsidRPr="004135E8">
        <w:rPr>
          <w:rFonts w:ascii="仿宋_GB2312" w:eastAsia="仿宋_GB2312" w:hint="eastAsia"/>
          <w:color w:val="000000" w:themeColor="text1"/>
          <w:sz w:val="32"/>
          <w:szCs w:val="32"/>
        </w:rPr>
        <w:t>万元，其中：基本支出</w:t>
      </w:r>
      <w:r w:rsidR="00B605E7" w:rsidRPr="004135E8">
        <w:rPr>
          <w:rFonts w:ascii="仿宋_GB2312" w:eastAsia="仿宋_GB2312" w:hint="eastAsia"/>
          <w:color w:val="000000" w:themeColor="text1"/>
          <w:sz w:val="32"/>
          <w:szCs w:val="32"/>
        </w:rPr>
        <w:t>688.81</w:t>
      </w:r>
      <w:r w:rsidRPr="004135E8">
        <w:rPr>
          <w:rFonts w:ascii="仿宋_GB2312" w:eastAsia="仿宋_GB2312" w:hint="eastAsia"/>
          <w:color w:val="000000" w:themeColor="text1"/>
          <w:sz w:val="32"/>
          <w:szCs w:val="32"/>
        </w:rPr>
        <w:t>万元，占</w:t>
      </w:r>
      <w:r w:rsidR="00D21FA9" w:rsidRPr="004135E8">
        <w:rPr>
          <w:rFonts w:ascii="仿宋_GB2312" w:eastAsia="仿宋_GB2312" w:hint="eastAsia"/>
          <w:color w:val="000000" w:themeColor="text1"/>
          <w:sz w:val="32"/>
          <w:szCs w:val="32"/>
        </w:rPr>
        <w:t>26.21</w:t>
      </w:r>
      <w:r w:rsidRPr="004135E8">
        <w:rPr>
          <w:rFonts w:ascii="仿宋_GB2312" w:eastAsia="仿宋_GB2312" w:hint="eastAsia"/>
          <w:color w:val="000000" w:themeColor="text1"/>
          <w:sz w:val="32"/>
          <w:szCs w:val="32"/>
        </w:rPr>
        <w:t>%；项目支出</w:t>
      </w:r>
      <w:r w:rsidR="00B605E7" w:rsidRPr="004135E8">
        <w:rPr>
          <w:rFonts w:ascii="仿宋_GB2312" w:eastAsia="仿宋_GB2312" w:hint="eastAsia"/>
          <w:color w:val="000000" w:themeColor="text1"/>
          <w:sz w:val="32"/>
          <w:szCs w:val="32"/>
        </w:rPr>
        <w:t>1938.86</w:t>
      </w:r>
      <w:r w:rsidRPr="004135E8">
        <w:rPr>
          <w:rFonts w:ascii="仿宋_GB2312" w:eastAsia="仿宋_GB2312" w:hint="eastAsia"/>
          <w:color w:val="000000" w:themeColor="text1"/>
          <w:sz w:val="32"/>
          <w:szCs w:val="32"/>
        </w:rPr>
        <w:t>万元，占</w:t>
      </w:r>
      <w:r w:rsidR="00D21FA9" w:rsidRPr="004135E8">
        <w:rPr>
          <w:rFonts w:ascii="仿宋_GB2312" w:eastAsia="仿宋_GB2312" w:hint="eastAsia"/>
          <w:color w:val="000000" w:themeColor="text1"/>
          <w:sz w:val="32"/>
          <w:szCs w:val="32"/>
        </w:rPr>
        <w:t>73.79</w:t>
      </w:r>
      <w:r w:rsidRPr="004135E8">
        <w:rPr>
          <w:rFonts w:ascii="仿宋_GB2312" w:eastAsia="仿宋_GB2312" w:hint="eastAsia"/>
          <w:color w:val="000000" w:themeColor="text1"/>
          <w:sz w:val="32"/>
          <w:szCs w:val="32"/>
        </w:rPr>
        <w:t>%；上缴上级支出0万元，占0%；经营支出0万元，占0%；对附属单位补助支出0万元，占0%。（附图2：双福镇2017年支出情况分布图）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noProof/>
          <w:color w:val="000000" w:themeColor="text1"/>
          <w:sz w:val="32"/>
          <w:szCs w:val="32"/>
        </w:rPr>
        <w:lastRenderedPageBreak/>
        <w:drawing>
          <wp:anchor distT="0" distB="0" distL="114300" distR="114300" simplePos="0" relativeHeight="251662336" behindDoc="0" locked="0" layoutInCell="1" allowOverlap="1">
            <wp:simplePos x="0" y="0"/>
            <wp:positionH relativeFrom="column">
              <wp:posOffset>10160</wp:posOffset>
            </wp:positionH>
            <wp:positionV relativeFrom="paragraph">
              <wp:posOffset>170815</wp:posOffset>
            </wp:positionV>
            <wp:extent cx="5367020" cy="4722495"/>
            <wp:effectExtent l="0" t="0" r="0" b="0"/>
            <wp:wrapTopAndBottom/>
            <wp:docPr id="1"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4135E8">
        <w:rPr>
          <w:rFonts w:ascii="仿宋_GB2312" w:eastAsia="仿宋_GB2312" w:hint="eastAsia"/>
          <w:color w:val="000000" w:themeColor="text1"/>
          <w:sz w:val="32"/>
          <w:szCs w:val="32"/>
        </w:rPr>
        <w:t>图2：双福镇2017年支出情况分布图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黑体" w:eastAsia="黑体" w:hint="eastAsia"/>
          <w:color w:val="000000" w:themeColor="text1"/>
          <w:sz w:val="32"/>
          <w:szCs w:val="32"/>
        </w:rPr>
        <w:t>四、财政拨款收支决算情况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双福镇人民政府2017年度财政拨款收支总决算</w:t>
      </w:r>
      <w:r w:rsidR="00D21FA9" w:rsidRPr="004135E8">
        <w:rPr>
          <w:rFonts w:ascii="仿宋_GB2312" w:eastAsia="仿宋_GB2312" w:hint="eastAsia"/>
          <w:color w:val="000000" w:themeColor="text1"/>
          <w:sz w:val="32"/>
          <w:szCs w:val="32"/>
        </w:rPr>
        <w:t>2376.55万元</w:t>
      </w:r>
      <w:r w:rsidRPr="004135E8">
        <w:rPr>
          <w:rFonts w:ascii="仿宋_GB2312" w:eastAsia="仿宋_GB2312" w:hint="eastAsia"/>
          <w:color w:val="000000" w:themeColor="text1"/>
          <w:sz w:val="32"/>
          <w:szCs w:val="32"/>
        </w:rPr>
        <w:t>。与</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年相比，财政拨款收、支总计各增加</w:t>
      </w:r>
      <w:r w:rsidR="00D21FA9" w:rsidRPr="004135E8">
        <w:rPr>
          <w:rFonts w:ascii="仿宋_GB2312" w:eastAsia="仿宋_GB2312" w:hint="eastAsia"/>
          <w:color w:val="000000" w:themeColor="text1"/>
          <w:sz w:val="32"/>
          <w:szCs w:val="32"/>
        </w:rPr>
        <w:t>120.11</w:t>
      </w:r>
      <w:r w:rsidRPr="004135E8">
        <w:rPr>
          <w:rFonts w:ascii="仿宋_GB2312" w:eastAsia="仿宋_GB2312" w:hint="eastAsia"/>
          <w:color w:val="000000" w:themeColor="text1"/>
          <w:sz w:val="32"/>
          <w:szCs w:val="32"/>
        </w:rPr>
        <w:t>万元（</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年收支总计</w:t>
      </w:r>
      <w:r w:rsidR="00D21FA9" w:rsidRPr="004135E8">
        <w:rPr>
          <w:rFonts w:ascii="仿宋_GB2312" w:eastAsia="仿宋_GB2312" w:hint="eastAsia"/>
          <w:color w:val="000000" w:themeColor="text1"/>
          <w:sz w:val="32"/>
          <w:szCs w:val="32"/>
        </w:rPr>
        <w:t>2256.44</w:t>
      </w:r>
      <w:r w:rsidR="007D6416" w:rsidRPr="004135E8">
        <w:rPr>
          <w:rFonts w:ascii="仿宋_GB2312" w:eastAsia="仿宋_GB2312" w:hint="eastAsia"/>
          <w:color w:val="000000" w:themeColor="text1"/>
          <w:sz w:val="32"/>
          <w:szCs w:val="32"/>
        </w:rPr>
        <w:t>万</w:t>
      </w:r>
      <w:r w:rsidRPr="004135E8">
        <w:rPr>
          <w:rFonts w:ascii="仿宋_GB2312" w:eastAsia="仿宋_GB2312" w:hint="eastAsia"/>
          <w:color w:val="000000" w:themeColor="text1"/>
          <w:sz w:val="32"/>
          <w:szCs w:val="32"/>
        </w:rPr>
        <w:t>元），增长</w:t>
      </w:r>
      <w:r w:rsidR="00D21FA9" w:rsidRPr="004135E8">
        <w:rPr>
          <w:rFonts w:ascii="仿宋_GB2312" w:eastAsia="仿宋_GB2312" w:hint="eastAsia"/>
          <w:color w:val="000000" w:themeColor="text1"/>
          <w:sz w:val="32"/>
          <w:szCs w:val="32"/>
        </w:rPr>
        <w:t>5</w:t>
      </w:r>
      <w:r w:rsidRPr="004135E8">
        <w:rPr>
          <w:rFonts w:ascii="仿宋_GB2312" w:eastAsia="仿宋_GB2312" w:hint="eastAsia"/>
          <w:color w:val="000000" w:themeColor="text1"/>
          <w:sz w:val="32"/>
          <w:szCs w:val="32"/>
        </w:rPr>
        <w:t>%。（附图表3：双福镇</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、2017年收支情况对比图）</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仿宋_GB2312" w:eastAsia="仿宋_GB2312" w:hint="eastAsia"/>
          <w:noProof/>
          <w:color w:val="000000" w:themeColor="text1"/>
          <w:sz w:val="32"/>
          <w:szCs w:val="32"/>
        </w:rPr>
        <w:lastRenderedPageBreak/>
        <w:drawing>
          <wp:anchor distT="0" distB="0" distL="114300" distR="114300" simplePos="0" relativeHeight="251663360" behindDoc="0" locked="0" layoutInCell="1" allowOverlap="1">
            <wp:simplePos x="0" y="0"/>
            <wp:positionH relativeFrom="column">
              <wp:posOffset>46355</wp:posOffset>
            </wp:positionH>
            <wp:positionV relativeFrom="paragraph">
              <wp:posOffset>123190</wp:posOffset>
            </wp:positionV>
            <wp:extent cx="6277610" cy="4871720"/>
            <wp:effectExtent l="0" t="0" r="0" b="0"/>
            <wp:wrapTopAndBottom/>
            <wp:docPr id="9"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4135E8">
        <w:rPr>
          <w:rFonts w:ascii="仿宋_GB2312" w:eastAsia="仿宋_GB2312" w:hint="eastAsia"/>
          <w:color w:val="000000" w:themeColor="text1"/>
          <w:sz w:val="32"/>
          <w:szCs w:val="32"/>
        </w:rPr>
        <w:t>图3：双福镇</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、2017年收支情况对比图</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五、一般公共预算财政拨款支出决算情况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（一）一般公共预算财政拨款支出决算总体情况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双福镇人民政府2017年度一般公共预算财政拨款支出</w:t>
      </w:r>
      <w:r w:rsidR="00087CB6" w:rsidRPr="004135E8">
        <w:rPr>
          <w:rFonts w:ascii="仿宋_GB2312" w:eastAsia="仿宋_GB2312" w:hint="eastAsia"/>
          <w:color w:val="000000" w:themeColor="text1"/>
          <w:sz w:val="32"/>
          <w:szCs w:val="32"/>
        </w:rPr>
        <w:t>1874.73</w:t>
      </w:r>
      <w:r w:rsidRPr="004135E8">
        <w:rPr>
          <w:rFonts w:ascii="仿宋_GB2312" w:eastAsia="仿宋_GB2312" w:hint="eastAsia"/>
          <w:color w:val="000000" w:themeColor="text1"/>
          <w:sz w:val="32"/>
          <w:szCs w:val="32"/>
        </w:rPr>
        <w:t>万元，占本年支出合计的</w:t>
      </w:r>
      <w:r w:rsidR="004135E8" w:rsidRPr="004135E8">
        <w:rPr>
          <w:rFonts w:ascii="仿宋_GB2312" w:eastAsia="仿宋_GB2312" w:hint="eastAsia"/>
          <w:color w:val="000000" w:themeColor="text1"/>
          <w:sz w:val="32"/>
          <w:szCs w:val="32"/>
        </w:rPr>
        <w:t>71.35</w:t>
      </w:r>
      <w:r w:rsidRPr="004135E8">
        <w:rPr>
          <w:rFonts w:ascii="仿宋_GB2312" w:eastAsia="仿宋_GB2312" w:hint="eastAsia"/>
          <w:color w:val="000000" w:themeColor="text1"/>
          <w:sz w:val="32"/>
          <w:szCs w:val="32"/>
        </w:rPr>
        <w:t>%。与</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年相比，一般公共预算财政拨款增加</w:t>
      </w:r>
      <w:r w:rsidR="00087CB6" w:rsidRPr="004135E8">
        <w:rPr>
          <w:rFonts w:ascii="仿宋_GB2312" w:eastAsia="仿宋_GB2312" w:hint="eastAsia"/>
          <w:color w:val="000000" w:themeColor="text1"/>
          <w:sz w:val="32"/>
          <w:szCs w:val="32"/>
        </w:rPr>
        <w:t>312.22</w:t>
      </w:r>
      <w:r w:rsidRPr="004135E8">
        <w:rPr>
          <w:rFonts w:ascii="仿宋_GB2312" w:eastAsia="仿宋_GB2312" w:hint="eastAsia"/>
          <w:color w:val="000000" w:themeColor="text1"/>
          <w:sz w:val="32"/>
          <w:szCs w:val="32"/>
        </w:rPr>
        <w:t>万元（</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年一般公共预算财政拨款支出</w:t>
      </w:r>
      <w:r w:rsidR="00087CB6" w:rsidRPr="004135E8">
        <w:rPr>
          <w:rFonts w:ascii="仿宋_GB2312" w:eastAsia="仿宋_GB2312" w:hint="eastAsia"/>
          <w:color w:val="000000" w:themeColor="text1"/>
          <w:sz w:val="32"/>
          <w:szCs w:val="32"/>
        </w:rPr>
        <w:t>1562.51</w:t>
      </w:r>
      <w:r w:rsidRPr="004135E8">
        <w:rPr>
          <w:rFonts w:ascii="仿宋_GB2312" w:eastAsia="仿宋_GB2312" w:hint="eastAsia"/>
          <w:color w:val="000000" w:themeColor="text1"/>
          <w:sz w:val="32"/>
          <w:szCs w:val="32"/>
        </w:rPr>
        <w:t>万元），增长</w:t>
      </w:r>
      <w:r w:rsidR="00087CB6" w:rsidRPr="004135E8">
        <w:rPr>
          <w:rFonts w:ascii="仿宋_GB2312" w:eastAsia="仿宋_GB2312" w:hint="eastAsia"/>
          <w:color w:val="000000" w:themeColor="text1"/>
          <w:sz w:val="32"/>
          <w:szCs w:val="32"/>
        </w:rPr>
        <w:t>19.98</w:t>
      </w:r>
      <w:r w:rsidRPr="004135E8">
        <w:rPr>
          <w:rFonts w:ascii="仿宋_GB2312" w:eastAsia="仿宋_GB2312" w:hint="eastAsia"/>
          <w:color w:val="000000" w:themeColor="text1"/>
          <w:sz w:val="32"/>
          <w:szCs w:val="32"/>
        </w:rPr>
        <w:t>%。（附图4：双福镇</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、2017年一般公共预算财政拨款支出对比图）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noProof/>
          <w:color w:val="000000" w:themeColor="text1"/>
          <w:sz w:val="32"/>
          <w:szCs w:val="32"/>
        </w:rPr>
        <w:lastRenderedPageBreak/>
        <w:drawing>
          <wp:anchor distT="0" distB="0" distL="114300" distR="114300" simplePos="0" relativeHeight="251664384" behindDoc="0" locked="0" layoutInCell="1" allowOverlap="1">
            <wp:simplePos x="0" y="0"/>
            <wp:positionH relativeFrom="column">
              <wp:posOffset>-308610</wp:posOffset>
            </wp:positionH>
            <wp:positionV relativeFrom="paragraph">
              <wp:posOffset>122555</wp:posOffset>
            </wp:positionV>
            <wp:extent cx="6250305" cy="5076825"/>
            <wp:effectExtent l="0" t="0" r="0" b="0"/>
            <wp:wrapSquare wrapText="bothSides"/>
            <wp:docPr id="11"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4135E8">
        <w:rPr>
          <w:rFonts w:ascii="仿宋_GB2312" w:eastAsia="仿宋_GB2312" w:hint="eastAsia"/>
          <w:color w:val="000000" w:themeColor="text1"/>
          <w:sz w:val="32"/>
          <w:szCs w:val="32"/>
        </w:rPr>
        <w:t>图4：双福镇</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、2017年一般公共预算财政拨款支出对比图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（二）一般公共预算财政拨款支出决算结构情况</w:t>
      </w:r>
    </w:p>
    <w:p w:rsidR="003875BA" w:rsidRPr="004135E8" w:rsidRDefault="003875BA" w:rsidP="00087CB6">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双福镇人民政府2017年一般公共预算财政拨款支出</w:t>
      </w:r>
      <w:r w:rsidR="00A85276" w:rsidRPr="004135E8">
        <w:rPr>
          <w:rFonts w:ascii="仿宋_GB2312" w:eastAsia="仿宋_GB2312" w:hint="eastAsia"/>
          <w:color w:val="000000" w:themeColor="text1"/>
          <w:sz w:val="32"/>
          <w:szCs w:val="32"/>
        </w:rPr>
        <w:t>1874.73</w:t>
      </w:r>
      <w:r w:rsidRPr="004135E8">
        <w:rPr>
          <w:rFonts w:ascii="仿宋_GB2312" w:eastAsia="仿宋_GB2312" w:hint="eastAsia"/>
          <w:color w:val="000000" w:themeColor="text1"/>
          <w:sz w:val="32"/>
          <w:szCs w:val="32"/>
        </w:rPr>
        <w:t>万元，主要用于以下方面:农林水支出</w:t>
      </w:r>
      <w:r w:rsidR="00A85276" w:rsidRPr="004135E8">
        <w:rPr>
          <w:rFonts w:ascii="仿宋_GB2312" w:eastAsia="仿宋_GB2312" w:hint="eastAsia"/>
          <w:color w:val="000000" w:themeColor="text1"/>
          <w:sz w:val="32"/>
          <w:szCs w:val="32"/>
        </w:rPr>
        <w:t>719.01</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38.35</w:t>
      </w:r>
      <w:r w:rsidRPr="004135E8">
        <w:rPr>
          <w:rFonts w:ascii="仿宋_GB2312" w:eastAsia="仿宋_GB2312" w:hint="eastAsia"/>
          <w:color w:val="000000" w:themeColor="text1"/>
          <w:sz w:val="32"/>
          <w:szCs w:val="32"/>
        </w:rPr>
        <w:t>%，一般公共服务支出</w:t>
      </w:r>
      <w:r w:rsidR="00A85276" w:rsidRPr="004135E8">
        <w:rPr>
          <w:rFonts w:ascii="仿宋_GB2312" w:eastAsia="仿宋_GB2312" w:hint="eastAsia"/>
          <w:color w:val="000000" w:themeColor="text1"/>
          <w:sz w:val="32"/>
          <w:szCs w:val="32"/>
        </w:rPr>
        <w:t>531.51</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28.35</w:t>
      </w:r>
      <w:r w:rsidRPr="004135E8">
        <w:rPr>
          <w:rFonts w:ascii="仿宋_GB2312" w:eastAsia="仿宋_GB2312" w:hint="eastAsia"/>
          <w:color w:val="000000" w:themeColor="text1"/>
          <w:sz w:val="32"/>
          <w:szCs w:val="32"/>
        </w:rPr>
        <w:t>%；</w:t>
      </w:r>
      <w:r w:rsidR="003B0BB8" w:rsidRPr="004135E8">
        <w:rPr>
          <w:rFonts w:ascii="仿宋_GB2312" w:eastAsia="仿宋_GB2312" w:hint="eastAsia"/>
          <w:color w:val="000000" w:themeColor="text1"/>
          <w:sz w:val="32"/>
          <w:szCs w:val="32"/>
        </w:rPr>
        <w:t>文化教育和传媒</w:t>
      </w:r>
      <w:r w:rsidRPr="004135E8">
        <w:rPr>
          <w:rFonts w:ascii="仿宋_GB2312" w:eastAsia="仿宋_GB2312" w:hint="eastAsia"/>
          <w:color w:val="000000" w:themeColor="text1"/>
          <w:sz w:val="32"/>
          <w:szCs w:val="32"/>
        </w:rPr>
        <w:t>支出</w:t>
      </w:r>
      <w:r w:rsidR="003B0BB8" w:rsidRPr="004135E8">
        <w:rPr>
          <w:rFonts w:ascii="仿宋_GB2312" w:eastAsia="仿宋_GB2312" w:hint="eastAsia"/>
          <w:color w:val="000000" w:themeColor="text1"/>
          <w:sz w:val="32"/>
          <w:szCs w:val="32"/>
        </w:rPr>
        <w:t>96.25</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5.13</w:t>
      </w:r>
      <w:r w:rsidRPr="004135E8">
        <w:rPr>
          <w:rFonts w:ascii="仿宋_GB2312" w:eastAsia="仿宋_GB2312" w:hint="eastAsia"/>
          <w:color w:val="000000" w:themeColor="text1"/>
          <w:sz w:val="32"/>
          <w:szCs w:val="32"/>
        </w:rPr>
        <w:t>%；社会保障和就业支出</w:t>
      </w:r>
      <w:r w:rsidR="003B0BB8" w:rsidRPr="004135E8">
        <w:rPr>
          <w:rFonts w:ascii="仿宋_GB2312" w:eastAsia="仿宋_GB2312" w:hint="eastAsia"/>
          <w:color w:val="000000" w:themeColor="text1"/>
          <w:sz w:val="32"/>
          <w:szCs w:val="32"/>
        </w:rPr>
        <w:t>123.21</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6.57</w:t>
      </w:r>
      <w:r w:rsidRPr="004135E8">
        <w:rPr>
          <w:rFonts w:ascii="仿宋_GB2312" w:eastAsia="仿宋_GB2312" w:hint="eastAsia"/>
          <w:color w:val="000000" w:themeColor="text1"/>
          <w:sz w:val="32"/>
          <w:szCs w:val="32"/>
        </w:rPr>
        <w:t>%；医疗卫生支出</w:t>
      </w:r>
      <w:r w:rsidR="003B0BB8" w:rsidRPr="004135E8">
        <w:rPr>
          <w:rFonts w:ascii="仿宋_GB2312" w:eastAsia="仿宋_GB2312" w:hint="eastAsia"/>
          <w:color w:val="000000" w:themeColor="text1"/>
          <w:sz w:val="32"/>
          <w:szCs w:val="32"/>
        </w:rPr>
        <w:t>13.46</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0.72</w:t>
      </w:r>
      <w:r w:rsidRPr="004135E8">
        <w:rPr>
          <w:rFonts w:ascii="仿宋_GB2312" w:eastAsia="仿宋_GB2312" w:hint="eastAsia"/>
          <w:color w:val="000000" w:themeColor="text1"/>
          <w:sz w:val="32"/>
          <w:szCs w:val="32"/>
        </w:rPr>
        <w:t>%；住房保障支出</w:t>
      </w:r>
      <w:r w:rsidR="003B0BB8" w:rsidRPr="004135E8">
        <w:rPr>
          <w:rFonts w:ascii="仿宋_GB2312" w:eastAsia="仿宋_GB2312" w:hint="eastAsia"/>
          <w:color w:val="000000" w:themeColor="text1"/>
          <w:sz w:val="32"/>
          <w:szCs w:val="32"/>
        </w:rPr>
        <w:t>43.23</w:t>
      </w:r>
      <w:r w:rsidRPr="004135E8">
        <w:rPr>
          <w:rFonts w:ascii="仿宋_GB2312" w:eastAsia="仿宋_GB2312" w:hint="eastAsia"/>
          <w:color w:val="000000" w:themeColor="text1"/>
          <w:sz w:val="32"/>
          <w:szCs w:val="32"/>
        </w:rPr>
        <w:lastRenderedPageBreak/>
        <w:t>万元，占</w:t>
      </w:r>
      <w:r w:rsidR="009F29FE" w:rsidRPr="004135E8">
        <w:rPr>
          <w:rFonts w:ascii="仿宋_GB2312" w:eastAsia="仿宋_GB2312" w:hint="eastAsia"/>
          <w:color w:val="000000" w:themeColor="text1"/>
          <w:sz w:val="32"/>
          <w:szCs w:val="32"/>
        </w:rPr>
        <w:t>2.31</w:t>
      </w:r>
      <w:r w:rsidRPr="004135E8">
        <w:rPr>
          <w:rFonts w:ascii="仿宋_GB2312" w:eastAsia="仿宋_GB2312" w:hint="eastAsia"/>
          <w:color w:val="000000" w:themeColor="text1"/>
          <w:sz w:val="32"/>
          <w:szCs w:val="32"/>
        </w:rPr>
        <w:t>%；</w:t>
      </w:r>
      <w:r w:rsidR="003B0BB8" w:rsidRPr="004135E8">
        <w:rPr>
          <w:rFonts w:ascii="仿宋_GB2312" w:eastAsia="仿宋_GB2312" w:hint="eastAsia"/>
          <w:color w:val="000000" w:themeColor="text1"/>
          <w:sz w:val="32"/>
          <w:szCs w:val="32"/>
        </w:rPr>
        <w:t>节能环保</w:t>
      </w:r>
      <w:r w:rsidRPr="004135E8">
        <w:rPr>
          <w:rFonts w:ascii="仿宋_GB2312" w:eastAsia="仿宋_GB2312" w:hint="eastAsia"/>
          <w:color w:val="000000" w:themeColor="text1"/>
          <w:sz w:val="32"/>
          <w:szCs w:val="32"/>
        </w:rPr>
        <w:t>支出</w:t>
      </w:r>
      <w:r w:rsidR="003B0BB8" w:rsidRPr="004135E8">
        <w:rPr>
          <w:rFonts w:ascii="仿宋_GB2312" w:eastAsia="仿宋_GB2312" w:hint="eastAsia"/>
          <w:color w:val="000000" w:themeColor="text1"/>
          <w:sz w:val="32"/>
          <w:szCs w:val="32"/>
        </w:rPr>
        <w:t>164.56</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8.78</w:t>
      </w:r>
      <w:r w:rsidRPr="004135E8">
        <w:rPr>
          <w:rFonts w:ascii="仿宋_GB2312" w:eastAsia="仿宋_GB2312" w:hint="eastAsia"/>
          <w:color w:val="000000" w:themeColor="text1"/>
          <w:sz w:val="32"/>
          <w:szCs w:val="32"/>
        </w:rPr>
        <w:t>%；国土海洋气象等支出</w:t>
      </w:r>
      <w:r w:rsidR="003B0BB8" w:rsidRPr="004135E8">
        <w:rPr>
          <w:rFonts w:ascii="仿宋_GB2312" w:eastAsia="仿宋_GB2312" w:hint="eastAsia"/>
          <w:color w:val="000000" w:themeColor="text1"/>
          <w:sz w:val="32"/>
          <w:szCs w:val="32"/>
        </w:rPr>
        <w:t>1.44</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0.08</w:t>
      </w:r>
      <w:r w:rsidRPr="004135E8">
        <w:rPr>
          <w:rFonts w:ascii="仿宋_GB2312" w:eastAsia="仿宋_GB2312" w:hint="eastAsia"/>
          <w:color w:val="000000" w:themeColor="text1"/>
          <w:sz w:val="32"/>
          <w:szCs w:val="32"/>
        </w:rPr>
        <w:t>%，城乡社区支出</w:t>
      </w:r>
      <w:r w:rsidR="003B0BB8" w:rsidRPr="004135E8">
        <w:rPr>
          <w:rFonts w:ascii="仿宋_GB2312" w:eastAsia="仿宋_GB2312" w:hint="eastAsia"/>
          <w:color w:val="000000" w:themeColor="text1"/>
          <w:sz w:val="32"/>
          <w:szCs w:val="32"/>
        </w:rPr>
        <w:t>106.5</w:t>
      </w:r>
      <w:r w:rsidRPr="004135E8">
        <w:rPr>
          <w:rFonts w:ascii="仿宋_GB2312" w:eastAsia="仿宋_GB2312" w:hint="eastAsia"/>
          <w:color w:val="000000" w:themeColor="text1"/>
          <w:sz w:val="32"/>
          <w:szCs w:val="32"/>
        </w:rPr>
        <w:t>万元，占</w:t>
      </w:r>
      <w:r w:rsidR="009F29FE" w:rsidRPr="004135E8">
        <w:rPr>
          <w:rFonts w:ascii="仿宋_GB2312" w:eastAsia="仿宋_GB2312" w:hint="eastAsia"/>
          <w:color w:val="000000" w:themeColor="text1"/>
          <w:sz w:val="32"/>
          <w:szCs w:val="32"/>
        </w:rPr>
        <w:t>5.69</w:t>
      </w:r>
      <w:r w:rsidRPr="004135E8">
        <w:rPr>
          <w:rFonts w:ascii="仿宋_GB2312" w:eastAsia="仿宋_GB2312" w:hint="eastAsia"/>
          <w:color w:val="000000" w:themeColor="text1"/>
          <w:sz w:val="32"/>
          <w:szCs w:val="32"/>
        </w:rPr>
        <w:t>%</w:t>
      </w:r>
      <w:r w:rsidR="009F29FE" w:rsidRPr="004135E8">
        <w:rPr>
          <w:rFonts w:ascii="仿宋_GB2312" w:eastAsia="仿宋_GB2312" w:hint="eastAsia"/>
          <w:color w:val="000000" w:themeColor="text1"/>
          <w:sz w:val="32"/>
          <w:szCs w:val="32"/>
        </w:rPr>
        <w:t>，</w:t>
      </w:r>
      <w:r w:rsidRPr="004135E8">
        <w:rPr>
          <w:rFonts w:ascii="仿宋_GB2312" w:eastAsia="仿宋_GB2312" w:hint="eastAsia"/>
          <w:color w:val="000000" w:themeColor="text1"/>
          <w:sz w:val="32"/>
          <w:szCs w:val="32"/>
        </w:rPr>
        <w:t>。（附图5：一般公共预算财政拨款支出决算结构图）</w:t>
      </w:r>
    </w:p>
    <w:p w:rsidR="003875BA" w:rsidRPr="004135E8" w:rsidRDefault="009F29FE" w:rsidP="003875BA">
      <w:pPr>
        <w:spacing w:line="360" w:lineRule="auto"/>
        <w:ind w:firstLine="640"/>
        <w:rPr>
          <w:rFonts w:ascii="仿宋_GB2312" w:eastAsia="仿宋_GB2312"/>
          <w:b/>
          <w:color w:val="000000" w:themeColor="text1"/>
          <w:sz w:val="32"/>
          <w:szCs w:val="32"/>
        </w:rPr>
      </w:pPr>
      <w:r w:rsidRPr="004135E8">
        <w:rPr>
          <w:rFonts w:ascii="仿宋_GB2312" w:eastAsia="仿宋_GB2312" w:hint="eastAsia"/>
          <w:noProof/>
          <w:color w:val="000000" w:themeColor="text1"/>
          <w:sz w:val="32"/>
          <w:szCs w:val="32"/>
        </w:rPr>
        <w:drawing>
          <wp:anchor distT="0" distB="0" distL="114300" distR="114300" simplePos="0" relativeHeight="251659264" behindDoc="0" locked="0" layoutInCell="1" allowOverlap="1">
            <wp:simplePos x="0" y="0"/>
            <wp:positionH relativeFrom="column">
              <wp:posOffset>-307975</wp:posOffset>
            </wp:positionH>
            <wp:positionV relativeFrom="paragraph">
              <wp:posOffset>258445</wp:posOffset>
            </wp:positionV>
            <wp:extent cx="6511925" cy="4420870"/>
            <wp:effectExtent l="0" t="0" r="0" b="0"/>
            <wp:wrapTopAndBottom/>
            <wp:docPr id="8"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875BA" w:rsidRPr="004135E8">
        <w:rPr>
          <w:rFonts w:ascii="仿宋_GB2312" w:eastAsia="仿宋_GB2312" w:hint="eastAsia"/>
          <w:color w:val="000000" w:themeColor="text1"/>
          <w:sz w:val="32"/>
          <w:szCs w:val="32"/>
        </w:rPr>
        <w:t>图5：一般公共预算财政拨款支出决算结构图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（三）一般公共预算财政拨款支出决算具体情况</w:t>
      </w:r>
    </w:p>
    <w:tbl>
      <w:tblPr>
        <w:tblW w:w="5000" w:type="pct"/>
        <w:tblCellSpacing w:w="0" w:type="dxa"/>
        <w:tblCellMar>
          <w:left w:w="0" w:type="dxa"/>
          <w:right w:w="0" w:type="dxa"/>
        </w:tblCellMar>
        <w:tblLook w:val="04A0"/>
      </w:tblPr>
      <w:tblGrid>
        <w:gridCol w:w="8958"/>
      </w:tblGrid>
      <w:tr w:rsidR="003875BA" w:rsidRPr="004135E8" w:rsidTr="004244B4">
        <w:trPr>
          <w:tblCellSpacing w:w="0" w:type="dxa"/>
        </w:trPr>
        <w:tc>
          <w:tcPr>
            <w:tcW w:w="0" w:type="auto"/>
            <w:shd w:val="clear" w:color="auto" w:fill="FFFFFF"/>
          </w:tcPr>
          <w:p w:rsidR="003875BA" w:rsidRPr="004135E8" w:rsidRDefault="003875BA" w:rsidP="004244B4">
            <w:pPr>
              <w:spacing w:line="360" w:lineRule="auto"/>
              <w:ind w:firstLineChars="250" w:firstLine="80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1.一般公共服务支出（类）政府办公厅（室）及相关机构事务（款）行政运行（项）</w:t>
            </w:r>
            <w:r w:rsidRPr="004135E8">
              <w:rPr>
                <w:rFonts w:ascii="仿宋_GB2312" w:eastAsia="仿宋_GB2312" w:hint="eastAsia"/>
                <w:color w:val="000000" w:themeColor="text1"/>
                <w:sz w:val="32"/>
                <w:szCs w:val="32"/>
              </w:rPr>
              <w:t>：2017年决算数</w:t>
            </w:r>
            <w:r w:rsidR="009F29FE" w:rsidRPr="004135E8">
              <w:rPr>
                <w:rFonts w:ascii="仿宋_GB2312" w:eastAsia="仿宋_GB2312" w:hint="eastAsia"/>
                <w:color w:val="000000" w:themeColor="text1"/>
                <w:sz w:val="32"/>
                <w:szCs w:val="32"/>
              </w:rPr>
              <w:t>341.15</w:t>
            </w:r>
            <w:r w:rsidRPr="004135E8">
              <w:rPr>
                <w:rFonts w:ascii="仿宋_GB2312" w:eastAsia="仿宋_GB2312" w:hint="eastAsia"/>
                <w:color w:val="000000" w:themeColor="text1"/>
                <w:sz w:val="32"/>
                <w:szCs w:val="32"/>
              </w:rPr>
              <w:t>万元，完成预算100%。</w:t>
            </w:r>
          </w:p>
          <w:p w:rsidR="003875BA" w:rsidRPr="004135E8" w:rsidRDefault="003875BA" w:rsidP="004244B4">
            <w:pPr>
              <w:spacing w:line="360" w:lineRule="auto"/>
              <w:ind w:firstLineChars="250" w:firstLine="80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2.一般公共服务支出（类）政府办公厅（室）及相关机构</w:t>
            </w:r>
            <w:r w:rsidRPr="004135E8">
              <w:rPr>
                <w:rFonts w:ascii="仿宋_GB2312" w:eastAsia="仿宋_GB2312" w:hint="eastAsia"/>
                <w:b/>
                <w:color w:val="000000" w:themeColor="text1"/>
                <w:sz w:val="32"/>
                <w:szCs w:val="32"/>
              </w:rPr>
              <w:lastRenderedPageBreak/>
              <w:t>事务（款）一般行政管理事务（项）：</w:t>
            </w:r>
            <w:r w:rsidRPr="004135E8">
              <w:rPr>
                <w:rFonts w:ascii="仿宋_GB2312" w:eastAsia="仿宋_GB2312" w:hint="eastAsia"/>
                <w:color w:val="000000" w:themeColor="text1"/>
                <w:sz w:val="32"/>
                <w:szCs w:val="32"/>
              </w:rPr>
              <w:t>2017年决算数</w:t>
            </w:r>
            <w:r w:rsidRPr="004135E8">
              <w:rPr>
                <w:rFonts w:ascii="仿宋_GB2312" w:eastAsia="仿宋_GB2312" w:hint="eastAsia"/>
                <w:color w:val="000000" w:themeColor="text1"/>
                <w:sz w:val="32"/>
                <w:szCs w:val="32"/>
              </w:rPr>
              <w:tab/>
            </w:r>
            <w:r w:rsidR="009F29FE" w:rsidRPr="004135E8">
              <w:rPr>
                <w:rFonts w:ascii="仿宋_GB2312" w:eastAsia="仿宋_GB2312" w:hint="eastAsia"/>
                <w:color w:val="000000" w:themeColor="text1"/>
                <w:sz w:val="32"/>
                <w:szCs w:val="32"/>
              </w:rPr>
              <w:t>172.76</w:t>
            </w:r>
            <w:r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50" w:firstLine="80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3</w:t>
            </w:r>
            <w:r w:rsidR="003875BA" w:rsidRPr="004135E8">
              <w:rPr>
                <w:rFonts w:ascii="仿宋_GB2312" w:eastAsia="仿宋_GB2312" w:hint="eastAsia"/>
                <w:b/>
                <w:color w:val="000000" w:themeColor="text1"/>
                <w:sz w:val="32"/>
                <w:szCs w:val="32"/>
              </w:rPr>
              <w:t>.一般公共服务支出（类）财政事务（款）事业运</w:t>
            </w:r>
            <w:r w:rsidR="00A447EA" w:rsidRPr="004135E8">
              <w:rPr>
                <w:rFonts w:ascii="仿宋_GB2312" w:eastAsia="仿宋_GB2312" w:hint="eastAsia"/>
                <w:b/>
                <w:color w:val="000000" w:themeColor="text1"/>
                <w:sz w:val="32"/>
                <w:szCs w:val="32"/>
              </w:rPr>
              <w:t>行</w:t>
            </w:r>
            <w:r w:rsidR="003875BA" w:rsidRPr="004135E8">
              <w:rPr>
                <w:rFonts w:ascii="仿宋_GB2312" w:eastAsia="仿宋_GB2312" w:hint="eastAsia"/>
                <w:b/>
                <w:color w:val="000000" w:themeColor="text1"/>
                <w:sz w:val="32"/>
                <w:szCs w:val="32"/>
              </w:rPr>
              <w:t>（项）：</w:t>
            </w:r>
            <w:r w:rsidR="003875BA" w:rsidRPr="004135E8">
              <w:rPr>
                <w:rFonts w:ascii="仿宋_GB2312" w:eastAsia="仿宋_GB2312" w:hint="eastAsia"/>
                <w:color w:val="000000" w:themeColor="text1"/>
                <w:sz w:val="32"/>
                <w:szCs w:val="32"/>
              </w:rPr>
              <w:t>2017年决算数</w:t>
            </w:r>
            <w:r w:rsidR="009F29FE" w:rsidRPr="004135E8">
              <w:rPr>
                <w:rFonts w:ascii="仿宋_GB2312" w:eastAsia="仿宋_GB2312" w:hint="eastAsia"/>
                <w:color w:val="000000" w:themeColor="text1"/>
                <w:sz w:val="32"/>
                <w:szCs w:val="32"/>
              </w:rPr>
              <w:t>10.67</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50" w:firstLine="80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4</w:t>
            </w:r>
            <w:r w:rsidR="003875BA" w:rsidRPr="004135E8">
              <w:rPr>
                <w:rFonts w:ascii="仿宋_GB2312" w:eastAsia="仿宋_GB2312" w:hint="eastAsia"/>
                <w:b/>
                <w:color w:val="000000" w:themeColor="text1"/>
                <w:sz w:val="32"/>
                <w:szCs w:val="32"/>
              </w:rPr>
              <w:t>.一般公共服务（类）人力资源事务（款）其他人力资源事务支出（项）:</w:t>
            </w:r>
            <w:r w:rsidR="003875BA" w:rsidRPr="004135E8">
              <w:rPr>
                <w:rFonts w:ascii="仿宋_GB2312" w:eastAsia="仿宋_GB2312" w:hint="eastAsia"/>
                <w:color w:val="000000" w:themeColor="text1"/>
                <w:sz w:val="32"/>
                <w:szCs w:val="32"/>
              </w:rPr>
              <w:t>2017年决算数</w:t>
            </w:r>
            <w:r w:rsidR="009F29FE" w:rsidRPr="004135E8">
              <w:rPr>
                <w:rFonts w:ascii="仿宋_GB2312" w:eastAsia="仿宋_GB2312" w:hint="eastAsia"/>
                <w:color w:val="000000" w:themeColor="text1"/>
                <w:sz w:val="32"/>
                <w:szCs w:val="32"/>
              </w:rPr>
              <w:t>6.93</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5</w:t>
            </w:r>
            <w:r w:rsidR="003875BA" w:rsidRPr="004135E8">
              <w:rPr>
                <w:rFonts w:ascii="仿宋_GB2312" w:eastAsia="仿宋_GB2312" w:hint="eastAsia"/>
                <w:b/>
                <w:color w:val="000000" w:themeColor="text1"/>
                <w:sz w:val="32"/>
                <w:szCs w:val="32"/>
              </w:rPr>
              <w:t>.文化体育与传媒支出（类）文化（款）群众文化（项）：</w:t>
            </w:r>
            <w:r w:rsidR="003875BA" w:rsidRPr="004135E8">
              <w:rPr>
                <w:rFonts w:ascii="仿宋_GB2312" w:eastAsia="仿宋_GB2312" w:hint="eastAsia"/>
                <w:color w:val="000000" w:themeColor="text1"/>
                <w:sz w:val="32"/>
                <w:szCs w:val="32"/>
              </w:rPr>
              <w:t>2017年决算数</w:t>
            </w:r>
            <w:r w:rsidR="009F29FE" w:rsidRPr="004135E8">
              <w:rPr>
                <w:rFonts w:ascii="仿宋_GB2312" w:eastAsia="仿宋_GB2312" w:hint="eastAsia"/>
                <w:color w:val="000000" w:themeColor="text1"/>
                <w:sz w:val="32"/>
                <w:szCs w:val="32"/>
              </w:rPr>
              <w:t>92.49</w:t>
            </w:r>
            <w:r w:rsidR="003875BA" w:rsidRPr="004135E8">
              <w:rPr>
                <w:rFonts w:ascii="仿宋_GB2312" w:eastAsia="仿宋_GB2312" w:hint="eastAsia"/>
                <w:color w:val="000000" w:themeColor="text1"/>
                <w:sz w:val="32"/>
                <w:szCs w:val="32"/>
              </w:rPr>
              <w:tab/>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6</w:t>
            </w:r>
            <w:r w:rsidR="003875BA" w:rsidRPr="004135E8">
              <w:rPr>
                <w:rFonts w:ascii="仿宋_GB2312" w:eastAsia="仿宋_GB2312" w:hint="eastAsia"/>
                <w:b/>
                <w:color w:val="000000" w:themeColor="text1"/>
                <w:sz w:val="32"/>
                <w:szCs w:val="32"/>
              </w:rPr>
              <w:t>.文化体育与传媒支出（类）文化（款）其他文化支出（项）：</w:t>
            </w:r>
            <w:r w:rsidR="003875BA" w:rsidRPr="004135E8">
              <w:rPr>
                <w:rFonts w:ascii="仿宋_GB2312" w:eastAsia="仿宋_GB2312" w:hint="eastAsia"/>
                <w:color w:val="000000" w:themeColor="text1"/>
                <w:sz w:val="32"/>
                <w:szCs w:val="32"/>
              </w:rPr>
              <w:t>2017年决算数</w:t>
            </w:r>
            <w:r w:rsidR="009F29FE" w:rsidRPr="004135E8">
              <w:rPr>
                <w:rFonts w:ascii="仿宋_GB2312" w:eastAsia="仿宋_GB2312" w:hint="eastAsia"/>
                <w:color w:val="000000" w:themeColor="text1"/>
                <w:sz w:val="32"/>
                <w:szCs w:val="32"/>
              </w:rPr>
              <w:t>3</w:t>
            </w:r>
            <w:r w:rsidR="003875BA" w:rsidRPr="004135E8">
              <w:rPr>
                <w:rFonts w:ascii="仿宋_GB2312" w:eastAsia="仿宋_GB2312" w:hint="eastAsia"/>
                <w:color w:val="000000" w:themeColor="text1"/>
                <w:sz w:val="32"/>
                <w:szCs w:val="32"/>
              </w:rPr>
              <w:t>万元,完成预算</w:t>
            </w:r>
            <w:r w:rsidR="00A447EA" w:rsidRPr="004135E8">
              <w:rPr>
                <w:rFonts w:ascii="仿宋_GB2312" w:eastAsia="仿宋_GB2312" w:hint="eastAsia"/>
                <w:color w:val="000000" w:themeColor="text1"/>
                <w:sz w:val="32"/>
                <w:szCs w:val="32"/>
              </w:rPr>
              <w:t>50</w:t>
            </w:r>
            <w:r w:rsidR="003875BA" w:rsidRPr="004135E8">
              <w:rPr>
                <w:rFonts w:ascii="仿宋_GB2312" w:eastAsia="仿宋_GB2312" w:hint="eastAsia"/>
                <w:color w:val="000000" w:themeColor="text1"/>
                <w:sz w:val="32"/>
                <w:szCs w:val="32"/>
              </w:rPr>
              <w:t>%.</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7</w:t>
            </w:r>
            <w:r w:rsidR="003875BA" w:rsidRPr="004135E8">
              <w:rPr>
                <w:rFonts w:ascii="仿宋_GB2312" w:eastAsia="仿宋_GB2312" w:hint="eastAsia"/>
                <w:b/>
                <w:color w:val="000000" w:themeColor="text1"/>
                <w:sz w:val="32"/>
                <w:szCs w:val="32"/>
              </w:rPr>
              <w:t>.文化体育与传媒支出（类）其他文化体育与传媒支出（款）其他文化体育与传媒支出（项）：</w:t>
            </w:r>
            <w:r w:rsidR="003875BA" w:rsidRPr="004135E8">
              <w:rPr>
                <w:rFonts w:ascii="仿宋_GB2312" w:eastAsia="仿宋_GB2312" w:hint="eastAsia"/>
                <w:color w:val="000000" w:themeColor="text1"/>
                <w:sz w:val="32"/>
                <w:szCs w:val="32"/>
              </w:rPr>
              <w:t>2017年决算数</w:t>
            </w:r>
            <w:r w:rsidR="00A21F4B" w:rsidRPr="004135E8">
              <w:rPr>
                <w:rFonts w:ascii="仿宋_GB2312" w:eastAsia="仿宋_GB2312" w:hint="eastAsia"/>
                <w:color w:val="000000" w:themeColor="text1"/>
                <w:sz w:val="32"/>
                <w:szCs w:val="32"/>
              </w:rPr>
              <w:t>0.76</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8</w:t>
            </w:r>
            <w:r w:rsidR="003875BA" w:rsidRPr="004135E8">
              <w:rPr>
                <w:rFonts w:ascii="仿宋_GB2312" w:eastAsia="仿宋_GB2312" w:hint="eastAsia"/>
                <w:b/>
                <w:color w:val="000000" w:themeColor="text1"/>
                <w:sz w:val="32"/>
                <w:szCs w:val="32"/>
              </w:rPr>
              <w:t>.社会保障和就业支出（类）人力资源和社会保障事务（款）劳动保障监察（项）：</w:t>
            </w:r>
            <w:r w:rsidR="003875BA" w:rsidRPr="004135E8">
              <w:rPr>
                <w:rFonts w:ascii="仿宋_GB2312" w:eastAsia="仿宋_GB2312" w:hint="eastAsia"/>
                <w:color w:val="000000" w:themeColor="text1"/>
                <w:sz w:val="32"/>
                <w:szCs w:val="32"/>
              </w:rPr>
              <w:t>2017年决算数</w:t>
            </w:r>
            <w:r w:rsidR="00A21F4B" w:rsidRPr="004135E8">
              <w:rPr>
                <w:rFonts w:ascii="仿宋_GB2312" w:eastAsia="仿宋_GB2312" w:hint="eastAsia"/>
                <w:color w:val="000000" w:themeColor="text1"/>
                <w:sz w:val="32"/>
                <w:szCs w:val="32"/>
              </w:rPr>
              <w:t>10.58</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9</w:t>
            </w:r>
            <w:r w:rsidR="003875BA" w:rsidRPr="004135E8">
              <w:rPr>
                <w:rFonts w:ascii="仿宋_GB2312" w:eastAsia="仿宋_GB2312" w:hint="eastAsia"/>
                <w:b/>
                <w:color w:val="000000" w:themeColor="text1"/>
                <w:sz w:val="32"/>
                <w:szCs w:val="32"/>
              </w:rPr>
              <w:t>.社会保障和就业支出（类）民政管理事务（款）基层政权和社区建设（项）：</w:t>
            </w:r>
            <w:r w:rsidR="003875BA" w:rsidRPr="004135E8">
              <w:rPr>
                <w:rFonts w:ascii="仿宋_GB2312" w:eastAsia="仿宋_GB2312" w:hint="eastAsia"/>
                <w:color w:val="000000" w:themeColor="text1"/>
                <w:sz w:val="32"/>
                <w:szCs w:val="32"/>
              </w:rPr>
              <w:t>2017年决算数</w:t>
            </w:r>
            <w:r w:rsidR="00A21F4B" w:rsidRPr="004135E8">
              <w:rPr>
                <w:rFonts w:ascii="仿宋_GB2312" w:eastAsia="仿宋_GB2312" w:hint="eastAsia"/>
                <w:color w:val="000000" w:themeColor="text1"/>
                <w:sz w:val="32"/>
                <w:szCs w:val="32"/>
              </w:rPr>
              <w:t>33.18</w:t>
            </w:r>
            <w:r w:rsidR="003875BA" w:rsidRPr="004135E8">
              <w:rPr>
                <w:rFonts w:ascii="仿宋_GB2312" w:eastAsia="仿宋_GB2312" w:hint="eastAsia"/>
                <w:color w:val="000000" w:themeColor="text1"/>
                <w:sz w:val="32"/>
                <w:szCs w:val="32"/>
              </w:rPr>
              <w:t>万元，完成预算100%。</w:t>
            </w:r>
          </w:p>
          <w:p w:rsidR="003875BA" w:rsidRPr="004135E8" w:rsidRDefault="003875BA"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w:t>
            </w:r>
            <w:r w:rsidR="00270496" w:rsidRPr="004135E8">
              <w:rPr>
                <w:rFonts w:ascii="仿宋_GB2312" w:eastAsia="仿宋_GB2312" w:hint="eastAsia"/>
                <w:b/>
                <w:color w:val="000000" w:themeColor="text1"/>
                <w:sz w:val="32"/>
                <w:szCs w:val="32"/>
              </w:rPr>
              <w:t>0</w:t>
            </w:r>
            <w:r w:rsidRPr="004135E8">
              <w:rPr>
                <w:rFonts w:ascii="仿宋_GB2312" w:eastAsia="仿宋_GB2312" w:hint="eastAsia"/>
                <w:b/>
                <w:color w:val="000000" w:themeColor="text1"/>
                <w:sz w:val="32"/>
                <w:szCs w:val="32"/>
              </w:rPr>
              <w:t>.社会保障和就业支出（类）行政事业单位离退休（款）</w:t>
            </w:r>
            <w:r w:rsidR="00A21F4B" w:rsidRPr="004135E8">
              <w:rPr>
                <w:rFonts w:ascii="仿宋_GB2312" w:eastAsia="仿宋_GB2312" w:hint="eastAsia"/>
                <w:b/>
                <w:color w:val="000000" w:themeColor="text1"/>
                <w:sz w:val="32"/>
                <w:szCs w:val="32"/>
              </w:rPr>
              <w:t>机关事业单位基本养老保险缴费支出</w:t>
            </w:r>
            <w:r w:rsidRPr="004135E8">
              <w:rPr>
                <w:rFonts w:ascii="仿宋_GB2312" w:eastAsia="仿宋_GB2312" w:hint="eastAsia"/>
                <w:b/>
                <w:color w:val="000000" w:themeColor="text1"/>
                <w:sz w:val="32"/>
                <w:szCs w:val="32"/>
              </w:rPr>
              <w:t>（项）：</w:t>
            </w:r>
            <w:r w:rsidRPr="004135E8">
              <w:rPr>
                <w:rFonts w:ascii="仿宋_GB2312" w:eastAsia="仿宋_GB2312" w:hint="eastAsia"/>
                <w:color w:val="000000" w:themeColor="text1"/>
                <w:sz w:val="32"/>
                <w:szCs w:val="32"/>
              </w:rPr>
              <w:t>2017年决算数</w:t>
            </w:r>
            <w:r w:rsidR="00A21F4B" w:rsidRPr="004135E8">
              <w:rPr>
                <w:rFonts w:ascii="仿宋_GB2312" w:eastAsia="仿宋_GB2312" w:hint="eastAsia"/>
                <w:color w:val="000000" w:themeColor="text1"/>
                <w:sz w:val="32"/>
                <w:szCs w:val="32"/>
              </w:rPr>
              <w:t>54.86</w:t>
            </w:r>
            <w:r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11</w:t>
            </w:r>
            <w:r w:rsidR="003875BA" w:rsidRPr="004135E8">
              <w:rPr>
                <w:rFonts w:ascii="仿宋_GB2312" w:eastAsia="仿宋_GB2312" w:hint="eastAsia"/>
                <w:b/>
                <w:color w:val="000000" w:themeColor="text1"/>
                <w:sz w:val="32"/>
                <w:szCs w:val="32"/>
              </w:rPr>
              <w:t>.社会保障和就业支出（类）行政事业单位离退休（款）</w:t>
            </w:r>
            <w:r w:rsidR="00A21F4B" w:rsidRPr="004135E8">
              <w:rPr>
                <w:rFonts w:ascii="仿宋_GB2312" w:eastAsia="仿宋_GB2312" w:hint="eastAsia"/>
                <w:b/>
                <w:color w:val="000000" w:themeColor="text1"/>
                <w:sz w:val="32"/>
                <w:szCs w:val="32"/>
              </w:rPr>
              <w:lastRenderedPageBreak/>
              <w:t>机关事业单位职业年金缴费支出</w:t>
            </w:r>
            <w:r w:rsidR="003875BA" w:rsidRPr="004135E8">
              <w:rPr>
                <w:rFonts w:ascii="仿宋_GB2312" w:eastAsia="仿宋_GB2312" w:hint="eastAsia"/>
                <w:b/>
                <w:color w:val="000000" w:themeColor="text1"/>
                <w:sz w:val="32"/>
                <w:szCs w:val="32"/>
              </w:rPr>
              <w:t>（项）</w:t>
            </w:r>
            <w:r w:rsidR="003875BA" w:rsidRPr="004135E8">
              <w:rPr>
                <w:rFonts w:ascii="仿宋_GB2312" w:eastAsia="仿宋_GB2312" w:hint="eastAsia"/>
                <w:color w:val="000000" w:themeColor="text1"/>
                <w:sz w:val="32"/>
                <w:szCs w:val="32"/>
              </w:rPr>
              <w:t>：2017年决算数</w:t>
            </w:r>
            <w:r w:rsidR="000E1770" w:rsidRPr="004135E8">
              <w:rPr>
                <w:rFonts w:ascii="仿宋_GB2312" w:eastAsia="仿宋_GB2312" w:hint="eastAsia"/>
                <w:color w:val="000000" w:themeColor="text1"/>
                <w:sz w:val="32"/>
                <w:szCs w:val="32"/>
              </w:rPr>
              <w:t>18.26</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196" w:firstLine="630"/>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12</w:t>
            </w:r>
            <w:r w:rsidR="003875BA" w:rsidRPr="004135E8">
              <w:rPr>
                <w:rFonts w:ascii="仿宋_GB2312" w:eastAsia="仿宋_GB2312" w:hint="eastAsia"/>
                <w:b/>
                <w:color w:val="000000" w:themeColor="text1"/>
                <w:sz w:val="32"/>
                <w:szCs w:val="32"/>
              </w:rPr>
              <w:t>.社会保障和就业支出（类）抚恤（款）其他优抚支出（项）：</w:t>
            </w:r>
            <w:r w:rsidR="003875BA" w:rsidRPr="004135E8">
              <w:rPr>
                <w:rFonts w:ascii="仿宋_GB2312" w:eastAsia="仿宋_GB2312" w:hint="eastAsia"/>
                <w:color w:val="000000" w:themeColor="text1"/>
                <w:sz w:val="32"/>
                <w:szCs w:val="32"/>
              </w:rPr>
              <w:t>2017年决算数</w:t>
            </w:r>
            <w:r w:rsidR="003875BA" w:rsidRPr="004135E8">
              <w:rPr>
                <w:rFonts w:ascii="仿宋_GB2312" w:eastAsia="仿宋_GB2312" w:hint="eastAsia"/>
                <w:color w:val="000000" w:themeColor="text1"/>
                <w:sz w:val="32"/>
                <w:szCs w:val="32"/>
              </w:rPr>
              <w:tab/>
            </w:r>
            <w:r w:rsidR="000E1770" w:rsidRPr="004135E8">
              <w:rPr>
                <w:rFonts w:ascii="仿宋_GB2312" w:eastAsia="仿宋_GB2312" w:hint="eastAsia"/>
                <w:color w:val="000000" w:themeColor="text1"/>
                <w:sz w:val="32"/>
                <w:szCs w:val="32"/>
              </w:rPr>
              <w:t>2.82</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13</w:t>
            </w:r>
            <w:r w:rsidR="003875BA" w:rsidRPr="004135E8">
              <w:rPr>
                <w:rFonts w:ascii="仿宋_GB2312" w:eastAsia="仿宋_GB2312" w:hint="eastAsia"/>
                <w:b/>
                <w:color w:val="000000" w:themeColor="text1"/>
                <w:sz w:val="32"/>
                <w:szCs w:val="32"/>
              </w:rPr>
              <w:t>.社会保障和就业支出（类）自然灾害生活救助（款）中央自然灾害生活补助（项）：</w:t>
            </w:r>
            <w:r w:rsidR="003875BA" w:rsidRPr="004135E8">
              <w:rPr>
                <w:rFonts w:ascii="仿宋_GB2312" w:eastAsia="仿宋_GB2312" w:hint="eastAsia"/>
                <w:color w:val="000000" w:themeColor="text1"/>
                <w:sz w:val="32"/>
                <w:szCs w:val="32"/>
              </w:rPr>
              <w:t>2017年决算数</w:t>
            </w:r>
            <w:r w:rsidR="00317B8E" w:rsidRPr="004135E8">
              <w:rPr>
                <w:rFonts w:ascii="仿宋_GB2312" w:eastAsia="仿宋_GB2312" w:hint="eastAsia"/>
                <w:color w:val="000000" w:themeColor="text1"/>
                <w:sz w:val="32"/>
                <w:szCs w:val="32"/>
              </w:rPr>
              <w:t>3.51</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196" w:firstLine="630"/>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14</w:t>
            </w:r>
            <w:r w:rsidR="003875BA" w:rsidRPr="004135E8">
              <w:rPr>
                <w:rFonts w:ascii="仿宋_GB2312" w:eastAsia="仿宋_GB2312" w:hint="eastAsia"/>
                <w:b/>
                <w:color w:val="000000" w:themeColor="text1"/>
                <w:sz w:val="32"/>
                <w:szCs w:val="32"/>
              </w:rPr>
              <w:t>.医疗卫生与计划生育支支出（类）</w:t>
            </w:r>
            <w:r w:rsidR="00317B8E" w:rsidRPr="004135E8">
              <w:rPr>
                <w:rFonts w:ascii="仿宋_GB2312" w:eastAsia="仿宋_GB2312" w:hint="eastAsia"/>
                <w:b/>
                <w:color w:val="000000" w:themeColor="text1"/>
                <w:sz w:val="32"/>
                <w:szCs w:val="32"/>
              </w:rPr>
              <w:t>行政事业单位医疗（款）行政单位医疗</w:t>
            </w:r>
            <w:r w:rsidR="003875BA" w:rsidRPr="004135E8">
              <w:rPr>
                <w:rFonts w:ascii="仿宋_GB2312" w:eastAsia="仿宋_GB2312" w:hint="eastAsia"/>
                <w:b/>
                <w:color w:val="000000" w:themeColor="text1"/>
                <w:sz w:val="32"/>
                <w:szCs w:val="32"/>
              </w:rPr>
              <w:t>（项）</w:t>
            </w:r>
            <w:r w:rsidR="003875BA" w:rsidRPr="004135E8">
              <w:rPr>
                <w:rFonts w:ascii="仿宋_GB2312" w:eastAsia="仿宋_GB2312" w:hint="eastAsia"/>
                <w:color w:val="000000" w:themeColor="text1"/>
                <w:sz w:val="32"/>
                <w:szCs w:val="32"/>
              </w:rPr>
              <w:t>：2017年决算数</w:t>
            </w:r>
            <w:r w:rsidR="00317B8E" w:rsidRPr="004135E8">
              <w:rPr>
                <w:rFonts w:ascii="仿宋_GB2312" w:eastAsia="仿宋_GB2312" w:hint="eastAsia"/>
                <w:color w:val="000000" w:themeColor="text1"/>
                <w:sz w:val="32"/>
                <w:szCs w:val="32"/>
              </w:rPr>
              <w:t>13.46</w:t>
            </w:r>
            <w:r w:rsidR="003875BA" w:rsidRPr="004135E8">
              <w:rPr>
                <w:rFonts w:ascii="仿宋_GB2312" w:eastAsia="仿宋_GB2312" w:hint="eastAsia"/>
                <w:color w:val="000000" w:themeColor="text1"/>
                <w:sz w:val="32"/>
                <w:szCs w:val="32"/>
              </w:rPr>
              <w:t>万元，完成预算100%。</w:t>
            </w:r>
          </w:p>
          <w:p w:rsidR="00317B8E" w:rsidRPr="004135E8" w:rsidRDefault="00317B8E" w:rsidP="00317B8E">
            <w:pPr>
              <w:spacing w:line="360" w:lineRule="auto"/>
              <w:ind w:firstLineChars="196" w:firstLine="627"/>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22.节能环保支出（类）污染防治（款）其他污染防治支出（项）：</w:t>
            </w:r>
          </w:p>
          <w:p w:rsidR="00317B8E" w:rsidRPr="004135E8" w:rsidRDefault="00317B8E" w:rsidP="00317B8E">
            <w:pPr>
              <w:spacing w:line="360" w:lineRule="auto"/>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2017年决算数164.46万元，完成预算</w:t>
            </w:r>
            <w:r w:rsidR="00A447EA" w:rsidRPr="004135E8">
              <w:rPr>
                <w:rFonts w:ascii="仿宋_GB2312" w:eastAsia="仿宋_GB2312" w:hint="eastAsia"/>
                <w:color w:val="000000" w:themeColor="text1"/>
                <w:sz w:val="32"/>
                <w:szCs w:val="32"/>
              </w:rPr>
              <w:t>87.62</w:t>
            </w:r>
            <w:r w:rsidRPr="004135E8">
              <w:rPr>
                <w:rFonts w:ascii="仿宋_GB2312" w:eastAsia="仿宋_GB2312" w:hint="eastAsia"/>
                <w:color w:val="000000" w:themeColor="text1"/>
                <w:sz w:val="32"/>
                <w:szCs w:val="32"/>
              </w:rPr>
              <w:t>%。</w:t>
            </w:r>
          </w:p>
          <w:p w:rsidR="0050501E" w:rsidRPr="004135E8" w:rsidRDefault="00270496" w:rsidP="0050501E">
            <w:pPr>
              <w:spacing w:line="360" w:lineRule="auto"/>
              <w:ind w:firstLineChars="196" w:firstLine="630"/>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15</w:t>
            </w:r>
            <w:r w:rsidR="0050501E" w:rsidRPr="004135E8">
              <w:rPr>
                <w:rFonts w:ascii="仿宋_GB2312" w:eastAsia="仿宋_GB2312" w:hint="eastAsia"/>
                <w:b/>
                <w:color w:val="000000" w:themeColor="text1"/>
                <w:sz w:val="32"/>
                <w:szCs w:val="32"/>
              </w:rPr>
              <w:t>.城乡社区支出（类）城乡社区环境卫生（款）城乡社区环境卫生（项）：</w:t>
            </w:r>
            <w:r w:rsidR="0050501E" w:rsidRPr="004135E8">
              <w:rPr>
                <w:rFonts w:ascii="仿宋_GB2312" w:eastAsia="仿宋_GB2312" w:hint="eastAsia"/>
                <w:color w:val="000000" w:themeColor="text1"/>
                <w:sz w:val="32"/>
                <w:szCs w:val="32"/>
              </w:rPr>
              <w:t>2017年决算数18万元，完成预算100%。</w:t>
            </w:r>
          </w:p>
          <w:p w:rsidR="003875BA" w:rsidRPr="004135E8" w:rsidRDefault="00270496" w:rsidP="004244B4">
            <w:pPr>
              <w:spacing w:line="360" w:lineRule="auto"/>
              <w:ind w:firstLineChars="196" w:firstLine="630"/>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16</w:t>
            </w:r>
            <w:r w:rsidR="003875BA" w:rsidRPr="004135E8">
              <w:rPr>
                <w:rFonts w:ascii="仿宋_GB2312" w:eastAsia="仿宋_GB2312" w:hint="eastAsia"/>
                <w:b/>
                <w:color w:val="000000" w:themeColor="text1"/>
                <w:sz w:val="32"/>
                <w:szCs w:val="32"/>
              </w:rPr>
              <w:t>.城乡社区支出（类）城乡社区</w:t>
            </w:r>
            <w:r w:rsidR="00317B8E" w:rsidRPr="004135E8">
              <w:rPr>
                <w:rFonts w:ascii="仿宋_GB2312" w:eastAsia="仿宋_GB2312" w:hint="eastAsia"/>
                <w:b/>
                <w:color w:val="000000" w:themeColor="text1"/>
                <w:sz w:val="32"/>
                <w:szCs w:val="32"/>
              </w:rPr>
              <w:t>环境卫生</w:t>
            </w:r>
            <w:r w:rsidR="003875BA" w:rsidRPr="004135E8">
              <w:rPr>
                <w:rFonts w:ascii="仿宋_GB2312" w:eastAsia="仿宋_GB2312" w:hint="eastAsia"/>
                <w:b/>
                <w:color w:val="000000" w:themeColor="text1"/>
                <w:sz w:val="32"/>
                <w:szCs w:val="32"/>
              </w:rPr>
              <w:t>（款）</w:t>
            </w:r>
            <w:r w:rsidR="00D45CE2" w:rsidRPr="004135E8">
              <w:rPr>
                <w:rFonts w:ascii="仿宋_GB2312" w:eastAsia="仿宋_GB2312" w:hint="eastAsia"/>
                <w:b/>
                <w:color w:val="000000" w:themeColor="text1"/>
                <w:sz w:val="32"/>
                <w:szCs w:val="32"/>
              </w:rPr>
              <w:t>其他</w:t>
            </w:r>
            <w:r w:rsidR="00317B8E" w:rsidRPr="004135E8">
              <w:rPr>
                <w:rFonts w:ascii="仿宋_GB2312" w:eastAsia="仿宋_GB2312" w:hint="eastAsia"/>
                <w:b/>
                <w:color w:val="000000" w:themeColor="text1"/>
                <w:sz w:val="32"/>
                <w:szCs w:val="32"/>
              </w:rPr>
              <w:t>城乡社区环境卫生</w:t>
            </w:r>
            <w:r w:rsidR="003875BA" w:rsidRPr="004135E8">
              <w:rPr>
                <w:rFonts w:ascii="仿宋_GB2312" w:eastAsia="仿宋_GB2312" w:hint="eastAsia"/>
                <w:b/>
                <w:color w:val="000000" w:themeColor="text1"/>
                <w:sz w:val="32"/>
                <w:szCs w:val="32"/>
              </w:rPr>
              <w:t>（项）：</w:t>
            </w:r>
            <w:r w:rsidR="003875BA" w:rsidRPr="004135E8">
              <w:rPr>
                <w:rFonts w:ascii="仿宋_GB2312" w:eastAsia="仿宋_GB2312" w:hint="eastAsia"/>
                <w:color w:val="000000" w:themeColor="text1"/>
                <w:sz w:val="32"/>
                <w:szCs w:val="32"/>
              </w:rPr>
              <w:t>2017年决算数</w:t>
            </w:r>
            <w:r w:rsidR="00317B8E" w:rsidRPr="004135E8">
              <w:rPr>
                <w:rFonts w:ascii="仿宋_GB2312" w:eastAsia="仿宋_GB2312" w:hint="eastAsia"/>
                <w:color w:val="000000" w:themeColor="text1"/>
                <w:sz w:val="32"/>
                <w:szCs w:val="32"/>
              </w:rPr>
              <w:t>88.5</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196" w:firstLine="630"/>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17</w:t>
            </w:r>
            <w:r w:rsidR="003875BA" w:rsidRPr="004135E8">
              <w:rPr>
                <w:rFonts w:ascii="仿宋_GB2312" w:eastAsia="仿宋_GB2312" w:hint="eastAsia"/>
                <w:b/>
                <w:color w:val="000000" w:themeColor="text1"/>
                <w:sz w:val="32"/>
                <w:szCs w:val="32"/>
              </w:rPr>
              <w:t>.农林水支出（类）农业（款）事业运行（项）：</w:t>
            </w:r>
            <w:r w:rsidR="003875BA" w:rsidRPr="004135E8">
              <w:rPr>
                <w:rFonts w:ascii="仿宋_GB2312" w:eastAsia="仿宋_GB2312" w:hint="eastAsia"/>
                <w:color w:val="000000" w:themeColor="text1"/>
                <w:sz w:val="32"/>
                <w:szCs w:val="32"/>
              </w:rPr>
              <w:t>2017年决算数</w:t>
            </w:r>
            <w:r w:rsidR="003A299C" w:rsidRPr="004135E8">
              <w:rPr>
                <w:rFonts w:ascii="仿宋_GB2312" w:eastAsia="仿宋_GB2312" w:hint="eastAsia"/>
                <w:color w:val="000000" w:themeColor="text1"/>
                <w:sz w:val="32"/>
                <w:szCs w:val="32"/>
              </w:rPr>
              <w:t>75.67</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18</w:t>
            </w:r>
            <w:r w:rsidR="003875BA" w:rsidRPr="004135E8">
              <w:rPr>
                <w:rFonts w:ascii="仿宋_GB2312" w:eastAsia="仿宋_GB2312" w:hint="eastAsia"/>
                <w:b/>
                <w:color w:val="000000" w:themeColor="text1"/>
                <w:sz w:val="32"/>
                <w:szCs w:val="32"/>
              </w:rPr>
              <w:t>.农林水支出（类）农业（款）农村道路建设（项）：</w:t>
            </w:r>
            <w:r w:rsidR="003875BA" w:rsidRPr="004135E8">
              <w:rPr>
                <w:rFonts w:ascii="仿宋_GB2312" w:eastAsia="仿宋_GB2312" w:hint="eastAsia"/>
                <w:color w:val="000000" w:themeColor="text1"/>
                <w:sz w:val="32"/>
                <w:szCs w:val="32"/>
              </w:rPr>
              <w:t>2017年决算数</w:t>
            </w:r>
            <w:r w:rsidR="003A299C" w:rsidRPr="004135E8">
              <w:rPr>
                <w:rFonts w:ascii="仿宋_GB2312" w:eastAsia="仿宋_GB2312" w:hint="eastAsia"/>
                <w:color w:val="000000" w:themeColor="text1"/>
                <w:sz w:val="32"/>
                <w:szCs w:val="32"/>
              </w:rPr>
              <w:t>12</w:t>
            </w:r>
            <w:r w:rsidR="003875BA" w:rsidRPr="004135E8">
              <w:rPr>
                <w:rFonts w:ascii="仿宋_GB2312" w:eastAsia="仿宋_GB2312" w:hint="eastAsia"/>
                <w:color w:val="000000" w:themeColor="text1"/>
                <w:sz w:val="32"/>
                <w:szCs w:val="32"/>
              </w:rPr>
              <w:t>万元</w:t>
            </w:r>
            <w:r w:rsidR="003A299C" w:rsidRPr="004135E8">
              <w:rPr>
                <w:rFonts w:ascii="仿宋_GB2312" w:eastAsia="仿宋_GB2312" w:hint="eastAsia"/>
                <w:color w:val="000000" w:themeColor="text1"/>
                <w:sz w:val="32"/>
                <w:szCs w:val="32"/>
              </w:rPr>
              <w:t>，</w:t>
            </w:r>
            <w:r w:rsidR="003875BA" w:rsidRPr="004135E8">
              <w:rPr>
                <w:rFonts w:ascii="仿宋_GB2312" w:eastAsia="仿宋_GB2312" w:hint="eastAsia"/>
                <w:color w:val="000000" w:themeColor="text1"/>
                <w:sz w:val="32"/>
                <w:szCs w:val="32"/>
              </w:rPr>
              <w:t>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19</w:t>
            </w:r>
            <w:r w:rsidR="003875BA" w:rsidRPr="004135E8">
              <w:rPr>
                <w:rFonts w:ascii="仿宋_GB2312" w:eastAsia="仿宋_GB2312" w:hint="eastAsia"/>
                <w:b/>
                <w:color w:val="000000" w:themeColor="text1"/>
                <w:sz w:val="32"/>
                <w:szCs w:val="32"/>
              </w:rPr>
              <w:t>.农林水支出（类）农业（款）对高校毕业生到基层任职补助（项）：</w:t>
            </w:r>
            <w:r w:rsidR="003875BA" w:rsidRPr="004135E8">
              <w:rPr>
                <w:rFonts w:ascii="仿宋_GB2312" w:eastAsia="仿宋_GB2312" w:hint="eastAsia"/>
                <w:color w:val="000000" w:themeColor="text1"/>
                <w:sz w:val="32"/>
                <w:szCs w:val="32"/>
              </w:rPr>
              <w:t>2017年决算数</w:t>
            </w:r>
            <w:r w:rsidR="003A299C" w:rsidRPr="004135E8">
              <w:rPr>
                <w:rFonts w:ascii="仿宋_GB2312" w:eastAsia="仿宋_GB2312" w:hint="eastAsia"/>
                <w:color w:val="000000" w:themeColor="text1"/>
                <w:sz w:val="32"/>
                <w:szCs w:val="32"/>
              </w:rPr>
              <w:t>,2.87</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lastRenderedPageBreak/>
              <w:t>20</w:t>
            </w:r>
            <w:r w:rsidR="003875BA" w:rsidRPr="004135E8">
              <w:rPr>
                <w:rFonts w:ascii="仿宋_GB2312" w:eastAsia="仿宋_GB2312" w:hint="eastAsia"/>
                <w:b/>
                <w:color w:val="000000" w:themeColor="text1"/>
                <w:sz w:val="32"/>
                <w:szCs w:val="32"/>
              </w:rPr>
              <w:t>.农林水支出（类）农业（款）其他农业支出（项）：</w:t>
            </w:r>
            <w:r w:rsidR="003875BA" w:rsidRPr="004135E8">
              <w:rPr>
                <w:rFonts w:ascii="仿宋_GB2312" w:eastAsia="仿宋_GB2312" w:hint="eastAsia"/>
                <w:color w:val="000000" w:themeColor="text1"/>
                <w:sz w:val="32"/>
                <w:szCs w:val="32"/>
              </w:rPr>
              <w:t>2017年决算数</w:t>
            </w:r>
            <w:r w:rsidR="003A299C" w:rsidRPr="004135E8">
              <w:rPr>
                <w:rFonts w:ascii="仿宋_GB2312" w:eastAsia="仿宋_GB2312" w:hint="eastAsia"/>
                <w:color w:val="000000" w:themeColor="text1"/>
                <w:sz w:val="32"/>
                <w:szCs w:val="32"/>
              </w:rPr>
              <w:t>2.58</w:t>
            </w:r>
            <w:r w:rsidR="003875BA" w:rsidRPr="004135E8">
              <w:rPr>
                <w:rFonts w:ascii="仿宋_GB2312" w:eastAsia="仿宋_GB2312" w:hint="eastAsia"/>
                <w:color w:val="000000" w:themeColor="text1"/>
                <w:sz w:val="32"/>
                <w:szCs w:val="32"/>
              </w:rPr>
              <w:t>万元，完成预算100%。</w:t>
            </w:r>
          </w:p>
          <w:p w:rsidR="003A299C" w:rsidRPr="004135E8" w:rsidRDefault="00270496" w:rsidP="003A299C">
            <w:pPr>
              <w:autoSpaceDE w:val="0"/>
              <w:autoSpaceDN w:val="0"/>
              <w:adjustRightInd w:val="0"/>
              <w:spacing w:line="580" w:lineRule="exact"/>
              <w:ind w:firstLineChars="196" w:firstLine="630"/>
              <w:jc w:val="left"/>
              <w:rPr>
                <w:rFonts w:ascii="仿宋_GB2312" w:eastAsia="仿宋_GB2312" w:cs="仿宋_GB2312"/>
                <w:color w:val="000000" w:themeColor="text1"/>
                <w:kern w:val="0"/>
                <w:sz w:val="32"/>
                <w:szCs w:val="32"/>
              </w:rPr>
            </w:pPr>
            <w:r w:rsidRPr="004135E8">
              <w:rPr>
                <w:rFonts w:ascii="仿宋_GB2312" w:eastAsia="仿宋_GB2312" w:hint="eastAsia"/>
                <w:b/>
                <w:color w:val="000000" w:themeColor="text1"/>
                <w:sz w:val="32"/>
                <w:szCs w:val="32"/>
              </w:rPr>
              <w:t>21</w:t>
            </w:r>
            <w:r w:rsidR="003A299C" w:rsidRPr="004135E8">
              <w:rPr>
                <w:rFonts w:ascii="仿宋_GB2312" w:eastAsia="仿宋_GB2312" w:hint="eastAsia"/>
                <w:b/>
                <w:color w:val="000000" w:themeColor="text1"/>
                <w:sz w:val="32"/>
                <w:szCs w:val="32"/>
              </w:rPr>
              <w:t>.农林水支出（类）扶贫（款）社会发展（项）：</w:t>
            </w:r>
            <w:r w:rsidR="003A299C" w:rsidRPr="004135E8">
              <w:rPr>
                <w:rFonts w:ascii="仿宋_GB2312" w:eastAsia="仿宋_GB2312" w:hint="eastAsia"/>
                <w:color w:val="000000" w:themeColor="text1"/>
                <w:sz w:val="32"/>
                <w:szCs w:val="32"/>
              </w:rPr>
              <w:t>2017年决算数10.16万元，完成预算</w:t>
            </w:r>
            <w:r w:rsidR="00A447EA" w:rsidRPr="004135E8">
              <w:rPr>
                <w:rFonts w:ascii="仿宋_GB2312" w:eastAsia="仿宋_GB2312" w:hint="eastAsia"/>
                <w:color w:val="000000" w:themeColor="text1"/>
                <w:sz w:val="32"/>
                <w:szCs w:val="32"/>
              </w:rPr>
              <w:t>100</w:t>
            </w:r>
            <w:r w:rsidR="003A299C" w:rsidRPr="004135E8">
              <w:rPr>
                <w:rFonts w:ascii="仿宋_GB2312" w:eastAsia="仿宋_GB2312" w:hint="eastAsia"/>
                <w:color w:val="000000" w:themeColor="text1"/>
                <w:sz w:val="32"/>
                <w:szCs w:val="32"/>
              </w:rPr>
              <w:t xml:space="preserve"> %</w:t>
            </w:r>
            <w:r w:rsidR="003A299C" w:rsidRPr="004135E8">
              <w:rPr>
                <w:rFonts w:ascii="仿宋_GB2312" w:eastAsia="仿宋_GB2312" w:cs="仿宋_GB2312" w:hint="eastAsia"/>
                <w:color w:val="000000" w:themeColor="text1"/>
                <w:kern w:val="0"/>
                <w:sz w:val="32"/>
                <w:szCs w:val="32"/>
              </w:rPr>
              <w:t>。</w:t>
            </w:r>
          </w:p>
          <w:p w:rsidR="003875BA" w:rsidRPr="004135E8" w:rsidRDefault="00270496" w:rsidP="004244B4">
            <w:pPr>
              <w:autoSpaceDE w:val="0"/>
              <w:autoSpaceDN w:val="0"/>
              <w:adjustRightInd w:val="0"/>
              <w:spacing w:line="580" w:lineRule="exact"/>
              <w:ind w:firstLineChars="196" w:firstLine="630"/>
              <w:jc w:val="left"/>
              <w:rPr>
                <w:rFonts w:ascii="仿宋_GB2312" w:eastAsia="仿宋_GB2312" w:cs="仿宋_GB2312"/>
                <w:color w:val="000000" w:themeColor="text1"/>
                <w:kern w:val="0"/>
                <w:sz w:val="32"/>
                <w:szCs w:val="32"/>
              </w:rPr>
            </w:pPr>
            <w:r w:rsidRPr="004135E8">
              <w:rPr>
                <w:rFonts w:ascii="仿宋_GB2312" w:eastAsia="仿宋_GB2312" w:hint="eastAsia"/>
                <w:b/>
                <w:color w:val="000000" w:themeColor="text1"/>
                <w:sz w:val="32"/>
                <w:szCs w:val="32"/>
              </w:rPr>
              <w:t>22</w:t>
            </w:r>
            <w:r w:rsidR="003875BA" w:rsidRPr="004135E8">
              <w:rPr>
                <w:rFonts w:ascii="仿宋_GB2312" w:eastAsia="仿宋_GB2312" w:hint="eastAsia"/>
                <w:b/>
                <w:color w:val="000000" w:themeColor="text1"/>
                <w:sz w:val="32"/>
                <w:szCs w:val="32"/>
              </w:rPr>
              <w:t>.农林水支出（类）扶贫（款）其他扶贫支出（项）：</w:t>
            </w:r>
            <w:r w:rsidR="003875BA" w:rsidRPr="004135E8">
              <w:rPr>
                <w:rFonts w:ascii="仿宋_GB2312" w:eastAsia="仿宋_GB2312" w:hint="eastAsia"/>
                <w:color w:val="000000" w:themeColor="text1"/>
                <w:sz w:val="32"/>
                <w:szCs w:val="32"/>
              </w:rPr>
              <w:t>2017年决算数</w:t>
            </w:r>
            <w:r w:rsidR="003A299C" w:rsidRPr="004135E8">
              <w:rPr>
                <w:rFonts w:ascii="仿宋_GB2312" w:eastAsia="仿宋_GB2312" w:hint="eastAsia"/>
                <w:color w:val="000000" w:themeColor="text1"/>
                <w:sz w:val="32"/>
                <w:szCs w:val="32"/>
              </w:rPr>
              <w:t>141.2</w:t>
            </w:r>
            <w:r w:rsidR="003875BA" w:rsidRPr="004135E8">
              <w:rPr>
                <w:rFonts w:ascii="仿宋_GB2312" w:eastAsia="仿宋_GB2312" w:hint="eastAsia"/>
                <w:color w:val="000000" w:themeColor="text1"/>
                <w:sz w:val="32"/>
                <w:szCs w:val="32"/>
              </w:rPr>
              <w:t>万元，完成预算</w:t>
            </w:r>
            <w:r w:rsidR="00A447EA" w:rsidRPr="004135E8">
              <w:rPr>
                <w:rFonts w:ascii="仿宋_GB2312" w:eastAsia="仿宋_GB2312" w:hint="eastAsia"/>
                <w:color w:val="000000" w:themeColor="text1"/>
                <w:sz w:val="32"/>
                <w:szCs w:val="32"/>
              </w:rPr>
              <w:t>76.41</w:t>
            </w:r>
            <w:r w:rsidR="003875BA" w:rsidRPr="004135E8">
              <w:rPr>
                <w:rFonts w:ascii="仿宋_GB2312" w:eastAsia="仿宋_GB2312" w:hint="eastAsia"/>
                <w:color w:val="000000" w:themeColor="text1"/>
                <w:sz w:val="32"/>
                <w:szCs w:val="32"/>
              </w:rPr>
              <w:t>%</w:t>
            </w:r>
            <w:r w:rsidR="003875BA" w:rsidRPr="004135E8">
              <w:rPr>
                <w:rFonts w:ascii="仿宋_GB2312" w:eastAsia="仿宋_GB2312" w:cs="仿宋_GB2312" w:hint="eastAsia"/>
                <w:color w:val="000000" w:themeColor="text1"/>
                <w:kern w:val="0"/>
                <w:sz w:val="32"/>
                <w:szCs w:val="32"/>
              </w:rPr>
              <w:t>。</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23</w:t>
            </w:r>
            <w:r w:rsidR="003875BA" w:rsidRPr="004135E8">
              <w:rPr>
                <w:rFonts w:ascii="仿宋_GB2312" w:eastAsia="仿宋_GB2312" w:hint="eastAsia"/>
                <w:b/>
                <w:color w:val="000000" w:themeColor="text1"/>
                <w:sz w:val="32"/>
                <w:szCs w:val="32"/>
              </w:rPr>
              <w:t>.农林水支出（类）农村综合改革（款）对村级一事一议的补助（项）：</w:t>
            </w:r>
            <w:r w:rsidR="003875BA" w:rsidRPr="004135E8">
              <w:rPr>
                <w:rFonts w:ascii="仿宋_GB2312" w:eastAsia="仿宋_GB2312" w:hint="eastAsia"/>
                <w:color w:val="000000" w:themeColor="text1"/>
                <w:sz w:val="32"/>
                <w:szCs w:val="32"/>
              </w:rPr>
              <w:t>2017年决算数</w:t>
            </w:r>
            <w:r w:rsidR="00D45CE2" w:rsidRPr="004135E8">
              <w:rPr>
                <w:rFonts w:ascii="仿宋_GB2312" w:eastAsia="仿宋_GB2312" w:hint="eastAsia"/>
                <w:color w:val="000000" w:themeColor="text1"/>
                <w:sz w:val="32"/>
                <w:szCs w:val="32"/>
              </w:rPr>
              <w:t>4.9</w:t>
            </w:r>
            <w:r w:rsidR="003875BA" w:rsidRPr="004135E8">
              <w:rPr>
                <w:rFonts w:ascii="仿宋_GB2312" w:eastAsia="仿宋_GB2312" w:hint="eastAsia"/>
                <w:color w:val="000000" w:themeColor="text1"/>
                <w:sz w:val="32"/>
                <w:szCs w:val="32"/>
              </w:rPr>
              <w:t>万元，完成预算</w:t>
            </w:r>
            <w:r w:rsidR="00A447EA" w:rsidRPr="004135E8">
              <w:rPr>
                <w:rFonts w:ascii="仿宋_GB2312" w:eastAsia="仿宋_GB2312" w:hint="eastAsia"/>
                <w:color w:val="000000" w:themeColor="text1"/>
                <w:sz w:val="32"/>
                <w:szCs w:val="32"/>
              </w:rPr>
              <w:t>17.43</w:t>
            </w:r>
            <w:r w:rsidR="003875BA" w:rsidRPr="004135E8">
              <w:rPr>
                <w:rFonts w:ascii="仿宋_GB2312" w:eastAsia="仿宋_GB2312" w:hint="eastAsia"/>
                <w:color w:val="000000" w:themeColor="text1"/>
                <w:sz w:val="32"/>
                <w:szCs w:val="32"/>
              </w:rPr>
              <w:t>%。</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24</w:t>
            </w:r>
            <w:r w:rsidR="003875BA" w:rsidRPr="004135E8">
              <w:rPr>
                <w:rFonts w:ascii="仿宋_GB2312" w:eastAsia="仿宋_GB2312" w:hint="eastAsia"/>
                <w:b/>
                <w:color w:val="000000" w:themeColor="text1"/>
                <w:sz w:val="32"/>
                <w:szCs w:val="32"/>
              </w:rPr>
              <w:t>.农林水支出（类）农村综合改革（款）对村民委员会和村党支部的补助（项）：</w:t>
            </w:r>
            <w:r w:rsidR="003875BA" w:rsidRPr="004135E8">
              <w:rPr>
                <w:rFonts w:ascii="仿宋_GB2312" w:eastAsia="仿宋_GB2312" w:hint="eastAsia"/>
                <w:color w:val="000000" w:themeColor="text1"/>
                <w:sz w:val="32"/>
                <w:szCs w:val="32"/>
              </w:rPr>
              <w:t>2017年决算数</w:t>
            </w:r>
            <w:r w:rsidR="00D45CE2" w:rsidRPr="004135E8">
              <w:rPr>
                <w:rFonts w:ascii="仿宋_GB2312" w:eastAsia="仿宋_GB2312" w:hint="eastAsia"/>
                <w:color w:val="000000" w:themeColor="text1"/>
                <w:sz w:val="32"/>
                <w:szCs w:val="32"/>
              </w:rPr>
              <w:t>375.03</w:t>
            </w:r>
            <w:r w:rsidR="003875BA" w:rsidRPr="004135E8">
              <w:rPr>
                <w:rFonts w:ascii="仿宋_GB2312" w:eastAsia="仿宋_GB2312" w:hint="eastAsia"/>
                <w:color w:val="000000" w:themeColor="text1"/>
                <w:sz w:val="32"/>
                <w:szCs w:val="32"/>
              </w:rPr>
              <w:t>万元，完成预算100%。</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25</w:t>
            </w:r>
            <w:r w:rsidR="003875BA" w:rsidRPr="004135E8">
              <w:rPr>
                <w:rFonts w:ascii="仿宋_GB2312" w:eastAsia="仿宋_GB2312" w:hint="eastAsia"/>
                <w:b/>
                <w:color w:val="000000" w:themeColor="text1"/>
                <w:sz w:val="32"/>
                <w:szCs w:val="32"/>
              </w:rPr>
              <w:t>.农林水支出（类）农村综合改革（款）农村综合改革示范试点补助</w:t>
            </w:r>
            <w:r w:rsidR="003875BA" w:rsidRPr="004135E8">
              <w:rPr>
                <w:rFonts w:ascii="仿宋_GB2312" w:eastAsia="仿宋_GB2312" w:hint="eastAsia"/>
                <w:b/>
                <w:color w:val="000000" w:themeColor="text1"/>
                <w:sz w:val="32"/>
                <w:szCs w:val="32"/>
              </w:rPr>
              <w:tab/>
              <w:t>（项）：</w:t>
            </w:r>
            <w:r w:rsidR="003875BA" w:rsidRPr="004135E8">
              <w:rPr>
                <w:rFonts w:ascii="仿宋_GB2312" w:eastAsia="仿宋_GB2312" w:hint="eastAsia"/>
                <w:color w:val="000000" w:themeColor="text1"/>
                <w:sz w:val="32"/>
                <w:szCs w:val="32"/>
              </w:rPr>
              <w:t>2017年决算数</w:t>
            </w:r>
            <w:r w:rsidR="00D45CE2" w:rsidRPr="004135E8">
              <w:rPr>
                <w:rFonts w:ascii="仿宋_GB2312" w:eastAsia="仿宋_GB2312" w:hint="eastAsia"/>
                <w:color w:val="000000" w:themeColor="text1"/>
                <w:sz w:val="32"/>
                <w:szCs w:val="32"/>
              </w:rPr>
              <w:t>170.27</w:t>
            </w:r>
            <w:r w:rsidR="003875BA" w:rsidRPr="004135E8">
              <w:rPr>
                <w:rFonts w:ascii="仿宋_GB2312" w:eastAsia="仿宋_GB2312" w:hint="eastAsia"/>
                <w:color w:val="000000" w:themeColor="text1"/>
                <w:sz w:val="32"/>
                <w:szCs w:val="32"/>
              </w:rPr>
              <w:t>万元，完成预算</w:t>
            </w:r>
            <w:r w:rsidR="00A447EA" w:rsidRPr="004135E8">
              <w:rPr>
                <w:rFonts w:ascii="仿宋_GB2312" w:eastAsia="仿宋_GB2312" w:hint="eastAsia"/>
                <w:color w:val="000000" w:themeColor="text1"/>
                <w:sz w:val="32"/>
                <w:szCs w:val="32"/>
              </w:rPr>
              <w:t>97.86</w:t>
            </w:r>
            <w:r w:rsidR="003875BA" w:rsidRPr="004135E8">
              <w:rPr>
                <w:rFonts w:ascii="仿宋_GB2312" w:eastAsia="仿宋_GB2312" w:hint="eastAsia"/>
                <w:color w:val="000000" w:themeColor="text1"/>
                <w:sz w:val="32"/>
                <w:szCs w:val="32"/>
              </w:rPr>
              <w:t>%。</w:t>
            </w:r>
          </w:p>
          <w:p w:rsidR="003875BA" w:rsidRPr="004135E8" w:rsidRDefault="00270496" w:rsidP="004244B4">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26</w:t>
            </w:r>
            <w:r w:rsidR="003875BA" w:rsidRPr="004135E8">
              <w:rPr>
                <w:rFonts w:ascii="仿宋_GB2312" w:eastAsia="仿宋_GB2312" w:hint="eastAsia"/>
                <w:b/>
                <w:color w:val="000000" w:themeColor="text1"/>
                <w:sz w:val="32"/>
                <w:szCs w:val="32"/>
              </w:rPr>
              <w:t>.国土海洋气象等支出（类）国土资源事务（款）地质灾害防治（项）：</w:t>
            </w:r>
            <w:r w:rsidR="003875BA" w:rsidRPr="004135E8">
              <w:rPr>
                <w:rFonts w:ascii="仿宋_GB2312" w:eastAsia="仿宋_GB2312" w:hint="eastAsia"/>
                <w:color w:val="000000" w:themeColor="text1"/>
                <w:sz w:val="32"/>
                <w:szCs w:val="32"/>
              </w:rPr>
              <w:t>2017年决算数</w:t>
            </w:r>
            <w:r w:rsidR="00D45CE2" w:rsidRPr="004135E8">
              <w:rPr>
                <w:rFonts w:ascii="仿宋_GB2312" w:eastAsia="仿宋_GB2312" w:hint="eastAsia"/>
                <w:color w:val="000000" w:themeColor="text1"/>
                <w:sz w:val="32"/>
                <w:szCs w:val="32"/>
              </w:rPr>
              <w:t>1.44</w:t>
            </w:r>
            <w:r w:rsidR="003875BA" w:rsidRPr="004135E8">
              <w:rPr>
                <w:rFonts w:ascii="仿宋_GB2312" w:eastAsia="仿宋_GB2312" w:hint="eastAsia"/>
                <w:color w:val="000000" w:themeColor="text1"/>
                <w:sz w:val="32"/>
                <w:szCs w:val="32"/>
              </w:rPr>
              <w:tab/>
              <w:t>万元，完成预算100%。</w:t>
            </w:r>
          </w:p>
          <w:p w:rsidR="003875BA" w:rsidRPr="004135E8" w:rsidRDefault="00270496" w:rsidP="00D45CE2">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27</w:t>
            </w:r>
            <w:r w:rsidR="003875BA" w:rsidRPr="004135E8">
              <w:rPr>
                <w:rFonts w:ascii="仿宋_GB2312" w:eastAsia="仿宋_GB2312" w:hint="eastAsia"/>
                <w:b/>
                <w:color w:val="000000" w:themeColor="text1"/>
                <w:sz w:val="32"/>
                <w:szCs w:val="32"/>
              </w:rPr>
              <w:t>.住房保障支出（类）住房改革支出（款）住房公积金（项）：</w:t>
            </w:r>
            <w:r w:rsidR="003875BA" w:rsidRPr="004135E8">
              <w:rPr>
                <w:rFonts w:ascii="仿宋_GB2312" w:eastAsia="仿宋_GB2312" w:hint="eastAsia"/>
                <w:color w:val="000000" w:themeColor="text1"/>
                <w:sz w:val="32"/>
                <w:szCs w:val="32"/>
              </w:rPr>
              <w:t>2017年决算数</w:t>
            </w:r>
            <w:r w:rsidR="003875BA" w:rsidRPr="004135E8">
              <w:rPr>
                <w:rFonts w:ascii="仿宋_GB2312" w:eastAsia="仿宋_GB2312" w:hint="eastAsia"/>
                <w:color w:val="000000" w:themeColor="text1"/>
                <w:sz w:val="32"/>
                <w:szCs w:val="32"/>
              </w:rPr>
              <w:tab/>
            </w:r>
            <w:r w:rsidR="00D45CE2" w:rsidRPr="004135E8">
              <w:rPr>
                <w:rFonts w:ascii="仿宋_GB2312" w:eastAsia="仿宋_GB2312" w:hint="eastAsia"/>
                <w:color w:val="000000" w:themeColor="text1"/>
                <w:sz w:val="32"/>
                <w:szCs w:val="32"/>
              </w:rPr>
              <w:t>43.23</w:t>
            </w:r>
            <w:r w:rsidR="003875BA" w:rsidRPr="004135E8">
              <w:rPr>
                <w:rFonts w:ascii="仿宋_GB2312" w:eastAsia="仿宋_GB2312" w:hint="eastAsia"/>
                <w:color w:val="000000" w:themeColor="text1"/>
                <w:sz w:val="32"/>
                <w:szCs w:val="32"/>
              </w:rPr>
              <w:t>万元，完成预算100%。</w:t>
            </w:r>
          </w:p>
        </w:tc>
      </w:tr>
    </w:tbl>
    <w:p w:rsidR="003875BA" w:rsidRPr="004135E8" w:rsidRDefault="003875BA" w:rsidP="003875BA">
      <w:pPr>
        <w:spacing w:line="360" w:lineRule="auto"/>
        <w:ind w:firstLine="640"/>
        <w:rPr>
          <w:rFonts w:ascii="黑体" w:eastAsia="黑体"/>
          <w:color w:val="000000" w:themeColor="text1"/>
          <w:sz w:val="32"/>
          <w:szCs w:val="32"/>
        </w:rPr>
      </w:pPr>
      <w:r w:rsidRPr="004135E8">
        <w:rPr>
          <w:rFonts w:ascii="黑体" w:eastAsia="黑体" w:hint="eastAsia"/>
          <w:color w:val="000000" w:themeColor="text1"/>
          <w:sz w:val="32"/>
          <w:szCs w:val="32"/>
        </w:rPr>
        <w:lastRenderedPageBreak/>
        <w:t>六、一般公共预算财政拨款基本支出决算情况</w:t>
      </w:r>
    </w:p>
    <w:p w:rsidR="003875BA" w:rsidRPr="004135E8" w:rsidRDefault="003875BA" w:rsidP="003875BA">
      <w:pPr>
        <w:spacing w:line="360" w:lineRule="auto"/>
        <w:ind w:firstLine="645"/>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双福镇人民政府2017年一般公共预算财政拨款基本支出</w:t>
      </w:r>
      <w:r w:rsidR="00732003" w:rsidRPr="004135E8">
        <w:rPr>
          <w:rFonts w:ascii="仿宋_GB2312" w:eastAsia="仿宋_GB2312" w:hint="eastAsia"/>
          <w:color w:val="000000" w:themeColor="text1"/>
          <w:sz w:val="32"/>
          <w:szCs w:val="32"/>
        </w:rPr>
        <w:t>663.18</w:t>
      </w:r>
      <w:r w:rsidRPr="004135E8">
        <w:rPr>
          <w:rFonts w:ascii="仿宋_GB2312" w:eastAsia="仿宋_GB2312" w:hint="eastAsia"/>
          <w:color w:val="000000" w:themeColor="text1"/>
          <w:sz w:val="32"/>
          <w:szCs w:val="32"/>
        </w:rPr>
        <w:t>万元，其中：</w:t>
      </w:r>
    </w:p>
    <w:p w:rsidR="003875BA" w:rsidRPr="004135E8" w:rsidRDefault="003875BA" w:rsidP="003875BA">
      <w:pPr>
        <w:spacing w:line="360" w:lineRule="auto"/>
        <w:ind w:firstLine="645"/>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人员经费</w:t>
      </w:r>
      <w:r w:rsidR="00732003" w:rsidRPr="004135E8">
        <w:rPr>
          <w:rFonts w:ascii="仿宋_GB2312" w:eastAsia="仿宋_GB2312" w:hint="eastAsia"/>
          <w:color w:val="000000" w:themeColor="text1"/>
          <w:sz w:val="32"/>
          <w:szCs w:val="32"/>
        </w:rPr>
        <w:t>602.43</w:t>
      </w:r>
      <w:r w:rsidRPr="004135E8">
        <w:rPr>
          <w:rFonts w:ascii="仿宋_GB2312" w:eastAsia="仿宋_GB2312" w:hint="eastAsia"/>
          <w:color w:val="000000" w:themeColor="text1"/>
          <w:sz w:val="32"/>
          <w:szCs w:val="32"/>
        </w:rPr>
        <w:t>万元，主要包括：基本工资、津贴补贴、</w:t>
      </w:r>
      <w:r w:rsidRPr="004135E8">
        <w:rPr>
          <w:rFonts w:ascii="仿宋_GB2312" w:eastAsia="仿宋_GB2312" w:hint="eastAsia"/>
          <w:color w:val="000000" w:themeColor="text1"/>
          <w:sz w:val="32"/>
          <w:szCs w:val="32"/>
        </w:rPr>
        <w:lastRenderedPageBreak/>
        <w:t>奖金、</w:t>
      </w:r>
      <w:r w:rsidR="004135E8" w:rsidRPr="004135E8">
        <w:rPr>
          <w:rFonts w:ascii="仿宋_GB2312" w:eastAsia="仿宋_GB2312" w:hint="eastAsia"/>
          <w:color w:val="000000" w:themeColor="text1"/>
          <w:sz w:val="32"/>
          <w:szCs w:val="32"/>
        </w:rPr>
        <w:t>其他社会保障缴费、</w:t>
      </w:r>
      <w:r w:rsidRPr="004135E8">
        <w:rPr>
          <w:rFonts w:ascii="仿宋_GB2312" w:eastAsia="仿宋_GB2312" w:hint="eastAsia"/>
          <w:color w:val="000000" w:themeColor="text1"/>
          <w:sz w:val="32"/>
          <w:szCs w:val="32"/>
        </w:rPr>
        <w:t>伙食补助费、绩效工资、机关事业单位基本养老保险缴费、职业年金缴费、对个人和家庭的补助、其他社会保障缴费、其他工资福利支出、生活补助、奖励金、住房公积金、其他对个人和家庭的补助支出。</w:t>
      </w:r>
      <w:r w:rsidRPr="004135E8">
        <w:rPr>
          <w:rFonts w:ascii="仿宋_GB2312" w:eastAsia="仿宋_GB2312" w:hint="eastAsia"/>
          <w:color w:val="000000" w:themeColor="text1"/>
          <w:sz w:val="32"/>
          <w:szCs w:val="32"/>
        </w:rPr>
        <w:br/>
        <w:t xml:space="preserve">　　公用经费</w:t>
      </w:r>
      <w:r w:rsidR="00732003" w:rsidRPr="004135E8">
        <w:rPr>
          <w:rFonts w:ascii="仿宋_GB2312" w:eastAsia="仿宋_GB2312" w:hint="eastAsia"/>
          <w:color w:val="000000" w:themeColor="text1"/>
          <w:sz w:val="32"/>
          <w:szCs w:val="32"/>
        </w:rPr>
        <w:t>60.75</w:t>
      </w:r>
      <w:r w:rsidRPr="004135E8">
        <w:rPr>
          <w:rFonts w:ascii="仿宋_GB2312" w:eastAsia="仿宋_GB2312" w:hint="eastAsia"/>
          <w:color w:val="000000" w:themeColor="text1"/>
          <w:sz w:val="32"/>
          <w:szCs w:val="32"/>
        </w:rPr>
        <w:t>万元，主要包括：办公费、印刷费、咨询费、手续费、水费、电费、邮电费、差旅费、维修（护）费、会议费、培训费、劳务费、其他交通费、其他商品和服务支出。</w:t>
      </w:r>
    </w:p>
    <w:p w:rsidR="003875BA" w:rsidRPr="004135E8" w:rsidRDefault="003875BA" w:rsidP="003875BA">
      <w:pPr>
        <w:spacing w:line="360" w:lineRule="auto"/>
        <w:ind w:firstLine="640"/>
        <w:rPr>
          <w:rFonts w:ascii="黑体" w:eastAsia="黑体"/>
          <w:color w:val="000000" w:themeColor="text1"/>
          <w:sz w:val="32"/>
          <w:szCs w:val="32"/>
        </w:rPr>
      </w:pPr>
      <w:r w:rsidRPr="004135E8">
        <w:rPr>
          <w:rFonts w:ascii="黑体" w:eastAsia="黑体" w:hint="eastAsia"/>
          <w:color w:val="000000" w:themeColor="text1"/>
          <w:sz w:val="32"/>
          <w:szCs w:val="32"/>
        </w:rPr>
        <w:t>七、“三公”经费财政拨款支出决算情况</w:t>
      </w:r>
    </w:p>
    <w:p w:rsidR="003875BA" w:rsidRPr="004135E8" w:rsidRDefault="003875BA" w:rsidP="003875BA">
      <w:pPr>
        <w:spacing w:line="360" w:lineRule="auto"/>
        <w:ind w:firstLine="640"/>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（一）“三公”经费财政拨款支出决算总体情况说明</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双福镇人民政府2017年度“三公”经费财政拨款支出决算为</w:t>
      </w:r>
      <w:r w:rsidR="009653C0" w:rsidRPr="004135E8">
        <w:rPr>
          <w:rFonts w:ascii="仿宋_GB2312" w:eastAsia="仿宋_GB2312" w:hint="eastAsia"/>
          <w:color w:val="000000" w:themeColor="text1"/>
          <w:sz w:val="32"/>
          <w:szCs w:val="32"/>
        </w:rPr>
        <w:t>6.42</w:t>
      </w:r>
      <w:r w:rsidRPr="004135E8">
        <w:rPr>
          <w:rFonts w:ascii="仿宋_GB2312" w:eastAsia="仿宋_GB2312" w:hint="eastAsia"/>
          <w:color w:val="000000" w:themeColor="text1"/>
          <w:sz w:val="32"/>
          <w:szCs w:val="32"/>
        </w:rPr>
        <w:t>万元，完成预算100%，其中：因公出国（境）费支出决算为0万元%；公务用车购置及运行维护费支出决算为</w:t>
      </w:r>
      <w:r w:rsidR="009653C0" w:rsidRPr="004135E8">
        <w:rPr>
          <w:rFonts w:ascii="仿宋_GB2312" w:eastAsia="仿宋_GB2312" w:hint="eastAsia"/>
          <w:color w:val="000000" w:themeColor="text1"/>
          <w:sz w:val="32"/>
          <w:szCs w:val="32"/>
        </w:rPr>
        <w:t>6.84</w:t>
      </w:r>
      <w:r w:rsidRPr="004135E8">
        <w:rPr>
          <w:rFonts w:ascii="仿宋_GB2312" w:eastAsia="仿宋_GB2312" w:hint="eastAsia"/>
          <w:color w:val="000000" w:themeColor="text1"/>
          <w:sz w:val="32"/>
          <w:szCs w:val="32"/>
        </w:rPr>
        <w:t>万元，完成预算100%；公务接待费支出决算为0万元，与预算数一致。2017年度“三公”经费支出决算数与预算数持平。</w:t>
      </w:r>
    </w:p>
    <w:p w:rsidR="003875BA" w:rsidRPr="004135E8" w:rsidRDefault="003875BA" w:rsidP="003875BA">
      <w:pPr>
        <w:spacing w:line="360" w:lineRule="auto"/>
        <w:ind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2017年度“三公”经费财政拨款支出决算数比</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年减少</w:t>
      </w:r>
      <w:r w:rsidR="009653C0" w:rsidRPr="004135E8">
        <w:rPr>
          <w:rFonts w:ascii="仿宋_GB2312" w:eastAsia="仿宋_GB2312" w:hint="eastAsia"/>
          <w:color w:val="000000" w:themeColor="text1"/>
          <w:sz w:val="32"/>
          <w:szCs w:val="32"/>
        </w:rPr>
        <w:t>0.42</w:t>
      </w:r>
      <w:r w:rsidRPr="004135E8">
        <w:rPr>
          <w:rFonts w:ascii="仿宋_GB2312" w:eastAsia="仿宋_GB2312" w:hint="eastAsia"/>
          <w:color w:val="000000" w:themeColor="text1"/>
          <w:sz w:val="32"/>
          <w:szCs w:val="32"/>
        </w:rPr>
        <w:t>万元，下降</w:t>
      </w:r>
      <w:r w:rsidR="009653C0" w:rsidRPr="004135E8">
        <w:rPr>
          <w:rFonts w:ascii="仿宋_GB2312" w:eastAsia="仿宋_GB2312" w:hint="eastAsia"/>
          <w:color w:val="000000" w:themeColor="text1"/>
          <w:sz w:val="32"/>
          <w:szCs w:val="32"/>
        </w:rPr>
        <w:t>6.14</w:t>
      </w:r>
      <w:r w:rsidRPr="004135E8">
        <w:rPr>
          <w:rFonts w:ascii="仿宋_GB2312" w:eastAsia="仿宋_GB2312" w:hint="eastAsia"/>
          <w:color w:val="000000" w:themeColor="text1"/>
          <w:sz w:val="32"/>
          <w:szCs w:val="32"/>
        </w:rPr>
        <w:t>%，其中：因公出国（境）费支出决算持平；公务用车购置及运行维护费支出决算持平，比</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年下降</w:t>
      </w:r>
      <w:r w:rsidR="009653C0" w:rsidRPr="004135E8">
        <w:rPr>
          <w:rFonts w:ascii="仿宋_GB2312" w:eastAsia="仿宋_GB2312" w:hint="eastAsia"/>
          <w:color w:val="000000" w:themeColor="text1"/>
          <w:sz w:val="32"/>
          <w:szCs w:val="32"/>
        </w:rPr>
        <w:t>0.42</w:t>
      </w:r>
      <w:r w:rsidRPr="004135E8">
        <w:rPr>
          <w:rFonts w:ascii="仿宋_GB2312" w:eastAsia="仿宋_GB2312" w:hint="eastAsia"/>
          <w:color w:val="000000" w:themeColor="text1"/>
          <w:sz w:val="32"/>
          <w:szCs w:val="32"/>
        </w:rPr>
        <w:t>万元，下降</w:t>
      </w:r>
      <w:r w:rsidR="009653C0" w:rsidRPr="004135E8">
        <w:rPr>
          <w:rFonts w:ascii="仿宋_GB2312" w:eastAsia="仿宋_GB2312" w:hint="eastAsia"/>
          <w:color w:val="000000" w:themeColor="text1"/>
          <w:sz w:val="32"/>
          <w:szCs w:val="32"/>
        </w:rPr>
        <w:t>6.14</w:t>
      </w:r>
      <w:r w:rsidRPr="004135E8">
        <w:rPr>
          <w:rFonts w:ascii="仿宋_GB2312" w:eastAsia="仿宋_GB2312" w:hint="eastAsia"/>
          <w:color w:val="000000" w:themeColor="text1"/>
          <w:sz w:val="32"/>
          <w:szCs w:val="32"/>
        </w:rPr>
        <w:t>%；公务接待费支出决算</w:t>
      </w:r>
      <w:r w:rsidR="00732003" w:rsidRPr="004135E8">
        <w:rPr>
          <w:rFonts w:ascii="仿宋_GB2312" w:eastAsia="仿宋_GB2312" w:hint="eastAsia"/>
          <w:color w:val="000000" w:themeColor="text1"/>
          <w:sz w:val="32"/>
          <w:szCs w:val="32"/>
        </w:rPr>
        <w:t>与2016年持平</w:t>
      </w:r>
      <w:r w:rsidRPr="004135E8">
        <w:rPr>
          <w:rFonts w:ascii="仿宋_GB2312" w:eastAsia="仿宋_GB2312" w:hint="eastAsia"/>
          <w:color w:val="000000" w:themeColor="text1"/>
          <w:sz w:val="32"/>
          <w:szCs w:val="32"/>
        </w:rPr>
        <w:t>，减少100%。增减变动的主要原因严格限制“三公”支出，严格执行公务接待办法、公务公车规定，减少开支。</w:t>
      </w:r>
    </w:p>
    <w:p w:rsidR="003875BA" w:rsidRPr="004135E8" w:rsidRDefault="003875BA" w:rsidP="003875BA">
      <w:pPr>
        <w:spacing w:line="360" w:lineRule="auto"/>
        <w:ind w:firstLine="640"/>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（二）“三公”经费财政拨款支出决算具体情况说明</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noProof/>
          <w:color w:val="000000" w:themeColor="text1"/>
          <w:sz w:val="32"/>
          <w:szCs w:val="32"/>
        </w:rPr>
        <w:lastRenderedPageBreak/>
        <w:drawing>
          <wp:anchor distT="0" distB="0" distL="114300" distR="114300" simplePos="0" relativeHeight="251660288" behindDoc="0" locked="0" layoutInCell="1" allowOverlap="1">
            <wp:simplePos x="0" y="0"/>
            <wp:positionH relativeFrom="column">
              <wp:posOffset>-403860</wp:posOffset>
            </wp:positionH>
            <wp:positionV relativeFrom="paragraph">
              <wp:posOffset>1661795</wp:posOffset>
            </wp:positionV>
            <wp:extent cx="6291580" cy="3684270"/>
            <wp:effectExtent l="0" t="0" r="0" b="0"/>
            <wp:wrapTopAndBottom/>
            <wp:docPr id="1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4135E8">
        <w:rPr>
          <w:rFonts w:ascii="仿宋_GB2312" w:eastAsia="仿宋_GB2312" w:hint="eastAsia"/>
          <w:color w:val="000000" w:themeColor="text1"/>
          <w:sz w:val="32"/>
          <w:szCs w:val="32"/>
        </w:rPr>
        <w:t>2017年度“三公”经费财政拨款支出决算中，因公出国（境）费支出决算0万元，占0%；公务用车购置及运行维护费支出决算</w:t>
      </w:r>
      <w:r w:rsidR="009653C0" w:rsidRPr="004135E8">
        <w:rPr>
          <w:rFonts w:ascii="仿宋_GB2312" w:eastAsia="仿宋_GB2312" w:hint="eastAsia"/>
          <w:color w:val="000000" w:themeColor="text1"/>
          <w:sz w:val="32"/>
          <w:szCs w:val="32"/>
        </w:rPr>
        <w:t>6.42</w:t>
      </w:r>
      <w:r w:rsidRPr="004135E8">
        <w:rPr>
          <w:rFonts w:ascii="仿宋_GB2312" w:eastAsia="仿宋_GB2312" w:hint="eastAsia"/>
          <w:color w:val="000000" w:themeColor="text1"/>
          <w:sz w:val="32"/>
          <w:szCs w:val="32"/>
        </w:rPr>
        <w:t>万元，占100%；公务接待费支出决算0万元，占0%。（附图7：2017年“三公”经费使用分布表）具体情况如下：</w:t>
      </w:r>
    </w:p>
    <w:p w:rsidR="003875BA" w:rsidRPr="004135E8" w:rsidRDefault="003875BA" w:rsidP="003875BA">
      <w:pPr>
        <w:spacing w:line="360" w:lineRule="auto"/>
        <w:ind w:firstLine="640"/>
        <w:rPr>
          <w:rFonts w:ascii="仿宋_GB2312" w:eastAsia="仿宋_GB2312"/>
          <w:b/>
          <w:color w:val="000000" w:themeColor="text1"/>
          <w:sz w:val="32"/>
          <w:szCs w:val="32"/>
        </w:rPr>
      </w:pPr>
      <w:r w:rsidRPr="004135E8">
        <w:rPr>
          <w:rFonts w:ascii="仿宋_GB2312" w:eastAsia="仿宋_GB2312" w:hint="eastAsia"/>
          <w:color w:val="000000" w:themeColor="text1"/>
          <w:sz w:val="32"/>
          <w:szCs w:val="32"/>
        </w:rPr>
        <w:t>图6：2017年</w:t>
      </w:r>
      <w:r w:rsidRPr="004135E8">
        <w:rPr>
          <w:rFonts w:ascii="仿宋_GB2312" w:eastAsia="仿宋_GB2312" w:hint="eastAsia"/>
          <w:b/>
          <w:color w:val="000000" w:themeColor="text1"/>
          <w:sz w:val="32"/>
          <w:szCs w:val="32"/>
        </w:rPr>
        <w:t>“三公”经费使用分布表</w:t>
      </w:r>
    </w:p>
    <w:p w:rsidR="003875BA" w:rsidRPr="004135E8" w:rsidRDefault="003875BA" w:rsidP="003875BA">
      <w:pPr>
        <w:spacing w:line="360" w:lineRule="auto"/>
        <w:ind w:firstLineChars="196" w:firstLine="630"/>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1.因公出国（境）经费</w:t>
      </w:r>
    </w:p>
    <w:p w:rsidR="003875BA" w:rsidRPr="004135E8" w:rsidRDefault="003875BA" w:rsidP="003875BA">
      <w:pPr>
        <w:spacing w:line="360" w:lineRule="auto"/>
        <w:ind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2017</w:t>
      </w:r>
      <w:r w:rsidRPr="004135E8">
        <w:rPr>
          <w:rFonts w:ascii="仿宋_GB2312" w:eastAsia="仿宋_GB2312" w:hint="eastAsia"/>
          <w:color w:val="000000" w:themeColor="text1"/>
          <w:sz w:val="32"/>
          <w:szCs w:val="32"/>
        </w:rPr>
        <w:t>年因公出国（境）费0万元。全年安排因公出国（境）团组0次，出国（境）0人。</w:t>
      </w:r>
    </w:p>
    <w:p w:rsidR="003875BA" w:rsidRPr="004135E8" w:rsidRDefault="003875BA" w:rsidP="003875BA">
      <w:pPr>
        <w:spacing w:line="360" w:lineRule="auto"/>
        <w:ind w:firstLineChars="200" w:firstLine="643"/>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2.公务用车购置及运行维护费</w:t>
      </w:r>
    </w:p>
    <w:p w:rsidR="003875BA" w:rsidRPr="004135E8" w:rsidRDefault="003875BA" w:rsidP="003875BA">
      <w:pPr>
        <w:spacing w:line="360" w:lineRule="auto"/>
        <w:ind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2017</w:t>
      </w:r>
      <w:r w:rsidRPr="004135E8">
        <w:rPr>
          <w:rFonts w:ascii="仿宋_GB2312" w:eastAsia="仿宋_GB2312" w:hint="eastAsia"/>
          <w:color w:val="000000" w:themeColor="text1"/>
          <w:sz w:val="32"/>
          <w:szCs w:val="32"/>
        </w:rPr>
        <w:t>年公务用车购置及运行维护费</w:t>
      </w:r>
      <w:r w:rsidR="009653C0" w:rsidRPr="004135E8">
        <w:rPr>
          <w:rFonts w:ascii="仿宋_GB2312" w:eastAsia="仿宋_GB2312" w:hint="eastAsia"/>
          <w:color w:val="000000" w:themeColor="text1"/>
          <w:sz w:val="32"/>
          <w:szCs w:val="32"/>
        </w:rPr>
        <w:t>6.42</w:t>
      </w:r>
      <w:r w:rsidRPr="004135E8">
        <w:rPr>
          <w:rFonts w:ascii="仿宋_GB2312" w:eastAsia="仿宋_GB2312" w:hint="eastAsia"/>
          <w:color w:val="000000" w:themeColor="text1"/>
          <w:sz w:val="32"/>
          <w:szCs w:val="32"/>
        </w:rPr>
        <w:t>万元,其中：</w:t>
      </w:r>
    </w:p>
    <w:p w:rsidR="003875BA" w:rsidRPr="004135E8" w:rsidRDefault="003875BA" w:rsidP="003875BA">
      <w:pPr>
        <w:spacing w:line="580" w:lineRule="exact"/>
        <w:ind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全年按规定更新购置公务用车0辆，其中：轿车0辆、金额</w:t>
      </w:r>
      <w:r w:rsidRPr="004135E8">
        <w:rPr>
          <w:rFonts w:ascii="仿宋_GB2312" w:eastAsia="仿宋_GB2312" w:hint="eastAsia"/>
          <w:color w:val="000000" w:themeColor="text1"/>
          <w:sz w:val="32"/>
          <w:szCs w:val="32"/>
        </w:rPr>
        <w:lastRenderedPageBreak/>
        <w:t>0万元，越野车0辆、金额0万元，载客汽车0辆、金额0万元。截至2017年12月底，单位共有公务用车</w:t>
      </w:r>
      <w:r w:rsidR="00483BE8" w:rsidRPr="004135E8">
        <w:rPr>
          <w:rFonts w:ascii="仿宋_GB2312" w:eastAsia="仿宋_GB2312" w:hint="eastAsia"/>
          <w:color w:val="000000" w:themeColor="text1"/>
          <w:sz w:val="32"/>
          <w:szCs w:val="32"/>
        </w:rPr>
        <w:t>6</w:t>
      </w:r>
      <w:r w:rsidRPr="004135E8">
        <w:rPr>
          <w:rFonts w:ascii="仿宋_GB2312" w:eastAsia="仿宋_GB2312" w:hint="eastAsia"/>
          <w:color w:val="000000" w:themeColor="text1"/>
          <w:sz w:val="32"/>
          <w:szCs w:val="32"/>
        </w:rPr>
        <w:t>辆，其中：轿车1辆、越野车2辆、载客汽车</w:t>
      </w:r>
      <w:r w:rsidR="00483BE8" w:rsidRPr="004135E8">
        <w:rPr>
          <w:rFonts w:ascii="仿宋_GB2312" w:eastAsia="仿宋_GB2312" w:hint="eastAsia"/>
          <w:color w:val="000000" w:themeColor="text1"/>
          <w:sz w:val="32"/>
          <w:szCs w:val="32"/>
        </w:rPr>
        <w:t>3</w:t>
      </w:r>
      <w:r w:rsidRPr="004135E8">
        <w:rPr>
          <w:rFonts w:ascii="仿宋_GB2312" w:eastAsia="仿宋_GB2312" w:hint="eastAsia"/>
          <w:color w:val="000000" w:themeColor="text1"/>
          <w:sz w:val="32"/>
          <w:szCs w:val="32"/>
        </w:rPr>
        <w:t>辆。</w:t>
      </w:r>
    </w:p>
    <w:p w:rsidR="003875BA" w:rsidRPr="004135E8" w:rsidRDefault="003875BA" w:rsidP="003875BA">
      <w:pPr>
        <w:spacing w:line="360" w:lineRule="auto"/>
        <w:ind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公务用车运行维护费支出</w:t>
      </w:r>
      <w:r w:rsidR="009653C0" w:rsidRPr="004135E8">
        <w:rPr>
          <w:rFonts w:ascii="仿宋_GB2312" w:eastAsia="仿宋_GB2312" w:hint="eastAsia"/>
          <w:color w:val="000000" w:themeColor="text1"/>
          <w:sz w:val="32"/>
          <w:szCs w:val="32"/>
        </w:rPr>
        <w:t>6.42</w:t>
      </w:r>
      <w:r w:rsidRPr="004135E8">
        <w:rPr>
          <w:rFonts w:ascii="仿宋_GB2312" w:eastAsia="仿宋_GB2312" w:hint="eastAsia"/>
          <w:color w:val="000000" w:themeColor="text1"/>
          <w:sz w:val="32"/>
          <w:szCs w:val="32"/>
        </w:rPr>
        <w:t>万元。主要用于扶贫、秸秆禁烧工作、征地拆迁工作、维稳、应急、武装等所需的公务用车燃料费、维修费、保险费等支出。</w:t>
      </w:r>
    </w:p>
    <w:p w:rsidR="003875BA" w:rsidRPr="004135E8" w:rsidRDefault="003875BA" w:rsidP="003875BA">
      <w:pPr>
        <w:spacing w:line="360" w:lineRule="auto"/>
        <w:ind w:firstLineChars="200" w:firstLine="643"/>
        <w:rPr>
          <w:rFonts w:ascii="楷体_GB2312" w:eastAsia="楷体_GB2312"/>
          <w:b/>
          <w:color w:val="000000" w:themeColor="text1"/>
          <w:sz w:val="32"/>
          <w:szCs w:val="32"/>
        </w:rPr>
      </w:pPr>
      <w:r w:rsidRPr="004135E8">
        <w:rPr>
          <w:rFonts w:ascii="仿宋_GB2312" w:eastAsia="仿宋_GB2312" w:hint="eastAsia"/>
          <w:b/>
          <w:color w:val="000000" w:themeColor="text1"/>
          <w:sz w:val="32"/>
          <w:szCs w:val="32"/>
        </w:rPr>
        <w:t>3.公务接待费</w:t>
      </w:r>
    </w:p>
    <w:p w:rsidR="003875BA" w:rsidRPr="004135E8" w:rsidRDefault="003875BA" w:rsidP="003875BA">
      <w:pPr>
        <w:spacing w:line="580" w:lineRule="exact"/>
        <w:ind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2017</w:t>
      </w:r>
      <w:r w:rsidRPr="004135E8">
        <w:rPr>
          <w:rFonts w:ascii="仿宋_GB2312" w:eastAsia="仿宋_GB2312" w:hint="eastAsia"/>
          <w:color w:val="000000" w:themeColor="text1"/>
          <w:sz w:val="32"/>
          <w:szCs w:val="32"/>
        </w:rPr>
        <w:t>年公务接待费0万元。主要用于执行公务、开展业务活动开支的交通费、住宿费、用餐费等。国内公务接待0批次，0人，共计支出0万元</w:t>
      </w:r>
    </w:p>
    <w:p w:rsidR="003875BA" w:rsidRPr="004135E8" w:rsidRDefault="003875BA" w:rsidP="003875BA">
      <w:pPr>
        <w:spacing w:line="360" w:lineRule="auto"/>
        <w:ind w:firstLine="640"/>
        <w:rPr>
          <w:rFonts w:ascii="黑体" w:eastAsia="黑体"/>
          <w:color w:val="000000" w:themeColor="text1"/>
          <w:sz w:val="32"/>
          <w:szCs w:val="32"/>
        </w:rPr>
      </w:pPr>
      <w:r w:rsidRPr="004135E8">
        <w:rPr>
          <w:rFonts w:ascii="黑体" w:eastAsia="黑体" w:hint="eastAsia"/>
          <w:color w:val="000000" w:themeColor="text1"/>
          <w:sz w:val="32"/>
          <w:szCs w:val="32"/>
        </w:rPr>
        <w:t>八、政府性基金预算财政拨款支出决算情况</w:t>
      </w:r>
    </w:p>
    <w:p w:rsidR="003875BA" w:rsidRPr="004135E8" w:rsidRDefault="003875BA" w:rsidP="003875BA">
      <w:pPr>
        <w:spacing w:line="360" w:lineRule="auto"/>
        <w:ind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双福镇人民政府2017年使用政府性基金预算财政拨款支出</w:t>
      </w:r>
      <w:r w:rsidR="009653C0" w:rsidRPr="004135E8">
        <w:rPr>
          <w:rFonts w:ascii="仿宋_GB2312" w:eastAsia="仿宋_GB2312" w:hint="eastAsia"/>
          <w:color w:val="000000" w:themeColor="text1"/>
          <w:sz w:val="32"/>
          <w:szCs w:val="32"/>
        </w:rPr>
        <w:t>343.61</w:t>
      </w:r>
      <w:r w:rsidRPr="004135E8">
        <w:rPr>
          <w:rFonts w:ascii="仿宋_GB2312" w:eastAsia="仿宋_GB2312" w:hint="eastAsia"/>
          <w:color w:val="000000" w:themeColor="text1"/>
          <w:sz w:val="32"/>
          <w:szCs w:val="32"/>
        </w:rPr>
        <w:t>万元。主要用于夹峨联网等征拆工作、</w:t>
      </w:r>
      <w:r w:rsidR="009653C0" w:rsidRPr="004135E8">
        <w:rPr>
          <w:rFonts w:ascii="仿宋_GB2312" w:eastAsia="仿宋_GB2312" w:hint="eastAsia"/>
          <w:color w:val="000000" w:themeColor="text1"/>
          <w:sz w:val="32"/>
          <w:szCs w:val="32"/>
        </w:rPr>
        <w:t>红华工程建设</w:t>
      </w:r>
      <w:r w:rsidRPr="004135E8">
        <w:rPr>
          <w:rFonts w:ascii="仿宋_GB2312" w:eastAsia="仿宋_GB2312" w:hint="eastAsia"/>
          <w:color w:val="000000" w:themeColor="text1"/>
          <w:sz w:val="32"/>
          <w:szCs w:val="32"/>
        </w:rPr>
        <w:t>、</w:t>
      </w:r>
      <w:r w:rsidR="004135E8" w:rsidRPr="004135E8">
        <w:rPr>
          <w:rFonts w:ascii="仿宋_GB2312" w:eastAsia="仿宋_GB2312" w:hint="eastAsia"/>
          <w:color w:val="000000" w:themeColor="text1"/>
          <w:sz w:val="32"/>
          <w:szCs w:val="32"/>
        </w:rPr>
        <w:t>地质灾害防治、农村幸福院</w:t>
      </w:r>
      <w:r w:rsidR="009653C0" w:rsidRPr="004135E8">
        <w:rPr>
          <w:rFonts w:ascii="仿宋_GB2312" w:eastAsia="仿宋_GB2312" w:hint="eastAsia"/>
          <w:color w:val="000000" w:themeColor="text1"/>
          <w:sz w:val="32"/>
          <w:szCs w:val="32"/>
        </w:rPr>
        <w:t>建设</w:t>
      </w:r>
      <w:r w:rsidRPr="004135E8">
        <w:rPr>
          <w:rFonts w:ascii="仿宋_GB2312" w:eastAsia="仿宋_GB2312" w:hint="eastAsia"/>
          <w:color w:val="000000" w:themeColor="text1"/>
          <w:sz w:val="32"/>
          <w:szCs w:val="32"/>
        </w:rPr>
        <w:t>等方面。</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九、其他重要事项的情况说明</w:t>
      </w:r>
    </w:p>
    <w:p w:rsidR="003875BA" w:rsidRPr="004135E8" w:rsidRDefault="003875BA" w:rsidP="003875BA">
      <w:pPr>
        <w:spacing w:line="360" w:lineRule="auto"/>
        <w:ind w:firstLineChars="200" w:firstLine="643"/>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（一）机关运行经费支出情况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2017年度，双福镇人民政府机关运行经费支出</w:t>
      </w:r>
      <w:r w:rsidR="009653C0" w:rsidRPr="004135E8">
        <w:rPr>
          <w:rFonts w:ascii="仿宋_GB2312" w:eastAsia="仿宋_GB2312" w:hint="eastAsia"/>
          <w:color w:val="000000" w:themeColor="text1"/>
          <w:sz w:val="32"/>
          <w:szCs w:val="32"/>
        </w:rPr>
        <w:t>60.75</w:t>
      </w:r>
      <w:r w:rsidRPr="004135E8">
        <w:rPr>
          <w:rFonts w:ascii="仿宋_GB2312" w:eastAsia="仿宋_GB2312" w:hint="eastAsia"/>
          <w:color w:val="000000" w:themeColor="text1"/>
          <w:sz w:val="32"/>
          <w:szCs w:val="32"/>
        </w:rPr>
        <w:t>万元，比</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年增加</w:t>
      </w:r>
      <w:r w:rsidR="009653C0" w:rsidRPr="004135E8">
        <w:rPr>
          <w:rFonts w:ascii="仿宋_GB2312" w:eastAsia="仿宋_GB2312" w:hint="eastAsia"/>
          <w:color w:val="000000" w:themeColor="text1"/>
          <w:sz w:val="32"/>
          <w:szCs w:val="32"/>
        </w:rPr>
        <w:t>6.83</w:t>
      </w:r>
      <w:r w:rsidRPr="004135E8">
        <w:rPr>
          <w:rFonts w:ascii="仿宋_GB2312" w:eastAsia="仿宋_GB2312" w:hint="eastAsia"/>
          <w:color w:val="000000" w:themeColor="text1"/>
          <w:sz w:val="32"/>
          <w:szCs w:val="32"/>
        </w:rPr>
        <w:t>万元，增长</w:t>
      </w:r>
      <w:r w:rsidR="009653C0" w:rsidRPr="004135E8">
        <w:rPr>
          <w:rFonts w:ascii="仿宋_GB2312" w:eastAsia="仿宋_GB2312" w:hint="eastAsia"/>
          <w:color w:val="000000" w:themeColor="text1"/>
          <w:sz w:val="32"/>
          <w:szCs w:val="32"/>
        </w:rPr>
        <w:t>12.67</w:t>
      </w:r>
      <w:r w:rsidRPr="004135E8">
        <w:rPr>
          <w:rFonts w:ascii="仿宋_GB2312" w:eastAsia="仿宋_GB2312" w:hint="eastAsia"/>
          <w:color w:val="000000" w:themeColor="text1"/>
          <w:sz w:val="32"/>
          <w:szCs w:val="32"/>
        </w:rPr>
        <w:t>%（</w:t>
      </w:r>
      <w:r w:rsidR="00D21FA9" w:rsidRPr="004135E8">
        <w:rPr>
          <w:rFonts w:ascii="仿宋_GB2312" w:eastAsia="仿宋_GB2312" w:hint="eastAsia"/>
          <w:color w:val="000000" w:themeColor="text1"/>
          <w:sz w:val="32"/>
          <w:szCs w:val="32"/>
        </w:rPr>
        <w:t>2016</w:t>
      </w:r>
      <w:r w:rsidRPr="004135E8">
        <w:rPr>
          <w:rFonts w:ascii="仿宋_GB2312" w:eastAsia="仿宋_GB2312" w:hint="eastAsia"/>
          <w:color w:val="000000" w:themeColor="text1"/>
          <w:sz w:val="32"/>
          <w:szCs w:val="32"/>
        </w:rPr>
        <w:t>年机关运行经费</w:t>
      </w:r>
      <w:r w:rsidR="009653C0" w:rsidRPr="004135E8">
        <w:rPr>
          <w:rFonts w:ascii="仿宋_GB2312" w:eastAsia="仿宋_GB2312" w:hint="eastAsia"/>
          <w:color w:val="000000" w:themeColor="text1"/>
          <w:sz w:val="32"/>
          <w:szCs w:val="32"/>
        </w:rPr>
        <w:t>53.92</w:t>
      </w:r>
      <w:r w:rsidRPr="004135E8">
        <w:rPr>
          <w:rFonts w:ascii="仿宋_GB2312" w:eastAsia="仿宋_GB2312" w:hint="eastAsia"/>
          <w:color w:val="000000" w:themeColor="text1"/>
          <w:sz w:val="32"/>
          <w:szCs w:val="32"/>
        </w:rPr>
        <w:t>万元）。</w:t>
      </w:r>
    </w:p>
    <w:p w:rsidR="003875BA" w:rsidRPr="004135E8" w:rsidRDefault="003875BA" w:rsidP="003875BA">
      <w:pPr>
        <w:autoSpaceDE w:val="0"/>
        <w:autoSpaceDN w:val="0"/>
        <w:adjustRightInd w:val="0"/>
        <w:spacing w:line="360" w:lineRule="auto"/>
        <w:ind w:firstLineChars="200" w:firstLine="643"/>
        <w:jc w:val="left"/>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（二）政府采购支出情况</w:t>
      </w:r>
    </w:p>
    <w:p w:rsidR="003875BA" w:rsidRPr="004135E8" w:rsidRDefault="003875BA" w:rsidP="004135E8">
      <w:pPr>
        <w:spacing w:line="360" w:lineRule="auto"/>
        <w:ind w:firstLineChars="250" w:firstLine="80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2017年度，双福镇人民政府政府采购支出总额</w:t>
      </w:r>
      <w:r w:rsidR="00841983" w:rsidRPr="004135E8">
        <w:rPr>
          <w:rFonts w:ascii="仿宋_GB2312" w:eastAsia="仿宋_GB2312" w:hint="eastAsia"/>
          <w:color w:val="000000" w:themeColor="text1"/>
          <w:sz w:val="32"/>
          <w:szCs w:val="32"/>
        </w:rPr>
        <w:t>4.64</w:t>
      </w:r>
      <w:r w:rsidRPr="004135E8">
        <w:rPr>
          <w:rFonts w:ascii="仿宋_GB2312" w:eastAsia="仿宋_GB2312" w:hint="eastAsia"/>
          <w:color w:val="000000" w:themeColor="text1"/>
          <w:sz w:val="32"/>
          <w:szCs w:val="32"/>
        </w:rPr>
        <w:t>万元。</w:t>
      </w:r>
      <w:r w:rsidR="004135E8" w:rsidRPr="004135E8">
        <w:rPr>
          <w:rFonts w:ascii="仿宋_GB2312" w:eastAsia="仿宋_GB2312" w:hint="eastAsia"/>
          <w:color w:val="000000" w:themeColor="text1"/>
          <w:sz w:val="32"/>
          <w:szCs w:val="32"/>
        </w:rPr>
        <w:lastRenderedPageBreak/>
        <w:t>其中采购货物支出4.64万元。</w:t>
      </w:r>
      <w:r w:rsidRPr="004135E8">
        <w:rPr>
          <w:rFonts w:ascii="仿宋_GB2312" w:eastAsia="仿宋_GB2312" w:hint="eastAsia"/>
          <w:color w:val="000000" w:themeColor="text1"/>
          <w:sz w:val="32"/>
          <w:szCs w:val="32"/>
        </w:rPr>
        <w:t>主要用于购买</w:t>
      </w:r>
      <w:r w:rsidR="004135E8" w:rsidRPr="004135E8">
        <w:rPr>
          <w:rFonts w:ascii="仿宋_GB2312" w:eastAsia="仿宋_GB2312" w:hint="eastAsia"/>
          <w:color w:val="000000" w:themeColor="text1"/>
          <w:sz w:val="32"/>
          <w:szCs w:val="32"/>
        </w:rPr>
        <w:t>办公设备</w:t>
      </w:r>
      <w:r w:rsidRPr="004135E8">
        <w:rPr>
          <w:rFonts w:ascii="仿宋_GB2312" w:eastAsia="仿宋_GB2312" w:hint="eastAsia"/>
          <w:color w:val="000000" w:themeColor="text1"/>
          <w:sz w:val="32"/>
          <w:szCs w:val="32"/>
        </w:rPr>
        <w:t>。</w:t>
      </w:r>
    </w:p>
    <w:p w:rsidR="003875BA" w:rsidRPr="004135E8" w:rsidRDefault="003875BA" w:rsidP="003875BA">
      <w:pPr>
        <w:autoSpaceDE w:val="0"/>
        <w:autoSpaceDN w:val="0"/>
        <w:adjustRightInd w:val="0"/>
        <w:spacing w:line="360" w:lineRule="auto"/>
        <w:ind w:firstLineChars="200" w:firstLine="643"/>
        <w:jc w:val="left"/>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（三）国有资产占有使用情况</w:t>
      </w:r>
    </w:p>
    <w:p w:rsidR="003875BA" w:rsidRPr="004135E8" w:rsidRDefault="003875BA" w:rsidP="003875BA">
      <w:pPr>
        <w:autoSpaceDE w:val="0"/>
        <w:autoSpaceDN w:val="0"/>
        <w:adjustRightInd w:val="0"/>
        <w:spacing w:line="580" w:lineRule="exact"/>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截至2017年12月31日，双福镇人民政府公有车辆6辆，其中：一般公务用车6辆。其中：省部级领导干部用车0辆、一般公务用车7辆；单价50万元以上通用设备0台（套），单价100万元以上专用设备0台（套）。</w:t>
      </w:r>
    </w:p>
    <w:p w:rsidR="003875BA" w:rsidRPr="004135E8" w:rsidRDefault="003875BA" w:rsidP="003875BA">
      <w:pPr>
        <w:autoSpaceDE w:val="0"/>
        <w:autoSpaceDN w:val="0"/>
        <w:adjustRightInd w:val="0"/>
        <w:spacing w:line="360" w:lineRule="auto"/>
        <w:ind w:firstLineChars="200" w:firstLine="643"/>
        <w:jc w:val="left"/>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（四）预算绩效情况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按照预算绩效管理要求，本部门对2017年一般公共预算项目支出开展了绩效目标管理，共编制绩效目标</w:t>
      </w:r>
      <w:r w:rsidR="00841983" w:rsidRPr="004135E8">
        <w:rPr>
          <w:rFonts w:ascii="仿宋_GB2312" w:eastAsia="仿宋_GB2312" w:hint="eastAsia"/>
          <w:color w:val="000000" w:themeColor="text1"/>
          <w:sz w:val="32"/>
          <w:szCs w:val="32"/>
        </w:rPr>
        <w:t>19</w:t>
      </w:r>
      <w:r w:rsidRPr="004135E8">
        <w:rPr>
          <w:rFonts w:ascii="仿宋_GB2312" w:eastAsia="仿宋_GB2312" w:hint="eastAsia"/>
          <w:color w:val="000000" w:themeColor="text1"/>
          <w:sz w:val="32"/>
          <w:szCs w:val="32"/>
        </w:rPr>
        <w:t>个，涉及财政资金</w:t>
      </w:r>
      <w:r w:rsidR="00841983" w:rsidRPr="004135E8">
        <w:rPr>
          <w:rFonts w:ascii="仿宋_GB2312" w:eastAsia="仿宋_GB2312" w:hint="eastAsia"/>
          <w:color w:val="000000" w:themeColor="text1"/>
          <w:sz w:val="32"/>
          <w:szCs w:val="32"/>
        </w:rPr>
        <w:t>1205.82</w:t>
      </w:r>
      <w:r w:rsidRPr="004135E8">
        <w:rPr>
          <w:rFonts w:ascii="仿宋_GB2312" w:eastAsia="仿宋_GB2312" w:hint="eastAsia"/>
          <w:color w:val="000000" w:themeColor="text1"/>
          <w:sz w:val="32"/>
          <w:szCs w:val="32"/>
        </w:rPr>
        <w:t>万元，覆盖率达到100%。</w:t>
      </w:r>
    </w:p>
    <w:p w:rsidR="003875BA" w:rsidRPr="004135E8" w:rsidRDefault="003875BA" w:rsidP="003875BA">
      <w:pPr>
        <w:autoSpaceDE w:val="0"/>
        <w:autoSpaceDN w:val="0"/>
        <w:adjustRightInd w:val="0"/>
        <w:spacing w:line="360" w:lineRule="auto"/>
        <w:ind w:firstLineChars="200" w:firstLine="640"/>
        <w:jc w:val="left"/>
        <w:rPr>
          <w:rFonts w:ascii="黑体" w:eastAsia="黑体"/>
          <w:color w:val="000000" w:themeColor="text1"/>
          <w:sz w:val="32"/>
          <w:szCs w:val="32"/>
        </w:rPr>
      </w:pPr>
      <w:r w:rsidRPr="004135E8">
        <w:rPr>
          <w:rFonts w:ascii="黑体" w:eastAsia="黑体" w:hint="eastAsia"/>
          <w:color w:val="000000" w:themeColor="text1"/>
          <w:sz w:val="32"/>
          <w:szCs w:val="32"/>
        </w:rPr>
        <w:t>十、名词解释</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1.财政拨款收入：指市级财政当年拨付的资金。</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2.事业收入：指事业单位开展专业业务活动及辅助活动所取得的收入。</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3.经营收入：指事业单位在专业业务活动及其辅助活动之外开展非独立核算经营活动取得的收入。</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4.其他收入：指除上述“财政拨款收入”、“事业收入”、“经营收入”等以外的收入。</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5.用事业基金弥补收支差额：指事业单位在当年的“财政拨款收入”、“事业收入”、“经营收入”、“其他收入”不足以安排当年支出的情况下，使用以前年度积累的事业基金。</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lastRenderedPageBreak/>
        <w:t>6.年初结转和结余：指以前年度尚未完成、结转到本年按有关规定继续使用的资金。</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7</w:t>
      </w:r>
      <w:r w:rsidRPr="004135E8">
        <w:rPr>
          <w:rFonts w:ascii="仿宋_GB2312" w:eastAsia="仿宋_GB2312" w:hint="eastAsia"/>
          <w:color w:val="000000" w:themeColor="text1"/>
          <w:sz w:val="32"/>
          <w:szCs w:val="32"/>
        </w:rPr>
        <w:tab/>
        <w:t>.一般公共服务支出（类）政府办公厅（室）及相关机构事务（款）行政运行（项）：反映行政单位的基本支出。</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8</w:t>
      </w:r>
      <w:r w:rsidRPr="004135E8">
        <w:rPr>
          <w:rFonts w:ascii="仿宋_GB2312" w:eastAsia="仿宋_GB2312" w:hint="eastAsia"/>
          <w:color w:val="000000" w:themeColor="text1"/>
          <w:sz w:val="32"/>
          <w:szCs w:val="32"/>
        </w:rPr>
        <w:tab/>
        <w:t>.一般公共服务支出（类）政府办公厅（室）及相关机构事务（款）一般行政管理事务（项）：反映行政单位未设置项级科目的其他项目支出。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9</w:t>
      </w:r>
      <w:r w:rsidR="003875BA" w:rsidRPr="004135E8">
        <w:rPr>
          <w:rFonts w:ascii="仿宋_GB2312" w:eastAsia="仿宋_GB2312" w:hint="eastAsia"/>
          <w:color w:val="000000" w:themeColor="text1"/>
          <w:sz w:val="32"/>
          <w:szCs w:val="32"/>
        </w:rPr>
        <w:t>.一般公共服务支出（类）财政事务（款）事业运行（项）</w:t>
      </w:r>
    </w:p>
    <w:p w:rsidR="003875BA" w:rsidRPr="004135E8" w:rsidRDefault="003875BA" w:rsidP="003875BA">
      <w:pPr>
        <w:spacing w:line="360" w:lineRule="auto"/>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反映事业单位的基本支出。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10</w:t>
      </w:r>
      <w:r w:rsidR="003875BA" w:rsidRPr="004135E8">
        <w:rPr>
          <w:rFonts w:ascii="仿宋_GB2312" w:eastAsia="仿宋_GB2312" w:hint="eastAsia"/>
          <w:color w:val="000000" w:themeColor="text1"/>
          <w:sz w:val="32"/>
          <w:szCs w:val="32"/>
        </w:rPr>
        <w:t>.一般公共服务支出（类）</w:t>
      </w:r>
      <w:r w:rsidR="00076D00" w:rsidRPr="004135E8">
        <w:rPr>
          <w:rFonts w:ascii="仿宋_GB2312" w:eastAsia="仿宋_GB2312" w:hint="eastAsia"/>
          <w:color w:val="000000" w:themeColor="text1"/>
          <w:sz w:val="32"/>
          <w:szCs w:val="32"/>
        </w:rPr>
        <w:t>人力资源事务</w:t>
      </w:r>
      <w:r w:rsidR="003875BA" w:rsidRPr="004135E8">
        <w:rPr>
          <w:rFonts w:ascii="仿宋_GB2312" w:eastAsia="仿宋_GB2312" w:hint="eastAsia"/>
          <w:color w:val="000000" w:themeColor="text1"/>
          <w:sz w:val="32"/>
          <w:szCs w:val="32"/>
        </w:rPr>
        <w:t>（款）</w:t>
      </w:r>
      <w:r w:rsidR="00076D00" w:rsidRPr="004135E8">
        <w:rPr>
          <w:rFonts w:ascii="仿宋_GB2312" w:eastAsia="仿宋_GB2312" w:hint="eastAsia"/>
          <w:color w:val="000000" w:themeColor="text1"/>
          <w:sz w:val="32"/>
          <w:szCs w:val="32"/>
        </w:rPr>
        <w:t>其他人力资源事务支出</w:t>
      </w:r>
      <w:r w:rsidR="003875BA" w:rsidRPr="004135E8">
        <w:rPr>
          <w:rFonts w:ascii="仿宋_GB2312" w:eastAsia="仿宋_GB2312" w:hint="eastAsia"/>
          <w:color w:val="000000" w:themeColor="text1"/>
          <w:sz w:val="32"/>
          <w:szCs w:val="32"/>
        </w:rPr>
        <w:t>（项）：</w:t>
      </w:r>
      <w:r w:rsidR="00076D00" w:rsidRPr="004135E8">
        <w:rPr>
          <w:rFonts w:ascii="仿宋_GB2312" w:eastAsia="仿宋_GB2312" w:hint="eastAsia"/>
          <w:color w:val="000000" w:themeColor="text1"/>
          <w:sz w:val="32"/>
          <w:szCs w:val="32"/>
        </w:rPr>
        <w:t>反映除上述项目以外其他人力资源事务方面的支出。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11</w:t>
      </w:r>
      <w:r w:rsidR="003875BA" w:rsidRPr="004135E8">
        <w:rPr>
          <w:rFonts w:ascii="仿宋_GB2312" w:eastAsia="仿宋_GB2312" w:hint="eastAsia"/>
          <w:color w:val="000000" w:themeColor="text1"/>
          <w:sz w:val="32"/>
          <w:szCs w:val="32"/>
        </w:rPr>
        <w:t>.文化体育与传媒支出</w:t>
      </w:r>
      <w:r w:rsidR="003875BA" w:rsidRPr="004135E8">
        <w:rPr>
          <w:rFonts w:ascii="仿宋_GB2312" w:eastAsia="仿宋_GB2312" w:hint="eastAsia"/>
          <w:color w:val="000000" w:themeColor="text1"/>
          <w:sz w:val="32"/>
          <w:szCs w:val="32"/>
        </w:rPr>
        <w:tab/>
        <w:t>（类）文化</w:t>
      </w:r>
      <w:r w:rsidR="003875BA" w:rsidRPr="004135E8">
        <w:rPr>
          <w:rFonts w:ascii="仿宋_GB2312" w:eastAsia="仿宋_GB2312" w:hint="eastAsia"/>
          <w:color w:val="000000" w:themeColor="text1"/>
          <w:sz w:val="32"/>
          <w:szCs w:val="32"/>
        </w:rPr>
        <w:tab/>
        <w:t>（款）群众文化（项）：反映群众文化方面的支出。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12</w:t>
      </w:r>
      <w:r w:rsidR="003875BA" w:rsidRPr="004135E8">
        <w:rPr>
          <w:rFonts w:ascii="仿宋_GB2312" w:eastAsia="仿宋_GB2312" w:hint="eastAsia"/>
          <w:color w:val="000000" w:themeColor="text1"/>
          <w:sz w:val="32"/>
          <w:szCs w:val="32"/>
        </w:rPr>
        <w:t>.文化体育与传媒支出</w:t>
      </w:r>
      <w:r w:rsidR="003875BA" w:rsidRPr="004135E8">
        <w:rPr>
          <w:rFonts w:ascii="仿宋_GB2312" w:eastAsia="仿宋_GB2312" w:hint="eastAsia"/>
          <w:color w:val="000000" w:themeColor="text1"/>
          <w:sz w:val="32"/>
          <w:szCs w:val="32"/>
        </w:rPr>
        <w:tab/>
        <w:t>（类）文化</w:t>
      </w:r>
      <w:r w:rsidR="003875BA" w:rsidRPr="004135E8">
        <w:rPr>
          <w:rFonts w:ascii="仿宋_GB2312" w:eastAsia="仿宋_GB2312" w:hint="eastAsia"/>
          <w:color w:val="000000" w:themeColor="text1"/>
          <w:sz w:val="32"/>
          <w:szCs w:val="32"/>
        </w:rPr>
        <w:tab/>
        <w:t>（款）其他文化支出（项）：反映除已列款项外的其他文化方面支出。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13</w:t>
      </w:r>
      <w:r w:rsidR="003875BA" w:rsidRPr="004135E8">
        <w:rPr>
          <w:rFonts w:ascii="仿宋_GB2312" w:eastAsia="仿宋_GB2312" w:hint="eastAsia"/>
          <w:color w:val="000000" w:themeColor="text1"/>
          <w:sz w:val="32"/>
          <w:szCs w:val="32"/>
        </w:rPr>
        <w:t>.文化体育与传媒支出</w:t>
      </w:r>
      <w:r w:rsidR="003875BA" w:rsidRPr="004135E8">
        <w:rPr>
          <w:rFonts w:ascii="仿宋_GB2312" w:eastAsia="仿宋_GB2312" w:hint="eastAsia"/>
          <w:color w:val="000000" w:themeColor="text1"/>
          <w:sz w:val="32"/>
          <w:szCs w:val="32"/>
        </w:rPr>
        <w:tab/>
        <w:t>（类）其他文化体育与传媒支出（款）其他文化体育与传媒支出</w:t>
      </w:r>
      <w:r w:rsidR="003875BA" w:rsidRPr="004135E8">
        <w:rPr>
          <w:rFonts w:ascii="仿宋_GB2312" w:eastAsia="仿宋_GB2312" w:hint="eastAsia"/>
          <w:color w:val="000000" w:themeColor="text1"/>
          <w:sz w:val="32"/>
          <w:szCs w:val="32"/>
        </w:rPr>
        <w:tab/>
        <w:t>（项）：反映除已列款项外的其他文化体育与传媒支出。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14</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（类）人力资源和社会保障事务（款）劳动保障监察</w:t>
      </w:r>
      <w:r w:rsidR="003875BA" w:rsidRPr="004135E8">
        <w:rPr>
          <w:rFonts w:ascii="仿宋_GB2312" w:eastAsia="仿宋_GB2312" w:hint="eastAsia"/>
          <w:color w:val="000000" w:themeColor="text1"/>
          <w:sz w:val="32"/>
          <w:szCs w:val="32"/>
        </w:rPr>
        <w:tab/>
        <w:t>（项）：反映劳动保障监察支出。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lastRenderedPageBreak/>
        <w:t>15</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（类）民政管理事务</w:t>
      </w:r>
      <w:r w:rsidR="003875BA" w:rsidRPr="004135E8">
        <w:rPr>
          <w:rFonts w:ascii="仿宋_GB2312" w:eastAsia="仿宋_GB2312" w:hint="eastAsia"/>
          <w:color w:val="000000" w:themeColor="text1"/>
          <w:sz w:val="32"/>
          <w:szCs w:val="32"/>
        </w:rPr>
        <w:tab/>
        <w:t>（款）基层政权和社区建设（项）：反映开展村民自治、村务公开等基层政权和社区建设工作的支出。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16</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（类）行政事业单位离退休（款）未归口的行政事业单位离退休</w:t>
      </w:r>
      <w:r w:rsidR="003875BA" w:rsidRPr="004135E8">
        <w:rPr>
          <w:rFonts w:ascii="仿宋_GB2312" w:eastAsia="仿宋_GB2312" w:hint="eastAsia"/>
          <w:color w:val="000000" w:themeColor="text1"/>
          <w:sz w:val="32"/>
          <w:szCs w:val="32"/>
        </w:rPr>
        <w:tab/>
        <w:t>（项）：归口的行政事业单位开支的离退休费。</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17</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（类）行政事业单位离退休（款）机关事业单位基本养老保险缴费支出（项）：反映机关事业单位实施养老保险制度由单位缴纳的基本养老保险费支出。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18</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（类）抚恤</w:t>
      </w:r>
      <w:r w:rsidR="003875BA" w:rsidRPr="004135E8">
        <w:rPr>
          <w:rFonts w:ascii="仿宋_GB2312" w:eastAsia="仿宋_GB2312" w:hint="eastAsia"/>
          <w:color w:val="000000" w:themeColor="text1"/>
          <w:sz w:val="32"/>
          <w:szCs w:val="32"/>
        </w:rPr>
        <w:tab/>
        <w:t>（款）</w:t>
      </w:r>
      <w:r w:rsidR="00076D00" w:rsidRPr="004135E8">
        <w:rPr>
          <w:rFonts w:ascii="仿宋_GB2312" w:eastAsia="仿宋_GB2312" w:hint="eastAsia"/>
          <w:color w:val="000000" w:themeColor="text1"/>
          <w:sz w:val="32"/>
          <w:szCs w:val="32"/>
        </w:rPr>
        <w:t>其他优抚支出</w:t>
      </w:r>
      <w:r w:rsidR="003875BA" w:rsidRPr="004135E8">
        <w:rPr>
          <w:rFonts w:ascii="仿宋_GB2312" w:eastAsia="仿宋_GB2312" w:hint="eastAsia"/>
          <w:color w:val="000000" w:themeColor="text1"/>
          <w:sz w:val="32"/>
          <w:szCs w:val="32"/>
        </w:rPr>
        <w:t>（项）：</w:t>
      </w:r>
      <w:r w:rsidR="00076D00" w:rsidRPr="004135E8">
        <w:rPr>
          <w:rFonts w:ascii="仿宋_GB2312" w:eastAsia="仿宋_GB2312" w:hint="eastAsia"/>
          <w:color w:val="000000" w:themeColor="text1"/>
          <w:sz w:val="32"/>
          <w:szCs w:val="32"/>
        </w:rPr>
        <w:t>反映除上述项目以外其他用于优抚方面的支出。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19</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（类）抚恤</w:t>
      </w:r>
      <w:r w:rsidR="003875BA" w:rsidRPr="004135E8">
        <w:rPr>
          <w:rFonts w:ascii="仿宋_GB2312" w:eastAsia="仿宋_GB2312" w:hint="eastAsia"/>
          <w:color w:val="000000" w:themeColor="text1"/>
          <w:sz w:val="32"/>
          <w:szCs w:val="32"/>
        </w:rPr>
        <w:tab/>
        <w:t>（款）在乡复员、退伍军人生活补助（项）：反映在乡退伍红军老战士、1954年10月31日前入伍的在乡复员军人、按规定办理带病回乡手续的退伍军人生活补助。</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20</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（类）抚恤</w:t>
      </w:r>
      <w:r w:rsidR="003875BA" w:rsidRPr="004135E8">
        <w:rPr>
          <w:rFonts w:ascii="仿宋_GB2312" w:eastAsia="仿宋_GB2312" w:hint="eastAsia"/>
          <w:color w:val="000000" w:themeColor="text1"/>
          <w:sz w:val="32"/>
          <w:szCs w:val="32"/>
        </w:rPr>
        <w:tab/>
        <w:t>（款）其他优抚支出（项）：反映除已列款项外其他其他优抚支出。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21</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自然灾害生活救助（款）中央自然灾害生活补助（项）：反映中央预算对遭受特大自然灾害地区的地方政府在安排受灾群众吃、穿、住和抢救、转移、安置、治病等经费发生困难时给予的专项补助，以及为抗御特大自然灾</w:t>
      </w:r>
      <w:r w:rsidR="003875BA" w:rsidRPr="004135E8">
        <w:rPr>
          <w:rFonts w:ascii="仿宋_GB2312" w:eastAsia="仿宋_GB2312" w:hint="eastAsia"/>
          <w:color w:val="000000" w:themeColor="text1"/>
          <w:sz w:val="32"/>
          <w:szCs w:val="32"/>
        </w:rPr>
        <w:lastRenderedPageBreak/>
        <w:t>害而设立的中央救灾物资储备资金。</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w:t>
      </w:r>
      <w:r w:rsidR="00DF1BBA" w:rsidRPr="004135E8">
        <w:rPr>
          <w:rFonts w:ascii="仿宋_GB2312" w:eastAsia="仿宋_GB2312" w:hint="eastAsia"/>
          <w:color w:val="000000" w:themeColor="text1"/>
          <w:sz w:val="32"/>
          <w:szCs w:val="32"/>
        </w:rPr>
        <w:t>2</w:t>
      </w:r>
      <w:r w:rsidRPr="004135E8">
        <w:rPr>
          <w:rFonts w:ascii="仿宋_GB2312" w:eastAsia="仿宋_GB2312" w:hint="eastAsia"/>
          <w:color w:val="000000" w:themeColor="text1"/>
          <w:sz w:val="32"/>
          <w:szCs w:val="32"/>
        </w:rPr>
        <w:t>.医疗卫生与计划生育支出（类）医疗保障（款）行政单位医疗保障（项）：反映财政部门集中安排的行政单位基本医疗保险缴费经费等。</w:t>
      </w:r>
    </w:p>
    <w:p w:rsidR="00282BC2"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23</w:t>
      </w:r>
      <w:r w:rsidR="00B22A44" w:rsidRPr="004135E8">
        <w:rPr>
          <w:rFonts w:ascii="仿宋_GB2312" w:eastAsia="仿宋_GB2312" w:hint="eastAsia"/>
          <w:color w:val="000000" w:themeColor="text1"/>
          <w:sz w:val="32"/>
          <w:szCs w:val="32"/>
        </w:rPr>
        <w:t>.节能环保支出（类）污染防治（款）其他污染防治支出（项）:反映除上述项目以外其他用于污染防治方面的支出。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24</w:t>
      </w:r>
      <w:r w:rsidR="003875BA" w:rsidRPr="004135E8">
        <w:rPr>
          <w:rFonts w:ascii="仿宋_GB2312" w:eastAsia="仿宋_GB2312" w:hint="eastAsia"/>
          <w:color w:val="000000" w:themeColor="text1"/>
          <w:sz w:val="32"/>
          <w:szCs w:val="32"/>
        </w:rPr>
        <w:t>.城乡社区支出（类）</w:t>
      </w:r>
      <w:r w:rsidR="003875BA" w:rsidRPr="004135E8">
        <w:rPr>
          <w:rFonts w:ascii="仿宋_GB2312" w:eastAsia="仿宋_GB2312" w:hint="eastAsia"/>
          <w:color w:val="000000" w:themeColor="text1"/>
          <w:sz w:val="32"/>
          <w:szCs w:val="32"/>
        </w:rPr>
        <w:tab/>
      </w:r>
      <w:r w:rsidR="00A93AA5" w:rsidRPr="004135E8">
        <w:rPr>
          <w:rFonts w:ascii="仿宋_GB2312" w:eastAsia="仿宋_GB2312" w:hint="eastAsia"/>
          <w:color w:val="000000" w:themeColor="text1"/>
          <w:sz w:val="32"/>
          <w:szCs w:val="32"/>
        </w:rPr>
        <w:t>城乡社区环境卫生</w:t>
      </w:r>
      <w:r w:rsidR="003875BA" w:rsidRPr="004135E8">
        <w:rPr>
          <w:rFonts w:ascii="仿宋_GB2312" w:eastAsia="仿宋_GB2312" w:hint="eastAsia"/>
          <w:color w:val="000000" w:themeColor="text1"/>
          <w:sz w:val="32"/>
          <w:szCs w:val="32"/>
        </w:rPr>
        <w:t>（款）</w:t>
      </w:r>
      <w:r w:rsidR="00A93AA5" w:rsidRPr="004135E8">
        <w:rPr>
          <w:rFonts w:ascii="仿宋_GB2312" w:eastAsia="仿宋_GB2312" w:hint="eastAsia"/>
          <w:color w:val="000000" w:themeColor="text1"/>
          <w:sz w:val="32"/>
          <w:szCs w:val="32"/>
        </w:rPr>
        <w:t>城乡社区环境卫生</w:t>
      </w:r>
      <w:r w:rsidR="003875BA" w:rsidRPr="004135E8">
        <w:rPr>
          <w:rFonts w:ascii="仿宋_GB2312" w:eastAsia="仿宋_GB2312" w:hint="eastAsia"/>
          <w:color w:val="000000" w:themeColor="text1"/>
          <w:sz w:val="32"/>
          <w:szCs w:val="32"/>
        </w:rPr>
        <w:t>（项）：</w:t>
      </w:r>
      <w:r w:rsidR="00A93AA5" w:rsidRPr="004135E8">
        <w:rPr>
          <w:rFonts w:ascii="仿宋_GB2312" w:eastAsia="仿宋_GB2312" w:hint="eastAsia"/>
          <w:color w:val="000000" w:themeColor="text1"/>
          <w:sz w:val="32"/>
          <w:szCs w:val="32"/>
        </w:rPr>
        <w:t>反映城乡社区道路清扫、垃圾清运与处理、公厕建设与维护、园林绿化等方面支出。</w:t>
      </w:r>
    </w:p>
    <w:p w:rsidR="00A93AA5" w:rsidRPr="004135E8" w:rsidRDefault="00DF1BBA" w:rsidP="00A93AA5">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25</w:t>
      </w:r>
      <w:r w:rsidR="00A93AA5" w:rsidRPr="004135E8">
        <w:rPr>
          <w:rFonts w:ascii="仿宋_GB2312" w:eastAsia="仿宋_GB2312" w:hint="eastAsia"/>
          <w:color w:val="000000" w:themeColor="text1"/>
          <w:sz w:val="32"/>
          <w:szCs w:val="32"/>
        </w:rPr>
        <w:t>. 城乡社区支出（类）</w:t>
      </w:r>
      <w:r w:rsidR="00A93AA5" w:rsidRPr="004135E8">
        <w:rPr>
          <w:rFonts w:ascii="仿宋_GB2312" w:eastAsia="仿宋_GB2312" w:hint="eastAsia"/>
          <w:color w:val="000000" w:themeColor="text1"/>
          <w:sz w:val="32"/>
          <w:szCs w:val="32"/>
        </w:rPr>
        <w:tab/>
        <w:t>其他城乡社区支出（款）其他城乡社区支出（项）：反映除上述项目以外其他用于城乡社区方面的支出。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26</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w:t>
      </w:r>
      <w:r w:rsidR="003875BA" w:rsidRPr="004135E8">
        <w:rPr>
          <w:rFonts w:ascii="仿宋_GB2312" w:eastAsia="仿宋_GB2312" w:hint="eastAsia"/>
          <w:color w:val="000000" w:themeColor="text1"/>
          <w:sz w:val="32"/>
          <w:szCs w:val="32"/>
        </w:rPr>
        <w:tab/>
        <w:t>（款）事业运行（项）：反映用于农业事业单位的基本支出。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27</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（类）农业（款）农村道路建设（项）：反映用于农村公路、乡村道路建设方面的支出。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28</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w:t>
      </w:r>
      <w:r w:rsidR="003875BA" w:rsidRPr="004135E8">
        <w:rPr>
          <w:rFonts w:ascii="仿宋_GB2312" w:eastAsia="仿宋_GB2312" w:hint="eastAsia"/>
          <w:color w:val="000000" w:themeColor="text1"/>
          <w:sz w:val="32"/>
          <w:szCs w:val="32"/>
        </w:rPr>
        <w:tab/>
        <w:t>（款）对高校毕业生到基层任职补助（项）：反映对高校毕业生到基层任职补助支出。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29</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w:t>
      </w:r>
      <w:r w:rsidR="003875BA" w:rsidRPr="004135E8">
        <w:rPr>
          <w:rFonts w:ascii="仿宋_GB2312" w:eastAsia="仿宋_GB2312" w:hint="eastAsia"/>
          <w:color w:val="000000" w:themeColor="text1"/>
          <w:sz w:val="32"/>
          <w:szCs w:val="32"/>
        </w:rPr>
        <w:tab/>
        <w:t>（款）其他农业支出</w:t>
      </w:r>
      <w:r w:rsidR="003875BA" w:rsidRPr="004135E8">
        <w:rPr>
          <w:rFonts w:ascii="仿宋_GB2312" w:eastAsia="仿宋_GB2312" w:hint="eastAsia"/>
          <w:color w:val="000000" w:themeColor="text1"/>
          <w:sz w:val="32"/>
          <w:szCs w:val="32"/>
        </w:rPr>
        <w:tab/>
        <w:t>（项）：反映除上述项目以外其他用于农业方面的支出。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30</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（类）扶贫</w:t>
      </w:r>
      <w:r w:rsidR="003875BA" w:rsidRPr="004135E8">
        <w:rPr>
          <w:rFonts w:ascii="仿宋_GB2312" w:eastAsia="仿宋_GB2312" w:hint="eastAsia"/>
          <w:color w:val="000000" w:themeColor="text1"/>
          <w:sz w:val="32"/>
          <w:szCs w:val="32"/>
        </w:rPr>
        <w:tab/>
        <w:t>（款）其他扶贫支出</w:t>
      </w:r>
      <w:r w:rsidR="003875BA" w:rsidRPr="004135E8">
        <w:rPr>
          <w:rFonts w:ascii="仿宋_GB2312" w:eastAsia="仿宋_GB2312" w:hint="eastAsia"/>
          <w:color w:val="000000" w:themeColor="text1"/>
          <w:sz w:val="32"/>
          <w:szCs w:val="32"/>
        </w:rPr>
        <w:tab/>
        <w:t>（项）：反</w:t>
      </w:r>
      <w:r w:rsidR="003875BA" w:rsidRPr="004135E8">
        <w:rPr>
          <w:rFonts w:ascii="仿宋_GB2312" w:eastAsia="仿宋_GB2312" w:hint="eastAsia"/>
          <w:color w:val="000000" w:themeColor="text1"/>
          <w:sz w:val="32"/>
          <w:szCs w:val="32"/>
        </w:rPr>
        <w:lastRenderedPageBreak/>
        <w:t>映上述项目以外其他用于扶贫方面的支出。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31</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（类）农村综合改革</w:t>
      </w:r>
      <w:r w:rsidR="003875BA" w:rsidRPr="004135E8">
        <w:rPr>
          <w:rFonts w:ascii="仿宋_GB2312" w:eastAsia="仿宋_GB2312" w:hint="eastAsia"/>
          <w:color w:val="000000" w:themeColor="text1"/>
          <w:sz w:val="32"/>
          <w:szCs w:val="32"/>
        </w:rPr>
        <w:tab/>
        <w:t>（款）对村级一事一议的补助（项）：反映各级农村税费改革后对村级公益事业建设一事一议的补助支出。</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w:t>
      </w:r>
      <w:r w:rsidR="00DF1BBA" w:rsidRPr="004135E8">
        <w:rPr>
          <w:rFonts w:ascii="仿宋_GB2312" w:eastAsia="仿宋_GB2312" w:hint="eastAsia"/>
          <w:color w:val="000000" w:themeColor="text1"/>
          <w:sz w:val="32"/>
          <w:szCs w:val="32"/>
        </w:rPr>
        <w:t>2</w:t>
      </w:r>
      <w:r w:rsidRPr="004135E8">
        <w:rPr>
          <w:rFonts w:ascii="仿宋_GB2312" w:eastAsia="仿宋_GB2312" w:hint="eastAsia"/>
          <w:color w:val="000000" w:themeColor="text1"/>
          <w:sz w:val="32"/>
          <w:szCs w:val="32"/>
        </w:rPr>
        <w:t>.农林水支出</w:t>
      </w:r>
      <w:r w:rsidRPr="004135E8">
        <w:rPr>
          <w:rFonts w:ascii="仿宋_GB2312" w:eastAsia="仿宋_GB2312" w:hint="eastAsia"/>
          <w:color w:val="000000" w:themeColor="text1"/>
          <w:sz w:val="32"/>
          <w:szCs w:val="32"/>
        </w:rPr>
        <w:tab/>
        <w:t>（类）农村综合改革</w:t>
      </w:r>
      <w:r w:rsidRPr="004135E8">
        <w:rPr>
          <w:rFonts w:ascii="仿宋_GB2312" w:eastAsia="仿宋_GB2312" w:hint="eastAsia"/>
          <w:color w:val="000000" w:themeColor="text1"/>
          <w:sz w:val="32"/>
          <w:szCs w:val="32"/>
        </w:rPr>
        <w:tab/>
        <w:t>（款）对村民委员会和村党支部的补助（项）：反映各级财政对村民委员会和村党支部的补助支出，以及支持建立县级基本财力保障机制安排的村级组织运转奖补资金。</w:t>
      </w:r>
    </w:p>
    <w:p w:rsidR="00841983" w:rsidRPr="004135E8" w:rsidRDefault="003875BA" w:rsidP="00841983">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w:t>
      </w:r>
      <w:r w:rsidR="00DF1BBA" w:rsidRPr="004135E8">
        <w:rPr>
          <w:rFonts w:ascii="仿宋_GB2312" w:eastAsia="仿宋_GB2312" w:hint="eastAsia"/>
          <w:color w:val="000000" w:themeColor="text1"/>
          <w:sz w:val="32"/>
          <w:szCs w:val="32"/>
        </w:rPr>
        <w:t>3</w:t>
      </w:r>
      <w:r w:rsidRPr="004135E8">
        <w:rPr>
          <w:rFonts w:ascii="仿宋_GB2312" w:eastAsia="仿宋_GB2312" w:hint="eastAsia"/>
          <w:color w:val="000000" w:themeColor="text1"/>
          <w:sz w:val="32"/>
          <w:szCs w:val="32"/>
        </w:rPr>
        <w:t>.农林水支出</w:t>
      </w:r>
      <w:r w:rsidRPr="004135E8">
        <w:rPr>
          <w:rFonts w:ascii="仿宋_GB2312" w:eastAsia="仿宋_GB2312" w:hint="eastAsia"/>
          <w:color w:val="000000" w:themeColor="text1"/>
          <w:sz w:val="32"/>
          <w:szCs w:val="32"/>
        </w:rPr>
        <w:tab/>
        <w:t>（类）农村综合改革</w:t>
      </w:r>
      <w:r w:rsidRPr="004135E8">
        <w:rPr>
          <w:rFonts w:ascii="仿宋_GB2312" w:eastAsia="仿宋_GB2312" w:hint="eastAsia"/>
          <w:color w:val="000000" w:themeColor="text1"/>
          <w:sz w:val="32"/>
          <w:szCs w:val="32"/>
        </w:rPr>
        <w:tab/>
        <w:t>（款）农村综合改革示范试点补助</w:t>
      </w:r>
      <w:r w:rsidRPr="004135E8">
        <w:rPr>
          <w:rFonts w:ascii="仿宋_GB2312" w:eastAsia="仿宋_GB2312" w:hint="eastAsia"/>
          <w:color w:val="000000" w:themeColor="text1"/>
          <w:sz w:val="32"/>
          <w:szCs w:val="32"/>
        </w:rPr>
        <w:tab/>
        <w:t>（项）：反映各级财政对农村综合改革示范试点、新型农业社会化服务体系建设等补助支出。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34</w:t>
      </w:r>
      <w:r w:rsidR="003875BA" w:rsidRPr="004135E8">
        <w:rPr>
          <w:rFonts w:ascii="仿宋_GB2312" w:eastAsia="仿宋_GB2312" w:hint="eastAsia"/>
          <w:color w:val="000000" w:themeColor="text1"/>
          <w:sz w:val="32"/>
          <w:szCs w:val="32"/>
        </w:rPr>
        <w:t>.国土海洋气象等支出</w:t>
      </w:r>
      <w:r w:rsidR="003875BA" w:rsidRPr="004135E8">
        <w:rPr>
          <w:rFonts w:ascii="仿宋_GB2312" w:eastAsia="仿宋_GB2312" w:hint="eastAsia"/>
          <w:color w:val="000000" w:themeColor="text1"/>
          <w:sz w:val="32"/>
          <w:szCs w:val="32"/>
        </w:rPr>
        <w:tab/>
        <w:t>（类）国土资源事务</w:t>
      </w:r>
      <w:r w:rsidR="003875BA" w:rsidRPr="004135E8">
        <w:rPr>
          <w:rFonts w:ascii="仿宋_GB2312" w:eastAsia="仿宋_GB2312" w:hint="eastAsia"/>
          <w:color w:val="000000" w:themeColor="text1"/>
          <w:sz w:val="32"/>
          <w:szCs w:val="32"/>
        </w:rPr>
        <w:tab/>
        <w:t>（款）地质灾害防治（项）：反映地质灾害防治项目支出。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35</w:t>
      </w:r>
      <w:r w:rsidR="003875BA" w:rsidRPr="004135E8">
        <w:rPr>
          <w:rFonts w:ascii="仿宋_GB2312" w:eastAsia="仿宋_GB2312" w:hint="eastAsia"/>
          <w:color w:val="000000" w:themeColor="text1"/>
          <w:sz w:val="32"/>
          <w:szCs w:val="32"/>
        </w:rPr>
        <w:t>.住房保障支出（类）住房改革支出（款）住房公积金</w:t>
      </w:r>
      <w:r w:rsidR="003875BA" w:rsidRPr="004135E8">
        <w:rPr>
          <w:rFonts w:ascii="仿宋_GB2312" w:eastAsia="仿宋_GB2312" w:hint="eastAsia"/>
          <w:color w:val="000000" w:themeColor="text1"/>
          <w:sz w:val="32"/>
          <w:szCs w:val="32"/>
        </w:rPr>
        <w:tab/>
        <w:t>（项）：反映行政事业单位按人力资源和社会保障部、财政部规定的基本工资和津贴补贴以及规定比例为职工缴纳的住房公积金。</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36</w:t>
      </w:r>
      <w:r w:rsidR="003875BA" w:rsidRPr="004135E8">
        <w:rPr>
          <w:rFonts w:ascii="仿宋_GB2312" w:eastAsia="仿宋_GB2312" w:hint="eastAsia"/>
          <w:color w:val="000000" w:themeColor="text1"/>
          <w:sz w:val="32"/>
          <w:szCs w:val="32"/>
        </w:rPr>
        <w:t>.结余分配：指事业单位按规定提取的职工福利基金、事业基金和缴纳的所得税，以及建设单位按规定应交回的基本建设竣工项目结余资金。</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37</w:t>
      </w:r>
      <w:r w:rsidR="003875BA" w:rsidRPr="004135E8">
        <w:rPr>
          <w:rFonts w:ascii="仿宋_GB2312" w:eastAsia="仿宋_GB2312" w:hint="eastAsia"/>
          <w:color w:val="000000" w:themeColor="text1"/>
          <w:sz w:val="32"/>
          <w:szCs w:val="32"/>
        </w:rPr>
        <w:t>.年末结转和结余：指本年度或以前年度预算安排、因客</w:t>
      </w:r>
      <w:r w:rsidR="003875BA" w:rsidRPr="004135E8">
        <w:rPr>
          <w:rFonts w:ascii="仿宋_GB2312" w:eastAsia="仿宋_GB2312" w:hint="eastAsia"/>
          <w:color w:val="000000" w:themeColor="text1"/>
          <w:sz w:val="32"/>
          <w:szCs w:val="32"/>
        </w:rPr>
        <w:lastRenderedPageBreak/>
        <w:t>观条件发生变化无法按原计划实施，需延迟到以后年度按有关规定继续使用的资金。</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38</w:t>
      </w:r>
      <w:r w:rsidR="003875BA" w:rsidRPr="004135E8">
        <w:rPr>
          <w:rFonts w:ascii="仿宋_GB2312" w:eastAsia="仿宋_GB2312" w:hint="eastAsia"/>
          <w:color w:val="000000" w:themeColor="text1"/>
          <w:sz w:val="32"/>
          <w:szCs w:val="32"/>
        </w:rPr>
        <w:t>.基本支出：指为保障机构正常运转、完成日常工作任务而发生的人员支出和公用支出。</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39</w:t>
      </w:r>
      <w:r w:rsidR="003875BA" w:rsidRPr="004135E8">
        <w:rPr>
          <w:rFonts w:ascii="仿宋_GB2312" w:eastAsia="仿宋_GB2312" w:hint="eastAsia"/>
          <w:color w:val="000000" w:themeColor="text1"/>
          <w:sz w:val="32"/>
          <w:szCs w:val="32"/>
        </w:rPr>
        <w:t>.项目支出：指在基本支出之外为完成特定行政任务和事业发展目标所发生的支出。</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40</w:t>
      </w:r>
      <w:r w:rsidR="003875BA" w:rsidRPr="004135E8">
        <w:rPr>
          <w:rFonts w:ascii="仿宋_GB2312" w:eastAsia="仿宋_GB2312" w:hint="eastAsia"/>
          <w:color w:val="000000" w:themeColor="text1"/>
          <w:sz w:val="32"/>
          <w:szCs w:val="32"/>
        </w:rPr>
        <w:t>.经营支出：指事业单位在专业业务活动及其辅助活动之外开展非独立核算经营活动发生的支出。</w:t>
      </w:r>
    </w:p>
    <w:p w:rsidR="003875BA" w:rsidRPr="004135E8" w:rsidRDefault="00DF1B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41</w:t>
      </w:r>
      <w:r w:rsidR="003875BA" w:rsidRPr="004135E8">
        <w:rPr>
          <w:rFonts w:ascii="仿宋_GB2312" w:eastAsia="仿宋_GB2312" w:hint="eastAsia"/>
          <w:color w:val="000000" w:themeColor="text1"/>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875BA" w:rsidRPr="004135E8" w:rsidRDefault="00DF1B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42</w:t>
      </w:r>
      <w:r w:rsidR="003875BA" w:rsidRPr="004135E8">
        <w:rPr>
          <w:rFonts w:ascii="仿宋_GB2312" w:eastAsia="仿宋_GB2312" w:hint="eastAsia"/>
          <w:color w:val="000000" w:themeColor="text1"/>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875BA" w:rsidRPr="004135E8" w:rsidRDefault="003875BA" w:rsidP="003875BA">
      <w:pPr>
        <w:pStyle w:val="17"/>
        <w:spacing w:line="360" w:lineRule="auto"/>
        <w:rPr>
          <w:color w:val="000000" w:themeColor="text1"/>
        </w:rPr>
      </w:pPr>
      <w:r w:rsidRPr="004135E8">
        <w:rPr>
          <w:rFonts w:ascii="Times New Roman" w:hAnsi="Times New Roman"/>
          <w:color w:val="000000" w:themeColor="text1"/>
        </w:rPr>
        <w:br w:type="page"/>
      </w:r>
      <w:r w:rsidRPr="004135E8">
        <w:rPr>
          <w:rFonts w:hint="eastAsia"/>
          <w:color w:val="000000" w:themeColor="text1"/>
        </w:rPr>
        <w:lastRenderedPageBreak/>
        <w:t>附件1</w:t>
      </w:r>
    </w:p>
    <w:p w:rsidR="003875BA" w:rsidRPr="004135E8" w:rsidRDefault="003875BA" w:rsidP="006B0A43">
      <w:pPr>
        <w:pStyle w:val="A08"/>
        <w:spacing w:beforeLines="100" w:line="360" w:lineRule="auto"/>
        <w:rPr>
          <w:color w:val="000000" w:themeColor="text1"/>
        </w:rPr>
      </w:pPr>
      <w:r w:rsidRPr="004135E8">
        <w:rPr>
          <w:rFonts w:ascii="Times New Roman" w:hAnsi="Times New Roman" w:hint="eastAsia"/>
          <w:color w:val="000000" w:themeColor="text1"/>
        </w:rPr>
        <w:t>四川省乐山市峨眉山市双福镇人民政府</w:t>
      </w:r>
      <w:r w:rsidRPr="004135E8">
        <w:rPr>
          <w:rFonts w:ascii="Times New Roman" w:hAnsi="Times New Roman"/>
          <w:color w:val="000000" w:themeColor="text1"/>
        </w:rPr>
        <w:t>2017</w:t>
      </w:r>
      <w:r w:rsidRPr="004135E8">
        <w:rPr>
          <w:rFonts w:ascii="Times New Roman" w:hAnsi="Times New Roman"/>
          <w:color w:val="000000" w:themeColor="text1"/>
        </w:rPr>
        <w:t>年部门决算公开表</w:t>
      </w:r>
    </w:p>
    <w:p w:rsidR="0072659A" w:rsidRPr="004135E8" w:rsidRDefault="0072659A" w:rsidP="0002154A">
      <w:pPr>
        <w:pStyle w:val="C01"/>
        <w:spacing w:line="240" w:lineRule="auto"/>
        <w:ind w:firstLineChars="0" w:firstLine="0"/>
        <w:jc w:val="left"/>
        <w:rPr>
          <w:color w:val="000000" w:themeColor="text1"/>
          <w:sz w:val="28"/>
        </w:rPr>
      </w:pP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1:[Z01] </w:t>
      </w:r>
      <w:r w:rsidRPr="004135E8">
        <w:rPr>
          <w:rFonts w:eastAsia="仿宋_GB2312" w:hint="eastAsia"/>
          <w:color w:val="000000" w:themeColor="text1"/>
          <w:sz w:val="28"/>
          <w:szCs w:val="32"/>
        </w:rPr>
        <w:t>收入支出决算总表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2:[Z01_1] </w:t>
      </w:r>
      <w:r w:rsidRPr="004135E8">
        <w:rPr>
          <w:rFonts w:eastAsia="仿宋_GB2312" w:hint="eastAsia"/>
          <w:color w:val="000000" w:themeColor="text1"/>
          <w:sz w:val="28"/>
          <w:szCs w:val="32"/>
        </w:rPr>
        <w:t>收入决算表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1-1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3:[Z01_2] </w:t>
      </w:r>
      <w:r w:rsidRPr="004135E8">
        <w:rPr>
          <w:rFonts w:eastAsia="仿宋_GB2312" w:hint="eastAsia"/>
          <w:color w:val="000000" w:themeColor="text1"/>
          <w:sz w:val="28"/>
          <w:szCs w:val="32"/>
        </w:rPr>
        <w:t>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1-2</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4:[Z02] </w:t>
      </w:r>
      <w:r w:rsidRPr="004135E8">
        <w:rPr>
          <w:rFonts w:eastAsia="仿宋_GB2312" w:hint="eastAsia"/>
          <w:color w:val="000000" w:themeColor="text1"/>
          <w:sz w:val="28"/>
          <w:szCs w:val="32"/>
        </w:rPr>
        <w:t>财政拨款收入支出决算总表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2</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5:[Z03] </w:t>
      </w:r>
      <w:r w:rsidRPr="004135E8">
        <w:rPr>
          <w:rFonts w:eastAsia="仿宋_GB2312" w:hint="eastAsia"/>
          <w:color w:val="000000" w:themeColor="text1"/>
          <w:sz w:val="28"/>
          <w:szCs w:val="32"/>
        </w:rPr>
        <w:t>财政拨款支出决算明细表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3</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6:[Z04] </w:t>
      </w:r>
      <w:r w:rsidRPr="004135E8">
        <w:rPr>
          <w:rFonts w:eastAsia="仿宋_GB2312" w:hint="eastAsia"/>
          <w:color w:val="000000" w:themeColor="text1"/>
          <w:sz w:val="28"/>
          <w:szCs w:val="32"/>
        </w:rPr>
        <w:t>一般公共预算财政拨款支出决算表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7:[Z04_1] </w:t>
      </w:r>
      <w:r w:rsidRPr="004135E8">
        <w:rPr>
          <w:rFonts w:eastAsia="仿宋_GB2312" w:hint="eastAsia"/>
          <w:color w:val="000000" w:themeColor="text1"/>
          <w:sz w:val="28"/>
          <w:szCs w:val="32"/>
        </w:rPr>
        <w:t>一般公共预算财政拨款支出决算明细表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4_1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8:[Z04_2] </w:t>
      </w:r>
      <w:r w:rsidRPr="004135E8">
        <w:rPr>
          <w:rFonts w:eastAsia="仿宋_GB2312" w:hint="eastAsia"/>
          <w:color w:val="000000" w:themeColor="text1"/>
          <w:sz w:val="28"/>
          <w:szCs w:val="32"/>
        </w:rPr>
        <w:t>一般公共预算财政拨款基本支出决算表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4-2</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9:[Z04_3] </w:t>
      </w:r>
      <w:r w:rsidRPr="004135E8">
        <w:rPr>
          <w:rFonts w:eastAsia="仿宋_GB2312" w:hint="eastAsia"/>
          <w:color w:val="000000" w:themeColor="text1"/>
          <w:sz w:val="28"/>
          <w:szCs w:val="32"/>
        </w:rPr>
        <w:t>一般公共预算财政拨款项目支出决算表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4_3</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10:[Z04_4] </w:t>
      </w:r>
      <w:r w:rsidRPr="004135E8">
        <w:rPr>
          <w:rFonts w:eastAsia="仿宋_GB2312" w:hint="eastAsia"/>
          <w:color w:val="000000" w:themeColor="text1"/>
          <w:sz w:val="28"/>
          <w:szCs w:val="32"/>
        </w:rPr>
        <w:t>一般公共预算财政拨款“三公”经费支出决算表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4_4</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11:[Z05] </w:t>
      </w:r>
      <w:r w:rsidRPr="004135E8">
        <w:rPr>
          <w:rFonts w:eastAsia="仿宋_GB2312" w:hint="eastAsia"/>
          <w:color w:val="000000" w:themeColor="text1"/>
          <w:sz w:val="28"/>
          <w:szCs w:val="32"/>
        </w:rPr>
        <w:t>政府性基金预算财政拨款收入支出决算表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5</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12:[Z05_1] </w:t>
      </w:r>
      <w:r w:rsidRPr="004135E8">
        <w:rPr>
          <w:rFonts w:eastAsia="仿宋_GB2312" w:hint="eastAsia"/>
          <w:color w:val="000000" w:themeColor="text1"/>
          <w:sz w:val="28"/>
          <w:szCs w:val="32"/>
        </w:rPr>
        <w:t>政府性基金预算财政拨款“三公”经费支出决算表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5_1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color w:val="000000" w:themeColor="text1"/>
          <w:sz w:val="20"/>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13:[Z06]</w:t>
      </w:r>
      <w:r w:rsidRPr="004135E8">
        <w:rPr>
          <w:rFonts w:eastAsia="仿宋_GB2312" w:hint="eastAsia"/>
          <w:color w:val="000000" w:themeColor="text1"/>
          <w:sz w:val="28"/>
          <w:szCs w:val="32"/>
        </w:rPr>
        <w:t>国有资本经营预算支出决算表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6</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3875BA" w:rsidRPr="004135E8" w:rsidRDefault="003875BA" w:rsidP="003875BA">
      <w:pPr>
        <w:spacing w:line="360" w:lineRule="auto"/>
        <w:rPr>
          <w:color w:val="000000" w:themeColor="text1"/>
        </w:rPr>
      </w:pPr>
    </w:p>
    <w:p w:rsidR="00983A8E" w:rsidRPr="004135E8" w:rsidRDefault="00983A8E">
      <w:pPr>
        <w:rPr>
          <w:color w:val="000000" w:themeColor="text1"/>
        </w:rPr>
      </w:pPr>
    </w:p>
    <w:sectPr w:rsidR="00983A8E" w:rsidRPr="004135E8" w:rsidSect="00B767A3">
      <w:headerReference w:type="even" r:id="rId13"/>
      <w:headerReference w:type="default" r:id="rId14"/>
      <w:footerReference w:type="even" r:id="rId15"/>
      <w:footerReference w:type="default" r:id="rId16"/>
      <w:pgSz w:w="11906" w:h="16838" w:code="9"/>
      <w:pgMar w:top="2041" w:right="1474" w:bottom="1474" w:left="1474" w:header="1134"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BDF" w:rsidRDefault="008F6BDF" w:rsidP="003875BA">
      <w:r>
        <w:separator/>
      </w:r>
    </w:p>
  </w:endnote>
  <w:endnote w:type="continuationSeparator" w:id="1">
    <w:p w:rsidR="008F6BDF" w:rsidRDefault="008F6BDF" w:rsidP="00387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宋体"/>
    <w:charset w:val="86"/>
    <w:family w:val="auto"/>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20" w:rsidRDefault="00983A8E" w:rsidP="00B767A3">
    <w:pPr>
      <w:pStyle w:val="a4"/>
      <w:ind w:right="360" w:firstLineChars="101" w:firstLine="283"/>
    </w:pPr>
    <w:r w:rsidRPr="00B767A3">
      <w:rPr>
        <w:rFonts w:ascii="宋体" w:hAnsi="宋体" w:hint="eastAsia"/>
        <w:sz w:val="28"/>
        <w:szCs w:val="28"/>
      </w:rPr>
      <w:t xml:space="preserve">─ </w:t>
    </w:r>
    <w:r w:rsidR="001573A7" w:rsidRPr="00B767A3">
      <w:rPr>
        <w:rFonts w:ascii="宋体" w:hAnsi="宋体"/>
        <w:sz w:val="28"/>
        <w:szCs w:val="28"/>
      </w:rPr>
      <w:fldChar w:fldCharType="begin"/>
    </w:r>
    <w:r w:rsidRPr="00B767A3">
      <w:rPr>
        <w:rFonts w:ascii="宋体" w:hAnsi="宋体"/>
        <w:sz w:val="28"/>
        <w:szCs w:val="28"/>
      </w:rPr>
      <w:instrText xml:space="preserve"> PAGE   \* MERGEFORMAT </w:instrText>
    </w:r>
    <w:r w:rsidR="001573A7" w:rsidRPr="00B767A3">
      <w:rPr>
        <w:rFonts w:ascii="宋体" w:hAnsi="宋体"/>
        <w:sz w:val="28"/>
        <w:szCs w:val="28"/>
      </w:rPr>
      <w:fldChar w:fldCharType="separate"/>
    </w:r>
    <w:r w:rsidRPr="00713CA4">
      <w:rPr>
        <w:rFonts w:ascii="宋体" w:hAnsi="宋体"/>
        <w:noProof/>
        <w:sz w:val="28"/>
        <w:szCs w:val="28"/>
        <w:lang w:val="zh-CN"/>
      </w:rPr>
      <w:t>2</w:t>
    </w:r>
    <w:r w:rsidR="001573A7" w:rsidRPr="00B767A3">
      <w:rPr>
        <w:rFonts w:ascii="宋体" w:hAnsi="宋体"/>
        <w:sz w:val="28"/>
        <w:szCs w:val="28"/>
      </w:rPr>
      <w:fldChar w:fldCharType="end"/>
    </w:r>
    <w:r w:rsidRPr="00B767A3">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20" w:rsidRPr="00B767A3" w:rsidRDefault="00983A8E" w:rsidP="00B767A3">
    <w:pPr>
      <w:pStyle w:val="a4"/>
      <w:ind w:rightChars="148" w:right="311"/>
      <w:jc w:val="right"/>
      <w:rPr>
        <w:rFonts w:ascii="宋体" w:hAnsi="宋体"/>
        <w:sz w:val="28"/>
        <w:szCs w:val="28"/>
      </w:rPr>
    </w:pPr>
    <w:r w:rsidRPr="00B767A3">
      <w:rPr>
        <w:rFonts w:ascii="宋体" w:hAnsi="宋体" w:hint="eastAsia"/>
        <w:sz w:val="28"/>
        <w:szCs w:val="28"/>
      </w:rPr>
      <w:t xml:space="preserve">─ </w:t>
    </w:r>
    <w:r w:rsidR="001573A7" w:rsidRPr="00B767A3">
      <w:rPr>
        <w:rFonts w:ascii="宋体" w:hAnsi="宋体"/>
        <w:sz w:val="28"/>
        <w:szCs w:val="28"/>
      </w:rPr>
      <w:fldChar w:fldCharType="begin"/>
    </w:r>
    <w:r w:rsidRPr="00B767A3">
      <w:rPr>
        <w:rFonts w:ascii="宋体" w:hAnsi="宋体"/>
        <w:sz w:val="28"/>
        <w:szCs w:val="28"/>
      </w:rPr>
      <w:instrText xml:space="preserve"> PAGE   \* MERGEFORMAT </w:instrText>
    </w:r>
    <w:r w:rsidR="001573A7" w:rsidRPr="00B767A3">
      <w:rPr>
        <w:rFonts w:ascii="宋体" w:hAnsi="宋体"/>
        <w:sz w:val="28"/>
        <w:szCs w:val="28"/>
      </w:rPr>
      <w:fldChar w:fldCharType="separate"/>
    </w:r>
    <w:r w:rsidR="004135E8" w:rsidRPr="004135E8">
      <w:rPr>
        <w:rFonts w:ascii="宋体" w:hAnsi="宋体"/>
        <w:noProof/>
        <w:sz w:val="28"/>
        <w:szCs w:val="28"/>
        <w:lang w:val="zh-CN"/>
      </w:rPr>
      <w:t>19</w:t>
    </w:r>
    <w:r w:rsidR="001573A7" w:rsidRPr="00B767A3">
      <w:rPr>
        <w:rFonts w:ascii="宋体" w:hAnsi="宋体"/>
        <w:sz w:val="28"/>
        <w:szCs w:val="28"/>
      </w:rPr>
      <w:fldChar w:fldCharType="end"/>
    </w:r>
    <w:r w:rsidRPr="00B767A3">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BDF" w:rsidRDefault="008F6BDF" w:rsidP="003875BA">
      <w:r>
        <w:separator/>
      </w:r>
    </w:p>
  </w:footnote>
  <w:footnote w:type="continuationSeparator" w:id="1">
    <w:p w:rsidR="008F6BDF" w:rsidRDefault="008F6BDF" w:rsidP="00387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20" w:rsidRDefault="008F6BDF" w:rsidP="00B767A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20" w:rsidRDefault="008F6BDF" w:rsidP="00DB7F8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5BA"/>
    <w:rsid w:val="0002154A"/>
    <w:rsid w:val="00076D00"/>
    <w:rsid w:val="00087CB6"/>
    <w:rsid w:val="000E1770"/>
    <w:rsid w:val="00154E50"/>
    <w:rsid w:val="001573A7"/>
    <w:rsid w:val="00207402"/>
    <w:rsid w:val="00270496"/>
    <w:rsid w:val="00282BC2"/>
    <w:rsid w:val="002A716D"/>
    <w:rsid w:val="00317B8E"/>
    <w:rsid w:val="003347DF"/>
    <w:rsid w:val="003875BA"/>
    <w:rsid w:val="00393BC4"/>
    <w:rsid w:val="00394261"/>
    <w:rsid w:val="003A299C"/>
    <w:rsid w:val="003B0BB8"/>
    <w:rsid w:val="004135E8"/>
    <w:rsid w:val="004213CB"/>
    <w:rsid w:val="004542F3"/>
    <w:rsid w:val="00483BE8"/>
    <w:rsid w:val="0050501E"/>
    <w:rsid w:val="006B0A43"/>
    <w:rsid w:val="006E7FF6"/>
    <w:rsid w:val="0072659A"/>
    <w:rsid w:val="00732003"/>
    <w:rsid w:val="007953DB"/>
    <w:rsid w:val="007D6416"/>
    <w:rsid w:val="00841983"/>
    <w:rsid w:val="008F6BDF"/>
    <w:rsid w:val="009653C0"/>
    <w:rsid w:val="00983A8E"/>
    <w:rsid w:val="009F29FE"/>
    <w:rsid w:val="00A21F4B"/>
    <w:rsid w:val="00A447EA"/>
    <w:rsid w:val="00A85276"/>
    <w:rsid w:val="00A93AA5"/>
    <w:rsid w:val="00A9581D"/>
    <w:rsid w:val="00B22A44"/>
    <w:rsid w:val="00B605E7"/>
    <w:rsid w:val="00B84BCA"/>
    <w:rsid w:val="00BE7545"/>
    <w:rsid w:val="00D21FA9"/>
    <w:rsid w:val="00D45CE2"/>
    <w:rsid w:val="00D65880"/>
    <w:rsid w:val="00D74B88"/>
    <w:rsid w:val="00DF1BBA"/>
    <w:rsid w:val="00F77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75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875BA"/>
    <w:rPr>
      <w:sz w:val="18"/>
      <w:szCs w:val="18"/>
    </w:rPr>
  </w:style>
  <w:style w:type="paragraph" w:styleId="a4">
    <w:name w:val="footer"/>
    <w:basedOn w:val="a"/>
    <w:link w:val="Char0"/>
    <w:uiPriority w:val="99"/>
    <w:unhideWhenUsed/>
    <w:rsid w:val="003875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75BA"/>
    <w:rPr>
      <w:sz w:val="18"/>
      <w:szCs w:val="18"/>
    </w:rPr>
  </w:style>
  <w:style w:type="paragraph" w:customStyle="1" w:styleId="C01">
    <w:name w:val="〖C01〗正文"/>
    <w:basedOn w:val="a"/>
    <w:qFormat/>
    <w:rsid w:val="003875BA"/>
    <w:pPr>
      <w:topLinePunct/>
      <w:spacing w:line="600" w:lineRule="exact"/>
      <w:ind w:firstLineChars="200" w:firstLine="640"/>
    </w:pPr>
    <w:rPr>
      <w:rFonts w:ascii="仿宋_GB2312" w:eastAsia="仿宋_GB2312" w:hAnsi="Calibri"/>
      <w:sz w:val="32"/>
      <w:szCs w:val="32"/>
    </w:rPr>
  </w:style>
  <w:style w:type="paragraph" w:customStyle="1" w:styleId="A08">
    <w:name w:val="〖A08〗公文标题"/>
    <w:basedOn w:val="a"/>
    <w:next w:val="a"/>
    <w:qFormat/>
    <w:rsid w:val="003875BA"/>
    <w:pPr>
      <w:topLinePunct/>
      <w:spacing w:line="600" w:lineRule="exact"/>
      <w:jc w:val="center"/>
    </w:pPr>
    <w:rPr>
      <w:rFonts w:ascii="方正小标宋简体" w:eastAsia="方正小标宋简体" w:hAnsi="Calibri"/>
      <w:sz w:val="44"/>
      <w:szCs w:val="22"/>
    </w:rPr>
  </w:style>
  <w:style w:type="paragraph" w:customStyle="1" w:styleId="17">
    <w:name w:val="17 附件"/>
    <w:basedOn w:val="a"/>
    <w:next w:val="a"/>
    <w:rsid w:val="003875BA"/>
    <w:pPr>
      <w:spacing w:line="600" w:lineRule="exact"/>
      <w:jc w:val="left"/>
    </w:pPr>
    <w:rPr>
      <w:rFonts w:ascii="黑体" w:eastAsia="黑体" w:hAnsi="Calibri"/>
      <w:sz w:val="32"/>
      <w:szCs w:val="32"/>
    </w:rPr>
  </w:style>
  <w:style w:type="paragraph" w:styleId="a5">
    <w:name w:val="Body Text"/>
    <w:basedOn w:val="a"/>
    <w:link w:val="Char1"/>
    <w:rsid w:val="003875BA"/>
    <w:pPr>
      <w:spacing w:beforeLines="30"/>
    </w:pPr>
    <w:rPr>
      <w:rFonts w:ascii="仿宋_GB2312" w:eastAsia="仿宋_GB2312"/>
      <w:kern w:val="0"/>
      <w:sz w:val="30"/>
    </w:rPr>
  </w:style>
  <w:style w:type="character" w:customStyle="1" w:styleId="Char1">
    <w:name w:val="正文文本 Char"/>
    <w:basedOn w:val="a0"/>
    <w:link w:val="a5"/>
    <w:rsid w:val="003875BA"/>
    <w:rPr>
      <w:rFonts w:ascii="仿宋_GB2312" w:eastAsia="仿宋_GB2312" w:hAnsi="Times New Roman" w:cs="Times New Roman"/>
      <w:kern w:val="0"/>
      <w:sz w:val="30"/>
      <w:szCs w:val="24"/>
    </w:rPr>
  </w:style>
  <w:style w:type="paragraph" w:customStyle="1" w:styleId="Default">
    <w:name w:val="Default"/>
    <w:rsid w:val="003875BA"/>
    <w:pPr>
      <w:widowControl w:val="0"/>
      <w:autoSpaceDE w:val="0"/>
      <w:autoSpaceDN w:val="0"/>
      <w:adjustRightInd w:val="0"/>
    </w:pPr>
    <w:rPr>
      <w:rFonts w:ascii="仿宋" w:eastAsia="仿宋" w:hAnsi="Calibri" w:cs="仿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4.649845446563073E-2"/>
          <c:y val="0.10688356752016168"/>
          <c:w val="0.54575245750672863"/>
          <c:h val="0.72877113877714461"/>
        </c:manualLayout>
      </c:layout>
      <c:pieChart>
        <c:varyColors val="1"/>
        <c:ser>
          <c:idx val="0"/>
          <c:order val="0"/>
          <c:tx>
            <c:strRef>
              <c:f>Sheet1!$A$2</c:f>
              <c:strCache>
                <c:ptCount val="1"/>
                <c:pt idx="0">
                  <c:v>双福镇</c:v>
                </c:pt>
              </c:strCache>
            </c:strRef>
          </c:tx>
          <c:dLbls>
            <c:dLbl>
              <c:idx val="0"/>
              <c:tx>
                <c:rich>
                  <a:bodyPr/>
                  <a:lstStyle/>
                  <a:p>
                    <a:r>
                      <a:rPr lang="zh-CN" altLang="en-US" sz="1400"/>
                      <a:t>财政拨款收入
</a:t>
                    </a:r>
                    <a:r>
                      <a:rPr lang="en-US" altLang="zh-CN" sz="1400"/>
                      <a:t>84.51%
</a:t>
                    </a:r>
                  </a:p>
                </c:rich>
              </c:tx>
              <c:showVal val="1"/>
              <c:showCatName val="1"/>
              <c:showPercent val="1"/>
            </c:dLbl>
            <c:dLbl>
              <c:idx val="1"/>
              <c:tx>
                <c:rich>
                  <a:bodyPr/>
                  <a:lstStyle/>
                  <a:p>
                    <a:r>
                      <a:rPr lang="zh-CN" altLang="en-US" sz="1400"/>
                      <a:t>其他收入
</a:t>
                    </a:r>
                    <a:r>
                      <a:rPr lang="en-US" altLang="zh-CN" sz="1400"/>
                      <a:t>15.49%</a:t>
                    </a:r>
                    <a:endParaRPr lang="zh-CN" altLang="en-US" sz="1400"/>
                  </a:p>
                </c:rich>
              </c:tx>
              <c:showCatName val="1"/>
              <c:showPercent val="1"/>
            </c:dLbl>
            <c:txPr>
              <a:bodyPr/>
              <a:lstStyle/>
              <a:p>
                <a:pPr>
                  <a:defRPr sz="1400"/>
                </a:pPr>
                <a:endParaRPr lang="zh-CN"/>
              </a:p>
            </c:txPr>
            <c:showCatName val="1"/>
            <c:showPercent val="1"/>
            <c:showLeaderLines val="1"/>
          </c:dLbls>
          <c:cat>
            <c:strRef>
              <c:f>Sheet1!$B$1:$C$1</c:f>
              <c:strCache>
                <c:ptCount val="2"/>
                <c:pt idx="0">
                  <c:v>财政拨款收入</c:v>
                </c:pt>
                <c:pt idx="1">
                  <c:v>其他收入</c:v>
                </c:pt>
              </c:strCache>
            </c:strRef>
          </c:cat>
          <c:val>
            <c:numRef>
              <c:f>Sheet1!$B$2:$C$2</c:f>
              <c:numCache>
                <c:formatCode>General</c:formatCode>
                <c:ptCount val="2"/>
                <c:pt idx="0">
                  <c:v>84.51</c:v>
                </c:pt>
                <c:pt idx="1">
                  <c:v>15.49</c:v>
                </c:pt>
              </c:numCache>
            </c:numRef>
          </c:val>
        </c:ser>
        <c:firstSliceAng val="0"/>
      </c:pieChart>
    </c:plotArea>
    <c:legend>
      <c:legendPos val="r"/>
      <c:layout>
        <c:manualLayout>
          <c:xMode val="edge"/>
          <c:yMode val="edge"/>
          <c:x val="0.68975679830302683"/>
          <c:y val="0.46688891770192442"/>
          <c:w val="0.30627306273062732"/>
          <c:h val="0.19207317073170738"/>
        </c:manualLayout>
      </c:layout>
      <c:txPr>
        <a:bodyPr/>
        <a:lstStyle/>
        <a:p>
          <a:pPr>
            <a:defRPr sz="1400"/>
          </a:pPr>
          <a:endParaRPr lang="zh-CN"/>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4356756494711194E-2"/>
          <c:y val="0.14924795274473626"/>
          <c:w val="0.55291774888545875"/>
          <c:h val="0.66249727721473228"/>
        </c:manualLayout>
      </c:layout>
      <c:pieChart>
        <c:varyColors val="1"/>
        <c:ser>
          <c:idx val="0"/>
          <c:order val="0"/>
          <c:tx>
            <c:strRef>
              <c:f>Sheet1!$A$2</c:f>
              <c:strCache>
                <c:ptCount val="1"/>
                <c:pt idx="0">
                  <c:v>双福镇</c:v>
                </c:pt>
              </c:strCache>
            </c:strRef>
          </c:tx>
          <c:spPr>
            <a:solidFill>
              <a:srgbClr val="9999FF"/>
            </a:solidFill>
            <a:ln w="12713">
              <a:solidFill>
                <a:srgbClr val="000000"/>
              </a:solidFill>
              <a:prstDash val="solid"/>
            </a:ln>
          </c:spPr>
          <c:dPt>
            <c:idx val="0"/>
            <c:spPr>
              <a:solidFill>
                <a:srgbClr val="FF99CC"/>
              </a:solidFill>
              <a:ln w="25426">
                <a:noFill/>
              </a:ln>
            </c:spPr>
          </c:dPt>
          <c:dPt>
            <c:idx val="1"/>
            <c:spPr>
              <a:solidFill>
                <a:srgbClr val="666699"/>
              </a:solidFill>
              <a:ln w="25426">
                <a:noFill/>
              </a:ln>
            </c:spPr>
          </c:dPt>
          <c:dLbls>
            <c:dLbl>
              <c:idx val="0"/>
              <c:tx>
                <c:rich>
                  <a:bodyPr/>
                  <a:lstStyle/>
                  <a:p>
                    <a:pPr>
                      <a:defRPr sz="1400"/>
                    </a:pPr>
                    <a:r>
                      <a:rPr lang="zh-CN" altLang="en-US"/>
                      <a:t>基本支出
</a:t>
                    </a:r>
                    <a:r>
                      <a:rPr lang="en-US" altLang="zh-CN"/>
                      <a:t>26.21%</a:t>
                    </a:r>
                    <a:endParaRPr lang="zh-CN" altLang="en-US"/>
                  </a:p>
                </c:rich>
              </c:tx>
              <c:spPr/>
              <c:showCatName val="1"/>
              <c:showPercent val="1"/>
            </c:dLbl>
            <c:dLbl>
              <c:idx val="1"/>
              <c:tx>
                <c:rich>
                  <a:bodyPr/>
                  <a:lstStyle/>
                  <a:p>
                    <a:r>
                      <a:rPr lang="zh-CN" altLang="en-US" sz="1400"/>
                      <a:t>项目支出</a:t>
                    </a:r>
                    <a:r>
                      <a:rPr lang="en-US" altLang="zh-CN" sz="1400"/>
                      <a:t>73.79%</a:t>
                    </a:r>
                  </a:p>
                </c:rich>
              </c:tx>
              <c:showCatName val="1"/>
              <c:showPercent val="1"/>
            </c:dLbl>
            <c:txPr>
              <a:bodyPr/>
              <a:lstStyle/>
              <a:p>
                <a:pPr>
                  <a:defRPr sz="900"/>
                </a:pPr>
                <a:endParaRPr lang="zh-CN"/>
              </a:p>
            </c:txPr>
            <c:showCatName val="1"/>
            <c:showPercent val="1"/>
            <c:showLeaderLines val="1"/>
          </c:dLbls>
          <c:cat>
            <c:strRef>
              <c:f>Sheet1!$B$1:$C$1</c:f>
              <c:strCache>
                <c:ptCount val="2"/>
                <c:pt idx="0">
                  <c:v>基本支出</c:v>
                </c:pt>
                <c:pt idx="1">
                  <c:v>项目支出</c:v>
                </c:pt>
              </c:strCache>
            </c:strRef>
          </c:cat>
          <c:val>
            <c:numRef>
              <c:f>Sheet1!$B$2:$C$2</c:f>
              <c:numCache>
                <c:formatCode>General</c:formatCode>
                <c:ptCount val="2"/>
                <c:pt idx="0">
                  <c:v>26.21</c:v>
                </c:pt>
                <c:pt idx="1">
                  <c:v>73.790000000000006</c:v>
                </c:pt>
              </c:numCache>
            </c:numRef>
          </c:val>
        </c:ser>
        <c:firstSliceAng val="0"/>
      </c:pieChart>
      <c:spPr>
        <a:solidFill>
          <a:srgbClr val="FFFFFF"/>
        </a:solidFill>
        <a:ln w="12713">
          <a:solidFill>
            <a:srgbClr val="FFFFFF"/>
          </a:solidFill>
          <a:prstDash val="solid"/>
        </a:ln>
      </c:spPr>
    </c:plotArea>
    <c:legend>
      <c:legendPos val="r"/>
      <c:legendEntry>
        <c:idx val="0"/>
        <c:txPr>
          <a:bodyPr/>
          <a:lstStyle/>
          <a:p>
            <a:pPr>
              <a:defRPr sz="1400" b="0" i="0" u="none" strike="noStrike" baseline="0">
                <a:solidFill>
                  <a:srgbClr val="000000"/>
                </a:solidFill>
                <a:latin typeface="宋体"/>
                <a:ea typeface="宋体"/>
                <a:cs typeface="宋体"/>
              </a:defRPr>
            </a:pPr>
            <a:endParaRPr lang="zh-CN"/>
          </a:p>
        </c:txPr>
      </c:legendEntry>
      <c:legendEntry>
        <c:idx val="1"/>
        <c:txPr>
          <a:bodyPr/>
          <a:lstStyle/>
          <a:p>
            <a:pPr>
              <a:defRPr sz="1400" b="0" i="0" u="none" strike="noStrike" baseline="0">
                <a:solidFill>
                  <a:srgbClr val="000000"/>
                </a:solidFill>
                <a:latin typeface="宋体"/>
                <a:ea typeface="宋体"/>
                <a:cs typeface="宋体"/>
              </a:defRPr>
            </a:pPr>
            <a:endParaRPr lang="zh-CN"/>
          </a:p>
        </c:txPr>
      </c:legendEntry>
      <c:layout>
        <c:manualLayout>
          <c:xMode val="edge"/>
          <c:yMode val="edge"/>
          <c:x val="0.7618578966610533"/>
          <c:y val="0.40255591054312923"/>
          <c:w val="0.23012599516536544"/>
          <c:h val="0.26534878262168482"/>
        </c:manualLayout>
      </c:layout>
      <c:overlay val="1"/>
      <c:spPr>
        <a:noFill/>
        <a:ln w="3178">
          <a:noFill/>
          <a:prstDash val="solid"/>
        </a:ln>
      </c:spPr>
      <c:txPr>
        <a:bodyPr/>
        <a:lstStyle/>
        <a:p>
          <a:pPr>
            <a:defRPr sz="1400" b="0" i="0" u="none" strike="noStrike" baseline="0">
              <a:solidFill>
                <a:srgbClr val="000000"/>
              </a:solidFill>
              <a:latin typeface="宋体"/>
              <a:ea typeface="宋体"/>
              <a:cs typeface="宋体"/>
            </a:defRPr>
          </a:pPr>
          <a:endParaRPr lang="zh-CN"/>
        </a:p>
      </c:txPr>
    </c:legend>
    <c:plotVisOnly val="1"/>
    <c:dispBlanksAs val="zero"/>
  </c:chart>
  <c:spPr>
    <a:solidFill>
      <a:srgbClr val="FFFFFF"/>
    </a:solidFill>
    <a:ln>
      <a:noFill/>
    </a:ln>
  </c:spPr>
  <c:txPr>
    <a:bodyPr/>
    <a:lstStyle/>
    <a:p>
      <a:pPr>
        <a:defRPr sz="1552"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stacked"/>
        <c:ser>
          <c:idx val="1"/>
          <c:order val="0"/>
          <c:tx>
            <c:strRef>
              <c:f>Sheet1!$A$2</c:f>
              <c:strCache>
                <c:ptCount val="1"/>
                <c:pt idx="0">
                  <c:v>财政拨款收支</c:v>
                </c:pt>
              </c:strCache>
            </c:strRef>
          </c:tx>
          <c:spPr>
            <a:solidFill>
              <a:srgbClr val="9999FF"/>
            </a:solidFill>
            <a:ln w="25373">
              <a:noFill/>
            </a:ln>
          </c:spPr>
          <c:cat>
            <c:strRef>
              <c:f>Sheet1!$B$1:$D$1</c:f>
              <c:strCache>
                <c:ptCount val="2"/>
                <c:pt idx="0">
                  <c:v>2016年</c:v>
                </c:pt>
                <c:pt idx="1">
                  <c:v>2017年</c:v>
                </c:pt>
              </c:strCache>
            </c:strRef>
          </c:cat>
          <c:val>
            <c:numRef>
              <c:f>Sheet1!$B$2:$D$2</c:f>
              <c:numCache>
                <c:formatCode>General</c:formatCode>
                <c:ptCount val="2"/>
                <c:pt idx="0">
                  <c:v>2256.44</c:v>
                </c:pt>
                <c:pt idx="1">
                  <c:v>2376.5500000000002</c:v>
                </c:pt>
              </c:numCache>
            </c:numRef>
          </c:val>
        </c:ser>
        <c:gapWidth val="55"/>
        <c:overlap val="100"/>
        <c:axId val="114515328"/>
        <c:axId val="122254464"/>
      </c:barChart>
      <c:catAx>
        <c:axId val="114515328"/>
        <c:scaling>
          <c:orientation val="minMax"/>
        </c:scaling>
        <c:axPos val="b"/>
        <c:numFmt formatCode="General" sourceLinked="1"/>
        <c:maj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宋体"/>
                <a:ea typeface="宋体"/>
                <a:cs typeface="宋体"/>
              </a:defRPr>
            </a:pPr>
            <a:endParaRPr lang="zh-CN"/>
          </a:p>
        </c:txPr>
        <c:crossAx val="122254464"/>
        <c:crosses val="autoZero"/>
        <c:lblAlgn val="ctr"/>
        <c:lblOffset val="100"/>
        <c:tickLblSkip val="1"/>
        <c:tickMarkSkip val="1"/>
      </c:catAx>
      <c:valAx>
        <c:axId val="122254464"/>
        <c:scaling>
          <c:orientation val="minMax"/>
          <c:min val="0"/>
        </c:scaling>
        <c:axPos val="l"/>
        <c:majorGridlines/>
        <c:numFmt formatCode="General" sourceLinked="1"/>
        <c:majorTickMark val="none"/>
        <c:tickLblPos val="nextTo"/>
        <c:txPr>
          <a:bodyPr rot="0" vert="horz"/>
          <a:lstStyle/>
          <a:p>
            <a:pPr>
              <a:defRPr sz="999" b="0" i="0" u="none" strike="noStrike" baseline="0">
                <a:solidFill>
                  <a:srgbClr val="000000"/>
                </a:solidFill>
                <a:latin typeface="Arial"/>
                <a:ea typeface="Arial"/>
                <a:cs typeface="Arial"/>
              </a:defRPr>
            </a:pPr>
            <a:endParaRPr lang="zh-CN"/>
          </a:p>
        </c:txPr>
        <c:crossAx val="114515328"/>
        <c:crosses val="autoZero"/>
        <c:crossBetween val="between"/>
      </c:valAx>
      <c:spPr>
        <a:solidFill>
          <a:srgbClr val="C0C0C0"/>
        </a:solidFill>
        <a:ln w="12686">
          <a:noFill/>
          <a:prstDash val="solid"/>
        </a:ln>
      </c:spPr>
    </c:plotArea>
    <c:legend>
      <c:legendPos val="r"/>
    </c:legend>
    <c:plotVisOnly val="1"/>
    <c:dispBlanksAs val="gap"/>
  </c:chart>
  <c:spPr>
    <a:noFill/>
    <a:ln>
      <a:noFill/>
    </a:ln>
  </c:spPr>
  <c:txPr>
    <a:bodyPr/>
    <a:lstStyle/>
    <a:p>
      <a:pPr>
        <a:defRPr sz="999" b="0" i="0" u="none" strike="noStrike" baseline="0">
          <a:solidFill>
            <a:srgbClr val="000000"/>
          </a:solidFill>
          <a:latin typeface="Arial"/>
          <a:ea typeface="Arial"/>
          <a:cs typeface="Arial"/>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0663831605017675"/>
          <c:y val="1.9458544839255541E-2"/>
          <c:w val="0.65000000000000469"/>
          <c:h val="0.7929824561403509"/>
        </c:manualLayout>
      </c:layout>
      <c:barChart>
        <c:barDir val="col"/>
        <c:grouping val="clustered"/>
        <c:ser>
          <c:idx val="1"/>
          <c:order val="0"/>
          <c:tx>
            <c:strRef>
              <c:f>Sheet1!$A$2</c:f>
              <c:strCache>
                <c:ptCount val="1"/>
                <c:pt idx="0">
                  <c:v>财政拨款支出</c:v>
                </c:pt>
              </c:strCache>
            </c:strRef>
          </c:tx>
          <c:spPr>
            <a:solidFill>
              <a:srgbClr val="99CCFF"/>
            </a:solidFill>
            <a:ln w="25400">
              <a:noFill/>
            </a:ln>
          </c:spPr>
          <c:dLbls>
            <c:dLblPos val="ctr"/>
            <c:showVal val="1"/>
          </c:dLbls>
          <c:cat>
            <c:strRef>
              <c:f>Sheet1!$B$1:$E$1</c:f>
              <c:strCache>
                <c:ptCount val="2"/>
                <c:pt idx="0">
                  <c:v>2016年</c:v>
                </c:pt>
                <c:pt idx="1">
                  <c:v>2017年</c:v>
                </c:pt>
              </c:strCache>
            </c:strRef>
          </c:cat>
          <c:val>
            <c:numRef>
              <c:f>Sheet1!$B$2:$E$2</c:f>
              <c:numCache>
                <c:formatCode>#,##0.00</c:formatCode>
                <c:ptCount val="2"/>
                <c:pt idx="0">
                  <c:v>2194.96</c:v>
                </c:pt>
                <c:pt idx="1">
                  <c:v>2218.3500000000022</c:v>
                </c:pt>
              </c:numCache>
            </c:numRef>
          </c:val>
        </c:ser>
        <c:ser>
          <c:idx val="0"/>
          <c:order val="1"/>
          <c:tx>
            <c:strRef>
              <c:f>Sheet1!$A$3</c:f>
              <c:strCache>
                <c:ptCount val="1"/>
                <c:pt idx="0">
                  <c:v>一般公共预算支出</c:v>
                </c:pt>
              </c:strCache>
            </c:strRef>
          </c:tx>
          <c:spPr>
            <a:solidFill>
              <a:srgbClr val="FF8080"/>
            </a:solidFill>
            <a:ln w="25400">
              <a:noFill/>
            </a:ln>
          </c:spPr>
          <c:dLbls>
            <c:dLblPos val="ctr"/>
            <c:showVal val="1"/>
          </c:dLbls>
          <c:cat>
            <c:strRef>
              <c:f>Sheet1!$B$1:$E$1</c:f>
              <c:strCache>
                <c:ptCount val="2"/>
                <c:pt idx="0">
                  <c:v>2016年</c:v>
                </c:pt>
                <c:pt idx="1">
                  <c:v>2017年</c:v>
                </c:pt>
              </c:strCache>
            </c:strRef>
          </c:cat>
          <c:val>
            <c:numRef>
              <c:f>Sheet1!$B$3:$E$3</c:f>
              <c:numCache>
                <c:formatCode>#,##0.00</c:formatCode>
                <c:ptCount val="2"/>
                <c:pt idx="0">
                  <c:v>1501.02</c:v>
                </c:pt>
                <c:pt idx="1">
                  <c:v>1874.73</c:v>
                </c:pt>
              </c:numCache>
            </c:numRef>
          </c:val>
        </c:ser>
        <c:dLbls>
          <c:showVal val="1"/>
        </c:dLbls>
        <c:axId val="145951360"/>
        <c:axId val="145973632"/>
      </c:barChart>
      <c:catAx>
        <c:axId val="145951360"/>
        <c:scaling>
          <c:orientation val="minMax"/>
        </c:scaling>
        <c:axPos val="b"/>
        <c:numFmt formatCode="General" sourceLinked="1"/>
        <c:majorTickMark val="in"/>
        <c:tickLblPos val="nextTo"/>
        <c:spPr>
          <a:ln w="3175">
            <a:solidFill>
              <a:srgbClr val="000000"/>
            </a:solidFill>
            <a:prstDash val="solid"/>
          </a:ln>
        </c:spPr>
        <c:txPr>
          <a:bodyPr rot="0" vert="horz"/>
          <a:lstStyle/>
          <a:p>
            <a:pPr>
              <a:defRPr sz="1000" b="0" i="0" u="none" strike="noStrike" baseline="0">
                <a:solidFill>
                  <a:srgbClr val="000000"/>
                </a:solidFill>
                <a:latin typeface="宋体"/>
                <a:ea typeface="宋体"/>
                <a:cs typeface="宋体"/>
              </a:defRPr>
            </a:pPr>
            <a:endParaRPr lang="zh-CN"/>
          </a:p>
        </c:txPr>
        <c:crossAx val="145973632"/>
        <c:crosses val="autoZero"/>
        <c:lblAlgn val="ctr"/>
        <c:lblOffset val="100"/>
        <c:tickLblSkip val="1"/>
        <c:tickMarkSkip val="1"/>
      </c:catAx>
      <c:valAx>
        <c:axId val="145973632"/>
        <c:scaling>
          <c:orientation val="minMax"/>
        </c:scaling>
        <c:axPos val="l"/>
        <c:numFmt formatCode="#,##0.00" sourceLinked="1"/>
        <c:maj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zh-CN"/>
          </a:p>
        </c:txPr>
        <c:crossAx val="145951360"/>
        <c:crosses val="autoZero"/>
        <c:crossBetween val="between"/>
      </c:valAx>
      <c:spPr>
        <a:solidFill>
          <a:srgbClr val="FFFFCC"/>
        </a:solidFill>
        <a:ln w="12700">
          <a:solidFill>
            <a:srgbClr val="FFFFCC"/>
          </a:solidFill>
          <a:prstDash val="solid"/>
        </a:ln>
      </c:spPr>
    </c:plotArea>
    <c:legend>
      <c:legendPos val="r"/>
      <c:layout>
        <c:manualLayout>
          <c:xMode val="edge"/>
          <c:yMode val="edge"/>
          <c:x val="0.76296296296295785"/>
          <c:y val="0.40701754385965311"/>
          <c:w val="0.22962962962962835"/>
          <c:h val="0.12982456140350712"/>
        </c:manualLayout>
      </c:layout>
      <c:spPr>
        <a:solidFill>
          <a:srgbClr val="FFFFFF"/>
        </a:solidFill>
        <a:ln w="3175">
          <a:noFill/>
          <a:prstDash val="solid"/>
        </a:ln>
      </c:spPr>
      <c:txPr>
        <a:bodyPr/>
        <a:lstStyle/>
        <a:p>
          <a:pPr>
            <a:defRPr sz="1200" b="0" i="0" u="none" strike="noStrike" baseline="0">
              <a:solidFill>
                <a:srgbClr val="000000"/>
              </a:solidFill>
              <a:latin typeface="宋体"/>
              <a:ea typeface="宋体"/>
              <a:cs typeface="宋体"/>
            </a:defRPr>
          </a:pPr>
          <a:endParaRPr lang="zh-CN"/>
        </a:p>
      </c:txPr>
    </c:legend>
    <c:plotVisOnly val="1"/>
    <c:dispBlanksAs val="gap"/>
  </c:chart>
  <c:spPr>
    <a:noFill/>
    <a:ln>
      <a:noFill/>
    </a:ln>
  </c:spPr>
  <c:txPr>
    <a:bodyPr/>
    <a:lstStyle/>
    <a:p>
      <a:pPr>
        <a:defRPr sz="1000" b="0" i="0" u="none" strike="noStrike" baseline="0">
          <a:solidFill>
            <a:srgbClr val="000000"/>
          </a:solidFill>
          <a:latin typeface="Arial"/>
          <a:ea typeface="Arial"/>
          <a:cs typeface="Arial"/>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8676543209876748"/>
          <c:y val="0.11904021256602212"/>
          <c:w val="0.43346709439098141"/>
          <c:h val="0.72244515731830394"/>
        </c:manualLayout>
      </c:layout>
      <c:pieChart>
        <c:varyColors val="1"/>
        <c:ser>
          <c:idx val="0"/>
          <c:order val="0"/>
          <c:tx>
            <c:strRef>
              <c:f>Sheet1!$A$2</c:f>
              <c:strCache>
                <c:ptCount val="1"/>
                <c:pt idx="0">
                  <c:v>一般公共预算财政拨款支出</c:v>
                </c:pt>
              </c:strCache>
            </c:strRef>
          </c:tx>
          <c:spPr>
            <a:solidFill>
              <a:srgbClr val="9999FF"/>
            </a:solidFill>
            <a:ln w="12692">
              <a:solidFill>
                <a:srgbClr val="000000"/>
              </a:solidFill>
              <a:prstDash val="solid"/>
            </a:ln>
          </c:spPr>
          <c:dPt>
            <c:idx val="1"/>
            <c:spPr>
              <a:solidFill>
                <a:srgbClr val="993366"/>
              </a:solidFill>
              <a:ln w="12692">
                <a:solidFill>
                  <a:srgbClr val="000000"/>
                </a:solidFill>
                <a:prstDash val="solid"/>
              </a:ln>
            </c:spPr>
          </c:dPt>
          <c:dPt>
            <c:idx val="2"/>
            <c:spPr>
              <a:solidFill>
                <a:srgbClr val="FFFFCC"/>
              </a:solidFill>
              <a:ln w="12692">
                <a:solidFill>
                  <a:srgbClr val="000000"/>
                </a:solidFill>
                <a:prstDash val="solid"/>
              </a:ln>
            </c:spPr>
          </c:dPt>
          <c:dPt>
            <c:idx val="3"/>
            <c:spPr>
              <a:solidFill>
                <a:srgbClr val="CCFFFF"/>
              </a:solidFill>
              <a:ln w="12692">
                <a:solidFill>
                  <a:srgbClr val="000000"/>
                </a:solidFill>
                <a:prstDash val="solid"/>
              </a:ln>
            </c:spPr>
          </c:dPt>
          <c:dPt>
            <c:idx val="4"/>
            <c:spPr>
              <a:solidFill>
                <a:srgbClr val="660066"/>
              </a:solidFill>
              <a:ln w="12692">
                <a:solidFill>
                  <a:srgbClr val="000000"/>
                </a:solidFill>
                <a:prstDash val="solid"/>
              </a:ln>
            </c:spPr>
          </c:dPt>
          <c:dPt>
            <c:idx val="5"/>
            <c:spPr>
              <a:solidFill>
                <a:srgbClr val="FF8080"/>
              </a:solidFill>
              <a:ln w="12692">
                <a:solidFill>
                  <a:srgbClr val="000000"/>
                </a:solidFill>
                <a:prstDash val="solid"/>
              </a:ln>
            </c:spPr>
          </c:dPt>
          <c:dPt>
            <c:idx val="6"/>
            <c:spPr>
              <a:solidFill>
                <a:srgbClr val="0066CC"/>
              </a:solidFill>
              <a:ln w="12692">
                <a:solidFill>
                  <a:srgbClr val="000000"/>
                </a:solidFill>
                <a:prstDash val="solid"/>
              </a:ln>
            </c:spPr>
          </c:dPt>
          <c:dPt>
            <c:idx val="7"/>
            <c:spPr>
              <a:solidFill>
                <a:srgbClr val="CCCCFF"/>
              </a:solidFill>
              <a:ln w="12692">
                <a:solidFill>
                  <a:srgbClr val="000000"/>
                </a:solidFill>
                <a:prstDash val="solid"/>
              </a:ln>
            </c:spPr>
          </c:dPt>
          <c:dPt>
            <c:idx val="8"/>
            <c:spPr>
              <a:solidFill>
                <a:srgbClr val="000080"/>
              </a:solidFill>
              <a:ln w="12692">
                <a:solidFill>
                  <a:srgbClr val="000000"/>
                </a:solidFill>
                <a:prstDash val="solid"/>
              </a:ln>
            </c:spPr>
          </c:dPt>
          <c:dLbls>
            <c:dLbl>
              <c:idx val="1"/>
              <c:layout>
                <c:manualLayout>
                  <c:x val="4.0016116406501913E-2"/>
                  <c:y val="-2.2738709385464812E-2"/>
                </c:manualLayout>
              </c:layout>
              <c:showVal val="1"/>
              <c:showCatName val="1"/>
              <c:showPercent val="1"/>
            </c:dLbl>
            <c:dLbl>
              <c:idx val="2"/>
              <c:layout>
                <c:manualLayout>
                  <c:x val="-9.1341652468880027E-3"/>
                  <c:y val="4.8807584396777987E-2"/>
                </c:manualLayout>
              </c:layout>
              <c:showVal val="1"/>
              <c:showCatName val="1"/>
              <c:showPercent val="1"/>
            </c:dLbl>
            <c:dLbl>
              <c:idx val="3"/>
              <c:layout>
                <c:manualLayout>
                  <c:x val="-6.7070804745897994E-2"/>
                  <c:y val="5.8477237759073479E-2"/>
                </c:manualLayout>
              </c:layout>
              <c:showVal val="1"/>
              <c:showCatName val="1"/>
              <c:showPercent val="1"/>
            </c:dLbl>
            <c:dLbl>
              <c:idx val="4"/>
              <c:layout>
                <c:manualLayout>
                  <c:x val="-0.20972402572485457"/>
                  <c:y val="3.1265046610553175E-2"/>
                </c:manualLayout>
              </c:layout>
              <c:showVal val="1"/>
              <c:showCatName val="1"/>
              <c:showPercent val="1"/>
            </c:dLbl>
            <c:dLbl>
              <c:idx val="6"/>
              <c:layout>
                <c:manualLayout>
                  <c:x val="-0.23661252241080785"/>
                  <c:y val="0.15875608194767188"/>
                </c:manualLayout>
              </c:layout>
              <c:tx>
                <c:rich>
                  <a:bodyPr/>
                  <a:lstStyle/>
                  <a:p>
                    <a:r>
                      <a:rPr lang="zh-CN" altLang="en-US"/>
                      <a:t>节能环保支出
</a:t>
                    </a:r>
                    <a:r>
                      <a:rPr lang="en-US" altLang="zh-CN"/>
                      <a:t>164.46</a:t>
                    </a:r>
                  </a:p>
                  <a:p>
                    <a:r>
                      <a:rPr lang="en-US" altLang="zh-CN"/>
                      <a:t>8.77%
</a:t>
                    </a:r>
                    <a:endParaRPr lang="zh-CN" altLang="en-US"/>
                  </a:p>
                </c:rich>
              </c:tx>
              <c:showVal val="1"/>
              <c:showCatName val="1"/>
              <c:showPercent val="1"/>
            </c:dLbl>
            <c:dLbl>
              <c:idx val="7"/>
              <c:layout>
                <c:manualLayout>
                  <c:x val="-9.3707621018362566E-2"/>
                  <c:y val="1.1972530293811057E-2"/>
                </c:manualLayout>
              </c:layout>
              <c:tx>
                <c:rich>
                  <a:bodyPr/>
                  <a:lstStyle/>
                  <a:p>
                    <a:r>
                      <a:rPr lang="zh-CN" altLang="en-US"/>
                      <a:t>国土海洋气象等支出
</a:t>
                    </a:r>
                    <a:r>
                      <a:rPr lang="en-US" altLang="zh-CN"/>
                      <a:t>1.44</a:t>
                    </a:r>
                  </a:p>
                  <a:p>
                    <a:r>
                      <a:rPr lang="en-US" altLang="zh-CN"/>
                      <a:t>0.08%
</a:t>
                    </a:r>
                    <a:endParaRPr lang="zh-CN" altLang="en-US"/>
                  </a:p>
                </c:rich>
              </c:tx>
              <c:showVal val="1"/>
              <c:showCatName val="1"/>
              <c:showPercent val="1"/>
            </c:dLbl>
            <c:dLbl>
              <c:idx val="8"/>
              <c:layout>
                <c:manualLayout>
                  <c:x val="0.11584196712253055"/>
                  <c:y val="-2.3025386912842793E-2"/>
                </c:manualLayout>
              </c:layout>
              <c:showVal val="1"/>
              <c:showCatName val="1"/>
              <c:showPercent val="1"/>
            </c:dLbl>
            <c:dLbl>
              <c:idx val="9"/>
              <c:layout>
                <c:manualLayout>
                  <c:x val="0.23449770533069392"/>
                  <c:y val="5.8670467915648533E-2"/>
                </c:manualLayout>
              </c:layout>
              <c:showVal val="1"/>
              <c:showCatName val="1"/>
              <c:showPercent val="1"/>
            </c:dLbl>
            <c:txPr>
              <a:bodyPr/>
              <a:lstStyle/>
              <a:p>
                <a:pPr>
                  <a:defRPr sz="1100"/>
                </a:pPr>
                <a:endParaRPr lang="zh-CN"/>
              </a:p>
            </c:txPr>
            <c:showVal val="1"/>
            <c:showCatName val="1"/>
            <c:showPercent val="1"/>
            <c:showLeaderLines val="1"/>
          </c:dLbls>
          <c:cat>
            <c:strRef>
              <c:f>Sheet1!$B$1:$J$1</c:f>
              <c:strCache>
                <c:ptCount val="9"/>
                <c:pt idx="0">
                  <c:v>一般公共服务支出</c:v>
                </c:pt>
                <c:pt idx="1">
                  <c:v>教育支出</c:v>
                </c:pt>
                <c:pt idx="2">
                  <c:v>社会保障和就业支出</c:v>
                </c:pt>
                <c:pt idx="3">
                  <c:v>医疗卫生支出</c:v>
                </c:pt>
                <c:pt idx="4">
                  <c:v>住房保障支出</c:v>
                </c:pt>
                <c:pt idx="5">
                  <c:v>农林水支出</c:v>
                </c:pt>
                <c:pt idx="6">
                  <c:v>节能环保支出</c:v>
                </c:pt>
                <c:pt idx="7">
                  <c:v>国土海洋气象等支出</c:v>
                </c:pt>
                <c:pt idx="8">
                  <c:v>城乡社区支出</c:v>
                </c:pt>
              </c:strCache>
            </c:strRef>
          </c:cat>
          <c:val>
            <c:numRef>
              <c:f>Sheet1!$B$2:$J$2</c:f>
              <c:numCache>
                <c:formatCode>0_);[Red]\(0\)</c:formatCode>
                <c:ptCount val="9"/>
                <c:pt idx="0">
                  <c:v>531.51</c:v>
                </c:pt>
                <c:pt idx="1">
                  <c:v>96.25</c:v>
                </c:pt>
                <c:pt idx="2">
                  <c:v>123.21000000000002</c:v>
                </c:pt>
                <c:pt idx="3">
                  <c:v>13.46</c:v>
                </c:pt>
                <c:pt idx="4">
                  <c:v>43.230000000000011</c:v>
                </c:pt>
                <c:pt idx="5">
                  <c:v>794.68000000000052</c:v>
                </c:pt>
                <c:pt idx="6">
                  <c:v>164.46</c:v>
                </c:pt>
                <c:pt idx="7">
                  <c:v>1.44</c:v>
                </c:pt>
                <c:pt idx="8">
                  <c:v>106.5</c:v>
                </c:pt>
              </c:numCache>
            </c:numRef>
          </c:val>
        </c:ser>
        <c:firstSliceAng val="0"/>
      </c:pieChart>
    </c:plotArea>
    <c:legend>
      <c:legendPos val="r"/>
      <c:layout>
        <c:manualLayout>
          <c:xMode val="edge"/>
          <c:yMode val="edge"/>
          <c:x val="0.7621689511033346"/>
          <c:y val="8.2014209430717633E-2"/>
          <c:w val="0.20820141926703709"/>
          <c:h val="0.77972192053580047"/>
        </c:manualLayout>
      </c:layout>
      <c:spPr>
        <a:noFill/>
        <a:ln w="3173">
          <a:noFill/>
          <a:prstDash val="solid"/>
        </a:ln>
      </c:spPr>
      <c:txPr>
        <a:bodyPr/>
        <a:lstStyle/>
        <a:p>
          <a:pPr>
            <a:defRPr sz="1050" b="0" i="0" u="none" strike="noStrike" baseline="0">
              <a:solidFill>
                <a:srgbClr val="000000"/>
              </a:solidFill>
              <a:latin typeface="宋体"/>
              <a:ea typeface="宋体"/>
              <a:cs typeface="宋体"/>
            </a:defRPr>
          </a:pPr>
          <a:endParaRPr lang="zh-CN"/>
        </a:p>
      </c:txPr>
    </c:legend>
    <c:plotVisOnly val="1"/>
    <c:dispBlanksAs val="zero"/>
  </c:chart>
  <c:spPr>
    <a:noFill/>
    <a:ln>
      <a:noFill/>
    </a:ln>
  </c:spPr>
  <c:txPr>
    <a:bodyPr/>
    <a:lstStyle/>
    <a:p>
      <a:pPr>
        <a:defRPr sz="1199" b="0" i="0" u="none" strike="noStrike" baseline="0">
          <a:solidFill>
            <a:srgbClr val="000000"/>
          </a:solidFill>
          <a:latin typeface="宋体"/>
          <a:ea typeface="宋体"/>
          <a:cs typeface="宋体"/>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4.8649782725483745E-2"/>
          <c:y val="5.6259448954609707E-2"/>
          <c:w val="0.51366477101141528"/>
          <c:h val="0.87717865411601625"/>
        </c:manualLayout>
      </c:layout>
      <c:pieChart>
        <c:varyColors val="1"/>
        <c:ser>
          <c:idx val="0"/>
          <c:order val="0"/>
          <c:tx>
            <c:strRef>
              <c:f>Sheet1!$A$2</c:f>
              <c:strCache>
                <c:ptCount val="1"/>
                <c:pt idx="0">
                  <c:v>双福镇</c:v>
                </c:pt>
              </c:strCache>
            </c:strRef>
          </c:tx>
          <c:spPr>
            <a:solidFill>
              <a:srgbClr val="9999FF"/>
            </a:solidFill>
            <a:ln w="12695">
              <a:solidFill>
                <a:srgbClr val="000000"/>
              </a:solidFill>
              <a:prstDash val="solid"/>
            </a:ln>
          </c:spPr>
          <c:dLbls>
            <c:dLbl>
              <c:idx val="0"/>
              <c:tx>
                <c:rich>
                  <a:bodyPr/>
                  <a:lstStyle/>
                  <a:p>
                    <a:r>
                      <a:rPr lang="zh-CN" altLang="en-US" sz="1400"/>
                      <a:t>公务用车购置及运行维护费
</a:t>
                    </a:r>
                    <a:r>
                      <a:rPr lang="en-US" altLang="zh-CN" sz="1400"/>
                      <a:t>100%</a:t>
                    </a:r>
                  </a:p>
                </c:rich>
              </c:tx>
              <c:showCatName val="1"/>
              <c:showPercent val="1"/>
            </c:dLbl>
            <c:txPr>
              <a:bodyPr/>
              <a:lstStyle/>
              <a:p>
                <a:pPr>
                  <a:defRPr sz="1400"/>
                </a:pPr>
                <a:endParaRPr lang="zh-CN"/>
              </a:p>
            </c:txPr>
            <c:showCatName val="1"/>
            <c:showPercent val="1"/>
            <c:showLeaderLines val="1"/>
          </c:dLbls>
          <c:cat>
            <c:strRef>
              <c:f>Sheet1!$B$1:$B$1</c:f>
              <c:strCache>
                <c:ptCount val="1"/>
                <c:pt idx="0">
                  <c:v>公务用车购置及运行维护费</c:v>
                </c:pt>
              </c:strCache>
            </c:strRef>
          </c:cat>
          <c:val>
            <c:numRef>
              <c:f>Sheet1!$B$2:$B$2</c:f>
              <c:numCache>
                <c:formatCode>General</c:formatCode>
                <c:ptCount val="1"/>
                <c:pt idx="0">
                  <c:v>6.42</c:v>
                </c:pt>
              </c:numCache>
            </c:numRef>
          </c:val>
        </c:ser>
        <c:firstSliceAng val="0"/>
      </c:pieChart>
    </c:plotArea>
    <c:legend>
      <c:legendPos val="r"/>
      <c:layout>
        <c:manualLayout>
          <c:xMode val="edge"/>
          <c:yMode val="edge"/>
          <c:x val="0.62386784619438418"/>
          <c:y val="0.28724048052122925"/>
          <c:w val="0.29820420823165483"/>
          <c:h val="0.48209023666369483"/>
        </c:manualLayout>
      </c:layout>
      <c:spPr>
        <a:noFill/>
        <a:ln w="3174">
          <a:noFill/>
          <a:prstDash val="solid"/>
        </a:ln>
      </c:spPr>
      <c:txPr>
        <a:bodyPr/>
        <a:lstStyle/>
        <a:p>
          <a:pPr>
            <a:defRPr sz="1400" b="0" i="0" u="none" strike="noStrike" baseline="0">
              <a:solidFill>
                <a:srgbClr val="000000"/>
              </a:solidFill>
              <a:latin typeface="宋体"/>
              <a:ea typeface="宋体"/>
              <a:cs typeface="宋体"/>
            </a:defRPr>
          </a:pPr>
          <a:endParaRPr lang="zh-CN"/>
        </a:p>
      </c:txPr>
    </c:legend>
    <c:plotVisOnly val="1"/>
    <c:dispBlanksAs val="zero"/>
  </c:chart>
  <c:spPr>
    <a:noFill/>
    <a:ln>
      <a:noFill/>
    </a:ln>
  </c:spPr>
  <c:txPr>
    <a:bodyPr/>
    <a:lstStyle/>
    <a:p>
      <a:pPr>
        <a:defRPr sz="8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74FC-E3E1-421F-B851-B95EBDCF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24</Pages>
  <Words>1490</Words>
  <Characters>8498</Characters>
  <Application>Microsoft Office Word</Application>
  <DocSecurity>0</DocSecurity>
  <Lines>70</Lines>
  <Paragraphs>19</Paragraphs>
  <ScaleCrop>false</ScaleCrop>
  <Company>Sky123.Org</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2018-10-18T02:42:00Z</cp:lastPrinted>
  <dcterms:created xsi:type="dcterms:W3CDTF">2018-10-11T08:32:00Z</dcterms:created>
  <dcterms:modified xsi:type="dcterms:W3CDTF">2018-10-18T12:03:00Z</dcterms:modified>
</cp:coreProperties>
</file>